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12, 2018</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567"/>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480" w:hanging="445"/>
        <w:spacing w:after="0"/>
        <w:tabs>
          <w:tab w:leader="none" w:pos="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96" w:lineRule="exact"/>
        <w:rPr>
          <w:sz w:val="24"/>
          <w:szCs w:val="24"/>
          <w:color w:val="auto"/>
        </w:rPr>
      </w:pPr>
    </w:p>
    <w:p>
      <w:pPr>
        <w:ind w:right="60"/>
        <w:spacing w:after="0" w:line="3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21"/>
          <w:szCs w:val="21"/>
          <w:color w:val="auto"/>
        </w:rPr>
        <w:t>o</w:t>
      </w:r>
    </w:p>
    <w:p>
      <w:pPr>
        <w:spacing w:after="0" w:line="360" w:lineRule="exact"/>
        <w:rPr>
          <w:sz w:val="24"/>
          <w:szCs w:val="24"/>
          <w:color w:val="auto"/>
        </w:rPr>
      </w:pPr>
    </w:p>
    <w:p>
      <w:pPr>
        <w:ind w:right="140"/>
        <w:spacing w:after="0" w:line="28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Arial" w:cs="Arial" w:eastAsia="Arial" w:hAnsi="Arial"/>
          <w:sz w:val="21"/>
          <w:szCs w:val="21"/>
          <w:color w:val="auto"/>
        </w:rPr>
        <w:t>o</w:t>
      </w:r>
    </w:p>
    <w:p>
      <w:pPr>
        <w:sectPr>
          <w:pgSz w:w="11900" w:h="16838" w:orient="portrait"/>
          <w:cols w:equalWidth="0" w:num="1">
            <w:col w:w="11420"/>
          </w:cols>
          <w:pgMar w:left="240" w:top="463" w:right="23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18"/>
          <w:szCs w:val="18"/>
          <w:b w:val="1"/>
          <w:bCs w:val="1"/>
          <w:color w:val="auto"/>
        </w:rPr>
        <w:t>Compensatory Arrangements of Certain Officers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color w:val="auto"/>
        </w:rPr>
        <w:t>On December 12, 2018, ManpowerGroup Inc. (the “Company”) entered into a severance agreement with John (“Jack”) T. McGinnis. This severance agreement replaces a similar agreement scheduled to expire on February 15, 2019. The new severance agreement expires on the first to occur of (1) the date two years after the occurrence of a change of control of the Company or (2) December 12, 2021, if no such change of control occurs before December 12, 2021. Aside from the new term, the severance agreement is in substantially the same form as the severance agreement it replaces.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3"/>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3"/>
        </w:trPr>
        <w:tc>
          <w:tcPr>
            <w:tcW w:w="360" w:type="dxa"/>
            <w:vAlign w:val="bottom"/>
            <w:gridSpan w:val="2"/>
          </w:tcPr>
          <w:p>
            <w:pPr>
              <w:ind w:left="40"/>
              <w:spacing w:after="0" w:line="202"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20" w:type="dxa"/>
            <w:vAlign w:val="bottom"/>
            <w:gridSpan w:val="2"/>
          </w:tcPr>
          <w:p>
            <w:pPr>
              <w:spacing w:after="0" w:line="202" w:lineRule="exact"/>
              <w:rPr>
                <w:sz w:val="20"/>
                <w:szCs w:val="20"/>
                <w:color w:val="auto"/>
              </w:rPr>
            </w:pPr>
            <w:r>
              <w:rPr>
                <w:rFonts w:ascii="Arial" w:cs="Arial" w:eastAsia="Arial" w:hAnsi="Arial"/>
                <w:sz w:val="18"/>
                <w:szCs w:val="18"/>
                <w:color w:val="0000FF"/>
              </w:rPr>
              <w:t>Severance Agreement dated December 12, 2018 between the Company and John T. McGinnis</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580" w:type="dxa"/>
            <w:vAlign w:val="bottom"/>
            <w:gridSpan w:val="2"/>
          </w:tcPr>
          <w:p>
            <w:pPr>
              <w:ind w:left="166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3620" w:type="dxa"/>
            <w:vAlign w:val="bottom"/>
          </w:tcPr>
          <w:p>
            <w:pPr>
              <w:spacing w:after="0"/>
              <w:rPr>
                <w:sz w:val="20"/>
                <w:szCs w:val="20"/>
                <w:color w:val="auto"/>
              </w:rPr>
            </w:pPr>
            <w:r>
              <w:rPr>
                <w:rFonts w:ascii="Arial" w:cs="Arial" w:eastAsia="Arial" w:hAnsi="Arial"/>
                <w:sz w:val="18"/>
                <w:szCs w:val="18"/>
                <w:color w:val="auto"/>
              </w:rPr>
              <w:t>Dated: December 12, 2018</w:t>
            </w:r>
          </w:p>
        </w:tc>
        <w:tc>
          <w:tcPr>
            <w:tcW w:w="2540" w:type="dxa"/>
            <w:vAlign w:val="bottom"/>
          </w:tcPr>
          <w:p>
            <w:pPr>
              <w:ind w:left="166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54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2540" w:type="dxa"/>
            <w:vAlign w:val="bottom"/>
          </w:tcPr>
          <w:p>
            <w:pPr>
              <w:ind w:left="1660"/>
              <w:spacing w:after="0"/>
              <w:rPr>
                <w:sz w:val="20"/>
                <w:szCs w:val="20"/>
                <w:color w:val="auto"/>
              </w:rPr>
            </w:pPr>
            <w:r>
              <w:rPr>
                <w:rFonts w:ascii="Arial" w:cs="Arial" w:eastAsia="Arial" w:hAnsi="Arial"/>
                <w:sz w:val="18"/>
                <w:szCs w:val="18"/>
                <w:color w:val="auto"/>
              </w:rPr>
              <w:t>Title:</w:t>
            </w:r>
          </w:p>
        </w:tc>
        <w:tc>
          <w:tcPr>
            <w:tcW w:w="504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 Manpower Place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12,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John T. McGinnis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ManpowerGroup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100 Manpower Place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60" w:lineRule="exact"/>
        <w:rPr>
          <w:sz w:val="20"/>
          <w:szCs w:val="20"/>
          <w:color w:val="auto"/>
        </w:rPr>
      </w:pPr>
    </w:p>
    <w:p>
      <w:pPr>
        <w:ind w:right="340" w:firstLine="648"/>
        <w:spacing w:after="0" w:line="265" w:lineRule="auto"/>
        <w:rPr>
          <w:sz w:val="20"/>
          <w:szCs w:val="20"/>
          <w:color w:val="auto"/>
        </w:rPr>
      </w:pPr>
      <w:r>
        <w:rPr>
          <w:rFonts w:ascii="Arial" w:cs="Arial" w:eastAsia="Arial" w:hAnsi="Arial"/>
          <w:sz w:val="21"/>
          <w:szCs w:val="21"/>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21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260" w:lineRule="exact"/>
        <w:rPr>
          <w:rFonts w:ascii="Arial" w:cs="Arial" w:eastAsia="Arial" w:hAnsi="Arial"/>
          <w:sz w:val="22"/>
          <w:szCs w:val="22"/>
          <w:color w:val="auto"/>
        </w:rPr>
      </w:pPr>
    </w:p>
    <w:p>
      <w:pPr>
        <w:ind w:left="1300" w:right="560" w:hanging="644"/>
        <w:spacing w:after="0" w:line="263"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215" w:lineRule="exact"/>
        <w:rPr>
          <w:rFonts w:ascii="Arial" w:cs="Arial" w:eastAsia="Arial" w:hAnsi="Arial"/>
          <w:sz w:val="22"/>
          <w:szCs w:val="22"/>
          <w:color w:val="auto"/>
        </w:rPr>
      </w:pPr>
    </w:p>
    <w:p>
      <w:pPr>
        <w:ind w:left="1300" w:right="60" w:hanging="644"/>
        <w:spacing w:after="0" w:line="286" w:lineRule="auto"/>
        <w:tabs>
          <w:tab w:leader="none" w:pos="1300"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w:t>
      </w:r>
    </w:p>
    <w:p>
      <w:pPr>
        <w:sectPr>
          <w:pgSz w:w="11900" w:h="16838" w:orient="portrait"/>
          <w:cols w:equalWidth="0" w:num="1">
            <w:col w:w="11420"/>
          </w:cols>
          <w:pgMar w:left="240" w:top="132" w:right="239" w:bottom="1440" w:gutter="0" w:footer="0" w:header="0"/>
        </w:sectPr>
      </w:pPr>
    </w:p>
    <w:bookmarkStart w:id="3" w:name="page4"/>
    <w:bookmarkEnd w:id="3"/>
    <w:p>
      <w:pPr>
        <w:ind w:left="644" w:right="240"/>
        <w:spacing w:after="0" w:line="291" w:lineRule="auto"/>
        <w:rPr>
          <w:sz w:val="20"/>
          <w:szCs w:val="20"/>
          <w:color w:val="auto"/>
        </w:rPr>
      </w:pPr>
      <w:r>
        <w:rPr>
          <w:rFonts w:ascii="Arial" w:cs="Arial" w:eastAsia="Arial" w:hAnsi="Arial"/>
          <w:sz w:val="19"/>
          <w:szCs w:val="19"/>
          <w:color w:val="auto"/>
        </w:rPr>
        <w:t>absence from work other than by reason of a serious health condition, (vii) your commission of a crime the circumstances of which substantially relate to your employment duties with the Consolidated ManpowerGroup, or</w:t>
      </w:r>
    </w:p>
    <w:p>
      <w:pPr>
        <w:spacing w:after="0" w:line="1" w:lineRule="exact"/>
        <w:rPr>
          <w:sz w:val="20"/>
          <w:szCs w:val="20"/>
          <w:color w:val="auto"/>
        </w:rPr>
      </w:pPr>
    </w:p>
    <w:p>
      <w:pPr>
        <w:ind w:left="644" w:right="420" w:firstLine="5"/>
        <w:spacing w:after="0" w:line="245" w:lineRule="auto"/>
        <w:tabs>
          <w:tab w:leader="none" w:pos="1130"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33" w:lineRule="exact"/>
        <w:rPr>
          <w:rFonts w:ascii="Arial" w:cs="Arial" w:eastAsia="Arial" w:hAnsi="Arial"/>
          <w:sz w:val="22"/>
          <w:szCs w:val="22"/>
          <w:color w:val="auto"/>
        </w:rPr>
      </w:pPr>
    </w:p>
    <w:p>
      <w:pPr>
        <w:ind w:left="644" w:hanging="644"/>
        <w:spacing w:after="0"/>
        <w:tabs>
          <w:tab w:leader="none" w:pos="644"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60" w:lineRule="exact"/>
        <w:rPr>
          <w:rFonts w:ascii="Arial" w:cs="Arial" w:eastAsia="Arial" w:hAnsi="Arial"/>
          <w:sz w:val="22"/>
          <w:szCs w:val="22"/>
          <w:color w:val="auto"/>
        </w:rPr>
      </w:pPr>
    </w:p>
    <w:p>
      <w:pPr>
        <w:ind w:left="1304" w:hanging="655"/>
        <w:spacing w:after="0"/>
        <w:tabs>
          <w:tab w:leader="none" w:pos="1304"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w:t>
      </w:r>
    </w:p>
    <w:p>
      <w:pPr>
        <w:spacing w:after="0" w:line="56" w:lineRule="exact"/>
        <w:rPr>
          <w:rFonts w:ascii="Arial" w:cs="Arial" w:eastAsia="Arial" w:hAnsi="Arial"/>
          <w:sz w:val="19"/>
          <w:szCs w:val="19"/>
          <w:color w:val="auto"/>
        </w:rPr>
      </w:pPr>
    </w:p>
    <w:p>
      <w:pPr>
        <w:ind w:left="1304"/>
        <w:spacing w:after="0" w:line="285"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ind w:left="1304" w:right="20" w:hanging="655"/>
        <w:spacing w:after="0" w:line="292" w:lineRule="auto"/>
        <w:tabs>
          <w:tab w:leader="none" w:pos="1304"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w:t>
      </w:r>
    </w:p>
    <w:p>
      <w:pPr>
        <w:spacing w:after="0" w:line="17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631" w:right="239" w:bottom="1440" w:gutter="0" w:footer="0" w:header="0"/>
        </w:sectPr>
      </w:pPr>
    </w:p>
    <w:bookmarkStart w:id="4" w:name="page5"/>
    <w:bookmarkEnd w:id="4"/>
    <w:p>
      <w:pPr>
        <w:ind w:left="1960"/>
        <w:spacing w:after="0"/>
        <w:rPr>
          <w:sz w:val="20"/>
          <w:szCs w:val="20"/>
          <w:color w:val="auto"/>
        </w:rPr>
      </w:pPr>
      <w:r>
        <w:rPr>
          <w:rFonts w:ascii="Arial" w:cs="Arial" w:eastAsia="Arial" w:hAnsi="Arial"/>
          <w:sz w:val="22"/>
          <w:szCs w:val="22"/>
          <w:color w:val="auto"/>
        </w:rPr>
        <w:t>then outstanding common stock or then outstanding voting securities, as the case may be; or</w:t>
      </w:r>
    </w:p>
    <w:p>
      <w:pPr>
        <w:spacing w:after="0" w:line="260" w:lineRule="exact"/>
        <w:rPr>
          <w:sz w:val="20"/>
          <w:szCs w:val="20"/>
          <w:color w:val="auto"/>
        </w:rPr>
      </w:pPr>
    </w:p>
    <w:p>
      <w:pPr>
        <w:ind w:left="1960" w:right="160" w:hanging="655"/>
        <w:spacing w:after="0" w:line="263" w:lineRule="auto"/>
        <w:tabs>
          <w:tab w:leader="none" w:pos="19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5" w:lineRule="exact"/>
        <w:rPr>
          <w:rFonts w:ascii="Arial" w:cs="Arial" w:eastAsia="Arial" w:hAnsi="Arial"/>
          <w:sz w:val="22"/>
          <w:szCs w:val="22"/>
          <w:color w:val="auto"/>
        </w:rPr>
      </w:pPr>
    </w:p>
    <w:p>
      <w:pPr>
        <w:ind w:left="1960" w:right="20" w:hanging="655"/>
        <w:spacing w:after="0" w:line="259" w:lineRule="exact"/>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9"/>
          <w:szCs w:val="19"/>
          <w:color w:val="auto"/>
        </w:rPr>
        <w:t>‑</w:t>
      </w:r>
      <w:r>
        <w:rPr>
          <w:rFonts w:ascii="Arial" w:cs="Arial" w:eastAsia="Arial" w:hAnsi="Arial"/>
          <w:sz w:val="19"/>
          <w:szCs w:val="19"/>
          <w:color w:val="auto"/>
        </w:rPr>
        <w:t>12(c); or</w:t>
      </w:r>
    </w:p>
    <w:p>
      <w:pPr>
        <w:spacing w:after="0" w:line="241" w:lineRule="exact"/>
        <w:rPr>
          <w:rFonts w:ascii="Arial" w:cs="Arial" w:eastAsia="Arial" w:hAnsi="Arial"/>
          <w:sz w:val="19"/>
          <w:szCs w:val="19"/>
          <w:color w:val="auto"/>
        </w:rPr>
      </w:pPr>
    </w:p>
    <w:p>
      <w:pPr>
        <w:ind w:left="1960" w:right="40" w:hanging="655"/>
        <w:spacing w:after="0" w:line="302" w:lineRule="auto"/>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3"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76" w:lineRule="exact"/>
        <w:rPr>
          <w:sz w:val="20"/>
          <w:szCs w:val="20"/>
          <w:color w:val="auto"/>
        </w:rPr>
      </w:pPr>
    </w:p>
    <w:p>
      <w:pPr>
        <w:ind w:left="1300" w:right="120" w:hanging="644"/>
        <w:spacing w:after="0" w:line="263"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15" w:lineRule="exact"/>
        <w:rPr>
          <w:rFonts w:ascii="Arial" w:cs="Arial" w:eastAsia="Arial" w:hAnsi="Arial"/>
          <w:sz w:val="22"/>
          <w:szCs w:val="22"/>
          <w:color w:val="auto"/>
        </w:rPr>
      </w:pPr>
    </w:p>
    <w:p>
      <w:pPr>
        <w:ind w:left="1960" w:right="200" w:hanging="655"/>
        <w:spacing w:after="0" w:line="251" w:lineRule="auto"/>
        <w:tabs>
          <w:tab w:leader="none" w:pos="1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spacing w:after="0" w:line="3" w:lineRule="exact"/>
        <w:rPr>
          <w:rFonts w:ascii="Arial" w:cs="Arial" w:eastAsia="Arial" w:hAnsi="Arial"/>
          <w:sz w:val="22"/>
          <w:szCs w:val="22"/>
          <w:color w:val="auto"/>
        </w:rPr>
      </w:pPr>
    </w:p>
    <w:p>
      <w:pPr>
        <w:ind w:left="1960" w:right="180" w:hanging="655"/>
        <w:spacing w:after="0" w:line="302" w:lineRule="auto"/>
        <w:tabs>
          <w:tab w:leader="none" w:pos="1960" w:val="left"/>
        </w:tabs>
        <w:numPr>
          <w:ilvl w:val="1"/>
          <w:numId w:val="6"/>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5" w:name="page6"/>
    <w:bookmarkEnd w:id="5"/>
    <w:p>
      <w:pPr>
        <w:ind w:left="1960" w:hanging="655"/>
        <w:spacing w:after="0" w:line="249" w:lineRule="auto"/>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which is not accompanied by a material reduction in your target bonus opportunity but which diminution occurs within two years after the occurrence of a Change of Control;</w:t>
      </w:r>
    </w:p>
    <w:p>
      <w:pPr>
        <w:ind w:left="1960" w:right="100" w:hanging="655"/>
        <w:spacing w:after="0" w:line="281" w:lineRule="auto"/>
        <w:tabs>
          <w:tab w:leader="none" w:pos="19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 w:lineRule="exact"/>
        <w:rPr>
          <w:rFonts w:ascii="Arial" w:cs="Arial" w:eastAsia="Arial" w:hAnsi="Arial"/>
          <w:sz w:val="19"/>
          <w:szCs w:val="19"/>
          <w:color w:val="auto"/>
        </w:rPr>
      </w:pPr>
    </w:p>
    <w:p>
      <w:pPr>
        <w:ind w:left="1960" w:right="240" w:hanging="655"/>
        <w:spacing w:after="0" w:line="245" w:lineRule="auto"/>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34" w:lineRule="exact"/>
        <w:rPr>
          <w:sz w:val="20"/>
          <w:szCs w:val="20"/>
          <w:color w:val="auto"/>
        </w:rPr>
      </w:pPr>
    </w:p>
    <w:p>
      <w:pPr>
        <w:jc w:val="center"/>
        <w:ind w:right="180"/>
        <w:spacing w:after="0" w:line="288"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firstLine="8"/>
        <w:spacing w:after="0" w:line="288" w:lineRule="auto"/>
        <w:tabs>
          <w:tab w:leader="none" w:pos="378" w:val="left"/>
        </w:tabs>
        <w:numPr>
          <w:ilvl w:val="0"/>
          <w:numId w:val="8"/>
        </w:numPr>
        <w:rPr>
          <w:rFonts w:ascii="Arial" w:cs="Arial" w:eastAsia="Arial" w:hAnsi="Arial"/>
          <w:sz w:val="19"/>
          <w:szCs w:val="19"/>
          <w:color w:val="auto"/>
        </w:rPr>
      </w:pPr>
      <w:r>
        <w:rPr>
          <w:rFonts w:ascii="Arial" w:cs="Arial" w:eastAsia="Arial" w:hAnsi="Arial"/>
          <w:sz w:val="19"/>
          <w:szCs w:val="19"/>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99" w:lineRule="exact"/>
        <w:rPr>
          <w:rFonts w:ascii="Arial" w:cs="Arial" w:eastAsia="Arial" w:hAnsi="Arial"/>
          <w:sz w:val="19"/>
          <w:szCs w:val="19"/>
          <w:color w:val="auto"/>
        </w:rPr>
      </w:pPr>
    </w:p>
    <w:p>
      <w:pPr>
        <w:ind w:left="1300" w:right="80" w:hanging="644"/>
        <w:spacing w:after="0" w:line="261" w:lineRule="auto"/>
        <w:tabs>
          <w:tab w:leader="none" w:pos="1300" w:val="left"/>
        </w:tabs>
        <w:numPr>
          <w:ilvl w:val="1"/>
          <w:numId w:val="8"/>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220" w:lineRule="exact"/>
        <w:rPr>
          <w:rFonts w:ascii="Arial" w:cs="Arial" w:eastAsia="Arial" w:hAnsi="Arial"/>
          <w:sz w:val="21"/>
          <w:szCs w:val="21"/>
          <w:color w:val="auto"/>
        </w:rPr>
      </w:pPr>
    </w:p>
    <w:p>
      <w:pPr>
        <w:ind w:left="1300" w:right="640" w:hanging="644"/>
        <w:spacing w:after="0" w:line="271" w:lineRule="auto"/>
        <w:tabs>
          <w:tab w:leader="none" w:pos="1300" w:val="left"/>
        </w:tabs>
        <w:numPr>
          <w:ilvl w:val="1"/>
          <w:numId w:val="8"/>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21"/>
          <w:szCs w:val="21"/>
          <w:color w:val="auto"/>
        </w:rPr>
      </w:pPr>
    </w:p>
    <w:p>
      <w:pPr>
        <w:ind w:left="1300" w:hanging="644"/>
        <w:spacing w:after="0"/>
        <w:tabs>
          <w:tab w:leader="none" w:pos="13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6" w:name="page7"/>
    <w:bookmarkEnd w:id="6"/>
    <w:p>
      <w:pPr>
        <w:ind w:left="1952" w:hanging="655"/>
        <w:spacing w:after="0" w:line="302" w:lineRule="auto"/>
        <w:tabs>
          <w:tab w:leader="none" w:pos="1952" w:val="left"/>
        </w:tabs>
        <w:numPr>
          <w:ilvl w:val="2"/>
          <w:numId w:val="9"/>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83" w:lineRule="exact"/>
        <w:rPr>
          <w:rFonts w:ascii="Arial" w:cs="Arial" w:eastAsia="Arial" w:hAnsi="Arial"/>
          <w:sz w:val="19"/>
          <w:szCs w:val="19"/>
          <w:color w:val="auto"/>
        </w:rPr>
      </w:pPr>
    </w:p>
    <w:p>
      <w:pPr>
        <w:ind w:left="1952" w:right="100" w:hanging="655"/>
        <w:spacing w:after="0" w:line="263" w:lineRule="auto"/>
        <w:tabs>
          <w:tab w:leader="none" w:pos="1952" w:val="left"/>
        </w:tabs>
        <w:numPr>
          <w:ilvl w:val="2"/>
          <w:numId w:val="9"/>
        </w:numPr>
        <w:rPr>
          <w:rFonts w:ascii="Arial" w:cs="Arial" w:eastAsia="Arial" w:hAnsi="Arial"/>
          <w:sz w:val="21"/>
          <w:szCs w:val="21"/>
          <w:color w:val="auto"/>
        </w:rPr>
      </w:pPr>
      <w:r>
        <w:rPr>
          <w:rFonts w:ascii="Arial" w:cs="Arial" w:eastAsia="Arial" w:hAnsi="Arial"/>
          <w:sz w:val="21"/>
          <w:szCs w:val="21"/>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6" w:lineRule="exact"/>
        <w:rPr>
          <w:rFonts w:ascii="Arial" w:cs="Arial" w:eastAsia="Arial" w:hAnsi="Arial"/>
          <w:sz w:val="21"/>
          <w:szCs w:val="21"/>
          <w:color w:val="auto"/>
        </w:rPr>
      </w:pPr>
    </w:p>
    <w:p>
      <w:pPr>
        <w:jc w:val="both"/>
        <w:ind w:left="1952" w:right="40" w:hanging="655"/>
        <w:spacing w:after="0" w:line="253" w:lineRule="auto"/>
        <w:tabs>
          <w:tab w:leader="none" w:pos="1952" w:val="left"/>
        </w:tabs>
        <w:numPr>
          <w:ilvl w:val="2"/>
          <w:numId w:val="9"/>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26" w:lineRule="exact"/>
        <w:rPr>
          <w:rFonts w:ascii="Arial" w:cs="Arial" w:eastAsia="Arial" w:hAnsi="Arial"/>
          <w:sz w:val="22"/>
          <w:szCs w:val="22"/>
          <w:color w:val="auto"/>
        </w:rPr>
      </w:pPr>
    </w:p>
    <w:p>
      <w:pPr>
        <w:ind w:left="1292" w:hanging="644"/>
        <w:spacing w:after="0" w:line="248"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will be a period beginning on the date of this letter agreement indicated above and ending on the first to occur of the following: (a) the date which is the two-year anniversary of the occurrence of a Change of Control; (b) the date which is the three year anniversary of the date of this letter agreement indicated above if no Change of Control occurs between the date of this letter agreement indicated above and such three year anniversary; or (c) the Date of Termination.</w:t>
      </w:r>
    </w:p>
    <w:p>
      <w:pPr>
        <w:spacing w:after="0" w:line="232" w:lineRule="exact"/>
        <w:rPr>
          <w:rFonts w:ascii="Arial" w:cs="Arial" w:eastAsia="Arial" w:hAnsi="Arial"/>
          <w:sz w:val="22"/>
          <w:szCs w:val="22"/>
          <w:color w:val="auto"/>
        </w:rPr>
      </w:pPr>
    </w:p>
    <w:p>
      <w:pPr>
        <w:ind w:left="652" w:hanging="652"/>
        <w:spacing w:after="0"/>
        <w:tabs>
          <w:tab w:leader="none" w:pos="6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292" w:right="20" w:hanging="644"/>
        <w:spacing w:after="0" w:line="294" w:lineRule="auto"/>
        <w:tabs>
          <w:tab w:leader="none" w:pos="129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Termination by the Corporation for Cause or by You Other Than for Good Reason</w:t>
      </w:r>
      <w:r>
        <w:rPr>
          <w:rFonts w:ascii="Arial" w:cs="Arial" w:eastAsia="Arial" w:hAnsi="Arial"/>
          <w:sz w:val="19"/>
          <w:szCs w:val="19"/>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90" w:lineRule="exact"/>
        <w:rPr>
          <w:rFonts w:ascii="Arial" w:cs="Arial" w:eastAsia="Arial" w:hAnsi="Arial"/>
          <w:sz w:val="19"/>
          <w:szCs w:val="19"/>
          <w:color w:val="auto"/>
        </w:rPr>
      </w:pPr>
    </w:p>
    <w:p>
      <w:pPr>
        <w:ind w:left="1292" w:right="540" w:hanging="644"/>
        <w:spacing w:after="0" w:line="291" w:lineRule="auto"/>
        <w:tabs>
          <w:tab w:leader="none" w:pos="129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ind w:left="1552" w:hanging="255"/>
        <w:spacing w:after="0"/>
        <w:tabs>
          <w:tab w:leader="none" w:pos="1552" w:val="left"/>
        </w:tabs>
        <w:numPr>
          <w:ilvl w:val="2"/>
          <w:numId w:val="11"/>
        </w:numPr>
        <w:rPr>
          <w:rFonts w:ascii="Arial" w:cs="Arial" w:eastAsia="Arial" w:hAnsi="Arial"/>
          <w:sz w:val="22"/>
          <w:szCs w:val="22"/>
          <w:color w:val="auto"/>
        </w:rPr>
      </w:pPr>
      <w:r>
        <w:rPr>
          <w:rFonts w:ascii="Arial" w:cs="Arial" w:eastAsia="Arial" w:hAnsi="Arial"/>
          <w:sz w:val="22"/>
          <w:szCs w:val="22"/>
          <w:color w:val="auto"/>
        </w:rPr>
        <w:t>your unpaid bonus, if any, attributable to any complete fiscal year of the Consolidated</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52"/>
          </w:cols>
          <w:pgMar w:left="248" w:top="888" w:right="299" w:bottom="1440" w:gutter="0" w:footer="0" w:header="0"/>
        </w:sectPr>
      </w:pPr>
    </w:p>
    <w:bookmarkStart w:id="7" w:name="page8"/>
    <w:bookmarkEnd w:id="7"/>
    <w:p>
      <w:pPr>
        <w:ind w:left="644"/>
        <w:spacing w:after="0" w:line="289" w:lineRule="auto"/>
        <w:rPr>
          <w:sz w:val="20"/>
          <w:szCs w:val="20"/>
          <w:color w:val="auto"/>
        </w:rPr>
      </w:pPr>
      <w:r>
        <w:rPr>
          <w:rFonts w:ascii="Arial" w:cs="Arial" w:eastAsia="Arial" w:hAnsi="Arial"/>
          <w:sz w:val="19"/>
          <w:szCs w:val="19"/>
          <w:color w:val="auto"/>
        </w:rPr>
        <w:t>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98" w:lineRule="exact"/>
        <w:rPr>
          <w:sz w:val="20"/>
          <w:szCs w:val="20"/>
          <w:color w:val="auto"/>
        </w:rPr>
      </w:pPr>
    </w:p>
    <w:p>
      <w:pPr>
        <w:ind w:left="644" w:right="180" w:hanging="644"/>
        <w:spacing w:after="0" w:line="312" w:lineRule="auto"/>
        <w:tabs>
          <w:tab w:leader="none" w:pos="644"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74" w:lineRule="exact"/>
        <w:rPr>
          <w:rFonts w:ascii="Arial" w:cs="Arial" w:eastAsia="Arial" w:hAnsi="Arial"/>
          <w:sz w:val="19"/>
          <w:szCs w:val="19"/>
          <w:color w:val="auto"/>
        </w:rPr>
      </w:pPr>
    </w:p>
    <w:p>
      <w:pPr>
        <w:ind w:left="1944" w:right="300" w:hanging="647"/>
        <w:spacing w:after="0" w:line="263" w:lineRule="auto"/>
        <w:tabs>
          <w:tab w:leader="none" w:pos="1944"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spacing w:after="0" w:line="174" w:lineRule="exact"/>
        <w:rPr>
          <w:rFonts w:ascii="Arial" w:cs="Arial" w:eastAsia="Arial" w:hAnsi="Arial"/>
          <w:sz w:val="22"/>
          <w:szCs w:val="22"/>
          <w:color w:val="auto"/>
        </w:rPr>
      </w:pPr>
    </w:p>
    <w:p>
      <w:pPr>
        <w:ind w:left="1944" w:right="40" w:hanging="647"/>
        <w:spacing w:after="0" w:line="294" w:lineRule="auto"/>
        <w:tabs>
          <w:tab w:leader="none" w:pos="1944"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49" w:lineRule="exact"/>
        <w:rPr>
          <w:rFonts w:ascii="Arial" w:cs="Arial" w:eastAsia="Arial" w:hAnsi="Arial"/>
          <w:sz w:val="19"/>
          <w:szCs w:val="19"/>
          <w:color w:val="auto"/>
        </w:rPr>
      </w:pPr>
    </w:p>
    <w:p>
      <w:pPr>
        <w:ind w:left="1944" w:right="140" w:hanging="647"/>
        <w:spacing w:after="0" w:line="302" w:lineRule="auto"/>
        <w:tabs>
          <w:tab w:leader="none" w:pos="1944"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times the amount of your base salary as then in effect;</w:t>
      </w:r>
    </w:p>
    <w:p>
      <w:pPr>
        <w:spacing w:after="0" w:line="183" w:lineRule="exact"/>
        <w:rPr>
          <w:rFonts w:ascii="Arial" w:cs="Arial" w:eastAsia="Arial" w:hAnsi="Arial"/>
          <w:sz w:val="19"/>
          <w:szCs w:val="19"/>
          <w:color w:val="auto"/>
        </w:rPr>
      </w:pPr>
    </w:p>
    <w:p>
      <w:pPr>
        <w:ind w:left="1944" w:right="420" w:hanging="647"/>
        <w:spacing w:after="0" w:line="265" w:lineRule="exact"/>
        <w:tabs>
          <w:tab w:leader="none" w:pos="1944" w:val="left"/>
        </w:tabs>
        <w:numPr>
          <w:ilvl w:val="1"/>
          <w:numId w:val="12"/>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w:t>
      </w:r>
    </w:p>
    <w:p>
      <w:pPr>
        <w:spacing w:after="0" w:line="22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631" w:right="239" w:bottom="1440" w:gutter="0" w:footer="0" w:header="0"/>
        </w:sectPr>
      </w:pPr>
    </w:p>
    <w:bookmarkStart w:id="8" w:name="page9"/>
    <w:bookmarkEnd w:id="8"/>
    <w:p>
      <w:pPr>
        <w:ind w:left="1400" w:right="100"/>
        <w:spacing w:after="0" w:line="259" w:lineRule="exact"/>
        <w:rPr>
          <w:sz w:val="20"/>
          <w:szCs w:val="20"/>
          <w:color w:val="auto"/>
        </w:rPr>
      </w:pPr>
      <w:r>
        <w:rPr>
          <w:rFonts w:ascii="Arial" w:cs="Arial" w:eastAsia="Arial" w:hAnsi="Arial"/>
          <w:sz w:val="19"/>
          <w:szCs w:val="19"/>
          <w:color w:val="auto"/>
        </w:rPr>
        <w:t>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9"/>
          <w:szCs w:val="19"/>
          <w:color w:val="auto"/>
        </w:rPr>
        <w:t>‑</w:t>
      </w:r>
      <w:r>
        <w:rPr>
          <w:rFonts w:ascii="Arial" w:cs="Arial" w:eastAsia="Arial" w:hAnsi="Arial"/>
          <w:sz w:val="19"/>
          <w:szCs w:val="19"/>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43" w:lineRule="exact"/>
        <w:rPr>
          <w:sz w:val="20"/>
          <w:szCs w:val="20"/>
          <w:color w:val="auto"/>
        </w:rPr>
      </w:pPr>
    </w:p>
    <w:p>
      <w:pPr>
        <w:ind w:left="1400"/>
        <w:spacing w:after="0" w:line="285" w:lineRule="auto"/>
        <w:rPr>
          <w:sz w:val="20"/>
          <w:szCs w:val="20"/>
          <w:color w:val="auto"/>
        </w:rPr>
      </w:pPr>
      <w:r>
        <w:rPr>
          <w:rFonts w:ascii="Arial" w:cs="Arial" w:eastAsia="Arial" w:hAnsi="Arial"/>
          <w:sz w:val="19"/>
          <w:szCs w:val="19"/>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00"/>
          </w:cols>
          <w:pgMar w:left="1440" w:top="631" w:right="259" w:bottom="1440" w:gutter="0" w:footer="0" w:header="0"/>
        </w:sectPr>
      </w:pPr>
    </w:p>
    <w:bookmarkStart w:id="9" w:name="page10"/>
    <w:bookmarkEnd w:id="9"/>
    <w:p>
      <w:pPr>
        <w:ind w:left="1944" w:right="80" w:hanging="647"/>
        <w:spacing w:after="0" w:line="290" w:lineRule="auto"/>
        <w:tabs>
          <w:tab w:leader="none" w:pos="194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97" w:lineRule="exact"/>
        <w:rPr>
          <w:rFonts w:ascii="Arial" w:cs="Arial" w:eastAsia="Arial" w:hAnsi="Arial"/>
          <w:sz w:val="19"/>
          <w:szCs w:val="19"/>
          <w:color w:val="auto"/>
        </w:rPr>
      </w:pPr>
    </w:p>
    <w:p>
      <w:pPr>
        <w:ind w:left="644" w:right="120" w:hanging="644"/>
        <w:spacing w:after="0" w:line="250" w:lineRule="auto"/>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28" w:lineRule="exact"/>
        <w:rPr>
          <w:rFonts w:ascii="Arial" w:cs="Arial" w:eastAsia="Arial" w:hAnsi="Arial"/>
          <w:sz w:val="22"/>
          <w:szCs w:val="22"/>
          <w:color w:val="auto"/>
        </w:rPr>
      </w:pPr>
    </w:p>
    <w:p>
      <w:pPr>
        <w:ind w:left="1944" w:right="300" w:hanging="647"/>
        <w:spacing w:after="0" w:line="263" w:lineRule="auto"/>
        <w:tabs>
          <w:tab w:leader="none" w:pos="1944"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spacing w:after="0" w:line="175" w:lineRule="exact"/>
        <w:rPr>
          <w:sz w:val="20"/>
          <w:szCs w:val="20"/>
          <w:color w:val="auto"/>
        </w:rPr>
      </w:pPr>
    </w:p>
    <w:p>
      <w:pPr>
        <w:ind w:left="1944" w:hanging="647"/>
        <w:spacing w:after="0" w:line="302" w:lineRule="auto"/>
        <w:tabs>
          <w:tab w:leader="none" w:pos="1944"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42" w:lineRule="exact"/>
        <w:rPr>
          <w:rFonts w:ascii="Arial" w:cs="Arial" w:eastAsia="Arial" w:hAnsi="Arial"/>
          <w:sz w:val="19"/>
          <w:szCs w:val="19"/>
          <w:color w:val="auto"/>
        </w:rPr>
      </w:pPr>
    </w:p>
    <w:p>
      <w:pPr>
        <w:ind w:left="1944" w:right="120" w:hanging="647"/>
        <w:spacing w:after="0" w:line="271" w:lineRule="auto"/>
        <w:tabs>
          <w:tab w:leader="none" w:pos="1944"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w:t>
      </w:r>
    </w:p>
    <w:p>
      <w:pPr>
        <w:spacing w:after="0" w:line="167" w:lineRule="exact"/>
        <w:rPr>
          <w:rFonts w:ascii="Arial" w:cs="Arial" w:eastAsia="Arial" w:hAnsi="Arial"/>
          <w:sz w:val="21"/>
          <w:szCs w:val="21"/>
          <w:color w:val="auto"/>
        </w:rPr>
      </w:pPr>
    </w:p>
    <w:p>
      <w:pPr>
        <w:ind w:left="1944" w:right="180" w:hanging="647"/>
        <w:spacing w:after="0" w:line="297" w:lineRule="auto"/>
        <w:tabs>
          <w:tab w:leader="none" w:pos="1944"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w:t>
      </w:r>
    </w:p>
    <w:p>
      <w:pPr>
        <w:spacing w:after="0" w:line="390"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631" w:right="239" w:bottom="1440" w:gutter="0" w:footer="0" w:header="0"/>
        </w:sectPr>
      </w:pPr>
    </w:p>
    <w:bookmarkStart w:id="10" w:name="page11"/>
    <w:bookmarkEnd w:id="10"/>
    <w:p>
      <w:pPr>
        <w:ind w:left="1400" w:right="20"/>
        <w:spacing w:after="0" w:line="247" w:lineRule="auto"/>
        <w:rPr>
          <w:sz w:val="20"/>
          <w:szCs w:val="20"/>
          <w:color w:val="auto"/>
        </w:rPr>
      </w:pPr>
      <w:r>
        <w:rPr>
          <w:rFonts w:ascii="Arial" w:cs="Arial" w:eastAsia="Arial" w:hAnsi="Arial"/>
          <w:sz w:val="22"/>
          <w:szCs w:val="22"/>
          <w:color w:val="auto"/>
        </w:rPr>
        <w:t>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94" w:lineRule="exact"/>
        <w:rPr>
          <w:sz w:val="20"/>
          <w:szCs w:val="20"/>
          <w:color w:val="auto"/>
        </w:rPr>
      </w:pPr>
    </w:p>
    <w:p>
      <w:pPr>
        <w:ind w:left="1400"/>
        <w:spacing w:after="0" w:line="285" w:lineRule="auto"/>
        <w:rPr>
          <w:sz w:val="20"/>
          <w:szCs w:val="20"/>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18" w:lineRule="exact"/>
        <w:rPr>
          <w:sz w:val="20"/>
          <w:szCs w:val="20"/>
          <w:color w:val="auto"/>
        </w:rPr>
      </w:pPr>
    </w:p>
    <w:p>
      <w:pPr>
        <w:jc w:val="both"/>
        <w:ind w:left="1400" w:right="780" w:hanging="647"/>
        <w:spacing w:after="0" w:line="343"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w:t>
      </w:r>
    </w:p>
    <w:p>
      <w:pPr>
        <w:spacing w:after="0" w:line="34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60"/>
          </w:cols>
          <w:pgMar w:left="1440" w:top="631" w:right="299" w:bottom="1440" w:gutter="0" w:footer="0" w:header="0"/>
        </w:sectPr>
      </w:pPr>
    </w:p>
    <w:bookmarkStart w:id="11" w:name="page12"/>
    <w:bookmarkEnd w:id="11"/>
    <w:p>
      <w:pPr>
        <w:ind w:left="1944"/>
        <w:spacing w:after="0" w:line="294" w:lineRule="auto"/>
        <w:rPr>
          <w:sz w:val="20"/>
          <w:szCs w:val="20"/>
          <w:color w:val="auto"/>
        </w:rPr>
      </w:pPr>
      <w:r>
        <w:rPr>
          <w:rFonts w:ascii="Arial" w:cs="Arial" w:eastAsia="Arial" w:hAnsi="Arial"/>
          <w:sz w:val="19"/>
          <w:szCs w:val="19"/>
          <w:color w:val="auto"/>
        </w:rPr>
        <w:t>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50" w:lineRule="exact"/>
        <w:rPr>
          <w:sz w:val="20"/>
          <w:szCs w:val="20"/>
          <w:color w:val="auto"/>
        </w:rPr>
      </w:pPr>
    </w:p>
    <w:p>
      <w:pPr>
        <w:ind w:left="644" w:right="40" w:hanging="644"/>
        <w:spacing w:after="0" w:line="285" w:lineRule="auto"/>
        <w:tabs>
          <w:tab w:leader="none" w:pos="64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Limitation on Benefits</w:t>
      </w:r>
      <w:r>
        <w:rPr>
          <w:rFonts w:ascii="Arial" w:cs="Arial" w:eastAsia="Arial" w:hAnsi="Arial"/>
          <w:sz w:val="19"/>
          <w:szCs w:val="19"/>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644" w:right="20" w:hanging="644"/>
        <w:spacing w:after="0" w:line="261" w:lineRule="auto"/>
        <w:tabs>
          <w:tab w:leader="none" w:pos="644"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 The severance benefit provided for in Subsection 2(c)(iii) or 2(d)(iii) will be paid in one lump sum on the thirtieth (30th) day after the Date of Termination. While the parties acknowledge that the payments in the</w:t>
      </w:r>
    </w:p>
    <w:p>
      <w:pPr>
        <w:spacing w:after="0" w:line="20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44"/>
          </w:cols>
          <w:pgMar w:left="896" w:top="631" w:right="259" w:bottom="1440" w:gutter="0" w:footer="0" w:header="0"/>
        </w:sectPr>
      </w:pPr>
    </w:p>
    <w:bookmarkStart w:id="12" w:name="page13"/>
    <w:bookmarkEnd w:id="12"/>
    <w:p>
      <w:pPr>
        <w:ind w:left="1300"/>
        <w:spacing w:after="0" w:line="288" w:lineRule="auto"/>
        <w:rPr>
          <w:sz w:val="20"/>
          <w:szCs w:val="20"/>
          <w:color w:val="auto"/>
        </w:rPr>
      </w:pPr>
      <w:r>
        <w:rPr>
          <w:rFonts w:ascii="Arial" w:cs="Arial" w:eastAsia="Arial" w:hAnsi="Arial"/>
          <w:sz w:val="19"/>
          <w:szCs w:val="19"/>
          <w:color w:val="auto"/>
        </w:rPr>
        <w:t xml:space="preserve">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if not so reported, as reported in such other similar source(s) as the Corporation shall select).</w:t>
      </w:r>
    </w:p>
    <w:p>
      <w:pPr>
        <w:spacing w:after="0" w:line="195" w:lineRule="exact"/>
        <w:rPr>
          <w:sz w:val="20"/>
          <w:szCs w:val="20"/>
          <w:color w:val="auto"/>
        </w:rPr>
      </w:pPr>
    </w:p>
    <w:p>
      <w:pPr>
        <w:ind w:left="1300" w:right="40" w:hanging="644"/>
        <w:spacing w:after="0" w:line="251" w:lineRule="auto"/>
        <w:tabs>
          <w:tab w:leader="none" w:pos="1300"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after the Date of Termination.</w:t>
      </w:r>
    </w:p>
    <w:p>
      <w:pPr>
        <w:spacing w:after="0" w:line="233" w:lineRule="exact"/>
        <w:rPr>
          <w:rFonts w:ascii="Arial" w:cs="Arial" w:eastAsia="Arial" w:hAnsi="Arial"/>
          <w:sz w:val="21"/>
          <w:szCs w:val="21"/>
          <w:color w:val="auto"/>
        </w:rPr>
      </w:pPr>
    </w:p>
    <w:p>
      <w:pPr>
        <w:ind w:left="1300" w:right="40" w:hanging="644"/>
        <w:spacing w:after="0" w:line="248" w:lineRule="auto"/>
        <w:tabs>
          <w:tab w:leader="none" w:pos="1300"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32" w:lineRule="exact"/>
        <w:rPr>
          <w:rFonts w:ascii="Arial" w:cs="Arial" w:eastAsia="Arial" w:hAnsi="Arial"/>
          <w:sz w:val="22"/>
          <w:szCs w:val="22"/>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3" w:name="page14"/>
    <w:bookmarkEnd w:id="13"/>
    <w:p>
      <w:pPr>
        <w:ind w:left="644" w:hanging="644"/>
        <w:spacing w:after="0" w:line="286" w:lineRule="auto"/>
        <w:tabs>
          <w:tab w:leader="none" w:pos="644" w:val="left"/>
        </w:tabs>
        <w:numPr>
          <w:ilvl w:val="0"/>
          <w:numId w:val="20"/>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44" w:hanging="644"/>
        <w:spacing w:after="0" w:line="286" w:lineRule="auto"/>
        <w:tabs>
          <w:tab w:leader="none" w:pos="644" w:val="left"/>
        </w:tabs>
        <w:numPr>
          <w:ilvl w:val="0"/>
          <w:numId w:val="20"/>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200" w:lineRule="exact"/>
        <w:rPr>
          <w:sz w:val="20"/>
          <w:szCs w:val="20"/>
          <w:color w:val="auto"/>
        </w:rPr>
      </w:pPr>
    </w:p>
    <w:p>
      <w:pPr>
        <w:spacing w:after="0" w:line="20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44"/>
          </w:cols>
          <w:pgMar w:left="896" w:top="631" w:right="259" w:bottom="1440" w:gutter="0" w:footer="0" w:header="0"/>
        </w:sectPr>
      </w:pPr>
    </w:p>
    <w:bookmarkStart w:id="14" w:name="page15"/>
    <w:bookmarkEnd w:id="14"/>
    <w:p>
      <w:pPr>
        <w:ind w:left="1300" w:right="40" w:hanging="644"/>
        <w:spacing w:after="0" w:line="248" w:lineRule="auto"/>
        <w:tabs>
          <w:tab w:leader="none" w:pos="13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92" w:lineRule="exact"/>
        <w:rPr>
          <w:rFonts w:ascii="Arial" w:cs="Arial" w:eastAsia="Arial" w:hAnsi="Arial"/>
          <w:sz w:val="22"/>
          <w:szCs w:val="22"/>
          <w:color w:val="auto"/>
        </w:rPr>
      </w:pPr>
    </w:p>
    <w:p>
      <w:pPr>
        <w:ind w:left="660" w:right="100" w:hanging="652"/>
        <w:spacing w:after="0" w:line="258" w:lineRule="auto"/>
        <w:tabs>
          <w:tab w:leader="none" w:pos="66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one-year period preceding the Date of Termination.</w:t>
      </w:r>
    </w:p>
    <w:p>
      <w:pPr>
        <w:spacing w:after="0" w:line="226" w:lineRule="exact"/>
        <w:rPr>
          <w:rFonts w:ascii="Arial" w:cs="Arial" w:eastAsia="Arial" w:hAnsi="Arial"/>
          <w:sz w:val="21"/>
          <w:szCs w:val="21"/>
          <w:color w:val="auto"/>
        </w:rPr>
      </w:pPr>
    </w:p>
    <w:p>
      <w:pPr>
        <w:ind w:left="660" w:right="120" w:hanging="652"/>
        <w:spacing w:after="0" w:line="250"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28" w:lineRule="exact"/>
        <w:rPr>
          <w:rFonts w:ascii="Arial" w:cs="Arial" w:eastAsia="Arial" w:hAnsi="Arial"/>
          <w:sz w:val="22"/>
          <w:szCs w:val="22"/>
          <w:color w:val="auto"/>
        </w:rPr>
      </w:pPr>
    </w:p>
    <w:p>
      <w:pPr>
        <w:ind w:left="660" w:right="220" w:hanging="652"/>
        <w:spacing w:after="0" w:line="26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215" w:lineRule="exact"/>
        <w:rPr>
          <w:rFonts w:ascii="Arial" w:cs="Arial" w:eastAsia="Arial" w:hAnsi="Arial"/>
          <w:sz w:val="22"/>
          <w:szCs w:val="22"/>
          <w:color w:val="auto"/>
        </w:rPr>
      </w:pPr>
    </w:p>
    <w:p>
      <w:pPr>
        <w:ind w:left="1300" w:right="60" w:hanging="644"/>
        <w:spacing w:after="0" w:line="260" w:lineRule="exact"/>
        <w:tabs>
          <w:tab w:leader="none" w:pos="13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9"/>
          <w:szCs w:val="19"/>
          <w:color w:val="auto"/>
        </w:rPr>
        <w:t>‑</w:t>
      </w:r>
      <w:r>
        <w:rPr>
          <w:rFonts w:ascii="Arial" w:cs="Arial" w:eastAsia="Arial" w:hAnsi="Arial"/>
          <w:sz w:val="19"/>
          <w:szCs w:val="19"/>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9"/>
          <w:szCs w:val="19"/>
          <w:color w:val="auto"/>
        </w:rPr>
        <w:t>‑</w:t>
      </w:r>
      <w:r>
        <w:rPr>
          <w:rFonts w:ascii="Arial" w:cs="Arial" w:eastAsia="Arial" w:hAnsi="Arial"/>
          <w:sz w:val="19"/>
          <w:szCs w:val="19"/>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39" w:lineRule="exact"/>
        <w:rPr>
          <w:rFonts w:ascii="Arial" w:cs="Arial" w:eastAsia="Arial" w:hAnsi="Arial"/>
          <w:sz w:val="19"/>
          <w:szCs w:val="19"/>
          <w:color w:val="auto"/>
        </w:rPr>
      </w:pPr>
    </w:p>
    <w:p>
      <w:pPr>
        <w:ind w:left="1300" w:hanging="644"/>
        <w:spacing w:after="0" w:line="25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You will not, directly or indirectly, provide services or assistance of a nature similar to the services you provided to the Consolidated ManpowerGroup during the two-year period immediately preceding the Date of Termination to any entity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5" w:name="page16"/>
    <w:bookmarkEnd w:id="15"/>
    <w:p>
      <w:pPr>
        <w:ind w:left="1292"/>
        <w:spacing w:after="0" w:line="262" w:lineRule="exact"/>
        <w:rPr>
          <w:sz w:val="20"/>
          <w:szCs w:val="20"/>
          <w:color w:val="auto"/>
        </w:rPr>
      </w:pPr>
      <w:r>
        <w:rPr>
          <w:rFonts w:ascii="Arial" w:cs="Arial" w:eastAsia="Arial" w:hAnsi="Arial"/>
          <w:sz w:val="19"/>
          <w:szCs w:val="19"/>
          <w:color w:val="auto"/>
        </w:rPr>
        <w:t>(i)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9"/>
          <w:szCs w:val="19"/>
          <w:color w:val="auto"/>
        </w:rPr>
        <w:t>‑</w:t>
      </w:r>
      <w:r>
        <w:rPr>
          <w:rFonts w:ascii="Arial" w:cs="Arial" w:eastAsia="Arial" w:hAnsi="Arial"/>
          <w:sz w:val="19"/>
          <w:szCs w:val="19"/>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00" w:lineRule="exact"/>
        <w:rPr>
          <w:sz w:val="20"/>
          <w:szCs w:val="20"/>
          <w:color w:val="auto"/>
        </w:rPr>
      </w:pPr>
    </w:p>
    <w:p>
      <w:pPr>
        <w:spacing w:after="0" w:line="261" w:lineRule="exact"/>
        <w:rPr>
          <w:sz w:val="20"/>
          <w:szCs w:val="20"/>
          <w:color w:val="auto"/>
        </w:rPr>
      </w:pPr>
    </w:p>
    <w:p>
      <w:pPr>
        <w:ind w:left="372" w:hanging="372"/>
        <w:spacing w:after="0"/>
        <w:tabs>
          <w:tab w:leader="none" w:pos="37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40" w:hanging="644"/>
        <w:spacing w:after="0" w:line="289" w:lineRule="auto"/>
        <w:tabs>
          <w:tab w:leader="none" w:pos="1292"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57" w:lineRule="exact"/>
        <w:rPr>
          <w:rFonts w:ascii="Arial" w:cs="Arial" w:eastAsia="Arial" w:hAnsi="Arial"/>
          <w:sz w:val="19"/>
          <w:szCs w:val="19"/>
          <w:color w:val="auto"/>
        </w:rPr>
      </w:pPr>
    </w:p>
    <w:p>
      <w:pPr>
        <w:jc w:val="both"/>
        <w:ind w:left="1292" w:right="300" w:hanging="644"/>
        <w:spacing w:after="0" w:line="271" w:lineRule="auto"/>
        <w:tabs>
          <w:tab w:leader="none" w:pos="1292"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Nonapplication</w:t>
      </w:r>
      <w:r>
        <w:rPr>
          <w:rFonts w:ascii="Arial" w:cs="Arial" w:eastAsia="Arial" w:hAnsi="Arial"/>
          <w:sz w:val="21"/>
          <w:szCs w:val="21"/>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652" w:hanging="652"/>
        <w:spacing w:after="0"/>
        <w:tabs>
          <w:tab w:leader="none" w:pos="65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Unemployment Compensation</w:t>
      </w:r>
      <w:r>
        <w:rPr>
          <w:rFonts w:ascii="Arial" w:cs="Arial" w:eastAsia="Arial" w:hAnsi="Arial"/>
          <w:sz w:val="22"/>
          <w:szCs w:val="22"/>
          <w:color w:val="auto"/>
        </w:rPr>
        <w:t>. To the extent allowed by applicable law, the severance benefits provided for in</w:t>
      </w:r>
    </w:p>
    <w:p>
      <w:pPr>
        <w:spacing w:after="0" w:line="21" w:lineRule="exact"/>
        <w:rPr>
          <w:rFonts w:ascii="Arial" w:cs="Arial" w:eastAsia="Arial" w:hAnsi="Arial"/>
          <w:sz w:val="22"/>
          <w:szCs w:val="22"/>
          <w:color w:val="auto"/>
        </w:rPr>
      </w:pPr>
    </w:p>
    <w:p>
      <w:pPr>
        <w:ind w:left="652" w:right="60"/>
        <w:spacing w:after="0" w:line="257" w:lineRule="exact"/>
        <w:rPr>
          <w:rFonts w:ascii="Arial" w:cs="Arial" w:eastAsia="Arial" w:hAnsi="Arial"/>
          <w:sz w:val="22"/>
          <w:szCs w:val="22"/>
          <w:color w:val="auto"/>
        </w:rPr>
      </w:pPr>
      <w:r>
        <w:rPr>
          <w:rFonts w:ascii="Arial" w:cs="Arial" w:eastAsia="Arial" w:hAnsi="Arial"/>
          <w:sz w:val="22"/>
          <w:szCs w:val="22"/>
          <w:color w:val="auto"/>
        </w:rPr>
        <w:t>Subsection 2(c)(iii) will be assigned for unemployment compensation benefit purposes to the one</w:t>
      </w:r>
      <w:r>
        <w:rPr>
          <w:rFonts w:ascii="MS PGothic" w:cs="MS PGothic" w:eastAsia="MS PGothic" w:hAnsi="MS PGothic"/>
          <w:sz w:val="22"/>
          <w:szCs w:val="22"/>
          <w:color w:val="auto"/>
        </w:rPr>
        <w:t>‑</w:t>
      </w:r>
      <w:r>
        <w:rPr>
          <w:rFonts w:ascii="Arial" w:cs="Arial" w:eastAsia="Arial" w:hAnsi="Arial"/>
          <w:sz w:val="22"/>
          <w:szCs w:val="22"/>
          <w:color w:val="auto"/>
        </w:rPr>
        <w:t>year period following the Date of Termination, and the severance benefits provided for in Subsection 2(d)(iii) will be assigned for unemployment compensation purposes to the three</w:t>
      </w:r>
      <w:r>
        <w:rPr>
          <w:rFonts w:ascii="MS PGothic" w:cs="MS PGothic" w:eastAsia="MS PGothic" w:hAnsi="MS PGothic"/>
          <w:sz w:val="22"/>
          <w:szCs w:val="22"/>
          <w:color w:val="auto"/>
        </w:rPr>
        <w:t>‑</w:t>
      </w:r>
      <w:r>
        <w:rPr>
          <w:rFonts w:ascii="Arial" w:cs="Arial" w:eastAsia="Arial" w:hAnsi="Arial"/>
          <w:sz w:val="22"/>
          <w:szCs w:val="22"/>
          <w:color w:val="auto"/>
        </w:rPr>
        <w:t>year period following the Date of</w:t>
      </w: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92"/>
          </w:cols>
          <w:pgMar w:left="248" w:top="631" w:right="259" w:bottom="1440" w:gutter="0" w:footer="0" w:header="0"/>
        </w:sectPr>
      </w:pPr>
    </w:p>
    <w:bookmarkStart w:id="16" w:name="page17"/>
    <w:bookmarkEnd w:id="16"/>
    <w:p>
      <w:pPr>
        <w:ind w:left="652" w:right="20"/>
        <w:spacing w:after="0" w:line="263" w:lineRule="auto"/>
        <w:rPr>
          <w:sz w:val="20"/>
          <w:szCs w:val="20"/>
          <w:color w:val="auto"/>
        </w:rPr>
      </w:pPr>
      <w:r>
        <w:rPr>
          <w:rFonts w:ascii="Arial" w:cs="Arial" w:eastAsia="Arial" w:hAnsi="Arial"/>
          <w:sz w:val="22"/>
          <w:szCs w:val="22"/>
          <w:color w:val="auto"/>
        </w:rPr>
        <w:t>Termination, and you will be ineligible to receive, and you agree not to apply for, unemployment compensation during such periods.</w:t>
      </w:r>
    </w:p>
    <w:p>
      <w:pPr>
        <w:spacing w:after="0" w:line="175" w:lineRule="exact"/>
        <w:rPr>
          <w:sz w:val="20"/>
          <w:szCs w:val="20"/>
          <w:color w:val="auto"/>
        </w:rPr>
      </w:pPr>
    </w:p>
    <w:p>
      <w:pPr>
        <w:ind w:left="652" w:hanging="652"/>
        <w:spacing w:after="0" w:line="288"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0" w:lineRule="exact"/>
        <w:rPr>
          <w:rFonts w:ascii="Arial" w:cs="Arial" w:eastAsia="Arial" w:hAnsi="Arial"/>
          <w:sz w:val="19"/>
          <w:szCs w:val="19"/>
          <w:color w:val="auto"/>
        </w:rPr>
      </w:pPr>
    </w:p>
    <w:p>
      <w:pPr>
        <w:ind w:left="652" w:right="120" w:hanging="652"/>
        <w:spacing w:after="0" w:line="287" w:lineRule="auto"/>
        <w:tabs>
          <w:tab w:leader="none" w:pos="652"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92" w:lineRule="exact"/>
        <w:rPr>
          <w:rFonts w:ascii="Arial" w:cs="Arial" w:eastAsia="Arial" w:hAnsi="Arial"/>
          <w:sz w:val="21"/>
          <w:szCs w:val="21"/>
          <w:color w:val="auto"/>
        </w:rPr>
      </w:pPr>
    </w:p>
    <w:p>
      <w:pPr>
        <w:ind w:left="652" w:right="80" w:hanging="652"/>
        <w:spacing w:after="0" w:line="312"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74" w:lineRule="exact"/>
        <w:rPr>
          <w:rFonts w:ascii="Arial" w:cs="Arial" w:eastAsia="Arial" w:hAnsi="Arial"/>
          <w:sz w:val="19"/>
          <w:szCs w:val="19"/>
          <w:color w:val="auto"/>
        </w:rPr>
      </w:pPr>
    </w:p>
    <w:p>
      <w:pPr>
        <w:ind w:left="652" w:right="40" w:hanging="652"/>
        <w:spacing w:after="0" w:line="302"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3" w:lineRule="exact"/>
        <w:rPr>
          <w:rFonts w:ascii="Arial" w:cs="Arial" w:eastAsia="Arial" w:hAnsi="Arial"/>
          <w:sz w:val="19"/>
          <w:szCs w:val="19"/>
          <w:color w:val="auto"/>
        </w:rPr>
      </w:pPr>
    </w:p>
    <w:p>
      <w:pPr>
        <w:ind w:left="652" w:right="1100" w:hanging="652"/>
        <w:spacing w:after="0" w:line="263" w:lineRule="auto"/>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215" w:lineRule="exact"/>
        <w:rPr>
          <w:rFonts w:ascii="Arial" w:cs="Arial" w:eastAsia="Arial" w:hAnsi="Arial"/>
          <w:sz w:val="22"/>
          <w:szCs w:val="22"/>
          <w:color w:val="auto"/>
        </w:rPr>
      </w:pPr>
    </w:p>
    <w:p>
      <w:pPr>
        <w:ind w:left="652" w:right="140" w:hanging="652"/>
        <w:spacing w:after="0" w:line="343"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45"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72"/>
          </w:cols>
          <w:pgMar w:left="248" w:top="631" w:right="279" w:bottom="1440" w:gutter="0" w:footer="0" w:header="0"/>
        </w:sectPr>
      </w:pPr>
    </w:p>
    <w:bookmarkStart w:id="17" w:name="page18"/>
    <w:bookmarkEnd w:id="17"/>
    <w:p>
      <w:pPr>
        <w:ind w:left="652" w:right="40" w:hanging="652"/>
        <w:spacing w:after="0" w:line="294" w:lineRule="auto"/>
        <w:tabs>
          <w:tab w:leader="none" w:pos="65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0" w:lineRule="exact"/>
        <w:rPr>
          <w:rFonts w:ascii="Arial" w:cs="Arial" w:eastAsia="Arial" w:hAnsi="Arial"/>
          <w:sz w:val="19"/>
          <w:szCs w:val="19"/>
          <w:color w:val="auto"/>
        </w:rPr>
      </w:pPr>
    </w:p>
    <w:p>
      <w:pPr>
        <w:ind w:left="652" w:right="20" w:hanging="652"/>
        <w:spacing w:after="0" w:line="247" w:lineRule="auto"/>
        <w:tabs>
          <w:tab w:leader="none" w:pos="65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Previous Agreements</w:t>
      </w:r>
      <w:r>
        <w:rPr>
          <w:rFonts w:ascii="Arial" w:cs="Arial" w:eastAsia="Arial" w:hAnsi="Arial"/>
          <w:sz w:val="22"/>
          <w:szCs w:val="22"/>
          <w:color w:val="auto"/>
        </w:rPr>
        <w:t>. This letter agreement, upon acceptance by you, expressly supersedes any and all previous agreements or understandings relating to your employment by the Corporation or the Consolidated ManpowerGroup, except for the letter from the Corporation to you dated November 17, 2015, regarding the Corporation’s offer of employment to you (provided this letter agreement will supersede the sections of that prior letter concerning severance protection) or the termination of such employment, and any such agreements or understandings shall, as of the date of your acceptance, have no further force or effect.</w:t>
      </w:r>
    </w:p>
    <w:p>
      <w:pPr>
        <w:spacing w:after="0" w:line="234" w:lineRule="exact"/>
        <w:rPr>
          <w:rFonts w:ascii="Arial" w:cs="Arial" w:eastAsia="Arial" w:hAnsi="Arial"/>
          <w:sz w:val="22"/>
          <w:szCs w:val="22"/>
          <w:color w:val="auto"/>
        </w:rPr>
      </w:pPr>
    </w:p>
    <w:p>
      <w:pPr>
        <w:ind w:left="652" w:right="120" w:hanging="652"/>
        <w:spacing w:after="0" w:line="247" w:lineRule="auto"/>
        <w:tabs>
          <w:tab w:leader="none" w:pos="65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34" w:lineRule="exact"/>
        <w:rPr>
          <w:rFonts w:ascii="Arial" w:cs="Arial" w:eastAsia="Arial" w:hAnsi="Arial"/>
          <w:sz w:val="22"/>
          <w:szCs w:val="22"/>
          <w:color w:val="auto"/>
        </w:rPr>
      </w:pPr>
    </w:p>
    <w:p>
      <w:pPr>
        <w:ind w:left="1292" w:hanging="644"/>
        <w:spacing w:after="0" w:line="287" w:lineRule="auto"/>
        <w:tabs>
          <w:tab w:leader="none" w:pos="1292"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12"/>
          </w:cols>
          <w:pgMar w:left="248" w:top="888" w:right="239" w:bottom="1440" w:gutter="0" w:footer="0" w:header="0"/>
        </w:sectPr>
      </w:pPr>
    </w:p>
    <w:bookmarkStart w:id="18" w:name="page19"/>
    <w:bookmarkEnd w:id="18"/>
    <w:p>
      <w:pPr>
        <w:ind w:left="1300" w:right="300"/>
        <w:spacing w:after="0" w:line="253" w:lineRule="auto"/>
        <w:rPr>
          <w:sz w:val="20"/>
          <w:szCs w:val="20"/>
          <w:color w:val="auto"/>
        </w:rPr>
      </w:pPr>
      <w:r>
        <w:rPr>
          <w:rFonts w:ascii="Arial" w:cs="Arial" w:eastAsia="Arial" w:hAnsi="Arial"/>
          <w:sz w:val="22"/>
          <w:szCs w:val="22"/>
          <w:color w:val="auto"/>
        </w:rPr>
        <w:t>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26" w:lineRule="exact"/>
        <w:rPr>
          <w:sz w:val="20"/>
          <w:szCs w:val="20"/>
          <w:color w:val="auto"/>
        </w:rPr>
      </w:pPr>
    </w:p>
    <w:p>
      <w:pPr>
        <w:ind w:left="1300" w:hanging="644"/>
        <w:spacing w:after="0" w:line="286" w:lineRule="auto"/>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3"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226" w:lineRule="exact"/>
        <w:rPr>
          <w:rFonts w:ascii="Arial" w:cs="Arial" w:eastAsia="Arial" w:hAnsi="Arial"/>
          <w:sz w:val="22"/>
          <w:szCs w:val="22"/>
          <w:color w:val="auto"/>
        </w:rPr>
      </w:pPr>
    </w:p>
    <w:p>
      <w:pPr>
        <w:jc w:val="both"/>
        <w:ind w:left="660" w:hanging="652"/>
        <w:spacing w:after="0" w:line="246"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Consistency with Applicable Law</w:t>
      </w:r>
      <w:r>
        <w:rPr>
          <w:rFonts w:ascii="Arial" w:cs="Arial" w:eastAsia="Arial" w:hAnsi="Arial"/>
          <w:sz w:val="22"/>
          <w:szCs w:val="22"/>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 Group or any of its agents that you have made such reports or disclosures; however, we encourage you to do so.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9" w:name="page20"/>
    <w:bookmarkEnd w:id="19"/>
    <w:p>
      <w:pPr>
        <w:ind w:firstLine="648"/>
        <w:spacing w:after="0" w:line="263"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12th day of December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85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T. McGinnis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18</w:t>
      </w:r>
    </w:p>
    <w:sectPr>
      <w:pgSz w:w="11900" w:h="16838" w:orient="portrait"/>
      <w:cols w:equalWidth="0" w:num="1">
        <w:col w:w="11080"/>
      </w:cols>
      <w:pgMar w:left="240" w:top="6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abstractNum>
  <w:abstractNum w:abstractNumId="2">
    <w:nsid w:val="1BEFD79F"/>
    <w:multiLevelType w:val="hybridMultilevel"/>
    <w:lvl w:ilvl="0">
      <w:lvlJc w:val="left"/>
      <w:lvlText w:val="%1"/>
      <w:numFmt w:val="lowerLetter"/>
      <w:start w:val="1"/>
    </w:lvl>
    <w:lvl w:ilvl="1">
      <w:lvlJc w:val="left"/>
      <w:lvlText w:val="(%2)"/>
      <w:numFmt w:val="lowerRoman"/>
      <w:start w:val="8"/>
    </w:lvl>
  </w:abstractNum>
  <w:abstractNum w:abstractNumId="3">
    <w:nsid w:val="41A7C4C9"/>
    <w:multiLevelType w:val="hybridMultilevel"/>
    <w:lvl w:ilvl="0">
      <w:lvlJc w:val="left"/>
      <w:lvlText w:val="(%1)"/>
      <w:numFmt w:val="lowerLetter"/>
      <w:start w:val="3"/>
    </w:lvl>
    <w:lvl w:ilvl="1">
      <w:lvlJc w:val="left"/>
      <w:lvlText w:val="(%2)"/>
      <w:numFmt w:val="lowerRoman"/>
      <w:start w:val="1"/>
    </w:lvl>
  </w:abstractNum>
  <w:abstractNum w:abstractNumId="4">
    <w:nsid w:val="6B68079A"/>
    <w:multiLevelType w:val="hybridMultilevel"/>
    <w:lvl w:ilvl="0">
      <w:lvlJc w:val="left"/>
      <w:lvlText w:val="(%1)"/>
      <w:numFmt w:val="lowerRoman"/>
      <w:start w:val="3"/>
    </w:lvl>
  </w:abstractNum>
  <w:abstractNum w:abstractNumId="5">
    <w:nsid w:val="4E6AFB66"/>
    <w:multiLevelType w:val="hybridMultilevel"/>
    <w:lvl w:ilvl="0">
      <w:lvlJc w:val="left"/>
      <w:lvlText w:val="(%1)"/>
      <w:numFmt w:val="lowerLetter"/>
      <w:start w:val="4"/>
    </w:lvl>
    <w:lvl w:ilvl="1">
      <w:lvlJc w:val="left"/>
      <w:lvlText w:val="(%2)"/>
      <w:numFmt w:val="lowerRoman"/>
      <w:start w:val="1"/>
    </w:lvl>
  </w:abstractNum>
  <w:abstractNum w:abstractNumId="6">
    <w:nsid w:val="25E45D32"/>
    <w:multiLevelType w:val="hybridMultilevel"/>
    <w:lvl w:ilvl="0">
      <w:lvlJc w:val="left"/>
      <w:lvlText w:val="(%1)"/>
      <w:numFmt w:val="lowerRoman"/>
      <w:start w:val="4"/>
    </w:lvl>
  </w:abstractNum>
  <w:abstractNum w:abstractNumId="7">
    <w:nsid w:val="519B500D"/>
    <w:multiLevelType w:val="hybridMultilevel"/>
    <w:lvl w:ilvl="0">
      <w:lvlJc w:val="left"/>
      <w:lvlText w:val="(%1)"/>
      <w:numFmt w:val="lowerLetter"/>
      <w:start w:val="61"/>
    </w:lvl>
    <w:lvl w:ilvl="1">
      <w:lvlJc w:val="left"/>
      <w:lvlText w:val="(%2)"/>
      <w:numFmt w:val="lowerLetter"/>
      <w:start w:val="5"/>
    </w:lvl>
  </w:abstractNum>
  <w:abstractNum w:abstractNumId="8">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3F2DBA3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0">
    <w:nsid w:val="7C83E45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
    <w:nsid w:val="257130A3"/>
    <w:multiLevelType w:val="hybridMultilevel"/>
    <w:lvl w:ilvl="0">
      <w:lvlJc w:val="left"/>
      <w:lvlText w:val="(%1)"/>
      <w:numFmt w:val="lowerLetter"/>
      <w:start w:val="3"/>
    </w:lvl>
    <w:lvl w:ilvl="1">
      <w:lvlJc w:val="left"/>
      <w:lvlText w:val="(%2)"/>
      <w:numFmt w:val="lowerRoman"/>
      <w:start w:val="1"/>
    </w:lvl>
  </w:abstractNum>
  <w:abstractNum w:abstractNumId="12">
    <w:nsid w:val="62BBD95A"/>
    <w:multiLevelType w:val="hybridMultilevel"/>
    <w:lvl w:ilvl="0">
      <w:lvlJc w:val="left"/>
      <w:lvlText w:val="%1"/>
      <w:numFmt w:val="lowerLetter"/>
      <w:start w:val="1"/>
    </w:lvl>
    <w:lvl w:ilvl="1">
      <w:lvlJc w:val="left"/>
      <w:lvlText w:val="(%2)"/>
      <w:numFmt w:val="lowerLetter"/>
      <w:start w:val="22"/>
    </w:lvl>
  </w:abstractNum>
  <w:abstractNum w:abstractNumId="13">
    <w:nsid w:val="436C6125"/>
    <w:multiLevelType w:val="hybridMultilevel"/>
    <w:lvl w:ilvl="0">
      <w:lvlJc w:val="left"/>
      <w:lvlText w:val="(%1)"/>
      <w:numFmt w:val="lowerLetter"/>
      <w:start w:val="4"/>
    </w:lvl>
    <w:lvl w:ilvl="1">
      <w:lvlJc w:val="left"/>
      <w:lvlText w:val="(%2)"/>
      <w:numFmt w:val="lowerLetter"/>
      <w:start w:val="9"/>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lowerRoman"/>
      <w:start w:val="5"/>
    </w:lvl>
  </w:abstractNum>
  <w:abstractNum w:abstractNumId="16">
    <w:nsid w:val="721DA317"/>
    <w:multiLevelType w:val="hybridMultilevel"/>
    <w:lvl w:ilvl="0">
      <w:lvlJc w:val="left"/>
      <w:lvlText w:val="(%1)"/>
      <w:numFmt w:val="lowerLetter"/>
      <w:start w:val="5"/>
    </w:lvl>
  </w:abstractNum>
  <w:abstractNum w:abstractNumId="17">
    <w:nsid w:val="2443A858"/>
    <w:multiLevelType w:val="hybridMultilevel"/>
    <w:lvl w:ilvl="0">
      <w:lvlJc w:val="left"/>
      <w:lvlText w:val="%1"/>
      <w:numFmt w:val="decimal"/>
      <w:start w:val="1"/>
    </w:lvl>
    <w:lvl w:ilvl="1">
      <w:lvlJc w:val="left"/>
      <w:lvlText w:val="(%2)"/>
      <w:numFmt w:val="lowerLetter"/>
      <w:start w:val="7"/>
    </w:lvl>
  </w:abstractNum>
  <w:abstractNum w:abstractNumId="18">
    <w:nsid w:val="2D1D5AE9"/>
    <w:multiLevelType w:val="hybridMultilevel"/>
    <w:lvl w:ilvl="0">
      <w:lvlJc w:val="left"/>
      <w:lvlText w:val="%1."/>
      <w:numFmt w:val="decimal"/>
      <w:start w:val="3"/>
    </w:lvl>
    <w:lvl w:ilvl="1">
      <w:lvlJc w:val="left"/>
      <w:lvlText w:val="%2"/>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3"/>
    </w:lvl>
  </w:abstractNum>
  <w:abstractNum w:abstractNumId="21">
    <w:nsid w:val="8EDBDAB"/>
    <w:multiLevelType w:val="hybridMultilevel"/>
    <w:lvl w:ilvl="0">
      <w:lvlJc w:val="left"/>
      <w:lvlText w:val="%1."/>
      <w:numFmt w:val="decimal"/>
      <w:start w:val="4"/>
    </w:lvl>
    <w:lvl w:ilvl="1">
      <w:lvlJc w:val="left"/>
      <w:lvlText w:val="(%2)"/>
      <w:numFmt w:val="lowerLetter"/>
      <w:start w:val="1"/>
    </w:lvl>
  </w:abstractNum>
  <w:abstractNum w:abstractNumId="22">
    <w:nsid w:val="79838CB2"/>
    <w:multiLevelType w:val="hybridMultilevel"/>
    <w:lvl w:ilvl="0">
      <w:lvlJc w:val="left"/>
      <w:lvlText w:val="%1."/>
      <w:numFmt w:val="decimal"/>
      <w:start w:val="7"/>
    </w:lvl>
    <w:lvl w:ilvl="1">
      <w:lvlJc w:val="left"/>
      <w:lvlText w:val="(%2)"/>
      <w:numFmt w:val="lowerLetter"/>
      <w:start w:val="1"/>
    </w:lvl>
  </w:abstractNum>
  <w:abstractNum w:abstractNumId="23">
    <w:nsid w:val="4353D0CD"/>
    <w:multiLevelType w:val="hybridMultilevel"/>
    <w:lvl w:ilvl="0">
      <w:lvlJc w:val="left"/>
      <w:lvlText w:val="%1."/>
      <w:numFmt w:val="decimal"/>
      <w:start w:val="9"/>
    </w:lvl>
  </w:abstractNum>
  <w:abstractNum w:abstractNumId="24">
    <w:nsid w:val="B03E0C6"/>
    <w:multiLevelType w:val="hybridMultilevel"/>
    <w:lvl w:ilvl="0">
      <w:lvlJc w:val="left"/>
      <w:lvlText w:val="%1."/>
      <w:numFmt w:val="decimal"/>
      <w:start w:val="16"/>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2"/>
    </w:lvl>
  </w:abstractNum>
  <w:abstractNum w:abstractNumId="26">
    <w:nsid w:val="54E49EB4"/>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2019-12-28T17:15:23Z</dcterms:created>
  <dcterms:modified xsi:type="dcterms:W3CDTF">2019-12-28T17:15:23Z</dcterms:modified>
</cp:coreProperties>
</file>