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1"/>
        <w:spacing w:after="0"/>
        <w:rPr>
          <w:sz w:val="20"/>
          <w:szCs w:val="20"/>
          <w:color w:val="auto"/>
        </w:rPr>
      </w:pPr>
      <w:r>
        <w:rPr>
          <w:rFonts w:ascii="Courier New" w:cs="Courier New" w:eastAsia="Courier New" w:hAnsi="Courier New"/>
          <w:sz w:val="16"/>
          <w:szCs w:val="16"/>
          <w:color w:val="auto"/>
        </w:rPr>
        <w:t>1</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4" w:lineRule="exact"/>
        <w:rPr>
          <w:sz w:val="24"/>
          <w:szCs w:val="24"/>
          <w:color w:val="auto"/>
        </w:rPr>
      </w:pPr>
    </w:p>
    <w:p>
      <w:pPr>
        <w:ind w:left="2201"/>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4" w:lineRule="exact"/>
        <w:rPr>
          <w:sz w:val="24"/>
          <w:szCs w:val="24"/>
          <w:color w:val="auto"/>
        </w:rPr>
      </w:pPr>
    </w:p>
    <w:p>
      <w:pPr>
        <w:ind w:left="2781"/>
        <w:spacing w:after="0"/>
        <w:rPr>
          <w:sz w:val="20"/>
          <w:szCs w:val="20"/>
          <w:color w:val="auto"/>
        </w:rPr>
      </w:pPr>
      <w:r>
        <w:rPr>
          <w:rFonts w:ascii="Courier New" w:cs="Courier New" w:eastAsia="Courier New" w:hAnsi="Courier New"/>
          <w:sz w:val="16"/>
          <w:szCs w:val="16"/>
          <w:color w:val="auto"/>
        </w:rPr>
        <w:t>Washington, D.C. 20549</w:t>
      </w:r>
    </w:p>
    <w:p>
      <w:pPr>
        <w:spacing w:after="0" w:line="4" w:lineRule="exact"/>
        <w:rPr>
          <w:sz w:val="24"/>
          <w:szCs w:val="24"/>
          <w:color w:val="auto"/>
        </w:rPr>
      </w:pPr>
    </w:p>
    <w:p>
      <w:pPr>
        <w:ind w:left="2601"/>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ind w:left="3461"/>
        <w:spacing w:after="0"/>
        <w:rPr>
          <w:sz w:val="20"/>
          <w:szCs w:val="20"/>
          <w:color w:val="auto"/>
        </w:rPr>
      </w:pPr>
      <w:r>
        <w:rPr>
          <w:rFonts w:ascii="Courier New" w:cs="Courier New" w:eastAsia="Courier New" w:hAnsi="Courier New"/>
          <w:sz w:val="16"/>
          <w:szCs w:val="16"/>
          <w:color w:val="auto"/>
        </w:rPr>
        <w:t>FORM 10-K</w:t>
      </w:r>
    </w:p>
    <w:p>
      <w:pPr>
        <w:spacing w:after="0" w:line="4" w:lineRule="exact"/>
        <w:rPr>
          <w:sz w:val="24"/>
          <w:szCs w:val="24"/>
          <w:color w:val="auto"/>
        </w:rPr>
      </w:pPr>
    </w:p>
    <w:p>
      <w:pPr>
        <w:ind w:left="260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4"/>
          <w:szCs w:val="24"/>
          <w:color w:val="auto"/>
        </w:rPr>
      </w:pPr>
    </w:p>
    <w:p>
      <w:pPr>
        <w:ind w:left="861" w:right="3119" w:hanging="861"/>
        <w:spacing w:after="0" w:line="274" w:lineRule="auto"/>
        <w:tabs>
          <w:tab w:leader="none" w:pos="861"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 For the fiscal year ended December 31, 2000</w:t>
      </w:r>
    </w:p>
    <w:p>
      <w:pPr>
        <w:spacing w:after="0" w:line="164" w:lineRule="exact"/>
        <w:rPr>
          <w:sz w:val="24"/>
          <w:szCs w:val="24"/>
          <w:color w:val="auto"/>
        </w:rPr>
      </w:pPr>
    </w:p>
    <w:p>
      <w:pPr>
        <w:ind w:left="3741"/>
        <w:spacing w:after="0"/>
        <w:rPr>
          <w:sz w:val="20"/>
          <w:szCs w:val="20"/>
          <w:color w:val="auto"/>
        </w:rPr>
      </w:pPr>
      <w:r>
        <w:rPr>
          <w:rFonts w:ascii="Courier New" w:cs="Courier New" w:eastAsia="Courier New" w:hAnsi="Courier New"/>
          <w:sz w:val="16"/>
          <w:szCs w:val="16"/>
          <w:color w:val="auto"/>
        </w:rPr>
        <w:t>OR</w:t>
      </w:r>
    </w:p>
    <w:p>
      <w:pPr>
        <w:spacing w:after="0" w:line="190" w:lineRule="exact"/>
        <w:rPr>
          <w:sz w:val="24"/>
          <w:szCs w:val="24"/>
          <w:color w:val="auto"/>
        </w:rPr>
      </w:pPr>
    </w:p>
    <w:p>
      <w:pPr>
        <w:ind w:left="861" w:right="2919" w:hanging="861"/>
        <w:spacing w:after="0" w:line="242" w:lineRule="auto"/>
        <w:tabs>
          <w:tab w:leader="none" w:pos="18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]TRANSITION REPORT PURSUANT TO SECTION 13 OR 15(d) OF THE SECURITIES EXCHANGE ACT OF 1934</w:t>
      </w:r>
    </w:p>
    <w:p>
      <w:pPr>
        <w:spacing w:after="0" w:line="187" w:lineRule="exact"/>
        <w:rPr>
          <w:sz w:val="24"/>
          <w:szCs w:val="24"/>
          <w:color w:val="auto"/>
        </w:rPr>
      </w:pPr>
    </w:p>
    <w:p>
      <w:pPr>
        <w:jc w:val="center"/>
        <w:ind w:right="2438"/>
        <w:spacing w:after="0"/>
        <w:rPr>
          <w:sz w:val="20"/>
          <w:szCs w:val="20"/>
          <w:color w:val="auto"/>
        </w:rPr>
      </w:pPr>
      <w:r>
        <w:rPr>
          <w:rFonts w:ascii="Courier New" w:cs="Courier New" w:eastAsia="Courier New" w:hAnsi="Courier New"/>
          <w:sz w:val="16"/>
          <w:szCs w:val="16"/>
          <w:color w:val="auto"/>
        </w:rPr>
        <w:t>Commission File No. 1-10686</w:t>
      </w:r>
    </w:p>
    <w:p>
      <w:pPr>
        <w:spacing w:after="0" w:line="188" w:lineRule="exact"/>
        <w:rPr>
          <w:sz w:val="24"/>
          <w:szCs w:val="24"/>
          <w:color w:val="auto"/>
        </w:rPr>
      </w:pPr>
    </w:p>
    <w:p>
      <w:pPr>
        <w:jc w:val="center"/>
        <w:ind w:right="2438"/>
        <w:spacing w:after="0"/>
        <w:rPr>
          <w:sz w:val="20"/>
          <w:szCs w:val="20"/>
          <w:color w:val="auto"/>
        </w:rPr>
      </w:pPr>
      <w:r>
        <w:rPr>
          <w:rFonts w:ascii="Courier New" w:cs="Courier New" w:eastAsia="Courier New" w:hAnsi="Courier New"/>
          <w:sz w:val="16"/>
          <w:szCs w:val="16"/>
          <w:color w:val="auto"/>
        </w:rPr>
        <w:t>MANPOWER INC.</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21"/>
          </w:cols>
          <w:pgMar w:left="239" w:top="238" w:right="1440" w:bottom="1440" w:gutter="0" w:footer="0" w:header="0"/>
        </w:sectPr>
      </w:pPr>
    </w:p>
    <w:p>
      <w:pPr>
        <w:spacing w:after="0" w:line="188" w:lineRule="exact"/>
        <w:rPr>
          <w:sz w:val="24"/>
          <w:szCs w:val="24"/>
          <w:color w:val="auto"/>
        </w:rPr>
      </w:pPr>
    </w:p>
    <w:p>
      <w:pPr>
        <w:ind w:left="2201"/>
        <w:spacing w:after="0"/>
        <w:rPr>
          <w:sz w:val="20"/>
          <w:szCs w:val="20"/>
          <w:color w:val="auto"/>
        </w:rPr>
      </w:pPr>
      <w:r>
        <w:rPr>
          <w:rFonts w:ascii="Courier New" w:cs="Courier New" w:eastAsia="Courier New" w:hAnsi="Courier New"/>
          <w:sz w:val="16"/>
          <w:szCs w:val="16"/>
          <w:color w:val="auto"/>
        </w:rPr>
        <w:t>WISCONSIN</w:t>
      </w:r>
    </w:p>
    <w:p>
      <w:pPr>
        <w:spacing w:after="0" w:line="4" w:lineRule="exact"/>
        <w:rPr>
          <w:sz w:val="24"/>
          <w:szCs w:val="24"/>
          <w:color w:val="auto"/>
        </w:rPr>
      </w:pPr>
    </w:p>
    <w:p>
      <w:pPr>
        <w:ind w:left="1161"/>
        <w:spacing w:after="0"/>
        <w:rPr>
          <w:sz w:val="20"/>
          <w:szCs w:val="20"/>
          <w:color w:val="auto"/>
        </w:rPr>
      </w:pPr>
      <w:r>
        <w:rPr>
          <w:rFonts w:ascii="Courier New" w:cs="Courier New" w:eastAsia="Courier New" w:hAnsi="Courier New"/>
          <w:sz w:val="16"/>
          <w:szCs w:val="16"/>
          <w:color w:val="auto"/>
        </w:rPr>
        <w:t>(State or other jurisdiction of</w:t>
      </w:r>
    </w:p>
    <w:p>
      <w:pPr>
        <w:spacing w:after="0" w:line="4" w:lineRule="exact"/>
        <w:rPr>
          <w:sz w:val="24"/>
          <w:szCs w:val="24"/>
          <w:color w:val="auto"/>
        </w:rPr>
      </w:pPr>
    </w:p>
    <w:p>
      <w:pPr>
        <w:ind w:left="1161"/>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ind w:left="380"/>
        <w:spacing w:after="0"/>
        <w:rPr>
          <w:sz w:val="20"/>
          <w:szCs w:val="20"/>
          <w:color w:val="auto"/>
        </w:rPr>
      </w:pPr>
      <w:r>
        <w:rPr>
          <w:rFonts w:ascii="Courier New" w:cs="Courier New" w:eastAsia="Courier New" w:hAnsi="Courier New"/>
          <w:sz w:val="16"/>
          <w:szCs w:val="16"/>
          <w:color w:val="auto"/>
        </w:rPr>
        <w:t>39-1672779</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99" w:lineRule="exact"/>
        <w:rPr>
          <w:sz w:val="24"/>
          <w:szCs w:val="24"/>
          <w:color w:val="auto"/>
        </w:rPr>
      </w:pPr>
    </w:p>
    <w:p>
      <w:pPr>
        <w:sectPr>
          <w:pgSz w:w="11900" w:h="16838" w:orient="portrait"/>
          <w:cols w:equalWidth="0" w:num="2">
            <w:col w:w="4561" w:space="720"/>
            <w:col w:w="4939"/>
          </w:cols>
          <w:pgMar w:left="239" w:top="238" w:right="1440" w:bottom="1440" w:gutter="0" w:footer="0" w:header="0"/>
          <w:type w:val="continuous"/>
        </w:sectPr>
      </w:pPr>
    </w:p>
    <w:p>
      <w:pPr>
        <w:jc w:val="center"/>
        <w:ind w:left="681" w:right="520"/>
        <w:spacing w:after="0" w:line="243" w:lineRule="auto"/>
        <w:rPr>
          <w:sz w:val="20"/>
          <w:szCs w:val="20"/>
          <w:color w:val="auto"/>
        </w:rPr>
      </w:pPr>
      <w:r>
        <w:rPr>
          <w:rFonts w:ascii="Courier New" w:cs="Courier New" w:eastAsia="Courier New" w:hAnsi="Courier New"/>
          <w:sz w:val="16"/>
          <w:szCs w:val="16"/>
          <w:color w:val="auto"/>
        </w:rPr>
        <w:t>5301 NORTH IRONWOOD ROAD MILWAUKEE, WISCONSIN (Address of principal executive offices)</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53217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198" w:lineRule="exact"/>
        <w:rPr>
          <w:sz w:val="24"/>
          <w:szCs w:val="24"/>
          <w:color w:val="auto"/>
        </w:rPr>
      </w:pPr>
    </w:p>
    <w:p>
      <w:pPr>
        <w:sectPr>
          <w:pgSz w:w="11900" w:h="16838" w:orient="portrait"/>
          <w:cols w:equalWidth="0" w:num="2">
            <w:col w:w="5041" w:space="720"/>
            <w:col w:w="4459"/>
          </w:cols>
          <w:pgMar w:left="239" w:top="238" w:right="1440" w:bottom="1440" w:gutter="0" w:footer="0" w:header="0"/>
          <w:type w:val="continuous"/>
        </w:sectPr>
      </w:pPr>
    </w:p>
    <w:p>
      <w:pPr>
        <w:ind w:left="681"/>
        <w:spacing w:after="0"/>
        <w:rPr>
          <w:sz w:val="20"/>
          <w:szCs w:val="20"/>
          <w:color w:val="auto"/>
        </w:rPr>
      </w:pPr>
      <w:r>
        <w:rPr>
          <w:rFonts w:ascii="Courier New" w:cs="Courier New" w:eastAsia="Courier New" w:hAnsi="Courier New"/>
          <w:sz w:val="16"/>
          <w:szCs w:val="16"/>
          <w:color w:val="auto"/>
        </w:rPr>
        <w:t>Registrant's telephone number, including area code: (414) 961-1000</w:t>
      </w:r>
    </w:p>
    <w:p>
      <w:pPr>
        <w:spacing w:after="0" w:line="188" w:lineRule="exact"/>
        <w:rPr>
          <w:sz w:val="24"/>
          <w:szCs w:val="24"/>
          <w:color w:val="auto"/>
        </w:rPr>
      </w:pPr>
    </w:p>
    <w:p>
      <w:pPr>
        <w:ind w:left="961"/>
        <w:spacing w:after="0"/>
        <w:rPr>
          <w:sz w:val="20"/>
          <w:szCs w:val="20"/>
          <w:color w:val="auto"/>
        </w:rPr>
      </w:pPr>
      <w:r>
        <w:rPr>
          <w:rFonts w:ascii="Courier New" w:cs="Courier New" w:eastAsia="Courier New" w:hAnsi="Courier New"/>
          <w:sz w:val="16"/>
          <w:szCs w:val="16"/>
          <w:color w:val="auto"/>
        </w:rPr>
        <w:t>Securities registered pursuant to Section 12(b) of the Act:</w:t>
      </w:r>
    </w:p>
    <w:p>
      <w:pPr>
        <w:sectPr>
          <w:pgSz w:w="11900" w:h="16838" w:orient="portrait"/>
          <w:cols w:equalWidth="0" w:num="1">
            <w:col w:w="10221"/>
          </w:cols>
          <w:pgMar w:left="239" w:top="238" w:right="1440" w:bottom="1440" w:gutter="0" w:footer="0" w:header="0"/>
          <w:type w:val="continuous"/>
        </w:sectPr>
      </w:pPr>
    </w:p>
    <w:p>
      <w:pPr>
        <w:spacing w:after="0" w:line="373" w:lineRule="exact"/>
        <w:rPr>
          <w:sz w:val="24"/>
          <w:szCs w:val="24"/>
          <w:color w:val="auto"/>
        </w:rPr>
      </w:pPr>
    </w:p>
    <w:p>
      <w:pPr>
        <w:ind w:left="1061"/>
        <w:spacing w:after="0"/>
        <w:rPr>
          <w:sz w:val="20"/>
          <w:szCs w:val="20"/>
          <w:color w:val="auto"/>
        </w:rPr>
      </w:pPr>
      <w:r>
        <w:rPr>
          <w:rFonts w:ascii="Courier New" w:cs="Courier New" w:eastAsia="Courier New" w:hAnsi="Courier New"/>
          <w:sz w:val="16"/>
          <w:szCs w:val="16"/>
          <w:color w:val="auto"/>
        </w:rPr>
        <w:t>Title of each class</w:t>
      </w:r>
    </w:p>
    <w:p>
      <w:pPr>
        <w:spacing w:after="0" w:line="5" w:lineRule="exact"/>
        <w:rPr>
          <w:sz w:val="24"/>
          <w:szCs w:val="24"/>
          <w:color w:val="auto"/>
        </w:rPr>
      </w:pPr>
    </w:p>
    <w:p>
      <w:pPr>
        <w:ind w:left="581"/>
        <w:spacing w:after="0"/>
        <w:rPr>
          <w:sz w:val="20"/>
          <w:szCs w:val="20"/>
          <w:color w:val="auto"/>
        </w:rPr>
      </w:pPr>
      <w:r>
        <w:rPr>
          <w:rFonts w:ascii="Courier New" w:cs="Courier New" w:eastAsia="Courier New" w:hAnsi="Courier New"/>
          <w:sz w:val="15"/>
          <w:szCs w:val="15"/>
          <w:color w:val="auto"/>
        </w:rPr>
        <w:t>COMMON STOCK, $.01 PAR VALUE</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Name of Exchange on</w:t>
      </w:r>
    </w:p>
    <w:p>
      <w:pPr>
        <w:spacing w:after="0" w:line="4"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which registered</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NEW YORK STOCK EXCHANGE</w:t>
      </w:r>
    </w:p>
    <w:p>
      <w:pPr>
        <w:spacing w:after="0" w:line="198" w:lineRule="exact"/>
        <w:rPr>
          <w:sz w:val="24"/>
          <w:szCs w:val="24"/>
          <w:color w:val="auto"/>
        </w:rPr>
      </w:pPr>
    </w:p>
    <w:p>
      <w:pPr>
        <w:sectPr>
          <w:pgSz w:w="11900" w:h="16838" w:orient="portrait"/>
          <w:cols w:equalWidth="0" w:num="2">
            <w:col w:w="4181" w:space="720"/>
            <w:col w:w="5319"/>
          </w:cols>
          <w:pgMar w:left="239" w:top="238" w:right="1440" w:bottom="1440" w:gutter="0" w:footer="0" w:header="0"/>
          <w:type w:val="continuous"/>
        </w:sectPr>
      </w:pPr>
    </w:p>
    <w:p>
      <w:pPr>
        <w:ind w:left="761"/>
        <w:spacing w:after="0"/>
        <w:rPr>
          <w:sz w:val="20"/>
          <w:szCs w:val="20"/>
          <w:color w:val="auto"/>
        </w:rPr>
      </w:pPr>
      <w:r>
        <w:rPr>
          <w:rFonts w:ascii="Courier New" w:cs="Courier New" w:eastAsia="Courier New" w:hAnsi="Courier New"/>
          <w:sz w:val="16"/>
          <w:szCs w:val="16"/>
          <w:color w:val="auto"/>
        </w:rPr>
        <w:t>Securities registered pursuant to Section 12(g) of the Act: NONE</w:t>
      </w:r>
    </w:p>
    <w:p>
      <w:pPr>
        <w:spacing w:after="0" w:line="190" w:lineRule="exact"/>
        <w:rPr>
          <w:sz w:val="24"/>
          <w:szCs w:val="24"/>
          <w:color w:val="auto"/>
        </w:rPr>
      </w:pPr>
    </w:p>
    <w:p>
      <w:pPr>
        <w:ind w:left="1" w:right="2639" w:firstLine="576"/>
        <w:spacing w:after="0" w:line="244"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372" w:lineRule="exact"/>
        <w:rPr>
          <w:sz w:val="24"/>
          <w:szCs w:val="24"/>
          <w:color w:val="auto"/>
        </w:rPr>
      </w:pPr>
    </w:p>
    <w:p>
      <w:pPr>
        <w:ind w:left="1" w:right="2539" w:firstLine="576"/>
        <w:spacing w:after="0" w:line="244" w:lineRule="auto"/>
        <w:rPr>
          <w:sz w:val="20"/>
          <w:szCs w:val="20"/>
          <w:color w:val="auto"/>
        </w:rPr>
      </w:pPr>
      <w:r>
        <w:rPr>
          <w:rFonts w:ascii="Courier New" w:cs="Courier New" w:eastAsia="Courier New" w:hAnsi="Courier New"/>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87" w:lineRule="exact"/>
        <w:rPr>
          <w:sz w:val="24"/>
          <w:szCs w:val="24"/>
          <w:color w:val="auto"/>
        </w:rPr>
      </w:pPr>
    </w:p>
    <w:p>
      <w:pPr>
        <w:ind w:left="1" w:right="2819" w:firstLine="576"/>
        <w:spacing w:after="0" w:line="243" w:lineRule="auto"/>
        <w:rPr>
          <w:sz w:val="20"/>
          <w:szCs w:val="20"/>
          <w:color w:val="auto"/>
        </w:rPr>
      </w:pPr>
      <w:r>
        <w:rPr>
          <w:rFonts w:ascii="Courier New" w:cs="Courier New" w:eastAsia="Courier New" w:hAnsi="Courier New"/>
          <w:sz w:val="16"/>
          <w:szCs w:val="16"/>
          <w:color w:val="auto"/>
        </w:rPr>
        <w:t>The aggregate market value of the voting stock held by nonaffiliates of the registrant was $2,588,349,997 as of February 26, 2001. As of February 26, 2001, there were 75,904,692 of the registrant's shares of common stock outstanding.</w:t>
      </w:r>
    </w:p>
    <w:p>
      <w:pPr>
        <w:spacing w:after="0" w:line="188" w:lineRule="exact"/>
        <w:rPr>
          <w:sz w:val="24"/>
          <w:szCs w:val="24"/>
          <w:color w:val="auto"/>
        </w:rPr>
      </w:pPr>
    </w:p>
    <w:p>
      <w:pPr>
        <w:jc w:val="center"/>
        <w:ind w:right="2438"/>
        <w:spacing w:after="0"/>
        <w:rPr>
          <w:sz w:val="20"/>
          <w:szCs w:val="20"/>
          <w:color w:val="auto"/>
        </w:rPr>
      </w:pPr>
      <w:r>
        <w:rPr>
          <w:rFonts w:ascii="Courier New" w:cs="Courier New" w:eastAsia="Courier New" w:hAnsi="Courier New"/>
          <w:sz w:val="16"/>
          <w:szCs w:val="16"/>
          <w:color w:val="auto"/>
        </w:rPr>
        <w:t>DOCUMENTS INCORPORATED BY REFERENCE</w:t>
      </w:r>
    </w:p>
    <w:p>
      <w:pPr>
        <w:spacing w:after="0" w:line="190" w:lineRule="exact"/>
        <w:rPr>
          <w:sz w:val="24"/>
          <w:szCs w:val="24"/>
          <w:color w:val="auto"/>
        </w:rPr>
      </w:pPr>
    </w:p>
    <w:p>
      <w:pPr>
        <w:ind w:left="1" w:right="2639" w:firstLine="576"/>
        <w:spacing w:after="0" w:line="243" w:lineRule="auto"/>
        <w:rPr>
          <w:sz w:val="20"/>
          <w:szCs w:val="20"/>
          <w:color w:val="auto"/>
        </w:rPr>
      </w:pPr>
      <w:r>
        <w:rPr>
          <w:rFonts w:ascii="Courier New" w:cs="Courier New" w:eastAsia="Courier New" w:hAnsi="Courier New"/>
          <w:sz w:val="16"/>
          <w:szCs w:val="16"/>
          <w:color w:val="auto"/>
        </w:rPr>
        <w:t>Part I and Part II incorporate information by reference to the Annual Report to Shareholders for the fiscal year ended December 31, 2000. Part III is incorporated by reference from the Proxy Statement for the Annual Meeting of Shareholders to be held on May 1, 2001.</w:t>
      </w:r>
    </w:p>
    <w:p>
      <w:pPr>
        <w:sectPr>
          <w:pgSz w:w="11900" w:h="16838" w:orient="portrait"/>
          <w:cols w:equalWidth="0" w:num="1">
            <w:col w:w="10221"/>
          </w:cols>
          <w:pgMar w:left="239" w:top="238"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PART I</w:t>
      </w:r>
    </w:p>
    <w:p>
      <w:pPr>
        <w:spacing w:after="0" w:line="1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1.</w:t>
        <w:tab/>
        <w:t>BUSINESS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Introduction and History</w:t>
      </w:r>
    </w:p>
    <w:p>
      <w:pPr>
        <w:spacing w:after="0" w:line="190"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Manpower Inc. (the "Company") is a global staffing leader with nearly 3,700 systemwide offices in 59 countries. The Company provides a wide range of human resource services, including professional, technical, specialized, office and industrial staffing; temporary and permanent employee testing, selection, training and development; and organizational-performance consulting. The Company provides services to a wide variety of customers, none of which individually comprise a significant portion of revenues within a given geographic region or for the Company as a whole. Unless the context requires otherwise, references to the Company include its subsidiaries.</w:t>
      </w:r>
    </w:p>
    <w:p>
      <w:pPr>
        <w:spacing w:after="0" w:line="189" w:lineRule="exact"/>
        <w:rPr>
          <w:sz w:val="20"/>
          <w:szCs w:val="20"/>
          <w:color w:val="auto"/>
        </w:rPr>
      </w:pPr>
    </w:p>
    <w:p>
      <w:pPr>
        <w:ind w:right="2539" w:firstLine="576"/>
        <w:spacing w:after="0" w:line="264" w:lineRule="auto"/>
        <w:rPr>
          <w:sz w:val="20"/>
          <w:szCs w:val="20"/>
          <w:color w:val="auto"/>
        </w:rPr>
      </w:pPr>
      <w:r>
        <w:rPr>
          <w:rFonts w:ascii="Courier New" w:cs="Courier New" w:eastAsia="Courier New" w:hAnsi="Courier New"/>
          <w:sz w:val="15"/>
          <w:szCs w:val="15"/>
          <w:color w:val="auto"/>
        </w:rPr>
        <w:t>The Company was organized in 1991 as a holding company to acquire Manpower PLC, which indirectly owned Manpower International Inc. ("Manpower"). Manpower was the primary operating subsidiary of the Company until June 30, 1996, when it was merged into the Company. The predecessor of Manpower was organized in 1948 and its shares were listed on the New York Stock Exchange (the "NYSE") in 1962.</w:t>
      </w:r>
    </w:p>
    <w:p>
      <w:pPr>
        <w:spacing w:after="0" w:line="174" w:lineRule="exact"/>
        <w:rPr>
          <w:sz w:val="20"/>
          <w:szCs w:val="20"/>
          <w:color w:val="auto"/>
        </w:rPr>
      </w:pPr>
    </w:p>
    <w:p>
      <w:pPr>
        <w:ind w:right="3199" w:firstLine="576"/>
        <w:spacing w:after="0" w:line="242" w:lineRule="auto"/>
        <w:rPr>
          <w:sz w:val="20"/>
          <w:szCs w:val="20"/>
          <w:color w:val="auto"/>
        </w:rPr>
      </w:pPr>
      <w:r>
        <w:rPr>
          <w:rFonts w:ascii="Courier New" w:cs="Courier New" w:eastAsia="Courier New" w:hAnsi="Courier New"/>
          <w:sz w:val="16"/>
          <w:szCs w:val="16"/>
          <w:color w:val="auto"/>
        </w:rPr>
        <w:t>The Company's principal executive offices are located at 5301 North Ironwood Road, Milwaukee, Wisconsin 53217 (telephone: 414-961-1000).</w:t>
      </w:r>
    </w:p>
    <w:p>
      <w:pPr>
        <w:spacing w:after="0" w:line="187"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THE COMPANY'S OPERATIONS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States</w:t>
      </w:r>
    </w:p>
    <w:p>
      <w:pPr>
        <w:spacing w:after="0" w:line="190"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In the United States, the Company's operations are carried out through both branch (i.e., Company-owned) and franchise offices. The Company had 732 branch and 423 franchise offices in the United States at December 31, 2000. The Company provides a number of central support services to its branches and franchises which enable it to maintain consistent service quality throughout the United States regardless of whether an office is a branch or franchise. The Company has developed a comprehensive system of assessment/selection, training and quality assurance for its temporary staffing operations through a combination of internally designed and produced materials and materials purchased from external companies through exclusive contracts. The Company provides customer invoicing and payroll processing of its temporary employees for all branch offices and a majority of its franchise offices through its Milwaukee headquarters.</w:t>
      </w:r>
    </w:p>
    <w:p>
      <w:pPr>
        <w:spacing w:after="0" w:line="191" w:lineRule="exact"/>
        <w:rPr>
          <w:sz w:val="20"/>
          <w:szCs w:val="20"/>
          <w:color w:val="auto"/>
        </w:rPr>
      </w:pPr>
    </w:p>
    <w:p>
      <w:pPr>
        <w:ind w:right="2719" w:firstLine="576"/>
        <w:spacing w:after="0" w:line="243" w:lineRule="auto"/>
        <w:rPr>
          <w:sz w:val="20"/>
          <w:szCs w:val="20"/>
          <w:color w:val="auto"/>
        </w:rPr>
      </w:pPr>
      <w:r>
        <w:rPr>
          <w:rFonts w:ascii="Courier New" w:cs="Courier New" w:eastAsia="Courier New" w:hAnsi="Courier New"/>
          <w:sz w:val="16"/>
          <w:szCs w:val="16"/>
          <w:color w:val="auto"/>
        </w:rPr>
        <w:t>The Company's franchise agreements provide the franchisee with the right to use the Manpower(R) service mark and associated marks in a specifically defined exclusive territory. In the United States, franchise fees range from</w:t>
      </w:r>
    </w:p>
    <w:p>
      <w:pPr>
        <w:spacing w:after="0" w:line="4"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2-3% of franchise sales. The Company's franchise agreements provide that in the event of a proposed sale of a franchise to a third party, the Company has the right to repurchase the franchise at the same price and on the same terms as proposed by the third party. The Company frequently exercises this right and intends to continue to do so in the future if opportunities arise with appropriate prices and terms.</w:t>
      </w:r>
    </w:p>
    <w:p>
      <w:pPr>
        <w:spacing w:after="0" w:line="188"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In the United States, the Company's operations are primarily related to providing temporary employment services. During 2000, approximately 40% of the Company's United States temporary help revenues were derived from placing office staff, 39% from placing industrial staff and 21% from placing technical and information technology staff.</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France</w:t>
      </w:r>
    </w:p>
    <w:p>
      <w:pPr>
        <w:spacing w:after="0" w:line="190" w:lineRule="exact"/>
        <w:rPr>
          <w:sz w:val="20"/>
          <w:szCs w:val="20"/>
          <w:color w:val="auto"/>
        </w:rPr>
      </w:pPr>
    </w:p>
    <w:p>
      <w:pPr>
        <w:ind w:right="2639" w:firstLine="576"/>
        <w:spacing w:after="0" w:line="267" w:lineRule="auto"/>
        <w:rPr>
          <w:sz w:val="20"/>
          <w:szCs w:val="20"/>
          <w:color w:val="auto"/>
        </w:rPr>
      </w:pPr>
      <w:r>
        <w:rPr>
          <w:rFonts w:ascii="Courier New" w:cs="Courier New" w:eastAsia="Courier New" w:hAnsi="Courier New"/>
          <w:sz w:val="15"/>
          <w:szCs w:val="15"/>
          <w:color w:val="auto"/>
        </w:rPr>
        <w:t>The Company is a leading temporary employment service provider in France. The Company conducts its operations in France through 879 branch offices under the name of Manpower and 48 branch offices under the name Supplay.</w:t>
      </w:r>
    </w:p>
    <w:p>
      <w:pPr>
        <w:spacing w:after="0" w:line="172" w:lineRule="exact"/>
        <w:rPr>
          <w:sz w:val="20"/>
          <w:szCs w:val="20"/>
          <w:color w:val="auto"/>
        </w:rPr>
      </w:pPr>
    </w:p>
    <w:p>
      <w:pPr>
        <w:ind w:right="2819" w:firstLine="576"/>
        <w:spacing w:after="0" w:line="243" w:lineRule="auto"/>
        <w:rPr>
          <w:sz w:val="20"/>
          <w:szCs w:val="20"/>
          <w:color w:val="auto"/>
        </w:rPr>
      </w:pPr>
      <w:r>
        <w:rPr>
          <w:rFonts w:ascii="Courier New" w:cs="Courier New" w:eastAsia="Courier New" w:hAnsi="Courier New"/>
          <w:sz w:val="16"/>
          <w:szCs w:val="16"/>
          <w:color w:val="auto"/>
        </w:rPr>
        <w:t>The temporary services market in France is predominately industrial. In 2000, the Company derived approximately 72% of its revenue in France from the industrial sector, 14% from the construction sector and 14% from the office sector.</w:t>
      </w:r>
    </w:p>
    <w:p>
      <w:pPr>
        <w:sectPr>
          <w:pgSz w:w="11900" w:h="16838" w:orient="portrait"/>
          <w:cols w:equalWidth="0" w:num="1">
            <w:col w:w="10219"/>
          </w:cols>
          <w:pgMar w:left="240" w:top="300" w:right="1440" w:bottom="1440"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0" w:right="1440" w:bottom="1440" w:gutter="0" w:footer="0" w:header="0"/>
          <w:type w:val="continuous"/>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Kingdom</w:t>
      </w:r>
    </w:p>
    <w:p>
      <w:pPr>
        <w:spacing w:after="0" w:line="190" w:lineRule="exact"/>
        <w:rPr>
          <w:sz w:val="20"/>
          <w:szCs w:val="20"/>
          <w:color w:val="auto"/>
        </w:rPr>
      </w:pPr>
    </w:p>
    <w:p>
      <w:pPr>
        <w:ind w:right="2639" w:firstLine="576"/>
        <w:spacing w:after="0" w:line="267" w:lineRule="auto"/>
        <w:rPr>
          <w:sz w:val="20"/>
          <w:szCs w:val="20"/>
          <w:color w:val="auto"/>
        </w:rPr>
      </w:pPr>
      <w:r>
        <w:rPr>
          <w:rFonts w:ascii="Courier New" w:cs="Courier New" w:eastAsia="Courier New" w:hAnsi="Courier New"/>
          <w:sz w:val="15"/>
          <w:szCs w:val="15"/>
          <w:color w:val="auto"/>
        </w:rPr>
        <w:t>The Company is a leading supplier of temporary employment services in the United Kingdom. As of December 31, 2000, it conducted operations in the United Kingdom through 174 branch offices under the Manpower brand ("Manpower UK").</w:t>
      </w:r>
    </w:p>
    <w:p>
      <w:pPr>
        <w:spacing w:after="0" w:line="172" w:lineRule="exact"/>
        <w:rPr>
          <w:sz w:val="20"/>
          <w:szCs w:val="20"/>
          <w:color w:val="auto"/>
        </w:rPr>
      </w:pPr>
    </w:p>
    <w:p>
      <w:pPr>
        <w:ind w:right="2639" w:firstLine="576"/>
        <w:spacing w:after="0" w:line="243" w:lineRule="auto"/>
        <w:rPr>
          <w:sz w:val="20"/>
          <w:szCs w:val="20"/>
          <w:color w:val="auto"/>
        </w:rPr>
      </w:pPr>
      <w:r>
        <w:rPr>
          <w:rFonts w:ascii="Courier New" w:cs="Courier New" w:eastAsia="Courier New" w:hAnsi="Courier New"/>
          <w:sz w:val="16"/>
          <w:szCs w:val="16"/>
          <w:color w:val="auto"/>
        </w:rPr>
        <w:t>Manpower UK uses the same approach to assessment/selection, training and marketing programs in the United Kingdom as is done in the United States with such modifications as necessary to reflect differences in language, culture and business practices.</w:t>
      </w:r>
    </w:p>
    <w:p>
      <w:pPr>
        <w:spacing w:after="0" w:line="190"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Manpower UK offers temporary employment services in the contact center, office, industrial, technical and transport markets. Manpower UK is also the leading company in the United Kingdom for the provision of managed services, project work and subcontracted activities. During 2000, approximately 24% of Manpower UK's revenues were derived from the supply of contact center staff, 31% from the supply of office staff, 28% from the supply of industrial staff, 12% from the supply of technical staff and 5% from the supply of drivers.</w:t>
      </w:r>
    </w:p>
    <w:p>
      <w:pPr>
        <w:spacing w:after="0" w:line="188"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The Company also owns Brook Street Bureau PLC ("Brook Street") which operates separately from the Manpower brand and exclusively in the United Kingdom. Brook Street has a total of 104 branch offices. The core business is secretarial, office and light industrial recruitment, with niche operations in accountancy, finance and social care recruitment. Brook Street operates as a local network of branches supported by a national head office and competes primarily with local or regional independents. In 2000, approximately 90% of its revenues were derived from temporary placements and 10% were derived from permanent placement.</w:t>
      </w:r>
    </w:p>
    <w:p>
      <w:pPr>
        <w:spacing w:after="0" w:line="189" w:lineRule="exact"/>
        <w:rPr>
          <w:sz w:val="20"/>
          <w:szCs w:val="20"/>
          <w:color w:val="auto"/>
        </w:rPr>
      </w:pPr>
    </w:p>
    <w:p>
      <w:pPr>
        <w:ind w:right="2539" w:firstLine="576"/>
        <w:spacing w:after="0" w:line="243" w:lineRule="auto"/>
        <w:rPr>
          <w:sz w:val="20"/>
          <w:szCs w:val="20"/>
          <w:color w:val="auto"/>
        </w:rPr>
      </w:pPr>
      <w:r>
        <w:rPr>
          <w:rFonts w:ascii="Courier New" w:cs="Courier New" w:eastAsia="Courier New" w:hAnsi="Courier New"/>
          <w:sz w:val="16"/>
          <w:szCs w:val="16"/>
          <w:color w:val="auto"/>
        </w:rPr>
        <w:t>In January 2000, the Company acquired Elan Group Ltd. ("Elan"), a leading provider of IT staffing solutions based in the United Kingdom. Elan operates through 14 offices across the United Kingdom, Netherlands, Ireland, Switzerland, Germany and Hong Kong.</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Europe</w:t>
      </w:r>
    </w:p>
    <w:p>
      <w:pPr>
        <w:spacing w:after="0" w:line="190" w:lineRule="exact"/>
        <w:rPr>
          <w:sz w:val="20"/>
          <w:szCs w:val="20"/>
          <w:color w:val="auto"/>
        </w:rPr>
      </w:pPr>
    </w:p>
    <w:p>
      <w:pPr>
        <w:ind w:right="2639" w:firstLine="576"/>
        <w:spacing w:after="0" w:line="244" w:lineRule="auto"/>
        <w:rPr>
          <w:sz w:val="20"/>
          <w:szCs w:val="20"/>
          <w:color w:val="auto"/>
        </w:rPr>
      </w:pPr>
      <w:r>
        <w:rPr>
          <w:rFonts w:ascii="Courier New" w:cs="Courier New" w:eastAsia="Courier New" w:hAnsi="Courier New"/>
          <w:sz w:val="16"/>
          <w:szCs w:val="16"/>
          <w:color w:val="auto"/>
        </w:rPr>
        <w:t>The Company operates through 872 branch offices and 54 franchise offices in other European countries. The largest of these operations are located in Belgium, Germany, Israel, Italy, the Netherlands, Norway, Spain and Sweden, all of which are branch offices, and Switzerland, which is a 49% owned franchise. The Company is a leading provider of human resource services in the European Economic Community. The Company utilizes the same approach to selection, training, recruiting and marketing techniques in continental Europe as are used in the United States with such modifications as may be appropriate for local legal requirements, cultural characteristics and business practices.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 of the World</w:t>
      </w:r>
    </w:p>
    <w:p>
      <w:pPr>
        <w:spacing w:after="0" w:line="190" w:lineRule="exact"/>
        <w:rPr>
          <w:sz w:val="20"/>
          <w:szCs w:val="20"/>
          <w:color w:val="auto"/>
        </w:rPr>
      </w:pPr>
    </w:p>
    <w:p>
      <w:pPr>
        <w:ind w:right="2539" w:firstLine="576"/>
        <w:spacing w:after="0" w:line="262" w:lineRule="auto"/>
        <w:rPr>
          <w:sz w:val="20"/>
          <w:szCs w:val="20"/>
          <w:color w:val="auto"/>
        </w:rPr>
      </w:pPr>
      <w:r>
        <w:rPr>
          <w:rFonts w:ascii="Courier New" w:cs="Courier New" w:eastAsia="Courier New" w:hAnsi="Courier New"/>
          <w:sz w:val="15"/>
          <w:szCs w:val="15"/>
          <w:color w:val="auto"/>
        </w:rPr>
        <w:t>The Company operates through 356 branch offices and 29 franchise offices in the other markets of the world. The largest of these operations are located in Australia, Japan and Mexico, all of which are branch offices, and Canada, which has branch and franchise offices. Other significant operations are located in 15 countries in Central and South America and in 9 other countries throughout Asia. The Company uses the same general approach to testing, training and marketing tools in other areas of the world as employed in the United States with such modifications as may be appropriate for local cultural differences and business practices. In most of these countries, the Company primarily supplies temporary workers to the industrial, general office and technical markets.</w:t>
      </w:r>
    </w:p>
    <w:p>
      <w:pPr>
        <w:spacing w:after="0" w:line="178" w:lineRule="exact"/>
        <w:rPr>
          <w:sz w:val="20"/>
          <w:szCs w:val="20"/>
          <w:color w:val="auto"/>
        </w:rPr>
      </w:pPr>
    </w:p>
    <w:p>
      <w:pPr>
        <w:ind w:right="2919" w:firstLine="576"/>
        <w:spacing w:after="0" w:line="244" w:lineRule="auto"/>
        <w:rPr>
          <w:sz w:val="20"/>
          <w:szCs w:val="20"/>
          <w:color w:val="auto"/>
        </w:rPr>
      </w:pPr>
      <w:r>
        <w:rPr>
          <w:rFonts w:ascii="Courier New" w:cs="Courier New" w:eastAsia="Courier New" w:hAnsi="Courier New"/>
          <w:sz w:val="16"/>
          <w:szCs w:val="16"/>
          <w:color w:val="auto"/>
        </w:rPr>
        <w:t>During 2000, the Company launched The Empower Group ("Empower"), an independent operating division of the Company, that provides organizational performance consulting services to multi-national corporations worldwide. Empower is based in London and has operations worldwide, with the largest in Australia, New Zealand, United Kingdom and the United States.</w:t>
      </w:r>
    </w:p>
    <w:p>
      <w:pPr>
        <w:spacing w:after="0" w:line="200" w:lineRule="exact"/>
        <w:rPr>
          <w:sz w:val="20"/>
          <w:szCs w:val="20"/>
          <w:color w:val="auto"/>
        </w:rPr>
      </w:pPr>
    </w:p>
    <w:p>
      <w:pPr>
        <w:spacing w:after="0" w:line="35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0"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200" w:lineRule="exact"/>
        <w:rPr>
          <w:sz w:val="20"/>
          <w:szCs w:val="20"/>
          <w:color w:val="auto"/>
        </w:rPr>
      </w:pPr>
    </w:p>
    <w:p>
      <w:pPr>
        <w:spacing w:after="0" w:line="35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COMPETITION</w:t>
      </w:r>
    </w:p>
    <w:p>
      <w:pPr>
        <w:spacing w:after="0" w:line="190" w:lineRule="exact"/>
        <w:rPr>
          <w:sz w:val="20"/>
          <w:szCs w:val="20"/>
          <w:color w:val="auto"/>
        </w:rPr>
      </w:pPr>
    </w:p>
    <w:p>
      <w:pPr>
        <w:ind w:right="2639" w:firstLine="576"/>
        <w:spacing w:after="0" w:line="262" w:lineRule="auto"/>
        <w:rPr>
          <w:sz w:val="20"/>
          <w:szCs w:val="20"/>
          <w:color w:val="auto"/>
        </w:rPr>
      </w:pPr>
      <w:r>
        <w:rPr>
          <w:rFonts w:ascii="Courier New" w:cs="Courier New" w:eastAsia="Courier New" w:hAnsi="Courier New"/>
          <w:sz w:val="15"/>
          <w:szCs w:val="15"/>
          <w:color w:val="auto"/>
        </w:rPr>
        <w:t>Historically, in periods of economic prosperity, the number of firms operating in the temporary help industry has increased significantly due to the combination of a favorable economic climate and low barriers to entry. Recessionary periods, such as that experienced in the United States and United Kingdom in the early 1990s, result in a reduction in competition through consolidation and closures. However, historically this reduction has proven to be of a limited duration as the following periods of economic recovery have led to a return to growth in the number of competitors operating in the industry.</w:t>
      </w:r>
    </w:p>
    <w:p>
      <w:pPr>
        <w:spacing w:after="0" w:line="179"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The temporary employment services market throughout the world is highly competitive and highly fragmented with more than 15,000 firms competing in the industry throughout the world. In addition to the Company, the largest publicly owned companies specializing in temporary employment services are Adecco, S.A. (Switzerland), Kelly Services, Inc. (U.S.), Randstad Holding N.V. (Netherlands), Vedior N.V. (Netherlands) and Spherion Corporation (formerly Interim Services Inc.) (U.S.).</w:t>
      </w:r>
    </w:p>
    <w:p>
      <w:pPr>
        <w:spacing w:after="0" w:line="188"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In the temporary staffing industry, competition is often limited to firms with offices located within a customer's particular local market because temporary employees (aside from certain employees in the technology services segment) are generally unwilling to travel long distances. In most major markets, competitors generally include many of the publicly traded companies and numerous regional and local competitors, some of which may operate only in a single market. Competition may also be provided by governmental entities or agencies, such as state employment offices in the United Kingdom and many European countries.</w:t>
      </w:r>
    </w:p>
    <w:p>
      <w:pPr>
        <w:spacing w:after="0" w:line="189"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Since client companies rely on temporary employment firms having offices within the local area in which they operate, competition varies from market-to-market and country-to-country. In most areas, no single company has a dominant share of the market. Many client companies use more than one temporary employment services provider; however, in recent years, the practice of using a sole (or a limited number of) temporary supplier or a primary supplier has become an increasingly important factor among the largest customers. These sole supplier relationships can have a significant impact on the Company's revenue and operating profit growth. While the Company believes that these large account relationships will prove to be less cyclical in the long-term than its traditional business, volume reductions by such customers, whether related to economic factors or otherwise, could have a material adverse effect on the Company's results in any period.</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Methods of Competition</w:t>
      </w:r>
    </w:p>
    <w:p>
      <w:pPr>
        <w:spacing w:after="0" w:line="190"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Temporary staffing firms act as intermediaries in matching available temporary workers to employer assignments. As a result, temporary staffing firms compete both to recruit and retain a supply of workers and to attract customers to employ temporary employees. Competition is generally limited to firms having offices located in a specific local geographic market. Depending on the economy of a particular market at any point in time, it may be necessary for the Company to place greater emphasis on recruitment and retention of temporary workers or marketing to customers. The Company recruits temporary workers through a wide variety of means, principally personal referrals and advertisements and by providing an attractive compensation package including (in jurisdictions where such benefits are not otherwise required by law) health insurance, vacation and holiday pay, incentive plans and a recognition program.</w:t>
      </w:r>
    </w:p>
    <w:p>
      <w:pPr>
        <w:spacing w:after="0" w:line="191"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Methods used to market temporary services to customers vary depending on the customer's perceived need for temporary workers, the local labor supply, the length of assignment and the number of workers required. Depending on these factors, the Company competes by means of quality of service provided, scope of service offered and price. In the temporary help industry, quality is measured primarily by the ability to effectively match an individual worker to a specific assignment, as well as the rate of and promptness in filling an order. Success in providing a high quality service is a function of the ability to access a large supply of available temporary workers, select suitable individuals for a particular assignment and, in some cases, train available workers in skills required for an assignment.</w:t>
      </w:r>
    </w:p>
    <w:p>
      <w:pPr>
        <w:spacing w:after="0" w:line="190"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An important aspect in the selection of a temporary worker for an assignment is the ability of the temporary services firm to identify the skills, knowledge, abilities, and personal characteristics of a temporary worker and match their competencies or capabilities to an employer's requirements. The Company has a variety of proprietary programs for identifying and assessing skill levels of its temporary workers, including Ultraskill(R) (for word processing skills), Sureskill (for office automation skills such as word processing, spreadsheet, presentation</w:t>
      </w:r>
    </w:p>
    <w:p>
      <w:pPr>
        <w:sectPr>
          <w:pgSz w:w="11900" w:h="16838" w:orient="portrait"/>
          <w:cols w:equalWidth="0" w:num="1">
            <w:col w:w="10219"/>
          </w:cols>
          <w:pgMar w:left="240" w:top="30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0" w:right="1440" w:bottom="0" w:gutter="0" w:footer="0" w:header="0"/>
          <w:type w:val="continuous"/>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graphics, etc.), Ultradex (for several important light industrial skills), Predicta (for critical general office and customer service/call center skills), Linguaskill (for language skills) and Phoneskill (for verbal communication skills) which are used in selecting a particular individual for a specific assignment. The Company believes that its assessment systems enable it to offer a higher quality service by increasing productivity, decreasing turnover and reducing absenteeism. The Company believes it is the only temporary employment firm whose employee selection systems have been statistically validated in full or complete accordance with the guidelines established by the Equal Employment Opportunity Commission and standards set forth by the American Psychological Association in the United States and similar authorities in various other countries.</w:t>
      </w:r>
    </w:p>
    <w:p>
      <w:pPr>
        <w:spacing w:after="0" w:line="191" w:lineRule="exact"/>
        <w:rPr>
          <w:sz w:val="20"/>
          <w:szCs w:val="20"/>
          <w:color w:val="auto"/>
        </w:rPr>
      </w:pPr>
    </w:p>
    <w:p>
      <w:pPr>
        <w:ind w:right="2719" w:firstLine="576"/>
        <w:spacing w:after="0" w:line="244" w:lineRule="auto"/>
        <w:rPr>
          <w:sz w:val="20"/>
          <w:szCs w:val="20"/>
          <w:color w:val="auto"/>
        </w:rPr>
      </w:pPr>
      <w:r>
        <w:rPr>
          <w:rFonts w:ascii="Courier New" w:cs="Courier New" w:eastAsia="Courier New" w:hAnsi="Courier New"/>
          <w:sz w:val="16"/>
          <w:szCs w:val="16"/>
          <w:color w:val="auto"/>
        </w:rPr>
        <w:t>During 2000, the Company formed a strategic alliance with SHL Group PLC ("SHL"), a leading provider of psychometric testing products and related services for employee selection, assessment and development. This alliance is expected to last a minimum of three years. SHL is based in the United Kingdom and its products are expected to assist the Company in expanding the level and range of services provided to major clients.</w:t>
      </w:r>
    </w:p>
    <w:p>
      <w:pPr>
        <w:spacing w:after="0" w:line="188"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It is also important to be able to access a large network of skilled workers and to be able to "create" certain hard-to-find skills by offering training to available workers. The Company's competitive position is enhanced by being able to offer a wide variety of skills in some of the most important market segments for temporary work through the use of training systems.</w:t>
      </w:r>
    </w:p>
    <w:p>
      <w:pPr>
        <w:spacing w:after="0" w:line="187"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For the office workers, the Company has a proprietary training system called Skillware(R) which allows temporary workers to quickly and conveniently learn new or enhance existing skills in over 50 different word processing, database, spreadsheet, graphics, desktop publishing, electronic scheduling and calendaring groupware, project management and operating system applications from a variety of manufacturers including Microsoft and Lotus. The Company also develops Skillware(R) training to prepare workers to take positions in contact centers, banks and other organizations where transaction processing skills are required. In addition, to assist its temporary workers in improving general office skills, the Company offers a variety of specific skill development programs in spelling, punctuation and keyboard skills.</w:t>
      </w:r>
    </w:p>
    <w:p>
      <w:pPr>
        <w:spacing w:after="0" w:line="190" w:lineRule="exact"/>
        <w:rPr>
          <w:sz w:val="20"/>
          <w:szCs w:val="20"/>
          <w:color w:val="auto"/>
        </w:rPr>
      </w:pPr>
    </w:p>
    <w:p>
      <w:pPr>
        <w:ind w:right="2639" w:firstLine="576"/>
        <w:spacing w:after="0" w:line="263" w:lineRule="auto"/>
        <w:rPr>
          <w:sz w:val="20"/>
          <w:szCs w:val="20"/>
          <w:color w:val="auto"/>
        </w:rPr>
      </w:pPr>
      <w:r>
        <w:rPr>
          <w:rFonts w:ascii="Courier New" w:cs="Courier New" w:eastAsia="Courier New" w:hAnsi="Courier New"/>
          <w:sz w:val="15"/>
          <w:szCs w:val="15"/>
          <w:color w:val="auto"/>
        </w:rPr>
        <w:t>Skillware(R) is a thorough hands-on program enabling workers to become productive independent operators. The Skillware(R) system combines the human elements of classroom instruction with the self-paced work-related aspects of a computer delivered system. A Skillware(R) administrator sets up the training, monitors all sessions and is available to answer questions. New Skillware(R) is constantly developed or updated as new software programs are introduced.</w:t>
      </w:r>
    </w:p>
    <w:p>
      <w:pPr>
        <w:spacing w:after="0" w:line="176"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The Company has partnered with Smart Force to develop TechTrack, a training program for technical professionals. TechTrack is an interactive, self-directed training program which enhances technical employees' skills to meet the current and emerging demands of the business environment. TechTrack offers a spectrum of instruction focusing on client/server, mainframe, internet, networking and operating systems technologies. The training prepares technical employees for certification testing by guiding them through E-Commerce, Visual Basic, C++ Programming, COBOL, JAVA, SAP, PowerBuilder, IEEE LAN Architecture and more than 1,000 other courses.</w:t>
      </w:r>
    </w:p>
    <w:p>
      <w:pPr>
        <w:spacing w:after="0" w:line="189" w:lineRule="exact"/>
        <w:rPr>
          <w:sz w:val="20"/>
          <w:szCs w:val="20"/>
          <w:color w:val="auto"/>
        </w:rPr>
      </w:pPr>
    </w:p>
    <w:p>
      <w:pPr>
        <w:ind w:right="2639" w:firstLine="576"/>
        <w:spacing w:after="0" w:line="244" w:lineRule="auto"/>
        <w:rPr>
          <w:sz w:val="20"/>
          <w:szCs w:val="20"/>
          <w:color w:val="auto"/>
        </w:rPr>
      </w:pPr>
      <w:r>
        <w:rPr>
          <w:rFonts w:ascii="Courier New" w:cs="Courier New" w:eastAsia="Courier New" w:hAnsi="Courier New"/>
          <w:sz w:val="16"/>
          <w:szCs w:val="16"/>
          <w:color w:val="auto"/>
        </w:rPr>
        <w:t>The Company has developed the Global Learning Center ("GLC"), an on-line university for its permanent employees and temporary workers. The GLC provides skills training, assessment, and other career-related services. Students of the GLC have access to Skillware(R) training or can select from more than 1,500 courses in the areas of client-server, programming, Internet development, and business skills.</w:t>
      </w:r>
    </w:p>
    <w:p>
      <w:pPr>
        <w:spacing w:after="0" w:line="188"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Although temporary help firms compete in a local market, for administrative purposes, the largest customers demand national, and increasingly global, arrangements. A large national or multi-national customer will frequently enter into non-exclusive arrangements with several firms, with the ultimate choice among them being left to its local managers; this effectively limits competition to the few firms, including the Company, with large branch networks. National arrangements, which generally fix either the pricing or mark-up on services performed in a particular country, represented approximately 45% of the Company's sales in 2000. Global arrangements, where the Company services multinational customers in several countries, represented approximately 15% of the Company's sales in 2000. Because the Company provides services to a wide variety of customers, there is no one customer that individually comprises a significant portion of revenues within a given geographic region or for the Company as a whole.</w:t>
      </w:r>
    </w:p>
    <w:p>
      <w:pPr>
        <w:sectPr>
          <w:pgSz w:w="11900" w:h="16838" w:orient="portrait"/>
          <w:cols w:equalWidth="0" w:num="1">
            <w:col w:w="10219"/>
          </w:cols>
          <w:pgMar w:left="240" w:top="300" w:right="1440" w:bottom="826" w:gutter="0" w:footer="0" w:header="0"/>
        </w:sectPr>
      </w:pPr>
    </w:p>
    <w:p>
      <w:pPr>
        <w:spacing w:after="0" w:line="200" w:lineRule="exact"/>
        <w:rPr>
          <w:sz w:val="20"/>
          <w:szCs w:val="20"/>
          <w:color w:val="auto"/>
        </w:rPr>
      </w:pPr>
    </w:p>
    <w:p>
      <w:pPr>
        <w:spacing w:after="0" w:line="35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0" w:right="1440" w:bottom="826" w:gutter="0" w:footer="0" w:header="0"/>
          <w:type w:val="continuous"/>
        </w:sectPr>
      </w:pPr>
    </w:p>
    <w:bookmarkStart w:id="5" w:name="page6"/>
    <w:bookmarkEnd w:id="5"/>
    <w:p>
      <w:pPr>
        <w:ind w:left="281"/>
        <w:spacing w:after="0"/>
        <w:rPr>
          <w:sz w:val="20"/>
          <w:szCs w:val="20"/>
          <w:color w:val="auto"/>
        </w:rPr>
      </w:pPr>
      <w:r>
        <w:rPr>
          <w:rFonts w:ascii="Courier New" w:cs="Courier New" w:eastAsia="Courier New" w:hAnsi="Courier New"/>
          <w:sz w:val="16"/>
          <w:szCs w:val="16"/>
          <w:color w:val="auto"/>
        </w:rPr>
        <w:t>6</w:t>
      </w:r>
    </w:p>
    <w:p>
      <w:pPr>
        <w:spacing w:after="0" w:line="190" w:lineRule="exact"/>
        <w:rPr>
          <w:sz w:val="20"/>
          <w:szCs w:val="20"/>
          <w:color w:val="auto"/>
        </w:rPr>
      </w:pPr>
    </w:p>
    <w:p>
      <w:pPr>
        <w:ind w:left="1" w:right="2539" w:firstLine="576"/>
        <w:spacing w:after="0" w:line="262" w:lineRule="auto"/>
        <w:rPr>
          <w:sz w:val="20"/>
          <w:szCs w:val="20"/>
          <w:color w:val="auto"/>
        </w:rPr>
      </w:pPr>
      <w:r>
        <w:rPr>
          <w:rFonts w:ascii="Courier New" w:cs="Courier New" w:eastAsia="Courier New" w:hAnsi="Courier New"/>
          <w:sz w:val="15"/>
          <w:szCs w:val="15"/>
          <w:color w:val="auto"/>
        </w:rPr>
        <w:t>The Company competes in the large company market by providing permanent staff training using its Skillware(R) training capability to train the permanent employees of large companies in a variety of office software applications. To date, more than 8 million people have used Skillware(R) training. The Company believes its capability to offer permanent staff training, in addition to generating sufficient revenue to offset development costs, provides it with a key marketing advantage over its competitors in supplying temporary staff to companies where it has been involved in significant staff training.</w:t>
      </w:r>
    </w:p>
    <w:p>
      <w:pPr>
        <w:spacing w:after="0" w:line="179" w:lineRule="exact"/>
        <w:rPr>
          <w:sz w:val="20"/>
          <w:szCs w:val="20"/>
          <w:color w:val="auto"/>
        </w:rPr>
      </w:pPr>
    </w:p>
    <w:p>
      <w:pPr>
        <w:ind w:left="1" w:right="2539" w:firstLine="576"/>
        <w:spacing w:after="0" w:line="244" w:lineRule="auto"/>
        <w:rPr>
          <w:sz w:val="20"/>
          <w:szCs w:val="20"/>
          <w:color w:val="auto"/>
        </w:rPr>
      </w:pPr>
      <w:r>
        <w:rPr>
          <w:rFonts w:ascii="Courier New" w:cs="Courier New" w:eastAsia="Courier New" w:hAnsi="Courier New"/>
          <w:sz w:val="16"/>
          <w:szCs w:val="16"/>
          <w:color w:val="auto"/>
        </w:rPr>
        <w:t>The Company uses UltraSource, which is a comprehensive order management system that is powered by the Internet. This advanced web-based tool is expected to provide efficiency to the Company's major customers, subcontractors and internal operations by managing the order workflow through a six-step process. Currently, the Company is managing nearly $300 million of staffing business for certain major customers using UltraSource.</w:t>
      </w:r>
    </w:p>
    <w:p>
      <w:pPr>
        <w:spacing w:after="0" w:line="371" w:lineRule="exact"/>
        <w:rPr>
          <w:sz w:val="20"/>
          <w:szCs w:val="20"/>
          <w:color w:val="auto"/>
        </w:rPr>
      </w:pPr>
    </w:p>
    <w:p>
      <w:pPr>
        <w:ind w:left="3361"/>
        <w:spacing w:after="0"/>
        <w:rPr>
          <w:sz w:val="20"/>
          <w:szCs w:val="20"/>
          <w:color w:val="auto"/>
        </w:rPr>
      </w:pPr>
      <w:r>
        <w:rPr>
          <w:rFonts w:ascii="Courier New" w:cs="Courier New" w:eastAsia="Courier New" w:hAnsi="Courier New"/>
          <w:sz w:val="16"/>
          <w:szCs w:val="16"/>
          <w:color w:val="auto"/>
        </w:rPr>
        <w:t>REGULATION</w:t>
      </w:r>
    </w:p>
    <w:p>
      <w:pPr>
        <w:spacing w:after="0" w:line="190" w:lineRule="exact"/>
        <w:rPr>
          <w:sz w:val="20"/>
          <w:szCs w:val="20"/>
          <w:color w:val="auto"/>
        </w:rPr>
      </w:pPr>
    </w:p>
    <w:p>
      <w:pPr>
        <w:ind w:left="1" w:right="2639" w:firstLine="576"/>
        <w:spacing w:after="0" w:line="244" w:lineRule="auto"/>
        <w:rPr>
          <w:sz w:val="20"/>
          <w:szCs w:val="20"/>
          <w:color w:val="auto"/>
        </w:rPr>
      </w:pPr>
      <w:r>
        <w:rPr>
          <w:rFonts w:ascii="Courier New" w:cs="Courier New" w:eastAsia="Courier New" w:hAnsi="Courier New"/>
          <w:sz w:val="16"/>
          <w:szCs w:val="16"/>
          <w:color w:val="auto"/>
        </w:rPr>
        <w:t>The temporary employment services industry is closely regulated in all of the major markets in which the Company operates except the United States and Canada. Temporary employment service firms are generally subject to one or more of the following types of government regulation: (i) regulation of the employer/employee relationship between the firm and its temporary employees;</w:t>
      </w:r>
    </w:p>
    <w:p>
      <w:pPr>
        <w:spacing w:after="0" w:line="1" w:lineRule="exact"/>
        <w:rPr>
          <w:sz w:val="20"/>
          <w:szCs w:val="20"/>
          <w:color w:val="auto"/>
        </w:rPr>
      </w:pPr>
    </w:p>
    <w:p>
      <w:pPr>
        <w:ind w:left="481" w:hanging="481"/>
        <w:spacing w:after="0"/>
        <w:tabs>
          <w:tab w:leader="none" w:pos="4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licensing, record keeping and reporting requirements; and</w:t>
      </w:r>
    </w:p>
    <w:p>
      <w:pPr>
        <w:spacing w:after="0" w:line="5" w:lineRule="exact"/>
        <w:rPr>
          <w:rFonts w:ascii="Courier New" w:cs="Courier New" w:eastAsia="Courier New" w:hAnsi="Courier New"/>
          <w:sz w:val="16"/>
          <w:szCs w:val="16"/>
          <w:color w:val="auto"/>
        </w:rPr>
      </w:pPr>
    </w:p>
    <w:p>
      <w:pPr>
        <w:ind w:left="1" w:right="3399" w:hanging="1"/>
        <w:spacing w:after="0" w:line="242" w:lineRule="auto"/>
        <w:tabs>
          <w:tab w:leader="none" w:pos="57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substantive limitations on its operations or the use of temporary employees by customers.</w:t>
      </w:r>
    </w:p>
    <w:p>
      <w:pPr>
        <w:spacing w:after="0" w:line="189" w:lineRule="exact"/>
        <w:rPr>
          <w:sz w:val="20"/>
          <w:szCs w:val="20"/>
          <w:color w:val="auto"/>
        </w:rPr>
      </w:pPr>
    </w:p>
    <w:p>
      <w:pPr>
        <w:ind w:left="1" w:right="2719" w:firstLine="576"/>
        <w:spacing w:after="0" w:line="244" w:lineRule="auto"/>
        <w:rPr>
          <w:sz w:val="20"/>
          <w:szCs w:val="20"/>
          <w:color w:val="auto"/>
        </w:rPr>
      </w:pPr>
      <w:r>
        <w:rPr>
          <w:rFonts w:ascii="Courier New" w:cs="Courier New" w:eastAsia="Courier New" w:hAnsi="Courier New"/>
          <w:sz w:val="16"/>
          <w:szCs w:val="16"/>
          <w:color w:val="auto"/>
        </w:rPr>
        <w:t>In many markets, the existence or absence of collective bargaining agreements with labor organizations has a significant impact on the Company's operations and the ability of customers to use the Company's services. In some markets, labor agreements are structured on an industry-wide (rather than company-by-company) basis. Changes in these collective labor agreements have occurred in the past and are expected to occur in the future and may have a material impact on the operations of temporary employment services firms, including the Company.</w:t>
      </w:r>
    </w:p>
    <w:p>
      <w:pPr>
        <w:spacing w:after="0" w:line="189" w:lineRule="exact"/>
        <w:rPr>
          <w:sz w:val="20"/>
          <w:szCs w:val="20"/>
          <w:color w:val="auto"/>
        </w:rPr>
      </w:pPr>
    </w:p>
    <w:p>
      <w:pPr>
        <w:ind w:left="1" w:right="2639" w:firstLine="576"/>
        <w:spacing w:after="0" w:line="244" w:lineRule="auto"/>
        <w:rPr>
          <w:sz w:val="20"/>
          <w:szCs w:val="20"/>
          <w:color w:val="auto"/>
        </w:rPr>
      </w:pPr>
      <w:r>
        <w:rPr>
          <w:rFonts w:ascii="Courier New" w:cs="Courier New" w:eastAsia="Courier New" w:hAnsi="Courier New"/>
          <w:sz w:val="16"/>
          <w:szCs w:val="16"/>
          <w:color w:val="auto"/>
        </w:rPr>
        <w:t>In many countries, including the United States and the United Kingdom, temporary employment services firms are considered the legal employers of temporary workers. Therefore, the firm is governed by laws regulating the employer/employee relationship, such as tax withholding or reporting, social security or retirement, anti-discrimination and workers' compensation. In other countries, temporary employment services firms, while not the direct legal employer of temporary workers, are still responsible for collecting taxes and social security deductions and transmitting such amounts to the taxing authorities.</w:t>
      </w:r>
    </w:p>
    <w:p>
      <w:pPr>
        <w:spacing w:after="0" w:line="189" w:lineRule="exact"/>
        <w:rPr>
          <w:sz w:val="20"/>
          <w:szCs w:val="20"/>
          <w:color w:val="auto"/>
        </w:rPr>
      </w:pPr>
    </w:p>
    <w:p>
      <w:pPr>
        <w:ind w:left="1" w:right="2639" w:firstLine="576"/>
        <w:spacing w:after="0" w:line="244" w:lineRule="auto"/>
        <w:rPr>
          <w:sz w:val="20"/>
          <w:szCs w:val="20"/>
          <w:color w:val="auto"/>
        </w:rPr>
      </w:pPr>
      <w:r>
        <w:rPr>
          <w:rFonts w:ascii="Courier New" w:cs="Courier New" w:eastAsia="Courier New" w:hAnsi="Courier New"/>
          <w:sz w:val="16"/>
          <w:szCs w:val="16"/>
          <w:color w:val="auto"/>
        </w:rPr>
        <w:t>In many countries, particularly in continental Europe, entry into the temporary employment market is restricted by the requirement to register with, or obtain licenses from, a government agency. In addition, a wide variety of ministerial requirements may be imposed, such as record keeping, written contracts and reporting. The United States and Canada do not presently have any form of national registration or licensing requirement.</w:t>
      </w:r>
    </w:p>
    <w:p>
      <w:pPr>
        <w:spacing w:after="0" w:line="188" w:lineRule="exact"/>
        <w:rPr>
          <w:sz w:val="20"/>
          <w:szCs w:val="20"/>
          <w:color w:val="auto"/>
        </w:rPr>
      </w:pPr>
    </w:p>
    <w:p>
      <w:pPr>
        <w:ind w:left="1" w:right="2539" w:firstLine="576"/>
        <w:spacing w:after="0" w:line="244" w:lineRule="auto"/>
        <w:rPr>
          <w:sz w:val="20"/>
          <w:szCs w:val="20"/>
          <w:color w:val="auto"/>
        </w:rPr>
      </w:pPr>
      <w:r>
        <w:rPr>
          <w:rFonts w:ascii="Courier New" w:cs="Courier New" w:eastAsia="Courier New" w:hAnsi="Courier New"/>
          <w:sz w:val="16"/>
          <w:szCs w:val="16"/>
          <w:color w:val="auto"/>
        </w:rPr>
        <w:t>In addition to licensing or registration requirements, many countries impose substantive restrictions on the use of temporary employment services. Such restrictions include regulations affecting the types of work permitted, the maximum length of a temporary assignment, wage levels, or reasons for which temporary workers may be employed. In some countries special taxes, fees or costs are imposed in connection with the use of temporary workers. For example, in France, temporary workers are entitled to a 10% allowance for the precarious nature of employment which is eliminated if a full-time position is offered to them within three days. In some countries, the contract of employment with the temporary employee must differ from the length of assignment.</w:t>
      </w:r>
    </w:p>
    <w:p>
      <w:pPr>
        <w:spacing w:after="0" w:line="190" w:lineRule="exact"/>
        <w:rPr>
          <w:sz w:val="20"/>
          <w:szCs w:val="20"/>
          <w:color w:val="auto"/>
        </w:rPr>
      </w:pPr>
    </w:p>
    <w:p>
      <w:pPr>
        <w:ind w:left="1" w:right="2639" w:firstLine="576"/>
        <w:spacing w:after="0" w:line="244" w:lineRule="auto"/>
        <w:rPr>
          <w:sz w:val="20"/>
          <w:szCs w:val="20"/>
          <w:color w:val="auto"/>
        </w:rPr>
      </w:pPr>
      <w:r>
        <w:rPr>
          <w:rFonts w:ascii="Courier New" w:cs="Courier New" w:eastAsia="Courier New" w:hAnsi="Courier New"/>
          <w:sz w:val="16"/>
          <w:szCs w:val="16"/>
          <w:color w:val="auto"/>
        </w:rPr>
        <w:t>In the United States, the Company is subject to various federal and state laws relating to franchising, principally the Federal Trade Commission's franchise rules and analogous state laws. These laws and related rules and regulations impose specific disclosure requirements. Virtually all states also regulate the termination of franchises. See "Management's Discussion and Analysis of Financial Condition and Results of Operations - Legal Regulations and Union Relationships" which is found in the Company's 2000 Annual Report to Shareholders and which is incorporated herein by reference.</w:t>
      </w:r>
    </w:p>
    <w:p>
      <w:pPr>
        <w:sectPr>
          <w:pgSz w:w="11900" w:h="16838" w:orient="portrait"/>
          <w:cols w:equalWidth="0" w:num="1">
            <w:col w:w="10221"/>
          </w:cols>
          <w:pgMar w:left="239" w:top="300" w:right="1440" w:bottom="10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1"/>
          </w:cols>
          <w:pgMar w:left="239" w:top="300" w:right="1440" w:bottom="1011" w:gutter="0" w:footer="0" w:header="0"/>
          <w:type w:val="continuous"/>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7</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TRADEMARKS</w:t>
      </w:r>
    </w:p>
    <w:p>
      <w:pPr>
        <w:spacing w:after="0" w:line="190" w:lineRule="exact"/>
        <w:rPr>
          <w:sz w:val="20"/>
          <w:szCs w:val="20"/>
          <w:color w:val="auto"/>
        </w:rPr>
      </w:pPr>
    </w:p>
    <w:p>
      <w:pPr>
        <w:ind w:right="2719" w:firstLine="576"/>
        <w:spacing w:after="0" w:line="244" w:lineRule="auto"/>
        <w:rPr>
          <w:sz w:val="20"/>
          <w:szCs w:val="20"/>
          <w:color w:val="auto"/>
        </w:rPr>
      </w:pPr>
      <w:r>
        <w:rPr>
          <w:rFonts w:ascii="Courier New" w:cs="Courier New" w:eastAsia="Courier New" w:hAnsi="Courier New"/>
          <w:sz w:val="16"/>
          <w:szCs w:val="16"/>
          <w:color w:val="auto"/>
        </w:rPr>
        <w:t>The Company maintains a number of registered trademarks, trade names and service marks in the United States and certain other countries. The Company believes that many of these marks and trade names, including Manpower(R), Ultraskill(R) and Skillware(R), have significant value and are materially important to its business. In addition, the Company maintains other intangible property rights.</w:t>
      </w:r>
    </w:p>
    <w:p>
      <w:pPr>
        <w:spacing w:after="0" w:line="186"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EMPLOYEES</w:t>
      </w:r>
    </w:p>
    <w:p>
      <w:pPr>
        <w:spacing w:after="0" w:line="190"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The Company had approximately 19,400 permanent full-time employees at December 31, 2000. In addition, the Company estimates that it assigned over 2.7 million temporary workers on a worldwide basis during 2000. As described above, in most jurisdictions, the Company (through its subsidiaries), as the employer of its temporary workers or, as otherwise required by applicable law, is responsible for employment administration, including collection of withholding taxes, employer contributions for social security (or its equivalent outside the United States), unemployment tax, workers' compensation and fidelity and liability insurance, and other governmental requirements imposed on employers. In most jurisdictions where such benefits are not legally required, including the United States, the Company provides health and life insurance, paid holidays and paid vacations to qualifying temporary employees.</w:t>
      </w:r>
    </w:p>
    <w:p>
      <w:pPr>
        <w:spacing w:after="0" w:line="189"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FINANCIAL INFORMATION ABOUT FOREIGN AND DOMESTIC</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OPERATIONS AND EXPORT SALES</w:t>
      </w:r>
    </w:p>
    <w:p>
      <w:pPr>
        <w:spacing w:after="0" w:line="190" w:lineRule="exact"/>
        <w:rPr>
          <w:sz w:val="20"/>
          <w:szCs w:val="20"/>
          <w:color w:val="auto"/>
        </w:rPr>
      </w:pPr>
    </w:p>
    <w:p>
      <w:pPr>
        <w:ind w:right="2639" w:firstLine="576"/>
        <w:spacing w:after="0" w:line="244" w:lineRule="auto"/>
        <w:rPr>
          <w:sz w:val="20"/>
          <w:szCs w:val="20"/>
          <w:color w:val="auto"/>
        </w:rPr>
      </w:pPr>
      <w:r>
        <w:rPr>
          <w:rFonts w:ascii="Courier New" w:cs="Courier New" w:eastAsia="Courier New" w:hAnsi="Courier New"/>
          <w:sz w:val="16"/>
          <w:szCs w:val="16"/>
          <w:color w:val="auto"/>
        </w:rPr>
        <w:t>Note 14 to the Company's Consolidated Financial Statements sets forth the revenues, operating unit profit and identifiable assets derived from each geographical area for the years ended December 31, 2000, 1999 and 1998. Such note is found in the Company's 2000 Annual Report to Shareholders and is incorporated herein by reference.</w:t>
      </w:r>
    </w:p>
    <w:p>
      <w:pPr>
        <w:spacing w:after="0" w:line="18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2.</w:t>
        <w:tab/>
        <w:t>PROPERTIES</w:t>
      </w:r>
    </w:p>
    <w:p>
      <w:pPr>
        <w:spacing w:after="0" w:line="190" w:lineRule="exact"/>
        <w:rPr>
          <w:sz w:val="20"/>
          <w:szCs w:val="20"/>
          <w:color w:val="auto"/>
        </w:rPr>
      </w:pPr>
    </w:p>
    <w:p>
      <w:pPr>
        <w:ind w:right="2919" w:firstLine="576"/>
        <w:spacing w:after="0" w:line="244" w:lineRule="auto"/>
        <w:rPr>
          <w:sz w:val="20"/>
          <w:szCs w:val="20"/>
          <w:color w:val="auto"/>
        </w:rPr>
      </w:pPr>
      <w:r>
        <w:rPr>
          <w:rFonts w:ascii="Courier New" w:cs="Courier New" w:eastAsia="Courier New" w:hAnsi="Courier New"/>
          <w:sz w:val="16"/>
          <w:szCs w:val="16"/>
          <w:color w:val="auto"/>
        </w:rPr>
        <w:t>The Company's international headquarters are in Glendale, Wisconsin, a suburb of Milwaukee. The Company owns, free of any material encumbrances, an 82,000 square foot building and a 32,000 square foot building situated on a sixteen-acre site in Glendale, Wisconsin. The Company also owns additional properties at various other locations which are not material.</w:t>
      </w:r>
    </w:p>
    <w:p>
      <w:pPr>
        <w:spacing w:after="0" w:line="187" w:lineRule="exact"/>
        <w:rPr>
          <w:sz w:val="20"/>
          <w:szCs w:val="20"/>
          <w:color w:val="auto"/>
        </w:rPr>
      </w:pPr>
    </w:p>
    <w:p>
      <w:pPr>
        <w:ind w:right="2639" w:firstLine="576"/>
        <w:spacing w:after="0" w:line="243" w:lineRule="auto"/>
        <w:rPr>
          <w:sz w:val="20"/>
          <w:szCs w:val="20"/>
          <w:color w:val="auto"/>
        </w:rPr>
      </w:pPr>
      <w:r>
        <w:rPr>
          <w:rFonts w:ascii="Courier New" w:cs="Courier New" w:eastAsia="Courier New" w:hAnsi="Courier New"/>
          <w:sz w:val="16"/>
          <w:szCs w:val="16"/>
          <w:color w:val="auto"/>
        </w:rPr>
        <w:t>Most of the Company's operations are conducted from leased premises, none of which are material to the Company taken as a whole. The Company does not anticipate any difficulty in renewing these leases or in finding alternative sites in the ordinary course of business.</w:t>
      </w:r>
    </w:p>
    <w:p>
      <w:pPr>
        <w:spacing w:after="0" w:line="1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3.</w:t>
        <w:tab/>
        <w:t>LEGAL PROCEEDINGS</w:t>
      </w:r>
    </w:p>
    <w:p>
      <w:pPr>
        <w:spacing w:after="0" w:line="190" w:lineRule="exact"/>
        <w:rPr>
          <w:sz w:val="20"/>
          <w:szCs w:val="20"/>
          <w:color w:val="auto"/>
        </w:rPr>
      </w:pPr>
    </w:p>
    <w:p>
      <w:pPr>
        <w:ind w:right="2919" w:firstLine="576"/>
        <w:spacing w:after="0" w:line="243" w:lineRule="auto"/>
        <w:rPr>
          <w:sz w:val="20"/>
          <w:szCs w:val="20"/>
          <w:color w:val="auto"/>
        </w:rPr>
      </w:pPr>
      <w:r>
        <w:rPr>
          <w:rFonts w:ascii="Courier New" w:cs="Courier New" w:eastAsia="Courier New" w:hAnsi="Courier New"/>
          <w:sz w:val="16"/>
          <w:szCs w:val="16"/>
          <w:color w:val="auto"/>
        </w:rPr>
        <w:t>The Company is involved in litigation of a routine nature and various legal matters which are being defended and handled in the ordinary course of business.</w:t>
      </w:r>
    </w:p>
    <w:p>
      <w:pPr>
        <w:spacing w:after="0" w:line="18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4.</w:t>
        <w:tab/>
        <w:t>SUBMISSION OF MATTERS TO A VOTE OF SECURITY HOLDERS</w:t>
      </w:r>
    </w:p>
    <w:p>
      <w:pPr>
        <w:spacing w:after="0" w:line="188"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Not applicable.</w:t>
      </w:r>
    </w:p>
    <w:p>
      <w:pPr>
        <w:spacing w:after="0" w:line="188"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EXECUTIVE OFFICERS OF THE REGISTRANT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6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Name of Officer</w:t>
            </w:r>
          </w:p>
        </w:tc>
        <w:tc>
          <w:tcPr>
            <w:tcW w:w="5420" w:type="dxa"/>
            <w:vAlign w:val="bottom"/>
          </w:tcPr>
          <w:p>
            <w:pPr>
              <w:ind w:left="2160"/>
              <w:spacing w:after="0"/>
              <w:rPr>
                <w:sz w:val="20"/>
                <w:szCs w:val="20"/>
                <w:color w:val="auto"/>
              </w:rPr>
            </w:pPr>
            <w:r>
              <w:rPr>
                <w:rFonts w:ascii="Courier New" w:cs="Courier New" w:eastAsia="Courier New" w:hAnsi="Courier New"/>
                <w:sz w:val="16"/>
                <w:szCs w:val="16"/>
                <w:color w:val="auto"/>
              </w:rPr>
              <w:t>Office</w:t>
            </w:r>
          </w:p>
        </w:tc>
      </w:tr>
      <w:tr>
        <w:trPr>
          <w:trHeight w:val="185"/>
        </w:trPr>
        <w:tc>
          <w:tcPr>
            <w:tcW w:w="22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 --------------------</w:t>
            </w:r>
          </w:p>
        </w:tc>
        <w:tc>
          <w:tcPr>
            <w:tcW w:w="5420" w:type="dxa"/>
            <w:vAlign w:val="bottom"/>
          </w:tcPr>
          <w:p>
            <w:pPr>
              <w:ind w:left="1960"/>
              <w:spacing w:after="0"/>
              <w:rPr>
                <w:sz w:val="20"/>
                <w:szCs w:val="20"/>
                <w:color w:val="auto"/>
              </w:rPr>
            </w:pPr>
            <w:r>
              <w:rPr>
                <w:rFonts w:ascii="Courier New" w:cs="Courier New" w:eastAsia="Courier New" w:hAnsi="Courier New"/>
                <w:sz w:val="16"/>
                <w:szCs w:val="16"/>
                <w:color w:val="auto"/>
              </w:rPr>
              <w:t>-------------</w:t>
            </w:r>
          </w:p>
        </w:tc>
      </w:tr>
      <w:tr>
        <w:trPr>
          <w:trHeight w:val="370"/>
        </w:trPr>
        <w:tc>
          <w:tcPr>
            <w:tcW w:w="2260" w:type="dxa"/>
            <w:vAlign w:val="bottom"/>
          </w:tcPr>
          <w:p>
            <w:pPr>
              <w:jc w:val="right"/>
              <w:ind w:right="460"/>
              <w:spacing w:after="0"/>
              <w:rPr>
                <w:sz w:val="20"/>
                <w:szCs w:val="20"/>
                <w:color w:val="auto"/>
              </w:rPr>
            </w:pPr>
            <w:r>
              <w:rPr>
                <w:rFonts w:ascii="Courier New" w:cs="Courier New" w:eastAsia="Courier New" w:hAnsi="Courier New"/>
                <w:sz w:val="16"/>
                <w:szCs w:val="16"/>
                <w:color w:val="auto"/>
                <w:w w:val="98"/>
              </w:rPr>
              <w:t>Jeffrey A. Joerres</w:t>
            </w:r>
          </w:p>
        </w:tc>
        <w:tc>
          <w:tcPr>
            <w:tcW w:w="5420" w:type="dxa"/>
            <w:vAlign w:val="bottom"/>
          </w:tcPr>
          <w:p>
            <w:pPr>
              <w:ind w:left="140"/>
              <w:spacing w:after="0"/>
              <w:rPr>
                <w:sz w:val="20"/>
                <w:szCs w:val="20"/>
                <w:color w:val="auto"/>
              </w:rPr>
            </w:pPr>
            <w:r>
              <w:rPr>
                <w:rFonts w:ascii="Courier New" w:cs="Courier New" w:eastAsia="Courier New" w:hAnsi="Courier New"/>
                <w:sz w:val="16"/>
                <w:szCs w:val="16"/>
                <w:color w:val="auto"/>
              </w:rPr>
              <w:t>President and Chief Executive Officer and a</w:t>
            </w:r>
          </w:p>
        </w:tc>
      </w:tr>
      <w:tr>
        <w:trPr>
          <w:trHeight w:val="185"/>
        </w:trPr>
        <w:tc>
          <w:tcPr>
            <w:tcW w:w="2260" w:type="dxa"/>
            <w:vAlign w:val="bottom"/>
          </w:tcPr>
          <w:p>
            <w:pPr>
              <w:jc w:val="right"/>
              <w:ind w:right="1420"/>
              <w:spacing w:after="0"/>
              <w:rPr>
                <w:sz w:val="20"/>
                <w:szCs w:val="20"/>
                <w:color w:val="auto"/>
              </w:rPr>
            </w:pPr>
            <w:r>
              <w:rPr>
                <w:rFonts w:ascii="Courier New" w:cs="Courier New" w:eastAsia="Courier New" w:hAnsi="Courier New"/>
                <w:sz w:val="16"/>
                <w:szCs w:val="16"/>
                <w:color w:val="auto"/>
              </w:rPr>
              <w:t>Age 41</w:t>
            </w:r>
          </w:p>
        </w:tc>
        <w:tc>
          <w:tcPr>
            <w:tcW w:w="5420" w:type="dxa"/>
            <w:vAlign w:val="bottom"/>
          </w:tcPr>
          <w:p>
            <w:pPr>
              <w:ind w:left="140"/>
              <w:spacing w:after="0"/>
              <w:rPr>
                <w:sz w:val="20"/>
                <w:szCs w:val="20"/>
                <w:color w:val="auto"/>
              </w:rPr>
            </w:pPr>
            <w:r>
              <w:rPr>
                <w:rFonts w:ascii="Courier New" w:cs="Courier New" w:eastAsia="Courier New" w:hAnsi="Courier New"/>
                <w:sz w:val="16"/>
                <w:szCs w:val="16"/>
                <w:color w:val="auto"/>
              </w:rPr>
              <w:t>director of the Company since April, 1999. Senior Vice</w:t>
            </w:r>
          </w:p>
        </w:tc>
      </w:tr>
      <w:tr>
        <w:trPr>
          <w:trHeight w:val="185"/>
        </w:trPr>
        <w:tc>
          <w:tcPr>
            <w:tcW w:w="2260" w:type="dxa"/>
            <w:vAlign w:val="bottom"/>
          </w:tcPr>
          <w:p>
            <w:pPr>
              <w:spacing w:after="0"/>
              <w:rPr>
                <w:sz w:val="16"/>
                <w:szCs w:val="16"/>
                <w:color w:val="auto"/>
              </w:rPr>
            </w:pPr>
          </w:p>
        </w:tc>
        <w:tc>
          <w:tcPr>
            <w:tcW w:w="5420" w:type="dxa"/>
            <w:vAlign w:val="bottom"/>
          </w:tcPr>
          <w:p>
            <w:pPr>
              <w:ind w:left="140"/>
              <w:spacing w:after="0"/>
              <w:rPr>
                <w:sz w:val="20"/>
                <w:szCs w:val="20"/>
                <w:color w:val="auto"/>
              </w:rPr>
            </w:pPr>
            <w:r>
              <w:rPr>
                <w:rFonts w:ascii="Courier New" w:cs="Courier New" w:eastAsia="Courier New" w:hAnsi="Courier New"/>
                <w:sz w:val="16"/>
                <w:szCs w:val="16"/>
                <w:color w:val="auto"/>
                <w:w w:val="99"/>
              </w:rPr>
              <w:t>President - European Operations and Marketing and Major</w:t>
            </w:r>
          </w:p>
        </w:tc>
      </w:tr>
      <w:tr>
        <w:trPr>
          <w:trHeight w:val="185"/>
        </w:trPr>
        <w:tc>
          <w:tcPr>
            <w:tcW w:w="2260" w:type="dxa"/>
            <w:vAlign w:val="bottom"/>
          </w:tcPr>
          <w:p>
            <w:pPr>
              <w:spacing w:after="0"/>
              <w:rPr>
                <w:sz w:val="16"/>
                <w:szCs w:val="16"/>
                <w:color w:val="auto"/>
              </w:rPr>
            </w:pPr>
          </w:p>
        </w:tc>
        <w:tc>
          <w:tcPr>
            <w:tcW w:w="5420" w:type="dxa"/>
            <w:vAlign w:val="bottom"/>
          </w:tcPr>
          <w:p>
            <w:pPr>
              <w:ind w:left="140"/>
              <w:spacing w:after="0"/>
              <w:rPr>
                <w:sz w:val="20"/>
                <w:szCs w:val="20"/>
                <w:color w:val="auto"/>
              </w:rPr>
            </w:pPr>
            <w:r>
              <w:rPr>
                <w:rFonts w:ascii="Courier New" w:cs="Courier New" w:eastAsia="Courier New" w:hAnsi="Courier New"/>
                <w:sz w:val="16"/>
                <w:szCs w:val="16"/>
                <w:color w:val="auto"/>
              </w:rPr>
              <w:t>Account Development from July, 1998 to April, 1999.</w:t>
            </w:r>
          </w:p>
        </w:tc>
      </w:tr>
      <w:tr>
        <w:trPr>
          <w:trHeight w:val="185"/>
        </w:trPr>
        <w:tc>
          <w:tcPr>
            <w:tcW w:w="2260" w:type="dxa"/>
            <w:vAlign w:val="bottom"/>
          </w:tcPr>
          <w:p>
            <w:pPr>
              <w:spacing w:after="0"/>
              <w:rPr>
                <w:sz w:val="16"/>
                <w:szCs w:val="16"/>
                <w:color w:val="auto"/>
              </w:rPr>
            </w:pPr>
          </w:p>
        </w:tc>
        <w:tc>
          <w:tcPr>
            <w:tcW w:w="5420" w:type="dxa"/>
            <w:vAlign w:val="bottom"/>
          </w:tcPr>
          <w:p>
            <w:pPr>
              <w:ind w:left="140"/>
              <w:spacing w:after="0"/>
              <w:rPr>
                <w:sz w:val="20"/>
                <w:szCs w:val="20"/>
                <w:color w:val="auto"/>
              </w:rPr>
            </w:pPr>
            <w:r>
              <w:rPr>
                <w:rFonts w:ascii="Courier New" w:cs="Courier New" w:eastAsia="Courier New" w:hAnsi="Courier New"/>
                <w:sz w:val="16"/>
                <w:szCs w:val="16"/>
                <w:color w:val="auto"/>
              </w:rPr>
              <w:t>Senior Vice President - Major Account Development of</w:t>
            </w:r>
          </w:p>
        </w:tc>
      </w:tr>
      <w:tr>
        <w:trPr>
          <w:trHeight w:val="185"/>
        </w:trPr>
        <w:tc>
          <w:tcPr>
            <w:tcW w:w="2260" w:type="dxa"/>
            <w:vAlign w:val="bottom"/>
          </w:tcPr>
          <w:p>
            <w:pPr>
              <w:spacing w:after="0"/>
              <w:rPr>
                <w:sz w:val="16"/>
                <w:szCs w:val="16"/>
                <w:color w:val="auto"/>
              </w:rPr>
            </w:pPr>
          </w:p>
        </w:tc>
        <w:tc>
          <w:tcPr>
            <w:tcW w:w="5420" w:type="dxa"/>
            <w:vAlign w:val="bottom"/>
          </w:tcPr>
          <w:p>
            <w:pPr>
              <w:ind w:left="140"/>
              <w:spacing w:after="0"/>
              <w:rPr>
                <w:sz w:val="20"/>
                <w:szCs w:val="20"/>
                <w:color w:val="auto"/>
              </w:rPr>
            </w:pPr>
            <w:r>
              <w:rPr>
                <w:rFonts w:ascii="Courier New" w:cs="Courier New" w:eastAsia="Courier New" w:hAnsi="Courier New"/>
                <w:sz w:val="16"/>
                <w:szCs w:val="16"/>
                <w:color w:val="auto"/>
              </w:rPr>
              <w:t>the Company from November, 1995 to July, 1998. Vice</w:t>
            </w:r>
          </w:p>
        </w:tc>
      </w:tr>
      <w:tr>
        <w:trPr>
          <w:trHeight w:val="185"/>
        </w:trPr>
        <w:tc>
          <w:tcPr>
            <w:tcW w:w="2260" w:type="dxa"/>
            <w:vAlign w:val="bottom"/>
          </w:tcPr>
          <w:p>
            <w:pPr>
              <w:spacing w:after="0"/>
              <w:rPr>
                <w:sz w:val="16"/>
                <w:szCs w:val="16"/>
                <w:color w:val="auto"/>
              </w:rPr>
            </w:pPr>
          </w:p>
        </w:tc>
        <w:tc>
          <w:tcPr>
            <w:tcW w:w="5420" w:type="dxa"/>
            <w:vAlign w:val="bottom"/>
          </w:tcPr>
          <w:p>
            <w:pPr>
              <w:ind w:left="140"/>
              <w:spacing w:after="0"/>
              <w:rPr>
                <w:sz w:val="20"/>
                <w:szCs w:val="20"/>
                <w:color w:val="auto"/>
              </w:rPr>
            </w:pPr>
            <w:r>
              <w:rPr>
                <w:rFonts w:ascii="Courier New" w:cs="Courier New" w:eastAsia="Courier New" w:hAnsi="Courier New"/>
                <w:sz w:val="16"/>
                <w:szCs w:val="16"/>
                <w:color w:val="auto"/>
              </w:rPr>
              <w:t>President - Marketing and Major Account Development of</w:t>
            </w:r>
          </w:p>
        </w:tc>
      </w:tr>
      <w:tr>
        <w:trPr>
          <w:trHeight w:val="185"/>
        </w:trPr>
        <w:tc>
          <w:tcPr>
            <w:tcW w:w="2260" w:type="dxa"/>
            <w:vAlign w:val="bottom"/>
          </w:tcPr>
          <w:p>
            <w:pPr>
              <w:spacing w:after="0"/>
              <w:rPr>
                <w:sz w:val="16"/>
                <w:szCs w:val="16"/>
                <w:color w:val="auto"/>
              </w:rPr>
            </w:pPr>
          </w:p>
        </w:tc>
        <w:tc>
          <w:tcPr>
            <w:tcW w:w="5420" w:type="dxa"/>
            <w:vAlign w:val="bottom"/>
          </w:tcPr>
          <w:p>
            <w:pPr>
              <w:ind w:left="140"/>
              <w:spacing w:after="0"/>
              <w:rPr>
                <w:sz w:val="20"/>
                <w:szCs w:val="20"/>
                <w:color w:val="auto"/>
              </w:rPr>
            </w:pPr>
            <w:r>
              <w:rPr>
                <w:rFonts w:ascii="Courier New" w:cs="Courier New" w:eastAsia="Courier New" w:hAnsi="Courier New"/>
                <w:sz w:val="16"/>
                <w:szCs w:val="16"/>
                <w:color w:val="auto"/>
              </w:rPr>
              <w:t>the Company from July, 1993 to November, 1995.</w:t>
            </w:r>
          </w:p>
        </w:tc>
      </w:tr>
    </w:tbl>
    <w:p>
      <w:pPr>
        <w:spacing w:after="0" w:line="200" w:lineRule="exact"/>
        <w:rPr>
          <w:sz w:val="20"/>
          <w:szCs w:val="20"/>
          <w:color w:val="auto"/>
        </w:rPr>
      </w:pPr>
    </w:p>
    <w:p>
      <w:pPr>
        <w:sectPr>
          <w:pgSz w:w="11900" w:h="16838" w:orient="portrait"/>
          <w:cols w:equalWidth="0" w:num="1">
            <w:col w:w="10219"/>
          </w:cols>
          <w:pgMar w:left="240" w:top="3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0" w:right="1440"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81"/>
        </w:trPr>
        <w:tc>
          <w:tcPr>
            <w:tcW w:w="2200" w:type="dxa"/>
            <w:vAlign w:val="bottom"/>
          </w:tcPr>
          <w:p>
            <w:pPr>
              <w:ind w:left="280"/>
              <w:spacing w:after="0"/>
              <w:rPr>
                <w:sz w:val="20"/>
                <w:szCs w:val="20"/>
                <w:color w:val="auto"/>
              </w:rPr>
            </w:pPr>
            <w:r>
              <w:rPr>
                <w:rFonts w:ascii="Courier New" w:cs="Courier New" w:eastAsia="Courier New" w:hAnsi="Courier New"/>
                <w:sz w:val="16"/>
                <w:szCs w:val="16"/>
                <w:color w:val="auto"/>
              </w:rPr>
              <w:t>8</w:t>
            </w:r>
          </w:p>
        </w:tc>
        <w:tc>
          <w:tcPr>
            <w:tcW w:w="5480" w:type="dxa"/>
            <w:vAlign w:val="bottom"/>
          </w:tcPr>
          <w:p>
            <w:pPr>
              <w:spacing w:after="0"/>
              <w:rPr>
                <w:sz w:val="15"/>
                <w:szCs w:val="15"/>
                <w:color w:val="auto"/>
              </w:rPr>
            </w:pPr>
          </w:p>
        </w:tc>
      </w:tr>
      <w:tr>
        <w:trPr>
          <w:trHeight w:val="370"/>
        </w:trPr>
        <w:tc>
          <w:tcPr>
            <w:tcW w:w="2200" w:type="dxa"/>
            <w:vAlign w:val="bottom"/>
          </w:tcPr>
          <w:p>
            <w:pPr>
              <w:spacing w:after="0"/>
              <w:rPr>
                <w:sz w:val="20"/>
                <w:szCs w:val="20"/>
                <w:color w:val="auto"/>
              </w:rPr>
            </w:pPr>
            <w:r>
              <w:rPr>
                <w:rFonts w:ascii="Courier New" w:cs="Courier New" w:eastAsia="Courier New" w:hAnsi="Courier New"/>
                <w:sz w:val="16"/>
                <w:szCs w:val="16"/>
                <w:color w:val="auto"/>
              </w:rPr>
              <w:t>Terry A. Hueneke</w:t>
            </w:r>
          </w:p>
        </w:tc>
        <w:tc>
          <w:tcPr>
            <w:tcW w:w="5480" w:type="dxa"/>
            <w:vAlign w:val="bottom"/>
          </w:tcPr>
          <w:p>
            <w:pPr>
              <w:ind w:left="200"/>
              <w:spacing w:after="0"/>
              <w:rPr>
                <w:sz w:val="20"/>
                <w:szCs w:val="20"/>
                <w:color w:val="auto"/>
              </w:rPr>
            </w:pPr>
            <w:r>
              <w:rPr>
                <w:rFonts w:ascii="Courier New" w:cs="Courier New" w:eastAsia="Courier New" w:hAnsi="Courier New"/>
                <w:sz w:val="16"/>
                <w:szCs w:val="16"/>
                <w:color w:val="auto"/>
              </w:rPr>
              <w:t>Executive Vice President of the Company and a director</w:t>
            </w:r>
          </w:p>
        </w:tc>
      </w:tr>
      <w:tr>
        <w:trPr>
          <w:trHeight w:val="185"/>
        </w:trPr>
        <w:tc>
          <w:tcPr>
            <w:tcW w:w="2200" w:type="dxa"/>
            <w:vAlign w:val="bottom"/>
          </w:tcPr>
          <w:p>
            <w:pPr>
              <w:ind w:left="100"/>
              <w:spacing w:after="0"/>
              <w:rPr>
                <w:sz w:val="20"/>
                <w:szCs w:val="20"/>
                <w:color w:val="auto"/>
              </w:rPr>
            </w:pPr>
            <w:r>
              <w:rPr>
                <w:rFonts w:ascii="Courier New" w:cs="Courier New" w:eastAsia="Courier New" w:hAnsi="Courier New"/>
                <w:sz w:val="16"/>
                <w:szCs w:val="16"/>
                <w:color w:val="auto"/>
              </w:rPr>
              <w:t>Age 58</w:t>
            </w:r>
          </w:p>
        </w:tc>
        <w:tc>
          <w:tcPr>
            <w:tcW w:w="5480" w:type="dxa"/>
            <w:vAlign w:val="bottom"/>
          </w:tcPr>
          <w:p>
            <w:pPr>
              <w:ind w:left="200"/>
              <w:spacing w:after="0"/>
              <w:rPr>
                <w:sz w:val="20"/>
                <w:szCs w:val="20"/>
                <w:color w:val="auto"/>
              </w:rPr>
            </w:pPr>
            <w:r>
              <w:rPr>
                <w:rFonts w:ascii="Courier New" w:cs="Courier New" w:eastAsia="Courier New" w:hAnsi="Courier New"/>
                <w:sz w:val="16"/>
                <w:szCs w:val="16"/>
                <w:color w:val="auto"/>
              </w:rPr>
              <w:t>since December, 1995. Senior Vice President - Group</w:t>
            </w:r>
          </w:p>
        </w:tc>
      </w:tr>
      <w:tr>
        <w:trPr>
          <w:trHeight w:val="185"/>
        </w:trPr>
        <w:tc>
          <w:tcPr>
            <w:tcW w:w="2200" w:type="dxa"/>
            <w:vAlign w:val="bottom"/>
          </w:tcPr>
          <w:p>
            <w:pPr>
              <w:spacing w:after="0"/>
              <w:rPr>
                <w:sz w:val="16"/>
                <w:szCs w:val="16"/>
                <w:color w:val="auto"/>
              </w:rPr>
            </w:pPr>
          </w:p>
        </w:tc>
        <w:tc>
          <w:tcPr>
            <w:tcW w:w="5480" w:type="dxa"/>
            <w:vAlign w:val="bottom"/>
          </w:tcPr>
          <w:p>
            <w:pPr>
              <w:ind w:left="200"/>
              <w:spacing w:after="0"/>
              <w:rPr>
                <w:sz w:val="20"/>
                <w:szCs w:val="20"/>
                <w:color w:val="auto"/>
              </w:rPr>
            </w:pPr>
            <w:r>
              <w:rPr>
                <w:rFonts w:ascii="Courier New" w:cs="Courier New" w:eastAsia="Courier New" w:hAnsi="Courier New"/>
                <w:sz w:val="16"/>
                <w:szCs w:val="16"/>
                <w:color w:val="auto"/>
              </w:rPr>
              <w:t>Executive of Manpower from 1987 until 1996.</w:t>
            </w:r>
          </w:p>
        </w:tc>
      </w:tr>
      <w:tr>
        <w:trPr>
          <w:trHeight w:val="370"/>
        </w:trPr>
        <w:tc>
          <w:tcPr>
            <w:tcW w:w="2200" w:type="dxa"/>
            <w:vAlign w:val="bottom"/>
          </w:tcPr>
          <w:p>
            <w:pPr>
              <w:spacing w:after="0"/>
              <w:rPr>
                <w:sz w:val="20"/>
                <w:szCs w:val="20"/>
                <w:color w:val="auto"/>
              </w:rPr>
            </w:pPr>
            <w:r>
              <w:rPr>
                <w:rFonts w:ascii="Courier New" w:cs="Courier New" w:eastAsia="Courier New" w:hAnsi="Courier New"/>
                <w:sz w:val="16"/>
                <w:szCs w:val="16"/>
                <w:color w:val="auto"/>
              </w:rPr>
              <w:t>Michael J. Van Handel</w:t>
            </w:r>
          </w:p>
        </w:tc>
        <w:tc>
          <w:tcPr>
            <w:tcW w:w="5480" w:type="dxa"/>
            <w:vAlign w:val="bottom"/>
          </w:tcPr>
          <w:p>
            <w:pPr>
              <w:ind w:left="200"/>
              <w:spacing w:after="0"/>
              <w:rPr>
                <w:sz w:val="20"/>
                <w:szCs w:val="20"/>
                <w:color w:val="auto"/>
              </w:rPr>
            </w:pPr>
            <w:r>
              <w:rPr>
                <w:rFonts w:ascii="Courier New" w:cs="Courier New" w:eastAsia="Courier New" w:hAnsi="Courier New"/>
                <w:sz w:val="16"/>
                <w:szCs w:val="16"/>
                <w:color w:val="auto"/>
              </w:rPr>
              <w:t>Senior Vice President, Chief Financial Officer and</w:t>
            </w:r>
          </w:p>
        </w:tc>
      </w:tr>
      <w:tr>
        <w:trPr>
          <w:trHeight w:val="185"/>
        </w:trPr>
        <w:tc>
          <w:tcPr>
            <w:tcW w:w="2200" w:type="dxa"/>
            <w:vAlign w:val="bottom"/>
          </w:tcPr>
          <w:p>
            <w:pPr>
              <w:ind w:left="100"/>
              <w:spacing w:after="0"/>
              <w:rPr>
                <w:sz w:val="20"/>
                <w:szCs w:val="20"/>
                <w:color w:val="auto"/>
              </w:rPr>
            </w:pPr>
            <w:r>
              <w:rPr>
                <w:rFonts w:ascii="Courier New" w:cs="Courier New" w:eastAsia="Courier New" w:hAnsi="Courier New"/>
                <w:sz w:val="16"/>
                <w:szCs w:val="16"/>
                <w:color w:val="auto"/>
              </w:rPr>
              <w:t>Age 41</w:t>
            </w:r>
          </w:p>
        </w:tc>
        <w:tc>
          <w:tcPr>
            <w:tcW w:w="5480" w:type="dxa"/>
            <w:vAlign w:val="bottom"/>
          </w:tcPr>
          <w:p>
            <w:pPr>
              <w:ind w:left="200"/>
              <w:spacing w:after="0"/>
              <w:rPr>
                <w:sz w:val="20"/>
                <w:szCs w:val="20"/>
                <w:color w:val="auto"/>
              </w:rPr>
            </w:pPr>
            <w:r>
              <w:rPr>
                <w:rFonts w:ascii="Courier New" w:cs="Courier New" w:eastAsia="Courier New" w:hAnsi="Courier New"/>
                <w:sz w:val="16"/>
                <w:szCs w:val="16"/>
                <w:color w:val="auto"/>
              </w:rPr>
              <w:t>Secretary of the Company since August, 1999. Senior</w:t>
            </w:r>
          </w:p>
        </w:tc>
      </w:tr>
      <w:tr>
        <w:trPr>
          <w:trHeight w:val="185"/>
        </w:trPr>
        <w:tc>
          <w:tcPr>
            <w:tcW w:w="2200" w:type="dxa"/>
            <w:vAlign w:val="bottom"/>
          </w:tcPr>
          <w:p>
            <w:pPr>
              <w:spacing w:after="0"/>
              <w:rPr>
                <w:sz w:val="16"/>
                <w:szCs w:val="16"/>
                <w:color w:val="auto"/>
              </w:rPr>
            </w:pPr>
          </w:p>
        </w:tc>
        <w:tc>
          <w:tcPr>
            <w:tcW w:w="5480" w:type="dxa"/>
            <w:vAlign w:val="bottom"/>
          </w:tcPr>
          <w:p>
            <w:pPr>
              <w:ind w:left="200"/>
              <w:spacing w:after="0"/>
              <w:rPr>
                <w:sz w:val="20"/>
                <w:szCs w:val="20"/>
                <w:color w:val="auto"/>
              </w:rPr>
            </w:pPr>
            <w:r>
              <w:rPr>
                <w:rFonts w:ascii="Courier New" w:cs="Courier New" w:eastAsia="Courier New" w:hAnsi="Courier New"/>
                <w:sz w:val="16"/>
                <w:szCs w:val="16"/>
                <w:color w:val="auto"/>
              </w:rPr>
              <w:t>Vice President, Chief Financial Officer, Treasurer and</w:t>
            </w:r>
          </w:p>
        </w:tc>
      </w:tr>
      <w:tr>
        <w:trPr>
          <w:trHeight w:val="185"/>
        </w:trPr>
        <w:tc>
          <w:tcPr>
            <w:tcW w:w="2200" w:type="dxa"/>
            <w:vAlign w:val="bottom"/>
          </w:tcPr>
          <w:p>
            <w:pPr>
              <w:spacing w:after="0"/>
              <w:rPr>
                <w:sz w:val="16"/>
                <w:szCs w:val="16"/>
                <w:color w:val="auto"/>
              </w:rPr>
            </w:pPr>
          </w:p>
        </w:tc>
        <w:tc>
          <w:tcPr>
            <w:tcW w:w="5480" w:type="dxa"/>
            <w:vAlign w:val="bottom"/>
          </w:tcPr>
          <w:p>
            <w:pPr>
              <w:ind w:left="200"/>
              <w:spacing w:after="0"/>
              <w:rPr>
                <w:sz w:val="20"/>
                <w:szCs w:val="20"/>
                <w:color w:val="auto"/>
              </w:rPr>
            </w:pPr>
            <w:r>
              <w:rPr>
                <w:rFonts w:ascii="Courier New" w:cs="Courier New" w:eastAsia="Courier New" w:hAnsi="Courier New"/>
                <w:sz w:val="16"/>
                <w:szCs w:val="16"/>
                <w:color w:val="auto"/>
              </w:rPr>
              <w:t>Secretary of the Company from July, 1998 to August,</w:t>
            </w:r>
          </w:p>
        </w:tc>
      </w:tr>
      <w:tr>
        <w:trPr>
          <w:trHeight w:val="185"/>
        </w:trPr>
        <w:tc>
          <w:tcPr>
            <w:tcW w:w="2200" w:type="dxa"/>
            <w:vAlign w:val="bottom"/>
          </w:tcPr>
          <w:p>
            <w:pPr>
              <w:spacing w:after="0"/>
              <w:rPr>
                <w:sz w:val="16"/>
                <w:szCs w:val="16"/>
                <w:color w:val="auto"/>
              </w:rPr>
            </w:pPr>
          </w:p>
        </w:tc>
        <w:tc>
          <w:tcPr>
            <w:tcW w:w="5480" w:type="dxa"/>
            <w:vAlign w:val="bottom"/>
          </w:tcPr>
          <w:p>
            <w:pPr>
              <w:ind w:left="200"/>
              <w:spacing w:after="0"/>
              <w:rPr>
                <w:sz w:val="20"/>
                <w:szCs w:val="20"/>
                <w:color w:val="auto"/>
              </w:rPr>
            </w:pPr>
            <w:r>
              <w:rPr>
                <w:rFonts w:ascii="Courier New" w:cs="Courier New" w:eastAsia="Courier New" w:hAnsi="Courier New"/>
                <w:sz w:val="16"/>
                <w:szCs w:val="16"/>
                <w:color w:val="auto"/>
              </w:rPr>
              <w:t>1999. Vice President, Chief Accounting Officer and</w:t>
            </w:r>
          </w:p>
        </w:tc>
      </w:tr>
      <w:tr>
        <w:trPr>
          <w:trHeight w:val="185"/>
        </w:trPr>
        <w:tc>
          <w:tcPr>
            <w:tcW w:w="2200" w:type="dxa"/>
            <w:vAlign w:val="bottom"/>
          </w:tcPr>
          <w:p>
            <w:pPr>
              <w:spacing w:after="0"/>
              <w:rPr>
                <w:sz w:val="16"/>
                <w:szCs w:val="16"/>
                <w:color w:val="auto"/>
              </w:rPr>
            </w:pPr>
          </w:p>
        </w:tc>
        <w:tc>
          <w:tcPr>
            <w:tcW w:w="5480" w:type="dxa"/>
            <w:vAlign w:val="bottom"/>
          </w:tcPr>
          <w:p>
            <w:pPr>
              <w:ind w:left="200"/>
              <w:spacing w:after="0"/>
              <w:rPr>
                <w:sz w:val="20"/>
                <w:szCs w:val="20"/>
                <w:color w:val="auto"/>
              </w:rPr>
            </w:pPr>
            <w:r>
              <w:rPr>
                <w:rFonts w:ascii="Courier New" w:cs="Courier New" w:eastAsia="Courier New" w:hAnsi="Courier New"/>
                <w:sz w:val="16"/>
                <w:szCs w:val="16"/>
                <w:color w:val="auto"/>
              </w:rPr>
              <w:t>Treasurer of the Company from February, 1995 to July,</w:t>
            </w:r>
          </w:p>
        </w:tc>
      </w:tr>
      <w:tr>
        <w:trPr>
          <w:trHeight w:val="185"/>
        </w:trPr>
        <w:tc>
          <w:tcPr>
            <w:tcW w:w="2200" w:type="dxa"/>
            <w:vAlign w:val="bottom"/>
          </w:tcPr>
          <w:p>
            <w:pPr>
              <w:spacing w:after="0"/>
              <w:rPr>
                <w:sz w:val="16"/>
                <w:szCs w:val="16"/>
                <w:color w:val="auto"/>
              </w:rPr>
            </w:pPr>
          </w:p>
        </w:tc>
        <w:tc>
          <w:tcPr>
            <w:tcW w:w="5480" w:type="dxa"/>
            <w:vAlign w:val="bottom"/>
          </w:tcPr>
          <w:p>
            <w:pPr>
              <w:ind w:left="200"/>
              <w:spacing w:after="0"/>
              <w:rPr>
                <w:sz w:val="20"/>
                <w:szCs w:val="20"/>
                <w:color w:val="auto"/>
              </w:rPr>
            </w:pPr>
            <w:r>
              <w:rPr>
                <w:rFonts w:ascii="Courier New" w:cs="Courier New" w:eastAsia="Courier New" w:hAnsi="Courier New"/>
                <w:sz w:val="16"/>
                <w:szCs w:val="16"/>
                <w:color w:val="auto"/>
                <w:w w:val="99"/>
              </w:rPr>
              <w:t>1998 and of Manpower from February, 1995 to June, 1996.</w:t>
            </w:r>
          </w:p>
        </w:tc>
      </w:tr>
      <w:tr>
        <w:trPr>
          <w:trHeight w:val="185"/>
        </w:trPr>
        <w:tc>
          <w:tcPr>
            <w:tcW w:w="2200" w:type="dxa"/>
            <w:vAlign w:val="bottom"/>
          </w:tcPr>
          <w:p>
            <w:pPr>
              <w:spacing w:after="0"/>
              <w:rPr>
                <w:sz w:val="16"/>
                <w:szCs w:val="16"/>
                <w:color w:val="auto"/>
              </w:rPr>
            </w:pPr>
          </w:p>
        </w:tc>
        <w:tc>
          <w:tcPr>
            <w:tcW w:w="5480" w:type="dxa"/>
            <w:vAlign w:val="bottom"/>
          </w:tcPr>
          <w:p>
            <w:pPr>
              <w:ind w:left="200"/>
              <w:spacing w:after="0"/>
              <w:rPr>
                <w:sz w:val="20"/>
                <w:szCs w:val="20"/>
                <w:color w:val="auto"/>
              </w:rPr>
            </w:pPr>
            <w:r>
              <w:rPr>
                <w:rFonts w:ascii="Courier New" w:cs="Courier New" w:eastAsia="Courier New" w:hAnsi="Courier New"/>
                <w:sz w:val="16"/>
                <w:szCs w:val="16"/>
                <w:color w:val="auto"/>
              </w:rPr>
              <w:t>Vice President, International Accounting and Internal</w:t>
            </w:r>
          </w:p>
        </w:tc>
      </w:tr>
      <w:tr>
        <w:trPr>
          <w:trHeight w:val="185"/>
        </w:trPr>
        <w:tc>
          <w:tcPr>
            <w:tcW w:w="2200" w:type="dxa"/>
            <w:vAlign w:val="bottom"/>
          </w:tcPr>
          <w:p>
            <w:pPr>
              <w:spacing w:after="0"/>
              <w:rPr>
                <w:sz w:val="16"/>
                <w:szCs w:val="16"/>
                <w:color w:val="auto"/>
              </w:rPr>
            </w:pPr>
          </w:p>
        </w:tc>
        <w:tc>
          <w:tcPr>
            <w:tcW w:w="5480" w:type="dxa"/>
            <w:vAlign w:val="bottom"/>
          </w:tcPr>
          <w:p>
            <w:pPr>
              <w:ind w:left="200"/>
              <w:spacing w:after="0"/>
              <w:rPr>
                <w:sz w:val="20"/>
                <w:szCs w:val="20"/>
                <w:color w:val="auto"/>
              </w:rPr>
            </w:pPr>
            <w:r>
              <w:rPr>
                <w:rFonts w:ascii="Courier New" w:cs="Courier New" w:eastAsia="Courier New" w:hAnsi="Courier New"/>
                <w:sz w:val="16"/>
                <w:szCs w:val="16"/>
                <w:color w:val="auto"/>
              </w:rPr>
              <w:t>Audit of Manpower from September, 1992 to February,</w:t>
            </w:r>
          </w:p>
        </w:tc>
      </w:tr>
      <w:tr>
        <w:trPr>
          <w:trHeight w:val="185"/>
        </w:trPr>
        <w:tc>
          <w:tcPr>
            <w:tcW w:w="2200" w:type="dxa"/>
            <w:vAlign w:val="bottom"/>
          </w:tcPr>
          <w:p>
            <w:pPr>
              <w:spacing w:after="0"/>
              <w:rPr>
                <w:sz w:val="16"/>
                <w:szCs w:val="16"/>
                <w:color w:val="auto"/>
              </w:rPr>
            </w:pPr>
          </w:p>
        </w:tc>
        <w:tc>
          <w:tcPr>
            <w:tcW w:w="5480" w:type="dxa"/>
            <w:vAlign w:val="bottom"/>
          </w:tcPr>
          <w:p>
            <w:pPr>
              <w:ind w:left="200"/>
              <w:spacing w:after="0"/>
              <w:rPr>
                <w:sz w:val="20"/>
                <w:szCs w:val="20"/>
                <w:color w:val="auto"/>
              </w:rPr>
            </w:pPr>
            <w:r>
              <w:rPr>
                <w:rFonts w:ascii="Courier New" w:cs="Courier New" w:eastAsia="Courier New" w:hAnsi="Courier New"/>
                <w:sz w:val="16"/>
                <w:szCs w:val="16"/>
                <w:color w:val="auto"/>
              </w:rPr>
              <w:t>1995 and Director of Internal Audit of Manpower prior</w:t>
            </w:r>
          </w:p>
        </w:tc>
      </w:tr>
      <w:tr>
        <w:trPr>
          <w:trHeight w:val="185"/>
        </w:trPr>
        <w:tc>
          <w:tcPr>
            <w:tcW w:w="2200" w:type="dxa"/>
            <w:vAlign w:val="bottom"/>
          </w:tcPr>
          <w:p>
            <w:pPr>
              <w:spacing w:after="0"/>
              <w:rPr>
                <w:sz w:val="16"/>
                <w:szCs w:val="16"/>
                <w:color w:val="auto"/>
              </w:rPr>
            </w:pPr>
          </w:p>
        </w:tc>
        <w:tc>
          <w:tcPr>
            <w:tcW w:w="5480" w:type="dxa"/>
            <w:vAlign w:val="bottom"/>
          </w:tcPr>
          <w:p>
            <w:pPr>
              <w:ind w:left="200"/>
              <w:spacing w:after="0"/>
              <w:rPr>
                <w:sz w:val="20"/>
                <w:szCs w:val="20"/>
                <w:color w:val="auto"/>
              </w:rPr>
            </w:pPr>
            <w:r>
              <w:rPr>
                <w:rFonts w:ascii="Courier New" w:cs="Courier New" w:eastAsia="Courier New" w:hAnsi="Courier New"/>
                <w:sz w:val="16"/>
                <w:szCs w:val="16"/>
                <w:color w:val="auto"/>
              </w:rPr>
              <w:t>thereto.</w:t>
            </w:r>
          </w:p>
        </w:tc>
      </w:tr>
      <w:tr>
        <w:trPr>
          <w:trHeight w:val="370"/>
        </w:trPr>
        <w:tc>
          <w:tcPr>
            <w:tcW w:w="2200" w:type="dxa"/>
            <w:vAlign w:val="bottom"/>
          </w:tcPr>
          <w:p>
            <w:pPr>
              <w:spacing w:after="0"/>
              <w:rPr>
                <w:sz w:val="24"/>
                <w:szCs w:val="24"/>
                <w:color w:val="auto"/>
              </w:rPr>
            </w:pPr>
          </w:p>
        </w:tc>
        <w:tc>
          <w:tcPr>
            <w:tcW w:w="5480" w:type="dxa"/>
            <w:vAlign w:val="bottom"/>
          </w:tcPr>
          <w:p>
            <w:pPr>
              <w:ind w:left="1360"/>
              <w:spacing w:after="0"/>
              <w:rPr>
                <w:sz w:val="20"/>
                <w:szCs w:val="20"/>
                <w:color w:val="auto"/>
              </w:rPr>
            </w:pPr>
            <w:r>
              <w:rPr>
                <w:rFonts w:ascii="Courier New" w:cs="Courier New" w:eastAsia="Courier New" w:hAnsi="Courier New"/>
                <w:sz w:val="16"/>
                <w:szCs w:val="16"/>
                <w:color w:val="auto"/>
              </w:rPr>
              <w:t>PART II</w:t>
            </w:r>
          </w:p>
        </w:tc>
      </w:tr>
    </w:tbl>
    <w:p>
      <w:pPr>
        <w:spacing w:after="0" w:line="1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5.</w:t>
        <w:tab/>
        <w:t>MARKET FOR REGISTRANT'S COMMON EQUITY AND RELATED SHAREHOLDER MATTERS</w:t>
      </w:r>
    </w:p>
    <w:p>
      <w:pPr>
        <w:spacing w:after="0" w:line="190" w:lineRule="exact"/>
        <w:rPr>
          <w:sz w:val="20"/>
          <w:szCs w:val="20"/>
          <w:color w:val="auto"/>
        </w:rPr>
      </w:pPr>
    </w:p>
    <w:p>
      <w:pPr>
        <w:ind w:right="2539" w:firstLine="576"/>
        <w:spacing w:after="0" w:line="243" w:lineRule="auto"/>
        <w:rPr>
          <w:sz w:val="20"/>
          <w:szCs w:val="20"/>
          <w:color w:val="auto"/>
        </w:rPr>
      </w:pPr>
      <w:r>
        <w:rPr>
          <w:rFonts w:ascii="Courier New" w:cs="Courier New" w:eastAsia="Courier New" w:hAnsi="Courier New"/>
          <w:sz w:val="16"/>
          <w:szCs w:val="16"/>
          <w:color w:val="auto"/>
        </w:rPr>
        <w:t>The information required by this Item is set forth in the Company's Annual Report to Shareholders for the fiscal year ended December 31, 2000, under the heading "Quarterly Data" (page 95) and "Corporate Information," (page 97) which information is hereby incorporated herein by reference.</w:t>
      </w:r>
    </w:p>
    <w:p>
      <w:pPr>
        <w:spacing w:after="0" w:line="1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6.</w:t>
        <w:tab/>
        <w:t>SELECTED FINANCIAL DATA</w:t>
      </w:r>
    </w:p>
    <w:p>
      <w:pPr>
        <w:spacing w:after="0" w:line="190" w:lineRule="exact"/>
        <w:rPr>
          <w:sz w:val="20"/>
          <w:szCs w:val="20"/>
          <w:color w:val="auto"/>
        </w:rPr>
      </w:pPr>
    </w:p>
    <w:p>
      <w:pPr>
        <w:ind w:right="2539" w:firstLine="576"/>
        <w:spacing w:after="0" w:line="243" w:lineRule="auto"/>
        <w:rPr>
          <w:sz w:val="20"/>
          <w:szCs w:val="20"/>
          <w:color w:val="auto"/>
        </w:rPr>
      </w:pPr>
      <w:r>
        <w:rPr>
          <w:rFonts w:ascii="Courier New" w:cs="Courier New" w:eastAsia="Courier New" w:hAnsi="Courier New"/>
          <w:sz w:val="16"/>
          <w:szCs w:val="16"/>
          <w:color w:val="auto"/>
        </w:rPr>
        <w:t>The information required by this Item is set forth in the Company's Annual Report to Shareholders for the fiscal year ended December 31, 2000, under the heading "Selected Financial Data," (page 96) which information is hereby incorporated herein by reference.</w:t>
      </w:r>
    </w:p>
    <w:p>
      <w:pPr>
        <w:spacing w:after="0" w:line="190" w:lineRule="exact"/>
        <w:rPr>
          <w:sz w:val="20"/>
          <w:szCs w:val="20"/>
          <w:color w:val="auto"/>
        </w:rPr>
      </w:pPr>
    </w:p>
    <w:p>
      <w:pPr>
        <w:ind w:left="860" w:right="2539" w:hanging="864"/>
        <w:spacing w:after="0" w:line="242" w:lineRule="auto"/>
        <w:tabs>
          <w:tab w:leader="none" w:pos="840" w:val="left"/>
        </w:tabs>
        <w:rPr>
          <w:sz w:val="20"/>
          <w:szCs w:val="20"/>
          <w:color w:val="auto"/>
        </w:rPr>
      </w:pPr>
      <w:r>
        <w:rPr>
          <w:rFonts w:ascii="Courier New" w:cs="Courier New" w:eastAsia="Courier New" w:hAnsi="Courier New"/>
          <w:sz w:val="16"/>
          <w:szCs w:val="16"/>
          <w:color w:val="auto"/>
        </w:rPr>
        <w:t>ITEM 7.</w:t>
        <w:tab/>
        <w:t>MANAGEMENT'S DISCUSSION AND ANALYSIS OF FINANCIAL CONDITION AND RESULTS OF OPERATIONS</w:t>
      </w:r>
    </w:p>
    <w:p>
      <w:pPr>
        <w:spacing w:after="0" w:line="189"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The information required by this Item is set forth in the Company's Annual Report to Shareholders for the fiscal year ended December 31, 2000, under the heading "Management's Discussion and Analysis of Financial Condition and Results of Operations," (pages 65 to 73) which information is hereby incorporated herein by reference.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7A. QUANTITATIVE AND QUALITATIVE DISCLOSURES ABOUT MARKET RISK</w:t>
      </w:r>
    </w:p>
    <w:p>
      <w:pPr>
        <w:spacing w:after="0" w:line="190" w:lineRule="exact"/>
        <w:rPr>
          <w:sz w:val="20"/>
          <w:szCs w:val="20"/>
          <w:color w:val="auto"/>
        </w:rPr>
      </w:pPr>
    </w:p>
    <w:p>
      <w:pPr>
        <w:ind w:right="2539" w:firstLine="576"/>
        <w:spacing w:after="0" w:line="243" w:lineRule="auto"/>
        <w:rPr>
          <w:sz w:val="20"/>
          <w:szCs w:val="20"/>
          <w:color w:val="auto"/>
        </w:rPr>
      </w:pPr>
      <w:r>
        <w:rPr>
          <w:rFonts w:ascii="Courier New" w:cs="Courier New" w:eastAsia="Courier New" w:hAnsi="Courier New"/>
          <w:sz w:val="16"/>
          <w:szCs w:val="16"/>
          <w:color w:val="auto"/>
        </w:rPr>
        <w:t>The information required by this Item is set forth in the Company's Annual Report to Shareholders for the fiscal year ended December 31, 2000, under the heading "Significant Matters Affecting Results of Operations," (pages 70 to 72) which information is hereby incorporated herein by reference.</w:t>
      </w:r>
    </w:p>
    <w:p>
      <w:pPr>
        <w:spacing w:after="0" w:line="190" w:lineRule="exact"/>
        <w:rPr>
          <w:sz w:val="20"/>
          <w:szCs w:val="20"/>
          <w:color w:val="auto"/>
        </w:rPr>
      </w:pPr>
    </w:p>
    <w:p>
      <w:pPr>
        <w:ind w:right="2639" w:firstLine="576"/>
        <w:spacing w:after="0" w:line="244" w:lineRule="auto"/>
        <w:rPr>
          <w:sz w:val="20"/>
          <w:szCs w:val="20"/>
          <w:color w:val="auto"/>
        </w:rPr>
      </w:pPr>
      <w:r>
        <w:rPr>
          <w:rFonts w:ascii="Courier New" w:cs="Courier New" w:eastAsia="Courier New" w:hAnsi="Courier New"/>
          <w:sz w:val="16"/>
          <w:szCs w:val="16"/>
          <w:color w:val="auto"/>
        </w:rPr>
        <w:t>Certain information included or incorporated by reference in this Annual Report on Form 10-K and identified by use of the words "expects," "believes," "plans" or the like constitutes forward-looking statements, as such term is defined in Section 27A of the Securities Act of 1933 and Section 21E of the Securities Exchange Act of 1934. In addition, any information included or incorporated by reference in future filings by the Company with the Securities and Exchange Commission, as well as information contained in written material, releases and oral statements issued by or on behalf of the Company may include forward-looking statements. All statements which address operating performance, events or developments that the Company expects or anticipates will occur or future financial performance are forward-looking statements.</w:t>
      </w:r>
    </w:p>
    <w:p>
      <w:pPr>
        <w:spacing w:after="0" w:line="190" w:lineRule="exact"/>
        <w:rPr>
          <w:sz w:val="20"/>
          <w:szCs w:val="20"/>
          <w:color w:val="auto"/>
        </w:rPr>
      </w:pPr>
    </w:p>
    <w:p>
      <w:pPr>
        <w:ind w:right="2539" w:firstLine="576"/>
        <w:spacing w:after="0" w:line="264" w:lineRule="auto"/>
        <w:rPr>
          <w:sz w:val="20"/>
          <w:szCs w:val="20"/>
          <w:color w:val="auto"/>
        </w:rPr>
      </w:pPr>
      <w:r>
        <w:rPr>
          <w:rFonts w:ascii="Courier New" w:cs="Courier New" w:eastAsia="Courier New" w:hAnsi="Courier New"/>
          <w:sz w:val="15"/>
          <w:szCs w:val="15"/>
          <w:color w:val="auto"/>
        </w:rPr>
        <w:t>These forward-looking statements speak only as of the date on which they are made. They rely on a number of assumptions concerning future events and are subject to a number of risks and uncertainties, many of which are outside of the Company's control, that could cause actual results to differ materially from such statements. These risks and uncertainties include, but are not limited to:</w:t>
      </w:r>
    </w:p>
    <w:p>
      <w:pPr>
        <w:spacing w:after="0" w:line="35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0" w:right="1440" w:bottom="1440" w:gutter="0" w:footer="0" w:header="0"/>
        </w:sectPr>
      </w:pPr>
    </w:p>
    <w:bookmarkStart w:id="8" w:name="page9"/>
    <w:bookmarkEnd w:id="8"/>
    <w:p>
      <w:pPr>
        <w:ind w:left="281"/>
        <w:spacing w:after="0"/>
        <w:rPr>
          <w:sz w:val="20"/>
          <w:szCs w:val="20"/>
          <w:color w:val="auto"/>
        </w:rPr>
      </w:pPr>
      <w:r>
        <w:rPr>
          <w:rFonts w:ascii="Courier New" w:cs="Courier New" w:eastAsia="Courier New" w:hAnsi="Courier New"/>
          <w:sz w:val="16"/>
          <w:szCs w:val="16"/>
          <w:color w:val="auto"/>
        </w:rPr>
        <w:t>9</w:t>
      </w:r>
    </w:p>
    <w:p>
      <w:pPr>
        <w:spacing w:after="0" w:line="190" w:lineRule="exact"/>
        <w:rPr>
          <w:sz w:val="20"/>
          <w:szCs w:val="20"/>
          <w:color w:val="auto"/>
        </w:rPr>
      </w:pPr>
    </w:p>
    <w:p>
      <w:pPr>
        <w:ind w:left="861" w:right="2819" w:hanging="861"/>
        <w:spacing w:after="0" w:line="242" w:lineRule="auto"/>
        <w:tabs>
          <w:tab w:leader="none" w:pos="18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changes in the demand from larger customers, including customers with which the Company has national or global arrangements</w:t>
      </w:r>
    </w:p>
    <w:p>
      <w:pPr>
        <w:spacing w:after="0" w:line="4" w:lineRule="exact"/>
        <w:rPr>
          <w:rFonts w:ascii="Courier New" w:cs="Courier New" w:eastAsia="Courier New" w:hAnsi="Courier New"/>
          <w:sz w:val="16"/>
          <w:szCs w:val="16"/>
          <w:color w:val="auto"/>
        </w:rPr>
      </w:pPr>
    </w:p>
    <w:p>
      <w:pPr>
        <w:ind w:left="861" w:right="2539" w:hanging="861"/>
        <w:spacing w:after="0" w:line="242" w:lineRule="auto"/>
        <w:tabs>
          <w:tab w:leader="none" w:pos="18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-availability of temporary workers or workers with the skills required by customers</w:t>
      </w:r>
    </w:p>
    <w:p>
      <w:pPr>
        <w:spacing w:after="0" w:line="2"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increases in the wages paid to temporary workers</w:t>
      </w:r>
    </w:p>
    <w:p>
      <w:pPr>
        <w:spacing w:after="0" w:line="3"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-competitive market pressures, including pricing pressures</w:t>
      </w:r>
    </w:p>
    <w:p>
      <w:pPr>
        <w:spacing w:after="0" w:line="3"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ability to successfully expand into new markets or service lines</w:t>
      </w:r>
    </w:p>
    <w:p>
      <w:pPr>
        <w:spacing w:after="0" w:line="3"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-ability to successfully invest in and implement information systems</w:t>
      </w:r>
    </w:p>
    <w:p>
      <w:pPr>
        <w:spacing w:after="0" w:line="5" w:lineRule="exact"/>
        <w:rPr>
          <w:rFonts w:ascii="Courier New" w:cs="Courier New" w:eastAsia="Courier New" w:hAnsi="Courier New"/>
          <w:sz w:val="16"/>
          <w:szCs w:val="16"/>
          <w:color w:val="auto"/>
        </w:rPr>
      </w:pPr>
    </w:p>
    <w:p>
      <w:pPr>
        <w:ind w:left="861" w:right="3199" w:hanging="861"/>
        <w:spacing w:after="0" w:line="242" w:lineRule="auto"/>
        <w:tabs>
          <w:tab w:leader="none" w:pos="18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-unanticipated technological changes, including obsolescence or impairment of information systems</w:t>
      </w:r>
    </w:p>
    <w:p>
      <w:pPr>
        <w:spacing w:after="0" w:line="2"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changes in customer attitudes toward the use of staffing services</w:t>
      </w:r>
    </w:p>
    <w:p>
      <w:pPr>
        <w:spacing w:after="0" w:line="5" w:lineRule="exact"/>
        <w:rPr>
          <w:rFonts w:ascii="Courier New" w:cs="Courier New" w:eastAsia="Courier New" w:hAnsi="Courier New"/>
          <w:sz w:val="16"/>
          <w:szCs w:val="16"/>
          <w:color w:val="auto"/>
        </w:rPr>
      </w:pPr>
    </w:p>
    <w:p>
      <w:pPr>
        <w:ind w:left="861" w:right="3019" w:hanging="861"/>
        <w:spacing w:after="0" w:line="242" w:lineRule="auto"/>
        <w:tabs>
          <w:tab w:leader="none" w:pos="18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-government, tax or regulatory policies adverse to the employment services industry</w:t>
      </w:r>
    </w:p>
    <w:p>
      <w:pPr>
        <w:spacing w:after="0" w:line="2"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economic conditions in international markets</w:t>
      </w:r>
    </w:p>
    <w:p>
      <w:pPr>
        <w:spacing w:after="0" w:line="3"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interest rate and exchange rate fluctuations</w:t>
      </w:r>
    </w:p>
    <w:p>
      <w:pPr>
        <w:spacing w:after="0" w:line="5" w:lineRule="exact"/>
        <w:rPr>
          <w:rFonts w:ascii="Courier New" w:cs="Courier New" w:eastAsia="Courier New" w:hAnsi="Courier New"/>
          <w:sz w:val="16"/>
          <w:szCs w:val="16"/>
          <w:color w:val="auto"/>
        </w:rPr>
      </w:pPr>
    </w:p>
    <w:p>
      <w:pPr>
        <w:ind w:left="861" w:right="3119" w:hanging="861"/>
        <w:spacing w:after="0" w:line="242" w:lineRule="auto"/>
        <w:tabs>
          <w:tab w:leader="none" w:pos="18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-difficulties related to acquisitions, including integrating the acquired companies and achieving the expected benefits</w:t>
      </w:r>
    </w:p>
    <w:p>
      <w:pPr>
        <w:spacing w:after="0" w:line="189" w:lineRule="exact"/>
        <w:rPr>
          <w:sz w:val="20"/>
          <w:szCs w:val="20"/>
          <w:color w:val="auto"/>
        </w:rPr>
      </w:pPr>
    </w:p>
    <w:p>
      <w:pPr>
        <w:jc w:val="both"/>
        <w:ind w:left="1" w:right="3019" w:firstLine="576"/>
        <w:spacing w:after="0" w:line="243" w:lineRule="auto"/>
        <w:rPr>
          <w:sz w:val="20"/>
          <w:szCs w:val="20"/>
          <w:color w:val="auto"/>
        </w:rPr>
      </w:pPr>
      <w:r>
        <w:rPr>
          <w:rFonts w:ascii="Courier New" w:cs="Courier New" w:eastAsia="Courier New" w:hAnsi="Courier New"/>
          <w:sz w:val="16"/>
          <w:szCs w:val="16"/>
          <w:color w:val="auto"/>
        </w:rPr>
        <w:t>The Company disclaims any obligation to update publicly or revise any forward-looking statements, whether as a result of new information, future events or otherwise.</w:t>
      </w:r>
    </w:p>
    <w:p>
      <w:pPr>
        <w:spacing w:after="0" w:line="187" w:lineRule="exact"/>
        <w:rPr>
          <w:sz w:val="20"/>
          <w:szCs w:val="20"/>
          <w:color w:val="auto"/>
        </w:rPr>
      </w:pPr>
    </w:p>
    <w:p>
      <w:pPr>
        <w:ind w:left="1"/>
        <w:spacing w:after="0"/>
        <w:tabs>
          <w:tab w:leader="none" w:pos="841" w:val="left"/>
        </w:tabs>
        <w:rPr>
          <w:sz w:val="20"/>
          <w:szCs w:val="20"/>
          <w:color w:val="auto"/>
        </w:rPr>
      </w:pPr>
      <w:r>
        <w:rPr>
          <w:rFonts w:ascii="Courier New" w:cs="Courier New" w:eastAsia="Courier New" w:hAnsi="Courier New"/>
          <w:sz w:val="16"/>
          <w:szCs w:val="16"/>
          <w:color w:val="auto"/>
        </w:rPr>
        <w:t>ITEM 8.</w:t>
        <w:tab/>
        <w:t>FINANCIAL STATEMENTS AND SUPPLEMENTARY DATA</w:t>
      </w:r>
    </w:p>
    <w:p>
      <w:pPr>
        <w:spacing w:after="0" w:line="190" w:lineRule="exact"/>
        <w:rPr>
          <w:sz w:val="20"/>
          <w:szCs w:val="20"/>
          <w:color w:val="auto"/>
        </w:rPr>
      </w:pPr>
    </w:p>
    <w:p>
      <w:pPr>
        <w:ind w:left="1" w:right="2539" w:firstLine="576"/>
        <w:spacing w:after="0" w:line="243" w:lineRule="auto"/>
        <w:rPr>
          <w:sz w:val="20"/>
          <w:szCs w:val="20"/>
          <w:color w:val="auto"/>
        </w:rPr>
      </w:pPr>
      <w:r>
        <w:rPr>
          <w:rFonts w:ascii="Courier New" w:cs="Courier New" w:eastAsia="Courier New" w:hAnsi="Courier New"/>
          <w:sz w:val="16"/>
          <w:szCs w:val="16"/>
          <w:color w:val="auto"/>
        </w:rPr>
        <w:t>The information required by this Item is set forth in the Financial Statements and the Notes thereto (pages 75 to 95) contained in the Company's Annual Report to Shareholders for the fiscal year ended December 31, 2000, which information is hereby incorporated herein by reference.</w:t>
      </w:r>
    </w:p>
    <w:p>
      <w:pPr>
        <w:spacing w:after="0" w:line="190" w:lineRule="exact"/>
        <w:rPr>
          <w:sz w:val="20"/>
          <w:szCs w:val="20"/>
          <w:color w:val="auto"/>
        </w:rPr>
      </w:pPr>
    </w:p>
    <w:p>
      <w:pPr>
        <w:ind w:left="861" w:right="3299" w:hanging="864"/>
        <w:spacing w:after="0" w:line="242" w:lineRule="auto"/>
        <w:tabs>
          <w:tab w:leader="none" w:pos="841" w:val="left"/>
        </w:tabs>
        <w:rPr>
          <w:sz w:val="20"/>
          <w:szCs w:val="20"/>
          <w:color w:val="auto"/>
        </w:rPr>
      </w:pPr>
      <w:r>
        <w:rPr>
          <w:rFonts w:ascii="Courier New" w:cs="Courier New" w:eastAsia="Courier New" w:hAnsi="Courier New"/>
          <w:sz w:val="16"/>
          <w:szCs w:val="16"/>
          <w:color w:val="auto"/>
        </w:rPr>
        <w:t>ITEM 9.</w:t>
        <w:tab/>
        <w:t>CHANGES IN AND DISAGREEMENTS WITH ACCOUNTANTS ON ACCOUNTING AND FINANCIAL DISCLOSURE</w:t>
      </w:r>
    </w:p>
    <w:p>
      <w:pPr>
        <w:spacing w:after="0" w:line="187"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None.</w:t>
      </w:r>
    </w:p>
    <w:p>
      <w:pPr>
        <w:spacing w:after="0" w:line="188" w:lineRule="exact"/>
        <w:rPr>
          <w:sz w:val="20"/>
          <w:szCs w:val="20"/>
          <w:color w:val="auto"/>
        </w:rPr>
      </w:pPr>
    </w:p>
    <w:p>
      <w:pPr>
        <w:ind w:left="3461"/>
        <w:spacing w:after="0"/>
        <w:rPr>
          <w:sz w:val="20"/>
          <w:szCs w:val="20"/>
          <w:color w:val="auto"/>
        </w:rPr>
      </w:pPr>
      <w:r>
        <w:rPr>
          <w:rFonts w:ascii="Courier New" w:cs="Courier New" w:eastAsia="Courier New" w:hAnsi="Courier New"/>
          <w:sz w:val="16"/>
          <w:szCs w:val="16"/>
          <w:color w:val="auto"/>
        </w:rPr>
        <w:t>PART III</w:t>
      </w:r>
    </w:p>
    <w:p>
      <w:pPr>
        <w:spacing w:after="0" w:line="188" w:lineRule="exact"/>
        <w:rPr>
          <w:sz w:val="20"/>
          <w:szCs w:val="20"/>
          <w:color w:val="auto"/>
        </w:rPr>
      </w:pPr>
    </w:p>
    <w:p>
      <w:pPr>
        <w:ind w:left="1"/>
        <w:spacing w:after="0"/>
        <w:tabs>
          <w:tab w:leader="none" w:pos="941" w:val="left"/>
        </w:tabs>
        <w:rPr>
          <w:sz w:val="20"/>
          <w:szCs w:val="20"/>
          <w:color w:val="auto"/>
        </w:rPr>
      </w:pPr>
      <w:r>
        <w:rPr>
          <w:rFonts w:ascii="Courier New" w:cs="Courier New" w:eastAsia="Courier New" w:hAnsi="Courier New"/>
          <w:sz w:val="16"/>
          <w:szCs w:val="16"/>
          <w:color w:val="auto"/>
        </w:rPr>
        <w:t>ITEM 10.</w:t>
      </w:r>
      <w:r>
        <w:rPr>
          <w:sz w:val="20"/>
          <w:szCs w:val="20"/>
          <w:color w:val="auto"/>
        </w:rPr>
        <w:tab/>
      </w:r>
      <w:r>
        <w:rPr>
          <w:rFonts w:ascii="Courier New" w:cs="Courier New" w:eastAsia="Courier New" w:hAnsi="Courier New"/>
          <w:sz w:val="15"/>
          <w:szCs w:val="15"/>
          <w:color w:val="auto"/>
        </w:rPr>
        <w:t>DIRECTORS AND EXECUTIVE OFFICERS OF THE REGISTRANT</w:t>
      </w:r>
    </w:p>
    <w:p>
      <w:pPr>
        <w:spacing w:after="0" w:line="190" w:lineRule="exact"/>
        <w:rPr>
          <w:sz w:val="20"/>
          <w:szCs w:val="20"/>
          <w:color w:val="auto"/>
        </w:rPr>
      </w:pPr>
    </w:p>
    <w:p>
      <w:pPr>
        <w:ind w:left="961" w:right="2819" w:hanging="385"/>
        <w:spacing w:after="0" w:line="242" w:lineRule="auto"/>
        <w:tabs>
          <w:tab w:leader="none" w:pos="96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Officers. Reference is made to "Executive Officers of the Registrant" in Part I after Item 4.</w:t>
      </w:r>
    </w:p>
    <w:p>
      <w:pPr>
        <w:spacing w:after="0" w:line="188" w:lineRule="exact"/>
        <w:rPr>
          <w:rFonts w:ascii="Courier New" w:cs="Courier New" w:eastAsia="Courier New" w:hAnsi="Courier New"/>
          <w:sz w:val="16"/>
          <w:szCs w:val="16"/>
          <w:color w:val="auto"/>
        </w:rPr>
      </w:pPr>
    </w:p>
    <w:p>
      <w:pPr>
        <w:ind w:left="961" w:right="2539" w:hanging="385"/>
        <w:spacing w:after="0" w:line="244" w:lineRule="auto"/>
        <w:tabs>
          <w:tab w:leader="none" w:pos="96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 The information required by this Item is set forth in the Company's Proxy Statement for the Annual Meeting of Shareholders to be held on May 1, 2001 at pages 3 to 4 under the caption "Election of Directors," which information is hereby incorporated herein by reference.</w:t>
      </w:r>
    </w:p>
    <w:p>
      <w:pPr>
        <w:spacing w:after="0" w:line="187" w:lineRule="exact"/>
        <w:rPr>
          <w:rFonts w:ascii="Courier New" w:cs="Courier New" w:eastAsia="Courier New" w:hAnsi="Courier New"/>
          <w:sz w:val="16"/>
          <w:szCs w:val="16"/>
          <w:color w:val="auto"/>
        </w:rPr>
      </w:pPr>
    </w:p>
    <w:p>
      <w:pPr>
        <w:ind w:left="961" w:right="2819" w:hanging="385"/>
        <w:spacing w:after="0" w:line="244" w:lineRule="auto"/>
        <w:tabs>
          <w:tab w:leader="none" w:pos="96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16 Compliance. The information required by this Item is set forth in the Company's Proxy Statement for the Annual Meeting of Shareholders to be held on May 1, 2001 at page 20 under the caption "Section 16(a) Beneficial Ownership Reporting Compliance," which information is hereby incorporated herein by reference.</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ITEM 11. EXECUTIVE COMPENSATION</w:t>
      </w:r>
    </w:p>
    <w:p>
      <w:pPr>
        <w:spacing w:after="0" w:line="190" w:lineRule="exact"/>
        <w:rPr>
          <w:sz w:val="20"/>
          <w:szCs w:val="20"/>
          <w:color w:val="auto"/>
        </w:rPr>
      </w:pPr>
    </w:p>
    <w:p>
      <w:pPr>
        <w:ind w:left="1" w:right="2639" w:firstLine="576"/>
        <w:spacing w:after="0" w:line="244" w:lineRule="auto"/>
        <w:rPr>
          <w:sz w:val="20"/>
          <w:szCs w:val="20"/>
          <w:color w:val="auto"/>
        </w:rPr>
      </w:pPr>
      <w:r>
        <w:rPr>
          <w:rFonts w:ascii="Courier New" w:cs="Courier New" w:eastAsia="Courier New" w:hAnsi="Courier New"/>
          <w:sz w:val="16"/>
          <w:szCs w:val="16"/>
          <w:color w:val="auto"/>
        </w:rPr>
        <w:t>The information required by this Item is set forth in the Company's Proxy Statement for the Annual Meeting of Shareholders to be held on May 1, 2001, at page 6 under the caption "Remuneration of Directors," pages 8 to 15 under the captions "Executive Compensation," "Report of the Executive Compensation Committee of the Board of Directors," "Executive Compensation Committee Interlocks and Insider Participation," and "Performance Graph," which information is hereby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1"/>
          </w:cols>
          <w:pgMar w:left="239" w:top="300"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10</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12. SECURITY OWNERSHIP OF CERTAIN BENEFICIAL OWNERS AND MANAGEMENT</w:t>
      </w:r>
    </w:p>
    <w:p>
      <w:pPr>
        <w:spacing w:after="0" w:line="190" w:lineRule="exact"/>
        <w:rPr>
          <w:sz w:val="20"/>
          <w:szCs w:val="20"/>
          <w:color w:val="auto"/>
        </w:rPr>
      </w:pPr>
    </w:p>
    <w:p>
      <w:pPr>
        <w:ind w:right="2639" w:firstLine="576"/>
        <w:spacing w:after="0" w:line="244" w:lineRule="auto"/>
        <w:rPr>
          <w:sz w:val="20"/>
          <w:szCs w:val="20"/>
          <w:color w:val="auto"/>
        </w:rPr>
      </w:pPr>
      <w:r>
        <w:rPr>
          <w:rFonts w:ascii="Courier New" w:cs="Courier New" w:eastAsia="Courier New" w:hAnsi="Courier New"/>
          <w:sz w:val="16"/>
          <w:szCs w:val="16"/>
          <w:color w:val="auto"/>
        </w:rPr>
        <w:t>The information required by this Item is set forth in the Company's Proxy Statement for the Annual Meeting of Shareholders to be held on May 1, 2001, at page 2 under the caption "Security Ownership of Certain Beneficial Owners" and at page 7 under the caption "Security Ownership of Management," which information is hereby incorporated herein by reference.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13. CERTAIN RELATIONSHIPS AND RELATED TRANSACTIONS</w:t>
      </w:r>
    </w:p>
    <w:p>
      <w:pPr>
        <w:spacing w:after="0" w:line="190"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The information required by this Item is set forth in the Company's Proxy Statement for the Annual Meeting of Shareholders to be held on May 1, 2001, at page 6 under the caption "Remuneration of Directors" and at page 14 under the caption "Executive Compensation Committee Interlocks and Insider Participation," which information is hereby incorporated herein by reference.</w:t>
      </w: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PART IV</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14. EXHIBITS, FINANCIAL STATEMENT SCHEDULES, AND REPORTS ON FORM 8-K</w:t>
      </w:r>
    </w:p>
    <w:p>
      <w:pPr>
        <w:spacing w:after="0" w:line="188" w:lineRule="exact"/>
        <w:rPr>
          <w:sz w:val="20"/>
          <w:szCs w:val="20"/>
          <w:color w:val="auto"/>
        </w:rPr>
      </w:pPr>
    </w:p>
    <w:p>
      <w:pPr>
        <w:ind w:left="580"/>
        <w:spacing w:after="0"/>
        <w:tabs>
          <w:tab w:leader="none" w:pos="1320" w:val="left"/>
        </w:tabs>
        <w:rPr>
          <w:sz w:val="20"/>
          <w:szCs w:val="20"/>
          <w:color w:val="auto"/>
        </w:rPr>
      </w:pPr>
      <w:r>
        <w:rPr>
          <w:rFonts w:ascii="Courier New" w:cs="Courier New" w:eastAsia="Courier New" w:hAnsi="Courier New"/>
          <w:sz w:val="16"/>
          <w:szCs w:val="16"/>
          <w:color w:val="auto"/>
        </w:rPr>
        <w:t>(a)(1)</w:t>
        <w:tab/>
        <w:t>Financial Statements.</w:t>
      </w:r>
    </w:p>
    <w:p>
      <w:pPr>
        <w:spacing w:after="0" w:line="18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Consolidated Financial Statements (data incorporated by</w:t>
      </w:r>
    </w:p>
    <w:p>
      <w:pPr>
        <w:spacing w:after="0" w:line="4"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reference from the attached Annual Report to Shareholders):</w:t>
      </w:r>
    </w:p>
    <w:p>
      <w:pPr>
        <w:spacing w:after="0" w:line="200" w:lineRule="exact"/>
        <w:rPr>
          <w:sz w:val="20"/>
          <w:szCs w:val="20"/>
          <w:color w:val="auto"/>
        </w:rPr>
      </w:pPr>
    </w:p>
    <w:p>
      <w:pPr>
        <w:spacing w:after="0" w:line="358" w:lineRule="exact"/>
        <w:rPr>
          <w:sz w:val="20"/>
          <w:szCs w:val="20"/>
          <w:color w:val="auto"/>
        </w:rPr>
      </w:pPr>
    </w:p>
    <w:p>
      <w:pPr>
        <w:ind w:left="8640"/>
        <w:spacing w:after="0"/>
        <w:rPr>
          <w:sz w:val="20"/>
          <w:szCs w:val="20"/>
          <w:color w:val="auto"/>
        </w:rPr>
      </w:pPr>
      <w:r>
        <w:rPr>
          <w:rFonts w:ascii="Courier New" w:cs="Courier New" w:eastAsia="Courier New" w:hAnsi="Courier New"/>
          <w:sz w:val="16"/>
          <w:szCs w:val="16"/>
          <w:color w:val="auto"/>
        </w:rPr>
        <w:t>Page Number(s)</w:t>
      </w:r>
    </w:p>
    <w:p>
      <w:pPr>
        <w:spacing w:after="0" w:line="4" w:lineRule="exact"/>
        <w:rPr>
          <w:sz w:val="20"/>
          <w:szCs w:val="20"/>
          <w:color w:val="auto"/>
        </w:rPr>
      </w:pPr>
    </w:p>
    <w:p>
      <w:pPr>
        <w:jc w:val="right"/>
        <w:ind w:right="139"/>
        <w:spacing w:after="0"/>
        <w:rPr>
          <w:sz w:val="20"/>
          <w:szCs w:val="20"/>
          <w:color w:val="auto"/>
        </w:rPr>
      </w:pPr>
      <w:r>
        <w:rPr>
          <w:rFonts w:ascii="Courier New" w:cs="Courier New" w:eastAsia="Courier New" w:hAnsi="Courier New"/>
          <w:sz w:val="16"/>
          <w:szCs w:val="16"/>
          <w:color w:val="auto"/>
        </w:rPr>
        <w:t>in Annual Report</w:t>
      </w:r>
    </w:p>
    <w:p>
      <w:pPr>
        <w:spacing w:after="0" w:line="4" w:lineRule="exact"/>
        <w:rPr>
          <w:sz w:val="20"/>
          <w:szCs w:val="20"/>
          <w:color w:val="auto"/>
        </w:rPr>
      </w:pPr>
    </w:p>
    <w:p>
      <w:pPr>
        <w:jc w:val="right"/>
        <w:ind w:right="139"/>
        <w:spacing w:after="0"/>
        <w:rPr>
          <w:sz w:val="20"/>
          <w:szCs w:val="20"/>
          <w:color w:val="auto"/>
        </w:rPr>
      </w:pPr>
      <w:r>
        <w:rPr>
          <w:rFonts w:ascii="Courier New" w:cs="Courier New" w:eastAsia="Courier New" w:hAnsi="Courier New"/>
          <w:sz w:val="16"/>
          <w:szCs w:val="16"/>
          <w:color w:val="auto"/>
        </w:rPr>
        <w:t>to Shareholders</w:t>
      </w:r>
    </w:p>
    <w:p>
      <w:pPr>
        <w:spacing w:after="0" w:line="4" w:lineRule="exact"/>
        <w:rPr>
          <w:sz w:val="20"/>
          <w:szCs w:val="20"/>
          <w:color w:val="auto"/>
        </w:rPr>
      </w:pPr>
    </w:p>
    <w:p>
      <w:pPr>
        <w:jc w:val="right"/>
        <w:ind w:right="139"/>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Consolidated Statements of Operations for the years ended</w:t>
      </w:r>
    </w:p>
    <w:p>
      <w:pPr>
        <w:spacing w:after="0" w:line="4" w:lineRule="exact"/>
        <w:rPr>
          <w:sz w:val="20"/>
          <w:szCs w:val="20"/>
          <w:color w:val="auto"/>
        </w:rPr>
      </w:pPr>
    </w:p>
    <w:p>
      <w:pPr>
        <w:ind w:left="1820"/>
        <w:spacing w:after="0"/>
        <w:tabs>
          <w:tab w:leader="dot" w:pos="9300" w:val="left"/>
        </w:tabs>
        <w:rPr>
          <w:sz w:val="20"/>
          <w:szCs w:val="20"/>
          <w:color w:val="auto"/>
        </w:rPr>
      </w:pPr>
      <w:r>
        <w:rPr>
          <w:rFonts w:ascii="Courier New" w:cs="Courier New" w:eastAsia="Courier New" w:hAnsi="Courier New"/>
          <w:sz w:val="16"/>
          <w:szCs w:val="16"/>
          <w:color w:val="auto"/>
        </w:rPr>
        <w:t>December 31, 2000, 1999 and 1998</w:t>
      </w:r>
      <w:r>
        <w:rPr>
          <w:sz w:val="20"/>
          <w:szCs w:val="20"/>
          <w:color w:val="auto"/>
        </w:rPr>
        <w:tab/>
      </w:r>
      <w:r>
        <w:rPr>
          <w:rFonts w:ascii="Courier New" w:cs="Courier New" w:eastAsia="Courier New" w:hAnsi="Courier New"/>
          <w:sz w:val="16"/>
          <w:szCs w:val="16"/>
          <w:color w:val="auto"/>
        </w:rPr>
        <w:t>75</w:t>
      </w:r>
    </w:p>
    <w:p>
      <w:pPr>
        <w:spacing w:after="0" w:line="188" w:lineRule="exact"/>
        <w:rPr>
          <w:sz w:val="20"/>
          <w:szCs w:val="20"/>
          <w:color w:val="auto"/>
        </w:rPr>
      </w:pPr>
    </w:p>
    <w:p>
      <w:pPr>
        <w:ind w:left="1820"/>
        <w:spacing w:after="0"/>
        <w:tabs>
          <w:tab w:leader="dot" w:pos="9020" w:val="left"/>
        </w:tabs>
        <w:rPr>
          <w:sz w:val="20"/>
          <w:szCs w:val="20"/>
          <w:color w:val="auto"/>
        </w:rPr>
      </w:pPr>
      <w:r>
        <w:rPr>
          <w:rFonts w:ascii="Courier New" w:cs="Courier New" w:eastAsia="Courier New" w:hAnsi="Courier New"/>
          <w:sz w:val="16"/>
          <w:szCs w:val="16"/>
          <w:color w:val="auto"/>
        </w:rPr>
        <w:t>Consolidated Balance Sheets as of December 31, 2000 and 1999</w:t>
      </w:r>
      <w:r>
        <w:rPr>
          <w:sz w:val="20"/>
          <w:szCs w:val="20"/>
          <w:color w:val="auto"/>
        </w:rPr>
        <w:tab/>
      </w:r>
      <w:r>
        <w:rPr>
          <w:rFonts w:ascii="Courier New" w:cs="Courier New" w:eastAsia="Courier New" w:hAnsi="Courier New"/>
          <w:sz w:val="15"/>
          <w:szCs w:val="15"/>
          <w:color w:val="auto"/>
        </w:rPr>
        <w:t>76-77</w:t>
      </w:r>
    </w:p>
    <w:p>
      <w:pPr>
        <w:spacing w:after="0" w:line="18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Consolidated Statements of Cash Flows for the years ended</w:t>
      </w:r>
    </w:p>
    <w:p>
      <w:pPr>
        <w:spacing w:after="0" w:line="4" w:lineRule="exact"/>
        <w:rPr>
          <w:sz w:val="20"/>
          <w:szCs w:val="20"/>
          <w:color w:val="auto"/>
        </w:rPr>
      </w:pPr>
    </w:p>
    <w:p>
      <w:pPr>
        <w:ind w:left="1820"/>
        <w:spacing w:after="0"/>
        <w:tabs>
          <w:tab w:leader="dot" w:pos="9300" w:val="left"/>
        </w:tabs>
        <w:rPr>
          <w:sz w:val="20"/>
          <w:szCs w:val="20"/>
          <w:color w:val="auto"/>
        </w:rPr>
      </w:pPr>
      <w:r>
        <w:rPr>
          <w:rFonts w:ascii="Courier New" w:cs="Courier New" w:eastAsia="Courier New" w:hAnsi="Courier New"/>
          <w:sz w:val="16"/>
          <w:szCs w:val="16"/>
          <w:color w:val="auto"/>
        </w:rPr>
        <w:t>December 31, 2000, 1999 and 1998</w:t>
      </w:r>
      <w:r>
        <w:rPr>
          <w:sz w:val="20"/>
          <w:szCs w:val="20"/>
          <w:color w:val="auto"/>
        </w:rPr>
        <w:tab/>
      </w:r>
      <w:r>
        <w:rPr>
          <w:rFonts w:ascii="Courier New" w:cs="Courier New" w:eastAsia="Courier New" w:hAnsi="Courier New"/>
          <w:sz w:val="16"/>
          <w:szCs w:val="16"/>
          <w:color w:val="auto"/>
        </w:rPr>
        <w:t>78</w:t>
      </w:r>
    </w:p>
    <w:p>
      <w:pPr>
        <w:spacing w:after="0" w:line="18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Consolidated Statements of Shareholders' Equity for the years</w:t>
      </w:r>
    </w:p>
    <w:p>
      <w:pPr>
        <w:spacing w:after="0" w:line="4" w:lineRule="exact"/>
        <w:rPr>
          <w:sz w:val="20"/>
          <w:szCs w:val="20"/>
          <w:color w:val="auto"/>
        </w:rPr>
      </w:pPr>
    </w:p>
    <w:p>
      <w:pPr>
        <w:ind w:left="1820"/>
        <w:spacing w:after="0"/>
        <w:tabs>
          <w:tab w:leader="dot" w:pos="9300" w:val="left"/>
        </w:tabs>
        <w:rPr>
          <w:sz w:val="20"/>
          <w:szCs w:val="20"/>
          <w:color w:val="auto"/>
        </w:rPr>
      </w:pPr>
      <w:r>
        <w:rPr>
          <w:rFonts w:ascii="Courier New" w:cs="Courier New" w:eastAsia="Courier New" w:hAnsi="Courier New"/>
          <w:sz w:val="16"/>
          <w:szCs w:val="16"/>
          <w:color w:val="auto"/>
        </w:rPr>
        <w:t>ended December 31, 2000, 1999 and 1998</w:t>
      </w:r>
      <w:r>
        <w:rPr>
          <w:sz w:val="20"/>
          <w:szCs w:val="20"/>
          <w:color w:val="auto"/>
        </w:rPr>
        <w:tab/>
      </w:r>
      <w:r>
        <w:rPr>
          <w:rFonts w:ascii="Courier New" w:cs="Courier New" w:eastAsia="Courier New" w:hAnsi="Courier New"/>
          <w:sz w:val="16"/>
          <w:szCs w:val="16"/>
          <w:color w:val="auto"/>
        </w:rPr>
        <w:t>79</w:t>
      </w:r>
    </w:p>
    <w:p>
      <w:pPr>
        <w:spacing w:after="0" w:line="188" w:lineRule="exact"/>
        <w:rPr>
          <w:sz w:val="20"/>
          <w:szCs w:val="20"/>
          <w:color w:val="auto"/>
        </w:rPr>
      </w:pPr>
    </w:p>
    <w:p>
      <w:pPr>
        <w:ind w:left="1820"/>
        <w:spacing w:after="0"/>
        <w:tabs>
          <w:tab w:leader="dot" w:pos="9020" w:val="left"/>
        </w:tabs>
        <w:rPr>
          <w:sz w:val="20"/>
          <w:szCs w:val="20"/>
          <w:color w:val="auto"/>
        </w:rPr>
      </w:pPr>
      <w:r>
        <w:rPr>
          <w:rFonts w:ascii="Courier New" w:cs="Courier New" w:eastAsia="Courier New" w:hAnsi="Courier New"/>
          <w:sz w:val="16"/>
          <w:szCs w:val="16"/>
          <w:color w:val="auto"/>
        </w:rPr>
        <w:t>Notes to Consolidated Financial Statements</w:t>
      </w:r>
      <w:r>
        <w:rPr>
          <w:sz w:val="20"/>
          <w:szCs w:val="20"/>
          <w:color w:val="auto"/>
        </w:rPr>
        <w:tab/>
      </w:r>
      <w:r>
        <w:rPr>
          <w:rFonts w:ascii="Courier New" w:cs="Courier New" w:eastAsia="Courier New" w:hAnsi="Courier New"/>
          <w:sz w:val="15"/>
          <w:szCs w:val="15"/>
          <w:color w:val="auto"/>
        </w:rPr>
        <w:t>80-94</w:t>
      </w:r>
    </w:p>
    <w:p>
      <w:pPr>
        <w:spacing w:after="0" w:line="200" w:lineRule="exact"/>
        <w:rPr>
          <w:sz w:val="20"/>
          <w:szCs w:val="20"/>
          <w:color w:val="auto"/>
        </w:rPr>
      </w:pPr>
    </w:p>
    <w:p>
      <w:pPr>
        <w:spacing w:after="0" w:line="358" w:lineRule="exact"/>
        <w:rPr>
          <w:sz w:val="20"/>
          <w:szCs w:val="20"/>
          <w:color w:val="auto"/>
        </w:rPr>
      </w:pPr>
    </w:p>
    <w:p>
      <w:pPr>
        <w:ind w:left="580"/>
        <w:spacing w:after="0"/>
        <w:tabs>
          <w:tab w:leader="none" w:pos="1320" w:val="left"/>
        </w:tabs>
        <w:rPr>
          <w:sz w:val="20"/>
          <w:szCs w:val="20"/>
          <w:color w:val="auto"/>
        </w:rPr>
      </w:pPr>
      <w:r>
        <w:rPr>
          <w:rFonts w:ascii="Courier New" w:cs="Courier New" w:eastAsia="Courier New" w:hAnsi="Courier New"/>
          <w:sz w:val="16"/>
          <w:szCs w:val="16"/>
          <w:color w:val="auto"/>
        </w:rPr>
        <w:t>(a)(2)</w:t>
      </w:r>
      <w:r>
        <w:rPr>
          <w:sz w:val="20"/>
          <w:szCs w:val="20"/>
          <w:color w:val="auto"/>
        </w:rPr>
        <w:tab/>
      </w:r>
      <w:r>
        <w:rPr>
          <w:rFonts w:ascii="Courier New" w:cs="Courier New" w:eastAsia="Courier New" w:hAnsi="Courier New"/>
          <w:sz w:val="15"/>
          <w:szCs w:val="15"/>
          <w:color w:val="auto"/>
        </w:rPr>
        <w:t>Financial Statement Schedules.</w:t>
      </w:r>
    </w:p>
    <w:p>
      <w:pPr>
        <w:spacing w:after="0" w:line="18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Report of Independent Public Accountants on the Financial</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Statement Schedule</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Consent of Independent Public Accountants</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SCHEDULE II - Valuation and Qualifying Accounts</w:t>
      </w:r>
    </w:p>
    <w:p>
      <w:pPr>
        <w:spacing w:after="0" w:line="188" w:lineRule="exact"/>
        <w:rPr>
          <w:sz w:val="20"/>
          <w:szCs w:val="20"/>
          <w:color w:val="auto"/>
        </w:rPr>
      </w:pPr>
    </w:p>
    <w:p>
      <w:pPr>
        <w:ind w:left="580"/>
        <w:spacing w:after="0"/>
        <w:tabs>
          <w:tab w:leader="none" w:pos="1320" w:val="left"/>
        </w:tabs>
        <w:rPr>
          <w:sz w:val="20"/>
          <w:szCs w:val="20"/>
          <w:color w:val="auto"/>
        </w:rPr>
      </w:pPr>
      <w:r>
        <w:rPr>
          <w:rFonts w:ascii="Courier New" w:cs="Courier New" w:eastAsia="Courier New" w:hAnsi="Courier New"/>
          <w:sz w:val="16"/>
          <w:szCs w:val="16"/>
          <w:color w:val="auto"/>
        </w:rPr>
        <w:t>(a)(3)</w:t>
      </w:r>
      <w:r>
        <w:rPr>
          <w:sz w:val="20"/>
          <w:szCs w:val="20"/>
          <w:color w:val="auto"/>
        </w:rPr>
        <w:tab/>
      </w:r>
      <w:r>
        <w:rPr>
          <w:rFonts w:ascii="Courier New" w:cs="Courier New" w:eastAsia="Courier New" w:hAnsi="Courier New"/>
          <w:sz w:val="15"/>
          <w:szCs w:val="15"/>
          <w:color w:val="auto"/>
        </w:rPr>
        <w:t>Exhibits.</w:t>
      </w:r>
    </w:p>
    <w:p>
      <w:pPr>
        <w:spacing w:after="0" w:line="18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See (c) below.</w:t>
      </w:r>
    </w:p>
    <w:p>
      <w:pPr>
        <w:spacing w:after="0" w:line="18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Pursuant to Regulation S-K, Item 601(b)(4)(iii), the</w:t>
      </w:r>
    </w:p>
    <w:p>
      <w:pPr>
        <w:spacing w:after="0" w:line="4"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Registrant hereby agrees to furnish to the Commission, upon</w:t>
      </w:r>
    </w:p>
    <w:p>
      <w:pPr>
        <w:spacing w:after="0" w:line="4"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request, a copy of each instrument and agreement with respect to</w:t>
      </w:r>
    </w:p>
    <w:p>
      <w:pPr>
        <w:spacing w:after="0" w:line="4"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long-term debt of the Registrant and its consolidated subsidiaries</w:t>
      </w:r>
    </w:p>
    <w:p>
      <w:pPr>
        <w:spacing w:after="0" w:line="4"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which does not exceed 10 percent of the total assets of the</w:t>
      </w:r>
    </w:p>
    <w:p>
      <w:pPr>
        <w:spacing w:after="0" w:line="4"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Registrant and its subsidiaries on a consolidated basis.</w:t>
      </w:r>
    </w:p>
    <w:p>
      <w:pPr>
        <w:spacing w:after="0" w:line="188" w:lineRule="exact"/>
        <w:rPr>
          <w:sz w:val="20"/>
          <w:szCs w:val="20"/>
          <w:color w:val="auto"/>
        </w:rPr>
      </w:pPr>
    </w:p>
    <w:p>
      <w:pPr>
        <w:ind w:left="1340" w:hanging="765"/>
        <w:spacing w:after="0"/>
        <w:tabs>
          <w:tab w:leader="none" w:pos="13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90" w:lineRule="exact"/>
        <w:rPr>
          <w:sz w:val="20"/>
          <w:szCs w:val="20"/>
          <w:color w:val="auto"/>
        </w:rPr>
      </w:pPr>
    </w:p>
    <w:p>
      <w:pPr>
        <w:ind w:right="3119" w:firstLine="576"/>
        <w:spacing w:after="0" w:line="242" w:lineRule="auto"/>
        <w:rPr>
          <w:sz w:val="20"/>
          <w:szCs w:val="20"/>
          <w:color w:val="auto"/>
        </w:rPr>
      </w:pPr>
      <w:r>
        <w:rPr>
          <w:rFonts w:ascii="Courier New" w:cs="Courier New" w:eastAsia="Courier New" w:hAnsi="Courier New"/>
          <w:sz w:val="16"/>
          <w:szCs w:val="16"/>
          <w:color w:val="auto"/>
        </w:rPr>
        <w:t>There was one report on Form 8-K filed with respect to Item 5. Other Events on November 6, 2000.</w:t>
      </w:r>
    </w:p>
    <w:p>
      <w:pPr>
        <w:sectPr>
          <w:pgSz w:w="11900" w:h="16838" w:orient="portrait"/>
          <w:cols w:equalWidth="0" w:num="1">
            <w:col w:w="10219"/>
          </w:cols>
          <w:pgMar w:left="240" w:top="300"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0" w:right="1440" w:bottom="1440" w:gutter="0" w:footer="0" w:header="0"/>
          <w:type w:val="continuous"/>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11</w:t>
      </w:r>
    </w:p>
    <w:p>
      <w:pPr>
        <w:spacing w:after="0" w:line="188" w:lineRule="exact"/>
        <w:rPr>
          <w:sz w:val="20"/>
          <w:szCs w:val="20"/>
          <w:color w:val="auto"/>
        </w:rPr>
      </w:pPr>
    </w:p>
    <w:p>
      <w:pPr>
        <w:ind w:left="1060" w:hanging="765"/>
        <w:spacing w:after="0"/>
        <w:tabs>
          <w:tab w:leader="none" w:pos="10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90" w:lineRule="exact"/>
        <w:rPr>
          <w:rFonts w:ascii="Courier New" w:cs="Courier New" w:eastAsia="Courier New" w:hAnsi="Courier New"/>
          <w:sz w:val="16"/>
          <w:szCs w:val="16"/>
          <w:color w:val="auto"/>
        </w:rPr>
      </w:pPr>
    </w:p>
    <w:p>
      <w:pPr>
        <w:ind w:left="2120" w:right="2539" w:hanging="1057"/>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3.1Articles of Incorporation of Manpower Inc. incorporated by reference to Annex C of the Prospectus which is contained in Amendment No. 1 to Form S-4 (Registration No. 33-38684).</w:t>
      </w:r>
    </w:p>
    <w:p>
      <w:pPr>
        <w:spacing w:after="0" w:line="189" w:lineRule="exact"/>
        <w:rPr>
          <w:rFonts w:ascii="Courier New" w:cs="Courier New" w:eastAsia="Courier New" w:hAnsi="Courier New"/>
          <w:sz w:val="16"/>
          <w:szCs w:val="16"/>
          <w:color w:val="auto"/>
        </w:rPr>
      </w:pPr>
    </w:p>
    <w:p>
      <w:pPr>
        <w:ind w:left="2120" w:right="3119" w:hanging="1057"/>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3.2Amended and Restated By-laws of Manpower Inc., incorporated by reference to the Company's Annual Report on Form 10-K for the fiscal year ended December 31, 1999.</w:t>
      </w:r>
    </w:p>
    <w:p>
      <w:pPr>
        <w:spacing w:after="0" w:line="189" w:lineRule="exact"/>
        <w:rPr>
          <w:rFonts w:ascii="Courier New" w:cs="Courier New" w:eastAsia="Courier New" w:hAnsi="Courier New"/>
          <w:sz w:val="16"/>
          <w:szCs w:val="16"/>
          <w:color w:val="auto"/>
        </w:rPr>
      </w:pPr>
    </w:p>
    <w:p>
      <w:pPr>
        <w:ind w:left="2120" w:right="2539" w:hanging="1057"/>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10.1Revolving Credit Agreement dated December 2, 1999 between Manpower Inc. and the financial institutions set forth therein, Citibank N.A. and Salomon Smith Barney Inc., incorporated by reference to the Company's Annual Report on Form 10-K for the fiscal year ended December 31, 1999.</w:t>
      </w:r>
    </w:p>
    <w:p>
      <w:pPr>
        <w:spacing w:after="0" w:line="187" w:lineRule="exact"/>
        <w:rPr>
          <w:rFonts w:ascii="Courier New" w:cs="Courier New" w:eastAsia="Courier New" w:hAnsi="Courier New"/>
          <w:sz w:val="16"/>
          <w:szCs w:val="16"/>
          <w:color w:val="auto"/>
        </w:rPr>
      </w:pPr>
    </w:p>
    <w:p>
      <w:pPr>
        <w:ind w:left="2120" w:right="2639" w:hanging="1057"/>
        <w:spacing w:after="0" w:line="26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10.2</w:t>
      </w:r>
      <w:r>
        <w:rPr>
          <w:rFonts w:ascii="Courier New" w:cs="Courier New" w:eastAsia="Courier New" w:hAnsi="Courier New"/>
          <w:sz w:val="15"/>
          <w:szCs w:val="15"/>
          <w:color w:val="auto"/>
        </w:rPr>
        <w:t>Revolving Credit Agreement dated November 25, 1997, between Manpower Inc. and the banks set forth therein, Credit Lyonnais, the First National Bank of Chicago, Fleet National Bank, Mellon Bank, N.A., Citibank International PLC and Citibank, N.A., incorporated by reference to the Company's Annual Report on Form 10-K for the fiscal year ended December 31, 1998.</w:t>
      </w:r>
    </w:p>
    <w:p>
      <w:pPr>
        <w:spacing w:after="0" w:line="174" w:lineRule="exact"/>
        <w:rPr>
          <w:rFonts w:ascii="Courier New" w:cs="Courier New" w:eastAsia="Courier New" w:hAnsi="Courier New"/>
          <w:sz w:val="16"/>
          <w:szCs w:val="16"/>
          <w:color w:val="auto"/>
        </w:rPr>
      </w:pPr>
    </w:p>
    <w:p>
      <w:pPr>
        <w:ind w:left="2120" w:right="2539" w:hanging="1057"/>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10.3Amended and Restated Manpower 1991 Executive Stock Option and Restricted Stock Plan, incorporated by reference to Form 10-Q of Manpower Inc. dated September 30, 1996.**</w:t>
      </w:r>
    </w:p>
    <w:p>
      <w:pPr>
        <w:spacing w:after="0" w:line="189" w:lineRule="exact"/>
        <w:rPr>
          <w:rFonts w:ascii="Courier New" w:cs="Courier New" w:eastAsia="Courier New" w:hAnsi="Courier New"/>
          <w:sz w:val="16"/>
          <w:szCs w:val="16"/>
          <w:color w:val="auto"/>
        </w:rPr>
      </w:pPr>
    </w:p>
    <w:p>
      <w:pPr>
        <w:ind w:left="2120" w:right="2919" w:hanging="1057"/>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10.4Manpower Savings Related Share Option Scheme, incorporated by reference to Amendment No. 1 to the Company's Registration Statement on Form S-4 (Registration No. 33-38684).**</w:t>
      </w:r>
    </w:p>
    <w:p>
      <w:pPr>
        <w:spacing w:after="0" w:line="189" w:lineRule="exact"/>
        <w:rPr>
          <w:rFonts w:ascii="Courier New" w:cs="Courier New" w:eastAsia="Courier New" w:hAnsi="Courier New"/>
          <w:sz w:val="16"/>
          <w:szCs w:val="16"/>
          <w:color w:val="auto"/>
        </w:rPr>
      </w:pPr>
    </w:p>
    <w:p>
      <w:pPr>
        <w:ind w:left="2120" w:right="2819" w:hanging="1057"/>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10.5Transfer Agreement dated February 25, 1991 between Manpower and the Company (the "Transfer Agreement"), incorporated by reference to Amendment No. 1 to the Company's Registration Statement on Form S-4 (Registration No. 33-38684).**</w:t>
      </w:r>
    </w:p>
    <w:p>
      <w:pPr>
        <w:spacing w:after="0" w:line="187" w:lineRule="exact"/>
        <w:rPr>
          <w:rFonts w:ascii="Courier New" w:cs="Courier New" w:eastAsia="Courier New" w:hAnsi="Courier New"/>
          <w:sz w:val="16"/>
          <w:szCs w:val="16"/>
          <w:color w:val="auto"/>
        </w:rPr>
      </w:pPr>
    </w:p>
    <w:p>
      <w:pPr>
        <w:ind w:left="2120" w:right="2539" w:hanging="1057"/>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10.6Blue Arrow Savings Related Share Option Scheme, as assumed by Manpower pursuant to the Transfer Agreement, incorporated by reference to Amendment No. 1 to the Company's Registration Statement on Form S-4 (Registration No. 33-38684).**</w:t>
      </w:r>
    </w:p>
    <w:p>
      <w:pPr>
        <w:spacing w:after="0" w:line="185" w:lineRule="exact"/>
        <w:rPr>
          <w:rFonts w:ascii="Courier New" w:cs="Courier New" w:eastAsia="Courier New" w:hAnsi="Courier New"/>
          <w:sz w:val="16"/>
          <w:szCs w:val="16"/>
          <w:color w:val="auto"/>
        </w:rPr>
      </w:pPr>
    </w:p>
    <w:p>
      <w:pPr>
        <w:ind w:left="10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10.7</w:t>
      </w:r>
      <w:r>
        <w:rPr>
          <w:rFonts w:ascii="Courier New" w:cs="Courier New" w:eastAsia="Courier New" w:hAnsi="Courier New"/>
          <w:sz w:val="15"/>
          <w:szCs w:val="15"/>
          <w:color w:val="auto"/>
        </w:rPr>
        <w:t>Blue Arrow Executive Share Option Scheme, as assumed by</w:t>
      </w:r>
    </w:p>
    <w:p>
      <w:pPr>
        <w:spacing w:after="0" w:line="5" w:lineRule="exact"/>
        <w:rPr>
          <w:rFonts w:ascii="Courier New" w:cs="Courier New" w:eastAsia="Courier New" w:hAnsi="Courier New"/>
          <w:sz w:val="16"/>
          <w:szCs w:val="16"/>
          <w:color w:val="auto"/>
        </w:rPr>
      </w:pPr>
    </w:p>
    <w:p>
      <w:pPr>
        <w:ind w:left="2120" w:right="29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Manpower pursuant to the Transfer Agreement, incorporated by reference to Amendment No. 1 to the Company's Registration Statement on Form S-4 (Registration No. 33-38684).**</w:t>
      </w:r>
    </w:p>
    <w:p>
      <w:pPr>
        <w:spacing w:after="0" w:line="189" w:lineRule="exact"/>
        <w:rPr>
          <w:rFonts w:ascii="Courier New" w:cs="Courier New" w:eastAsia="Courier New" w:hAnsi="Courier New"/>
          <w:sz w:val="16"/>
          <w:szCs w:val="16"/>
          <w:color w:val="auto"/>
        </w:rPr>
      </w:pPr>
    </w:p>
    <w:p>
      <w:pPr>
        <w:ind w:left="2120" w:right="3119" w:hanging="1057"/>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10.8Amended and Restated Manpower 1990 Employee Stock Purchase Plan, incorporated by reference to the Company's Registration Statement on Form S-8 (Registration No. 333-31021).**</w:t>
      </w:r>
    </w:p>
    <w:p>
      <w:pPr>
        <w:spacing w:after="0" w:line="189" w:lineRule="exact"/>
        <w:rPr>
          <w:rFonts w:ascii="Courier New" w:cs="Courier New" w:eastAsia="Courier New" w:hAnsi="Courier New"/>
          <w:sz w:val="16"/>
          <w:szCs w:val="16"/>
          <w:color w:val="auto"/>
        </w:rPr>
      </w:pPr>
    </w:p>
    <w:p>
      <w:pPr>
        <w:ind w:left="2120" w:right="2819" w:hanging="1057"/>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10.9Manpower Retirement Plan, as amended and restated effective as of March 1, 1989, incorporated by reference to Form 10-K of Manpower PLC, SEC File No.</w:t>
      </w:r>
    </w:p>
    <w:p>
      <w:pPr>
        <w:spacing w:after="0" w:line="3" w:lineRule="exact"/>
        <w:rPr>
          <w:rFonts w:ascii="Courier New" w:cs="Courier New" w:eastAsia="Courier New" w:hAnsi="Courier New"/>
          <w:sz w:val="16"/>
          <w:szCs w:val="16"/>
          <w:color w:val="auto"/>
        </w:rPr>
      </w:pPr>
    </w:p>
    <w:p>
      <w:pPr>
        <w:ind w:left="2120" w:right="29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0-9890, filed for the fiscal year ended October 31, 1989.**</w:t>
      </w:r>
    </w:p>
    <w:p>
      <w:pPr>
        <w:spacing w:after="0" w:line="188" w:lineRule="exact"/>
        <w:rPr>
          <w:rFonts w:ascii="Courier New" w:cs="Courier New" w:eastAsia="Courier New" w:hAnsi="Courier New"/>
          <w:sz w:val="16"/>
          <w:szCs w:val="16"/>
          <w:color w:val="auto"/>
        </w:rPr>
      </w:pPr>
    </w:p>
    <w:p>
      <w:pPr>
        <w:ind w:left="2120" w:right="2539" w:hanging="1057"/>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10.10Amended and Restated Manpower 1994 Executive Stock Option and Restricted Stock Plan, incorporated by reference to Form 10-Q of Manpower Inc. dated September 30, 1996.**</w:t>
      </w:r>
    </w:p>
    <w:p>
      <w:pPr>
        <w:sectPr>
          <w:pgSz w:w="11900" w:h="16838" w:orient="portrait"/>
          <w:cols w:equalWidth="0" w:num="1">
            <w:col w:w="9939"/>
          </w:cols>
          <w:pgMar w:left="520" w:top="3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939"/>
          </w:cols>
          <w:pgMar w:left="520" w:top="300" w:right="1440" w:bottom="1440" w:gutter="0" w:footer="0" w:header="0"/>
          <w:type w:val="continuous"/>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12</w:t>
      </w:r>
    </w:p>
    <w:p>
      <w:pPr>
        <w:spacing w:after="0" w:line="190" w:lineRule="exact"/>
        <w:rPr>
          <w:sz w:val="20"/>
          <w:szCs w:val="20"/>
          <w:color w:val="auto"/>
        </w:rPr>
      </w:pPr>
    </w:p>
    <w:p>
      <w:pPr>
        <w:ind w:left="2120" w:right="2719" w:hanging="1056"/>
        <w:spacing w:after="0" w:line="243" w:lineRule="auto"/>
        <w:tabs>
          <w:tab w:leader="none" w:pos="2100" w:val="left"/>
        </w:tabs>
        <w:rPr>
          <w:sz w:val="20"/>
          <w:szCs w:val="20"/>
          <w:color w:val="auto"/>
        </w:rPr>
      </w:pPr>
      <w:r>
        <w:rPr>
          <w:rFonts w:ascii="Courier New" w:cs="Courier New" w:eastAsia="Courier New" w:hAnsi="Courier New"/>
          <w:sz w:val="16"/>
          <w:szCs w:val="16"/>
          <w:color w:val="auto"/>
        </w:rPr>
        <w:t>10.11</w:t>
      </w:r>
      <w:r>
        <w:rPr>
          <w:sz w:val="20"/>
          <w:szCs w:val="20"/>
          <w:color w:val="auto"/>
        </w:rPr>
        <w:tab/>
      </w:r>
      <w:r>
        <w:rPr>
          <w:rFonts w:ascii="Courier New" w:cs="Courier New" w:eastAsia="Courier New" w:hAnsi="Courier New"/>
          <w:sz w:val="16"/>
          <w:szCs w:val="16"/>
          <w:color w:val="auto"/>
        </w:rPr>
        <w:t>Stock Option Agreement between Manpower Inc. and John R. Walter dated April 26, 1999, incorporated by reference to the Company's Quarterly Report on Form 10-Q for the quarter ended June 30, 1999.**</w:t>
      </w:r>
    </w:p>
    <w:p>
      <w:pPr>
        <w:spacing w:after="0" w:line="190" w:lineRule="exact"/>
        <w:rPr>
          <w:sz w:val="20"/>
          <w:szCs w:val="20"/>
          <w:color w:val="auto"/>
        </w:rPr>
      </w:pPr>
    </w:p>
    <w:p>
      <w:pPr>
        <w:ind w:left="2120" w:right="2539" w:hanging="1056"/>
        <w:spacing w:after="0" w:line="244" w:lineRule="auto"/>
        <w:tabs>
          <w:tab w:leader="none" w:pos="2100" w:val="left"/>
        </w:tabs>
        <w:rPr>
          <w:sz w:val="20"/>
          <w:szCs w:val="20"/>
          <w:color w:val="auto"/>
        </w:rPr>
      </w:pPr>
      <w:r>
        <w:rPr>
          <w:rFonts w:ascii="Courier New" w:cs="Courier New" w:eastAsia="Courier New" w:hAnsi="Courier New"/>
          <w:sz w:val="16"/>
          <w:szCs w:val="16"/>
          <w:color w:val="auto"/>
        </w:rPr>
        <w:t>10.12(a)</w:t>
        <w:tab/>
        <w:t>Advisory Services Agreement between Manpower Inc., Ashlin Management Company and John R. Walter dated April 26, 1999, incorporated by reference to the Company's Quarterly Report on Form 10-Q for the quarter ended June 30, 1999.**</w:t>
      </w:r>
    </w:p>
    <w:p>
      <w:pPr>
        <w:spacing w:after="0" w:line="187" w:lineRule="exact"/>
        <w:rPr>
          <w:sz w:val="20"/>
          <w:szCs w:val="20"/>
          <w:color w:val="auto"/>
        </w:rPr>
      </w:pPr>
    </w:p>
    <w:p>
      <w:pPr>
        <w:ind w:left="2120" w:right="2539" w:hanging="1056"/>
        <w:spacing w:after="0" w:line="243" w:lineRule="auto"/>
        <w:tabs>
          <w:tab w:leader="none" w:pos="2100" w:val="left"/>
        </w:tabs>
        <w:rPr>
          <w:sz w:val="20"/>
          <w:szCs w:val="20"/>
          <w:color w:val="auto"/>
        </w:rPr>
      </w:pPr>
      <w:r>
        <w:rPr>
          <w:rFonts w:ascii="Courier New" w:cs="Courier New" w:eastAsia="Courier New" w:hAnsi="Courier New"/>
          <w:sz w:val="16"/>
          <w:szCs w:val="16"/>
          <w:color w:val="auto"/>
        </w:rPr>
        <w:t>10.12(b)</w:t>
        <w:tab/>
        <w:t>Consulting Agreement dated as of April 26, 1999 between Manpower Inc. and Gilbert Palay, incorporated by reference to the Company's Annual Report on Form 10-K for the fiscal year ended December 31, 1999.**</w:t>
      </w:r>
    </w:p>
    <w:p>
      <w:pPr>
        <w:spacing w:after="0" w:line="190" w:lineRule="exact"/>
        <w:rPr>
          <w:sz w:val="20"/>
          <w:szCs w:val="20"/>
          <w:color w:val="auto"/>
        </w:rPr>
      </w:pPr>
    </w:p>
    <w:p>
      <w:pPr>
        <w:ind w:left="2120" w:right="2919" w:hanging="1056"/>
        <w:spacing w:after="0" w:line="243" w:lineRule="auto"/>
        <w:tabs>
          <w:tab w:leader="none" w:pos="2100" w:val="left"/>
        </w:tabs>
        <w:rPr>
          <w:sz w:val="20"/>
          <w:szCs w:val="20"/>
          <w:color w:val="auto"/>
        </w:rPr>
      </w:pPr>
      <w:r>
        <w:rPr>
          <w:rFonts w:ascii="Courier New" w:cs="Courier New" w:eastAsia="Courier New" w:hAnsi="Courier New"/>
          <w:sz w:val="16"/>
          <w:szCs w:val="16"/>
          <w:color w:val="auto"/>
        </w:rPr>
        <w:t>10.13(a)</w:t>
        <w:tab/>
        <w:t>Manpower Inc. 2000 Corporate Senior Management Incentive Program, incorporated by reference to the Company's Annual Report on Form 10-K for the fiscal year ended December 31, 1999.**</w:t>
      </w:r>
    </w:p>
    <w:p>
      <w:pPr>
        <w:spacing w:after="0" w:line="188" w:lineRule="exact"/>
        <w:rPr>
          <w:sz w:val="20"/>
          <w:szCs w:val="20"/>
          <w:color w:val="auto"/>
        </w:rPr>
      </w:pPr>
    </w:p>
    <w:p>
      <w:pPr>
        <w:ind w:left="1060"/>
        <w:spacing w:after="0"/>
        <w:tabs>
          <w:tab w:leader="none" w:pos="2100" w:val="left"/>
        </w:tabs>
        <w:rPr>
          <w:sz w:val="20"/>
          <w:szCs w:val="20"/>
          <w:color w:val="auto"/>
        </w:rPr>
      </w:pPr>
      <w:r>
        <w:rPr>
          <w:rFonts w:ascii="Courier New" w:cs="Courier New" w:eastAsia="Courier New" w:hAnsi="Courier New"/>
          <w:sz w:val="16"/>
          <w:szCs w:val="16"/>
          <w:color w:val="auto"/>
        </w:rPr>
        <w:t>10.13(b)</w:t>
        <w:tab/>
        <w:t>[reserved]</w:t>
      </w:r>
    </w:p>
    <w:p>
      <w:pPr>
        <w:spacing w:after="0" w:line="190" w:lineRule="exact"/>
        <w:rPr>
          <w:sz w:val="20"/>
          <w:szCs w:val="20"/>
          <w:color w:val="auto"/>
        </w:rPr>
      </w:pPr>
    </w:p>
    <w:p>
      <w:pPr>
        <w:ind w:left="2120" w:right="3119" w:hanging="1056"/>
        <w:spacing w:after="0" w:line="243" w:lineRule="auto"/>
        <w:tabs>
          <w:tab w:leader="none" w:pos="2100" w:val="left"/>
        </w:tabs>
        <w:rPr>
          <w:sz w:val="20"/>
          <w:szCs w:val="20"/>
          <w:color w:val="auto"/>
        </w:rPr>
      </w:pPr>
      <w:r>
        <w:rPr>
          <w:rFonts w:ascii="Courier New" w:cs="Courier New" w:eastAsia="Courier New" w:hAnsi="Courier New"/>
          <w:sz w:val="16"/>
          <w:szCs w:val="16"/>
          <w:color w:val="auto"/>
        </w:rPr>
        <w:t>10.14</w:t>
      </w:r>
      <w:r>
        <w:rPr>
          <w:sz w:val="20"/>
          <w:szCs w:val="20"/>
          <w:color w:val="auto"/>
        </w:rPr>
        <w:tab/>
      </w:r>
      <w:r>
        <w:rPr>
          <w:rFonts w:ascii="Courier New" w:cs="Courier New" w:eastAsia="Courier New" w:hAnsi="Courier New"/>
          <w:sz w:val="16"/>
          <w:szCs w:val="16"/>
          <w:color w:val="auto"/>
        </w:rPr>
        <w:t>The Restricted Stock Plan of Manpower Inc., incorporated by reference to the Company's Annual Report on Form 10-K for the fiscal year ended December 31, 1992.**</w:t>
      </w:r>
    </w:p>
    <w:p>
      <w:pPr>
        <w:spacing w:after="0" w:line="190" w:lineRule="exact"/>
        <w:rPr>
          <w:sz w:val="20"/>
          <w:szCs w:val="20"/>
          <w:color w:val="auto"/>
        </w:rPr>
      </w:pPr>
    </w:p>
    <w:p>
      <w:pPr>
        <w:ind w:left="2120" w:right="2539" w:hanging="1056"/>
        <w:spacing w:after="0" w:line="243" w:lineRule="auto"/>
        <w:tabs>
          <w:tab w:leader="none" w:pos="2100" w:val="left"/>
        </w:tabs>
        <w:rPr>
          <w:sz w:val="20"/>
          <w:szCs w:val="20"/>
          <w:color w:val="auto"/>
        </w:rPr>
      </w:pPr>
      <w:r>
        <w:rPr>
          <w:rFonts w:ascii="Courier New" w:cs="Courier New" w:eastAsia="Courier New" w:hAnsi="Courier New"/>
          <w:sz w:val="16"/>
          <w:szCs w:val="16"/>
          <w:color w:val="auto"/>
        </w:rPr>
        <w:t>10.15</w:t>
      </w:r>
      <w:r>
        <w:rPr>
          <w:sz w:val="20"/>
          <w:szCs w:val="20"/>
          <w:color w:val="auto"/>
        </w:rPr>
        <w:tab/>
      </w:r>
      <w:r>
        <w:rPr>
          <w:rFonts w:ascii="Courier New" w:cs="Courier New" w:eastAsia="Courier New" w:hAnsi="Courier New"/>
          <w:sz w:val="16"/>
          <w:szCs w:val="16"/>
          <w:color w:val="auto"/>
        </w:rPr>
        <w:t>Amended and Restated Manpower 1991 Directors Stock Option Plan, incorporated by reference to the Company's Registration Statement on Form S-8 (Registration No. 333-31021).**</w:t>
      </w:r>
    </w:p>
    <w:p>
      <w:pPr>
        <w:spacing w:after="0" w:line="190" w:lineRule="exact"/>
        <w:rPr>
          <w:sz w:val="20"/>
          <w:szCs w:val="20"/>
          <w:color w:val="auto"/>
        </w:rPr>
      </w:pPr>
    </w:p>
    <w:p>
      <w:pPr>
        <w:ind w:left="2120" w:right="2639" w:hanging="1056"/>
        <w:spacing w:after="0" w:line="243" w:lineRule="auto"/>
        <w:tabs>
          <w:tab w:leader="none" w:pos="2100" w:val="left"/>
        </w:tabs>
        <w:rPr>
          <w:sz w:val="20"/>
          <w:szCs w:val="20"/>
          <w:color w:val="auto"/>
        </w:rPr>
      </w:pPr>
      <w:r>
        <w:rPr>
          <w:rFonts w:ascii="Courier New" w:cs="Courier New" w:eastAsia="Courier New" w:hAnsi="Courier New"/>
          <w:sz w:val="16"/>
          <w:szCs w:val="16"/>
          <w:color w:val="auto"/>
        </w:rPr>
        <w:t>10.16</w:t>
      </w:r>
      <w:r>
        <w:rPr>
          <w:sz w:val="20"/>
          <w:szCs w:val="20"/>
          <w:color w:val="auto"/>
        </w:rPr>
        <w:tab/>
      </w:r>
      <w:r>
        <w:rPr>
          <w:rFonts w:ascii="Courier New" w:cs="Courier New" w:eastAsia="Courier New" w:hAnsi="Courier New"/>
          <w:sz w:val="16"/>
          <w:szCs w:val="16"/>
          <w:color w:val="auto"/>
        </w:rPr>
        <w:t>Amended and Restated Manpower Deferred Stock Plan, incorporated by reference to the Company's Annual Report on Form 10-K for the fiscal year ended December 31, 1996.**</w:t>
      </w:r>
    </w:p>
    <w:p>
      <w:pPr>
        <w:spacing w:after="0" w:line="190" w:lineRule="exact"/>
        <w:rPr>
          <w:sz w:val="20"/>
          <w:szCs w:val="20"/>
          <w:color w:val="auto"/>
        </w:rPr>
      </w:pPr>
    </w:p>
    <w:p>
      <w:pPr>
        <w:ind w:left="2120" w:right="2639" w:hanging="1056"/>
        <w:spacing w:after="0" w:line="243" w:lineRule="auto"/>
        <w:tabs>
          <w:tab w:leader="none" w:pos="2100" w:val="left"/>
        </w:tabs>
        <w:rPr>
          <w:sz w:val="20"/>
          <w:szCs w:val="20"/>
          <w:color w:val="auto"/>
        </w:rPr>
      </w:pPr>
      <w:r>
        <w:rPr>
          <w:rFonts w:ascii="Courier New" w:cs="Courier New" w:eastAsia="Courier New" w:hAnsi="Courier New"/>
          <w:sz w:val="16"/>
          <w:szCs w:val="16"/>
          <w:color w:val="auto"/>
        </w:rPr>
        <w:t>10.17(a)</w:t>
        <w:tab/>
        <w:t>Employment Agreement between Terry A. Hueneke and Manpower Inc. dated February 18, 1997, incorporated by reference to the Company's Annual Report on Form 10-K for the fiscal year ended December 31, 1996.**</w:t>
      </w:r>
    </w:p>
    <w:p>
      <w:pPr>
        <w:spacing w:after="0" w:line="190" w:lineRule="exact"/>
        <w:rPr>
          <w:sz w:val="20"/>
          <w:szCs w:val="20"/>
          <w:color w:val="auto"/>
        </w:rPr>
      </w:pPr>
    </w:p>
    <w:p>
      <w:pPr>
        <w:ind w:left="2120" w:right="2639" w:hanging="1056"/>
        <w:spacing w:after="0" w:line="243" w:lineRule="auto"/>
        <w:tabs>
          <w:tab w:leader="none" w:pos="2100" w:val="left"/>
        </w:tabs>
        <w:rPr>
          <w:sz w:val="20"/>
          <w:szCs w:val="20"/>
          <w:color w:val="auto"/>
        </w:rPr>
      </w:pPr>
      <w:r>
        <w:rPr>
          <w:rFonts w:ascii="Courier New" w:cs="Courier New" w:eastAsia="Courier New" w:hAnsi="Courier New"/>
          <w:sz w:val="16"/>
          <w:szCs w:val="16"/>
          <w:color w:val="auto"/>
        </w:rPr>
        <w:t>10.17(b)</w:t>
        <w:tab/>
        <w:t>Employment Agreement between Terry A. Hueneke and Manpower Inc. dated February 23, 1998, incorporated by reference to the Company's Annual Report on Form 10-K for the fiscal year ended December 31, 1998.**</w:t>
      </w:r>
    </w:p>
    <w:p>
      <w:pPr>
        <w:spacing w:after="0" w:line="190" w:lineRule="exact"/>
        <w:rPr>
          <w:sz w:val="20"/>
          <w:szCs w:val="20"/>
          <w:color w:val="auto"/>
        </w:rPr>
      </w:pPr>
    </w:p>
    <w:p>
      <w:pPr>
        <w:ind w:left="2120" w:right="2819" w:hanging="1056"/>
        <w:spacing w:after="0" w:line="244" w:lineRule="auto"/>
        <w:tabs>
          <w:tab w:leader="none" w:pos="2100" w:val="left"/>
        </w:tabs>
        <w:rPr>
          <w:sz w:val="20"/>
          <w:szCs w:val="20"/>
          <w:color w:val="auto"/>
        </w:rPr>
      </w:pPr>
      <w:r>
        <w:rPr>
          <w:rFonts w:ascii="Courier New" w:cs="Courier New" w:eastAsia="Courier New" w:hAnsi="Courier New"/>
          <w:sz w:val="16"/>
          <w:szCs w:val="16"/>
          <w:color w:val="auto"/>
        </w:rPr>
        <w:t>10.18(a)</w:t>
        <w:tab/>
        <w:t>Employment Agreement between Jeffrey A. Joerres and Manpower Inc. dated as of February 22, 1999, incorporated by reference to the Company's Quarterly Report on Form 10-Q for the quarter ended March 31, 1999.**</w:t>
      </w:r>
    </w:p>
    <w:p>
      <w:pPr>
        <w:spacing w:after="0" w:line="187" w:lineRule="exact"/>
        <w:rPr>
          <w:sz w:val="20"/>
          <w:szCs w:val="20"/>
          <w:color w:val="auto"/>
        </w:rPr>
      </w:pPr>
    </w:p>
    <w:p>
      <w:pPr>
        <w:ind w:left="2120" w:right="2819" w:hanging="1056"/>
        <w:spacing w:after="0" w:line="244" w:lineRule="auto"/>
        <w:tabs>
          <w:tab w:leader="none" w:pos="2100" w:val="left"/>
        </w:tabs>
        <w:rPr>
          <w:sz w:val="20"/>
          <w:szCs w:val="20"/>
          <w:color w:val="auto"/>
        </w:rPr>
      </w:pPr>
      <w:r>
        <w:rPr>
          <w:rFonts w:ascii="Courier New" w:cs="Courier New" w:eastAsia="Courier New" w:hAnsi="Courier New"/>
          <w:sz w:val="16"/>
          <w:szCs w:val="16"/>
          <w:color w:val="auto"/>
        </w:rPr>
        <w:t>10.18(b)</w:t>
        <w:tab/>
        <w:t>Severance Agreement between Jeffrey A. Joerres and Manpower Inc. dated as of February 22, 1999, incorporated by reference to the Company's Quarterly Report on Form 10-Q for the quarter ended March 31, 1999.**</w:t>
      </w:r>
    </w:p>
    <w:p>
      <w:pPr>
        <w:spacing w:after="0" w:line="187" w:lineRule="exact"/>
        <w:rPr>
          <w:sz w:val="20"/>
          <w:szCs w:val="20"/>
          <w:color w:val="auto"/>
        </w:rPr>
      </w:pPr>
    </w:p>
    <w:p>
      <w:pPr>
        <w:ind w:left="2120" w:right="2639" w:hanging="1056"/>
        <w:spacing w:after="0" w:line="244" w:lineRule="auto"/>
        <w:tabs>
          <w:tab w:leader="none" w:pos="2100" w:val="left"/>
        </w:tabs>
        <w:rPr>
          <w:sz w:val="20"/>
          <w:szCs w:val="20"/>
          <w:color w:val="auto"/>
        </w:rPr>
      </w:pPr>
      <w:r>
        <w:rPr>
          <w:rFonts w:ascii="Courier New" w:cs="Courier New" w:eastAsia="Courier New" w:hAnsi="Courier New"/>
          <w:sz w:val="16"/>
          <w:szCs w:val="16"/>
          <w:color w:val="auto"/>
        </w:rPr>
        <w:t>10.19(a)</w:t>
        <w:tab/>
        <w:t>Employment Agreement between Michael J. Van Handel and Manpower Inc. dated as of February 22, 1999, incorporated by reference to the Company's Quarterly Report on Form 10-Q for the quarter ended March 31, 1999.**</w:t>
      </w:r>
    </w:p>
    <w:p>
      <w:pPr>
        <w:spacing w:after="0" w:line="187" w:lineRule="exact"/>
        <w:rPr>
          <w:sz w:val="20"/>
          <w:szCs w:val="20"/>
          <w:color w:val="auto"/>
        </w:rPr>
      </w:pPr>
    </w:p>
    <w:p>
      <w:pPr>
        <w:ind w:left="2120" w:right="2719" w:hanging="1056"/>
        <w:spacing w:after="0" w:line="244" w:lineRule="auto"/>
        <w:tabs>
          <w:tab w:leader="none" w:pos="2100" w:val="left"/>
        </w:tabs>
        <w:rPr>
          <w:sz w:val="20"/>
          <w:szCs w:val="20"/>
          <w:color w:val="auto"/>
        </w:rPr>
      </w:pPr>
      <w:r>
        <w:rPr>
          <w:rFonts w:ascii="Courier New" w:cs="Courier New" w:eastAsia="Courier New" w:hAnsi="Courier New"/>
          <w:sz w:val="16"/>
          <w:szCs w:val="16"/>
          <w:color w:val="auto"/>
        </w:rPr>
        <w:t>10.19(b)</w:t>
        <w:tab/>
        <w:t>Severance Agreement between Michael J. Van Handel and Manpower Inc. dated as of February 22, 1999, incorporated by reference to the Company's Quarterly Report on Form 10-Q for the quarter ended March 31, 1999.**</w:t>
      </w:r>
    </w:p>
    <w:p>
      <w:pPr>
        <w:spacing w:after="0" w:line="187" w:lineRule="exact"/>
        <w:rPr>
          <w:sz w:val="20"/>
          <w:szCs w:val="20"/>
          <w:color w:val="auto"/>
        </w:rPr>
      </w:pPr>
    </w:p>
    <w:p>
      <w:pPr>
        <w:ind w:left="2120" w:right="2639" w:hanging="1056"/>
        <w:spacing w:after="0" w:line="243" w:lineRule="auto"/>
        <w:tabs>
          <w:tab w:leader="none" w:pos="21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2000 Annual Report to Shareholders. Pursuant to Item 601(b)(13)(ii) of Regulation S-K, any of the portions of the Annual Report incorporated by reference in this Form 10-K are filed as an exhibit hereto.</w:t>
      </w:r>
    </w:p>
    <w:p>
      <w:pPr>
        <w:spacing w:after="0" w:line="188" w:lineRule="exact"/>
        <w:rPr>
          <w:sz w:val="20"/>
          <w:szCs w:val="20"/>
          <w:color w:val="auto"/>
        </w:rPr>
      </w:pPr>
    </w:p>
    <w:p>
      <w:pPr>
        <w:ind w:left="1060"/>
        <w:spacing w:after="0"/>
        <w:tabs>
          <w:tab w:leader="none" w:pos="2100"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6"/>
          <w:szCs w:val="16"/>
          <w:color w:val="auto"/>
        </w:rPr>
        <w:t>Subsidiaries of Manpower Inc.</w:t>
      </w:r>
    </w:p>
    <w:p>
      <w:pPr>
        <w:sectPr>
          <w:pgSz w:w="11900" w:h="16838" w:orient="portrait"/>
          <w:cols w:equalWidth="0" w:num="1">
            <w:col w:w="9939"/>
          </w:cols>
          <w:pgMar w:left="520" w:top="300" w:right="1440" w:bottom="457" w:gutter="0" w:footer="0" w:header="0"/>
        </w:sectPr>
      </w:pPr>
    </w:p>
    <w:p>
      <w:pPr>
        <w:spacing w:after="0" w:line="200" w:lineRule="exact"/>
        <w:rPr>
          <w:sz w:val="20"/>
          <w:szCs w:val="20"/>
          <w:color w:val="auto"/>
        </w:rPr>
      </w:pPr>
    </w:p>
    <w:p>
      <w:pPr>
        <w:spacing w:after="0" w:line="35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939"/>
          </w:cols>
          <w:pgMar w:left="520" w:top="300" w:right="1440" w:bottom="457" w:gutter="0" w:footer="0" w:header="0"/>
          <w:type w:val="continuous"/>
        </w:sectPr>
      </w:pPr>
    </w:p>
    <w:bookmarkStart w:id="12" w:name="page13"/>
    <w:bookmarkEnd w:id="12"/>
    <w:p>
      <w:pPr>
        <w:ind w:left="281"/>
        <w:spacing w:after="0"/>
        <w:rPr>
          <w:sz w:val="20"/>
          <w:szCs w:val="20"/>
          <w:color w:val="auto"/>
        </w:rPr>
      </w:pPr>
      <w:r>
        <w:rPr>
          <w:rFonts w:ascii="Courier New" w:cs="Courier New" w:eastAsia="Courier New" w:hAnsi="Courier New"/>
          <w:sz w:val="16"/>
          <w:szCs w:val="16"/>
          <w:color w:val="auto"/>
        </w:rPr>
        <w:t>13</w:t>
      </w:r>
    </w:p>
    <w:p>
      <w:pPr>
        <w:spacing w:after="0" w:line="190" w:lineRule="exact"/>
        <w:rPr>
          <w:sz w:val="20"/>
          <w:szCs w:val="20"/>
          <w:color w:val="auto"/>
        </w:rPr>
      </w:pPr>
    </w:p>
    <w:p>
      <w:pPr>
        <w:ind w:left="2401" w:right="2639" w:hanging="1056"/>
        <w:spacing w:after="0" w:line="267" w:lineRule="auto"/>
        <w:tabs>
          <w:tab w:leader="none" w:pos="2401"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Arthur Andersen LLP, incorporated by reference to the Schedule to the Financial Statements, which Schedule is contained in this Form 10-K.</w:t>
      </w:r>
    </w:p>
    <w:p>
      <w:pPr>
        <w:spacing w:after="0" w:line="170" w:lineRule="exact"/>
        <w:rPr>
          <w:rFonts w:ascii="Courier New" w:cs="Courier New" w:eastAsia="Courier New" w:hAnsi="Courier New"/>
          <w:sz w:val="15"/>
          <w:szCs w:val="15"/>
          <w:color w:val="auto"/>
        </w:rPr>
      </w:pPr>
    </w:p>
    <w:p>
      <w:pPr>
        <w:ind w:left="2401" w:hanging="1056"/>
        <w:spacing w:after="0"/>
        <w:tabs>
          <w:tab w:leader="none" w:pos="2401"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Powers of Attorney.</w:t>
      </w:r>
    </w:p>
    <w:p>
      <w:pPr>
        <w:spacing w:after="0" w:line="373" w:lineRule="exact"/>
        <w:rPr>
          <w:rFonts w:ascii="Courier New" w:cs="Courier New" w:eastAsia="Courier New" w:hAnsi="Courier New"/>
          <w:sz w:val="16"/>
          <w:szCs w:val="16"/>
          <w:color w:val="auto"/>
        </w:rPr>
      </w:pPr>
    </w:p>
    <w:p>
      <w:pPr>
        <w:ind w:left="281" w:hanging="281"/>
        <w:spacing w:after="0"/>
        <w:tabs>
          <w:tab w:leader="none" w:pos="2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1"/>
          </w:cols>
          <w:pgMar w:left="239" w:top="300" w:right="1440" w:bottom="1440" w:gutter="0" w:footer="0" w:header="0"/>
        </w:sectPr>
      </w:pPr>
    </w:p>
    <w:bookmarkStart w:id="13" w:name="page14"/>
    <w:bookmarkEnd w:id="13"/>
    <w:p>
      <w:pPr>
        <w:ind w:left="281"/>
        <w:spacing w:after="0"/>
        <w:rPr>
          <w:sz w:val="20"/>
          <w:szCs w:val="20"/>
          <w:color w:val="auto"/>
        </w:rPr>
      </w:pPr>
      <w:r>
        <w:rPr>
          <w:rFonts w:ascii="Courier New" w:cs="Courier New" w:eastAsia="Courier New" w:hAnsi="Courier New"/>
          <w:sz w:val="16"/>
          <w:szCs w:val="16"/>
          <w:color w:val="auto"/>
        </w:rPr>
        <w:t>14</w:t>
      </w:r>
    </w:p>
    <w:p>
      <w:pPr>
        <w:spacing w:after="0" w:line="373"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6"/>
          <w:szCs w:val="16"/>
          <w:color w:val="auto"/>
        </w:rPr>
        <w:t>SIGNATURES</w:t>
      </w:r>
    </w:p>
    <w:p>
      <w:pPr>
        <w:spacing w:after="0" w:line="190" w:lineRule="exact"/>
        <w:rPr>
          <w:sz w:val="20"/>
          <w:szCs w:val="20"/>
          <w:color w:val="auto"/>
        </w:rPr>
      </w:pPr>
    </w:p>
    <w:p>
      <w:pPr>
        <w:ind w:left="1" w:right="3080" w:firstLine="576"/>
        <w:spacing w:after="0" w:line="243" w:lineRule="auto"/>
        <w:rPr>
          <w:sz w:val="20"/>
          <w:szCs w:val="20"/>
          <w:color w:val="auto"/>
        </w:rPr>
      </w:pPr>
      <w:r>
        <w:rPr>
          <w:rFonts w:ascii="Courier New" w:cs="Courier New" w:eastAsia="Courier New" w:hAnsi="Courier New"/>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371" w:lineRule="exact"/>
        <w:rPr>
          <w:sz w:val="20"/>
          <w:szCs w:val="20"/>
          <w:color w:val="auto"/>
        </w:rPr>
      </w:pPr>
    </w:p>
    <w:p>
      <w:pPr>
        <w:ind w:left="2301"/>
        <w:spacing w:after="0"/>
        <w:rPr>
          <w:sz w:val="20"/>
          <w:szCs w:val="20"/>
          <w:color w:val="auto"/>
        </w:rPr>
      </w:pPr>
      <w:r>
        <w:rPr>
          <w:rFonts w:ascii="Courier New" w:cs="Courier New" w:eastAsia="Courier New" w:hAnsi="Courier New"/>
          <w:sz w:val="16"/>
          <w:szCs w:val="16"/>
          <w:color w:val="auto"/>
        </w:rPr>
        <w:t>MANPOWER INC.</w:t>
      </w:r>
    </w:p>
    <w:p>
      <w:pPr>
        <w:spacing w:after="0" w:line="200" w:lineRule="exact"/>
        <w:rPr>
          <w:sz w:val="20"/>
          <w:szCs w:val="20"/>
          <w:color w:val="auto"/>
        </w:rPr>
      </w:pPr>
    </w:p>
    <w:p>
      <w:pPr>
        <w:spacing w:after="0" w:line="358" w:lineRule="exact"/>
        <w:rPr>
          <w:sz w:val="20"/>
          <w:szCs w:val="20"/>
          <w:color w:val="auto"/>
        </w:rPr>
      </w:pPr>
    </w:p>
    <w:p>
      <w:pPr>
        <w:ind w:left="2301"/>
        <w:spacing w:after="0"/>
        <w:tabs>
          <w:tab w:leader="none" w:pos="2961"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Jeffrey A. Joerres</w:t>
      </w:r>
    </w:p>
    <w:p>
      <w:pPr>
        <w:spacing w:after="0" w:line="4" w:lineRule="exact"/>
        <w:rPr>
          <w:sz w:val="20"/>
          <w:szCs w:val="20"/>
          <w:color w:val="auto"/>
        </w:rPr>
      </w:pPr>
    </w:p>
    <w:p>
      <w:pPr>
        <w:ind w:left="2981"/>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981"/>
        <w:spacing w:after="0"/>
        <w:rPr>
          <w:sz w:val="20"/>
          <w:szCs w:val="20"/>
          <w:color w:val="auto"/>
        </w:rPr>
      </w:pPr>
      <w:r>
        <w:rPr>
          <w:rFonts w:ascii="Courier New" w:cs="Courier New" w:eastAsia="Courier New" w:hAnsi="Courier New"/>
          <w:sz w:val="16"/>
          <w:szCs w:val="16"/>
          <w:color w:val="auto"/>
        </w:rPr>
        <w:t>Jeffrey A. Joerres</w:t>
      </w:r>
    </w:p>
    <w:p>
      <w:pPr>
        <w:spacing w:after="0" w:line="4" w:lineRule="exact"/>
        <w:rPr>
          <w:sz w:val="20"/>
          <w:szCs w:val="20"/>
          <w:color w:val="auto"/>
        </w:rPr>
      </w:pPr>
    </w:p>
    <w:p>
      <w:pPr>
        <w:ind w:left="2981"/>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188" w:lineRule="exact"/>
        <w:rPr>
          <w:sz w:val="20"/>
          <w:szCs w:val="20"/>
          <w:color w:val="auto"/>
        </w:rPr>
      </w:pPr>
    </w:p>
    <w:p>
      <w:pPr>
        <w:ind w:left="2301"/>
        <w:spacing w:after="0"/>
        <w:rPr>
          <w:sz w:val="20"/>
          <w:szCs w:val="20"/>
          <w:color w:val="auto"/>
        </w:rPr>
      </w:pPr>
      <w:r>
        <w:rPr>
          <w:rFonts w:ascii="Courier New" w:cs="Courier New" w:eastAsia="Courier New" w:hAnsi="Courier New"/>
          <w:sz w:val="16"/>
          <w:szCs w:val="16"/>
          <w:color w:val="auto"/>
        </w:rPr>
        <w:t>Date: March 30, 2001</w:t>
      </w:r>
    </w:p>
    <w:p>
      <w:pPr>
        <w:spacing w:after="0" w:line="200" w:lineRule="exact"/>
        <w:rPr>
          <w:sz w:val="20"/>
          <w:szCs w:val="20"/>
          <w:color w:val="auto"/>
        </w:rPr>
      </w:pPr>
    </w:p>
    <w:p>
      <w:pPr>
        <w:spacing w:after="0" w:line="360" w:lineRule="exact"/>
        <w:rPr>
          <w:sz w:val="20"/>
          <w:szCs w:val="20"/>
          <w:color w:val="auto"/>
        </w:rPr>
      </w:pPr>
    </w:p>
    <w:p>
      <w:pPr>
        <w:ind w:left="1" w:right="3180" w:firstLine="576"/>
        <w:spacing w:after="0" w:line="243" w:lineRule="auto"/>
        <w:rPr>
          <w:sz w:val="20"/>
          <w:szCs w:val="20"/>
          <w:color w:val="auto"/>
        </w:rPr>
      </w:pPr>
      <w:r>
        <w:rPr>
          <w:rFonts w:ascii="Courier New" w:cs="Courier New" w:eastAsia="Courier New" w:hAnsi="Courier New"/>
          <w:sz w:val="16"/>
          <w:szCs w:val="16"/>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761"/>
          </w:cols>
          <w:pgMar w:left="239" w:top="300"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61"/>
        <w:spacing w:after="0"/>
        <w:rPr>
          <w:sz w:val="20"/>
          <w:szCs w:val="20"/>
          <w:color w:val="auto"/>
        </w:rPr>
      </w:pPr>
      <w:r>
        <w:rPr>
          <w:rFonts w:ascii="Courier New" w:cs="Courier New" w:eastAsia="Courier New" w:hAnsi="Courier New"/>
          <w:sz w:val="16"/>
          <w:szCs w:val="16"/>
          <w:color w:val="auto"/>
        </w:rPr>
        <w:t>Name</w:t>
      </w:r>
    </w:p>
    <w:p>
      <w:pPr>
        <w:spacing w:after="0" w:line="5" w:lineRule="exact"/>
        <w:rPr>
          <w:sz w:val="20"/>
          <w:szCs w:val="20"/>
          <w:color w:val="auto"/>
        </w:rPr>
      </w:pPr>
    </w:p>
    <w:p>
      <w:pPr>
        <w:ind w:left="581"/>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8" w:lineRule="exact"/>
        <w:rPr>
          <w:sz w:val="20"/>
          <w:szCs w:val="20"/>
          <w:color w:val="auto"/>
        </w:rPr>
      </w:pPr>
    </w:p>
    <w:p>
      <w:pPr>
        <w:sectPr>
          <w:pgSz w:w="11900" w:h="16838" w:orient="portrait"/>
          <w:cols w:equalWidth="0" w:num="3">
            <w:col w:w="4181" w:space="720"/>
            <w:col w:w="3700" w:space="720"/>
            <w:col w:w="1440"/>
          </w:cols>
          <w:pgMar w:left="239" w:top="300" w:right="899"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/s/ Jeffrey A. Joerres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 ---------------------------------</w:t>
      </w:r>
    </w:p>
    <w:p>
      <w:pPr>
        <w:spacing w:after="0" w:line="1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Jeffrey A. Joerres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President, Chief Executive Officer</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and a 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March 30, 2001</w:t>
      </w:r>
    </w:p>
    <w:p>
      <w:pPr>
        <w:spacing w:after="0" w:line="579" w:lineRule="exact"/>
        <w:rPr>
          <w:sz w:val="20"/>
          <w:szCs w:val="20"/>
          <w:color w:val="auto"/>
        </w:rPr>
      </w:pPr>
    </w:p>
    <w:p>
      <w:pPr>
        <w:sectPr>
          <w:pgSz w:w="11900" w:h="16838" w:orient="portrait"/>
          <w:cols w:equalWidth="0" w:num="3">
            <w:col w:w="3501" w:space="720"/>
            <w:col w:w="4380" w:space="720"/>
            <w:col w:w="1440"/>
          </w:cols>
          <w:pgMar w:left="239" w:top="300" w:right="899" w:bottom="1440" w:gutter="0" w:footer="0" w:header="0"/>
          <w:type w:val="continuous"/>
        </w:sectPr>
      </w:pPr>
    </w:p>
    <w:p>
      <w:pPr>
        <w:spacing w:after="0" w:line="1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Michael J. Van Handel</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 ---------------------------------</w:t>
      </w:r>
    </w:p>
    <w:p>
      <w:pPr>
        <w:spacing w:after="0" w:line="1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Michael J. Van Handel</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Chief Financial Officer</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and Secretary (Principal Financial Officer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Principal Accounting Officer)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30, 2001</w:t>
      </w:r>
    </w:p>
    <w:p>
      <w:pPr>
        <w:spacing w:after="0" w:line="579" w:lineRule="exact"/>
        <w:rPr>
          <w:sz w:val="20"/>
          <w:szCs w:val="20"/>
          <w:color w:val="auto"/>
        </w:rPr>
      </w:pPr>
    </w:p>
    <w:p>
      <w:pPr>
        <w:sectPr>
          <w:pgSz w:w="11900" w:h="16838" w:orient="portrait"/>
          <w:cols w:equalWidth="0" w:num="3">
            <w:col w:w="3501" w:space="720"/>
            <w:col w:w="4420" w:space="680"/>
            <w:col w:w="1440"/>
          </w:cols>
          <w:pgMar w:left="239" w:top="300" w:right="899" w:bottom="1440" w:gutter="0" w:footer="0" w:header="0"/>
          <w:type w:val="continuous"/>
        </w:sectPr>
      </w:pPr>
    </w:p>
    <w:p>
      <w:pPr>
        <w:spacing w:after="0" w:line="200" w:lineRule="exact"/>
        <w:rPr>
          <w:sz w:val="20"/>
          <w:szCs w:val="20"/>
          <w:color w:val="auto"/>
        </w:rPr>
      </w:pPr>
    </w:p>
    <w:p>
      <w:pPr>
        <w:spacing w:after="0" w:line="343" w:lineRule="exact"/>
        <w:rPr>
          <w:sz w:val="20"/>
          <w:szCs w:val="20"/>
          <w:color w:val="auto"/>
        </w:rPr>
      </w:pPr>
    </w:p>
    <w:p>
      <w:pPr>
        <w:ind w:left="1"/>
        <w:spacing w:after="0"/>
        <w:tabs>
          <w:tab w:leader="none" w:pos="1321" w:val="left"/>
        </w:tabs>
        <w:rPr>
          <w:sz w:val="20"/>
          <w:szCs w:val="20"/>
          <w:color w:val="auto"/>
        </w:rPr>
      </w:pPr>
      <w:r>
        <w:rPr>
          <w:rFonts w:ascii="Courier New" w:cs="Courier New" w:eastAsia="Courier New" w:hAnsi="Courier New"/>
          <w:sz w:val="16"/>
          <w:szCs w:val="16"/>
          <w:color w:val="auto"/>
        </w:rPr>
        <w:t>Directors:</w:t>
      </w:r>
      <w:r>
        <w:rPr>
          <w:sz w:val="20"/>
          <w:szCs w:val="20"/>
          <w:color w:val="auto"/>
        </w:rPr>
        <w:tab/>
      </w:r>
      <w:r>
        <w:rPr>
          <w:rFonts w:ascii="Courier New" w:cs="Courier New" w:eastAsia="Courier New" w:hAnsi="Courier New"/>
          <w:sz w:val="16"/>
          <w:szCs w:val="16"/>
          <w:color w:val="auto"/>
        </w:rPr>
        <w:t>Nancy Brinker, Dudley J. Godfrey, Jr., Marvin B. Goodman, J. Ira</w:t>
      </w:r>
    </w:p>
    <w:p>
      <w:pPr>
        <w:spacing w:after="0" w:line="5" w:lineRule="exact"/>
        <w:rPr>
          <w:sz w:val="20"/>
          <w:szCs w:val="20"/>
          <w:color w:val="auto"/>
        </w:rPr>
      </w:pPr>
    </w:p>
    <w:p>
      <w:pPr>
        <w:ind w:left="1341" w:right="3260"/>
        <w:spacing w:after="0" w:line="242" w:lineRule="auto"/>
        <w:rPr>
          <w:sz w:val="20"/>
          <w:szCs w:val="20"/>
          <w:color w:val="auto"/>
        </w:rPr>
      </w:pPr>
      <w:r>
        <w:rPr>
          <w:rFonts w:ascii="Courier New" w:cs="Courier New" w:eastAsia="Courier New" w:hAnsi="Courier New"/>
          <w:sz w:val="16"/>
          <w:szCs w:val="16"/>
          <w:color w:val="auto"/>
        </w:rPr>
        <w:t>Harris, Terry A. Hueneke, Newton N. Minow, Gilbert Palay, Dennis Stevenson, John R. Walter and Edward J. Zore</w:t>
      </w:r>
    </w:p>
    <w:p>
      <w:pPr>
        <w:sectPr>
          <w:pgSz w:w="11900" w:h="16838" w:orient="portrait"/>
          <w:cols w:equalWidth="0" w:num="1">
            <w:col w:w="10761"/>
          </w:cols>
          <w:pgMar w:left="239" w:top="300"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Michael J. Van Handel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Michael J. Van Handel</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Attorney-In-Fact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30, 2001</w:t>
      </w:r>
    </w:p>
    <w:p>
      <w:pPr>
        <w:spacing w:after="0" w:line="763" w:lineRule="exact"/>
        <w:rPr>
          <w:sz w:val="20"/>
          <w:szCs w:val="20"/>
          <w:color w:val="auto"/>
        </w:rPr>
      </w:pPr>
    </w:p>
    <w:p>
      <w:pPr>
        <w:sectPr>
          <w:pgSz w:w="11900" w:h="16838" w:orient="portrait"/>
          <w:cols w:equalWidth="0" w:num="3">
            <w:col w:w="281" w:space="200"/>
            <w:col w:w="8120" w:space="720"/>
            <w:col w:w="1440"/>
          </w:cols>
          <w:pgMar w:left="239" w:top="300" w:right="899" w:bottom="1440" w:gutter="0" w:footer="0" w:header="0"/>
          <w:type w:val="continuous"/>
        </w:sectPr>
      </w:pPr>
    </w:p>
    <w:p>
      <w:pPr>
        <w:spacing w:after="0" w:line="200" w:lineRule="exact"/>
        <w:rPr>
          <w:sz w:val="20"/>
          <w:szCs w:val="20"/>
          <w:color w:val="auto"/>
        </w:rPr>
      </w:pPr>
    </w:p>
    <w:p>
      <w:pPr>
        <w:spacing w:after="0" w:line="344" w:lineRule="exact"/>
        <w:rPr>
          <w:sz w:val="20"/>
          <w:szCs w:val="20"/>
          <w:color w:val="auto"/>
        </w:rPr>
      </w:pPr>
    </w:p>
    <w:p>
      <w:pPr>
        <w:ind w:left="281" w:right="3560" w:hanging="281"/>
        <w:spacing w:after="0" w:line="242" w:lineRule="auto"/>
        <w:tabs>
          <w:tab w:leader="none" w:pos="2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authority granted by powers of attorney, copies of which are filed herewith.</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761"/>
          </w:cols>
          <w:pgMar w:left="239" w:top="300" w:right="899" w:bottom="1440" w:gutter="0" w:footer="0" w:header="0"/>
          <w:type w:val="continuous"/>
        </w:sectPr>
      </w:pPr>
    </w:p>
    <w:bookmarkStart w:id="14" w:name="page15"/>
    <w:bookmarkEnd w:id="14"/>
    <w:p>
      <w:pPr>
        <w:ind w:left="281"/>
        <w:spacing w:after="0"/>
        <w:rPr>
          <w:sz w:val="20"/>
          <w:szCs w:val="20"/>
          <w:color w:val="auto"/>
        </w:rPr>
      </w:pPr>
      <w:r>
        <w:rPr>
          <w:rFonts w:ascii="Courier New" w:cs="Courier New" w:eastAsia="Courier New" w:hAnsi="Courier New"/>
          <w:sz w:val="16"/>
          <w:szCs w:val="16"/>
          <w:color w:val="auto"/>
        </w:rPr>
        <w:t>15</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921"/>
        <w:spacing w:after="0"/>
        <w:rPr>
          <w:sz w:val="20"/>
          <w:szCs w:val="20"/>
          <w:color w:val="auto"/>
        </w:rPr>
      </w:pPr>
      <w:r>
        <w:rPr>
          <w:rFonts w:ascii="Courier New" w:cs="Courier New" w:eastAsia="Courier New" w:hAnsi="Courier New"/>
          <w:sz w:val="16"/>
          <w:szCs w:val="16"/>
          <w:color w:val="auto"/>
        </w:rPr>
        <w:t>REPORT OF INDEPENDENT PUBLIC ACCOUNTANTS</w:t>
      </w:r>
    </w:p>
    <w:p>
      <w:pPr>
        <w:spacing w:after="0" w:line="4" w:lineRule="exact"/>
        <w:rPr>
          <w:sz w:val="20"/>
          <w:szCs w:val="20"/>
          <w:color w:val="auto"/>
        </w:rPr>
      </w:pPr>
    </w:p>
    <w:p>
      <w:pPr>
        <w:ind w:left="2401"/>
        <w:spacing w:after="0"/>
        <w:rPr>
          <w:sz w:val="20"/>
          <w:szCs w:val="20"/>
          <w:color w:val="auto"/>
        </w:rPr>
      </w:pPr>
      <w:r>
        <w:rPr>
          <w:rFonts w:ascii="Courier New" w:cs="Courier New" w:eastAsia="Courier New" w:hAnsi="Courier New"/>
          <w:sz w:val="16"/>
          <w:szCs w:val="16"/>
          <w:color w:val="auto"/>
        </w:rPr>
        <w:t>ON FINANCIAL STATEMENT SCHEDULE</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To the Board of Directors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and Shareholders of Manpower Inc.:</w:t>
      </w:r>
    </w:p>
    <w:p>
      <w:pPr>
        <w:spacing w:after="0" w:line="190" w:lineRule="exact"/>
        <w:rPr>
          <w:sz w:val="20"/>
          <w:szCs w:val="20"/>
          <w:color w:val="auto"/>
        </w:rPr>
      </w:pPr>
    </w:p>
    <w:p>
      <w:pPr>
        <w:ind w:left="1" w:right="2539" w:firstLine="480"/>
        <w:spacing w:after="0" w:line="262" w:lineRule="auto"/>
        <w:rPr>
          <w:sz w:val="20"/>
          <w:szCs w:val="20"/>
          <w:color w:val="auto"/>
        </w:rPr>
      </w:pPr>
      <w:r>
        <w:rPr>
          <w:rFonts w:ascii="Courier New" w:cs="Courier New" w:eastAsia="Courier New" w:hAnsi="Courier New"/>
          <w:sz w:val="15"/>
          <w:szCs w:val="15"/>
          <w:color w:val="auto"/>
        </w:rPr>
        <w:t>We have audited in accordance with auditing standards generally accepted in the United States, the financial statements included in Manpower Inc.'s annual report to shareholders incorporated by reference in this Form 10-K, and have issued our report thereon dated January 31, 2001. Our audit was made for the purpose of forming an opinion on those statements taken as a whole. The schedule listed in the index at item 14(a)(2) is the responsibility of the Company's management and is presented for purposes of complying with the Securities and Exchange Commission's rules and is not part of the basic financial statements. This schedule has been subjected to the auditing procedures applied in the audit of the basic financial statements and, in our opinion, fairly states in all material respects the financial data required to be set forth therein in relation to the basic financial statements taken as a whole.</w:t>
      </w:r>
    </w:p>
    <w:p>
      <w:pPr>
        <w:spacing w:after="0" w:line="200" w:lineRule="exact"/>
        <w:rPr>
          <w:sz w:val="20"/>
          <w:szCs w:val="20"/>
          <w:color w:val="auto"/>
        </w:rPr>
      </w:pPr>
    </w:p>
    <w:p>
      <w:pPr>
        <w:spacing w:after="0" w:line="344" w:lineRule="exact"/>
        <w:rPr>
          <w:sz w:val="20"/>
          <w:szCs w:val="20"/>
          <w:color w:val="auto"/>
        </w:rPr>
      </w:pPr>
    </w:p>
    <w:p>
      <w:pPr>
        <w:ind w:left="4221"/>
        <w:spacing w:after="0"/>
        <w:rPr>
          <w:sz w:val="20"/>
          <w:szCs w:val="20"/>
          <w:color w:val="auto"/>
        </w:rPr>
      </w:pPr>
      <w:r>
        <w:rPr>
          <w:rFonts w:ascii="Courier New" w:cs="Courier New" w:eastAsia="Courier New" w:hAnsi="Courier New"/>
          <w:sz w:val="16"/>
          <w:szCs w:val="16"/>
          <w:color w:val="auto"/>
        </w:rPr>
        <w:t>/s/ Arthur Andersen LLP</w:t>
      </w:r>
    </w:p>
    <w:p>
      <w:pPr>
        <w:spacing w:after="0" w:line="373" w:lineRule="exact"/>
        <w:rPr>
          <w:sz w:val="20"/>
          <w:szCs w:val="20"/>
          <w:color w:val="auto"/>
        </w:rPr>
      </w:pPr>
    </w:p>
    <w:p>
      <w:pPr>
        <w:jc w:val="center"/>
        <w:ind w:right="-61"/>
        <w:spacing w:after="0"/>
        <w:rPr>
          <w:sz w:val="20"/>
          <w:szCs w:val="20"/>
          <w:color w:val="auto"/>
        </w:rPr>
      </w:pPr>
      <w:r>
        <w:rPr>
          <w:rFonts w:ascii="Courier New" w:cs="Courier New" w:eastAsia="Courier New" w:hAnsi="Courier New"/>
          <w:sz w:val="16"/>
          <w:szCs w:val="16"/>
          <w:color w:val="auto"/>
        </w:rPr>
        <w:t>ARTHUR ANDERSEN LLP</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Milwaukee, Wisconsin</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January 31, 2001</w:t>
      </w:r>
    </w:p>
    <w:p>
      <w:pPr>
        <w:spacing w:after="0" w:line="375" w:lineRule="exact"/>
        <w:rPr>
          <w:sz w:val="20"/>
          <w:szCs w:val="20"/>
          <w:color w:val="auto"/>
        </w:rPr>
      </w:pPr>
    </w:p>
    <w:p>
      <w:pPr>
        <w:ind w:left="201" w:hanging="201"/>
        <w:spacing w:after="0"/>
        <w:tabs>
          <w:tab w:leader="none" w:pos="201"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82" w:lineRule="exact"/>
        <w:rPr>
          <w:rFonts w:ascii="Courier New" w:cs="Courier New" w:eastAsia="Courier New" w:hAnsi="Courier New"/>
          <w:sz w:val="15"/>
          <w:szCs w:val="15"/>
          <w:color w:val="auto"/>
        </w:rPr>
      </w:pPr>
    </w:p>
    <w:p>
      <w:pPr>
        <w:ind w:left="192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CONSENT OF INDEPENDENT PUBLIC ACCOUNTANTS</w:t>
      </w:r>
    </w:p>
    <w:p>
      <w:pPr>
        <w:spacing w:after="0" w:line="375" w:lineRule="exact"/>
        <w:rPr>
          <w:sz w:val="20"/>
          <w:szCs w:val="20"/>
          <w:color w:val="auto"/>
        </w:rPr>
      </w:pPr>
    </w:p>
    <w:p>
      <w:pPr>
        <w:ind w:left="1" w:right="2539" w:firstLine="576"/>
        <w:spacing w:after="0" w:line="244" w:lineRule="auto"/>
        <w:rPr>
          <w:sz w:val="20"/>
          <w:szCs w:val="20"/>
          <w:color w:val="auto"/>
        </w:rPr>
      </w:pPr>
      <w:r>
        <w:rPr>
          <w:rFonts w:ascii="Courier New" w:cs="Courier New" w:eastAsia="Courier New" w:hAnsi="Courier New"/>
          <w:sz w:val="16"/>
          <w:szCs w:val="16"/>
          <w:color w:val="auto"/>
        </w:rPr>
        <w:t>As independent public accountants, we hereby consent to the incorporation by reference, in this Annual Report on Form 10-K of Manpower Inc., our report dated January 31, 2001, included in the 2000 Annual Report to Shareholders of Manpower Inc. It should be noted that we have not audited any financial statements of the Company subsequent to December 31, 2000 or performed any audit procedures subsequent to the date of our report.</w:t>
      </w:r>
    </w:p>
    <w:p>
      <w:pPr>
        <w:spacing w:after="0" w:line="188" w:lineRule="exact"/>
        <w:rPr>
          <w:sz w:val="20"/>
          <w:szCs w:val="20"/>
          <w:color w:val="auto"/>
        </w:rPr>
      </w:pPr>
    </w:p>
    <w:p>
      <w:pPr>
        <w:ind w:left="1" w:right="3199" w:firstLine="576"/>
        <w:spacing w:after="0" w:line="243" w:lineRule="auto"/>
        <w:rPr>
          <w:sz w:val="20"/>
          <w:szCs w:val="20"/>
          <w:color w:val="auto"/>
        </w:rPr>
      </w:pPr>
      <w:r>
        <w:rPr>
          <w:rFonts w:ascii="Courier New" w:cs="Courier New" w:eastAsia="Courier New" w:hAnsi="Courier New"/>
          <w:sz w:val="16"/>
          <w:szCs w:val="16"/>
          <w:color w:val="auto"/>
        </w:rPr>
        <w:t>We also consent to the incorporation of our reports included (or incorporated by reference) in this Annual Report on Form 10-K, into the Company's previously filed Registration Statements on Form S-8 (File Nos.</w:t>
      </w:r>
    </w:p>
    <w:p>
      <w:pPr>
        <w:spacing w:after="0" w:line="2"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33-40441, 33-51336, 33-55264, 33-84736, 333-1040, 333-31021, 333-82457 and</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333-82459), the Company's Registration Statements on Form S-3 (File Nos.</w:t>
      </w:r>
    </w:p>
    <w:p>
      <w:pPr>
        <w:spacing w:after="0" w:line="5" w:lineRule="exact"/>
        <w:rPr>
          <w:sz w:val="20"/>
          <w:szCs w:val="20"/>
          <w:color w:val="auto"/>
        </w:rPr>
      </w:pPr>
    </w:p>
    <w:p>
      <w:pPr>
        <w:ind w:left="1" w:right="2919"/>
        <w:spacing w:after="0" w:line="242" w:lineRule="auto"/>
        <w:rPr>
          <w:sz w:val="20"/>
          <w:szCs w:val="20"/>
          <w:color w:val="auto"/>
        </w:rPr>
      </w:pPr>
      <w:r>
        <w:rPr>
          <w:rFonts w:ascii="Courier New" w:cs="Courier New" w:eastAsia="Courier New" w:hAnsi="Courier New"/>
          <w:sz w:val="16"/>
          <w:szCs w:val="16"/>
          <w:color w:val="auto"/>
        </w:rPr>
        <w:t>33-89660 and 333-6545) and the Company's Registration Statements on Form S-4 (File Nos. 333-650 and 33-95896).</w:t>
      </w:r>
    </w:p>
    <w:p>
      <w:pPr>
        <w:spacing w:after="0" w:line="372" w:lineRule="exact"/>
        <w:rPr>
          <w:sz w:val="20"/>
          <w:szCs w:val="20"/>
          <w:color w:val="auto"/>
        </w:rPr>
      </w:pPr>
    </w:p>
    <w:p>
      <w:pPr>
        <w:ind w:left="4221"/>
        <w:spacing w:after="0"/>
        <w:rPr>
          <w:sz w:val="20"/>
          <w:szCs w:val="20"/>
          <w:color w:val="auto"/>
        </w:rPr>
      </w:pPr>
      <w:r>
        <w:rPr>
          <w:rFonts w:ascii="Courier New" w:cs="Courier New" w:eastAsia="Courier New" w:hAnsi="Courier New"/>
          <w:sz w:val="16"/>
          <w:szCs w:val="16"/>
          <w:color w:val="auto"/>
        </w:rPr>
        <w:t>/s/ Arthur Andersen LLP</w:t>
      </w:r>
    </w:p>
    <w:p>
      <w:pPr>
        <w:spacing w:after="0" w:line="373" w:lineRule="exact"/>
        <w:rPr>
          <w:sz w:val="20"/>
          <w:szCs w:val="20"/>
          <w:color w:val="auto"/>
        </w:rPr>
      </w:pPr>
    </w:p>
    <w:p>
      <w:pPr>
        <w:jc w:val="center"/>
        <w:ind w:right="-61"/>
        <w:spacing w:after="0"/>
        <w:rPr>
          <w:sz w:val="20"/>
          <w:szCs w:val="20"/>
          <w:color w:val="auto"/>
        </w:rPr>
      </w:pPr>
      <w:r>
        <w:rPr>
          <w:rFonts w:ascii="Courier New" w:cs="Courier New" w:eastAsia="Courier New" w:hAnsi="Courier New"/>
          <w:sz w:val="16"/>
          <w:szCs w:val="16"/>
          <w:color w:val="auto"/>
        </w:rPr>
        <w:t>ARTHUR ANDERSEN LLP</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Milwaukee, Wisconsin</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March 30, 2001</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1"/>
          </w:cols>
          <w:pgMar w:left="239" w:top="300"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16</w:t>
      </w:r>
    </w:p>
    <w:p>
      <w:pPr>
        <w:spacing w:after="0" w:line="188"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SCHEDULE II - VALUATION AND QUALIFYING ACCOUNTS</w:t>
      </w:r>
    </w:p>
    <w:p>
      <w:pPr>
        <w:spacing w:after="0" w:line="373"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For the years ended December 31, 2000, 1999 and 1998, in millions.</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Allowance for Doubtful Accounts: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80" w:type="dxa"/>
            <w:vAlign w:val="bottom"/>
          </w:tcPr>
          <w:p>
            <w:pPr>
              <w:spacing w:after="0"/>
              <w:rPr>
                <w:sz w:val="15"/>
                <w:szCs w:val="15"/>
                <w:color w:val="auto"/>
              </w:rPr>
            </w:pPr>
          </w:p>
        </w:tc>
        <w:tc>
          <w:tcPr>
            <w:tcW w:w="15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Balance at</w:t>
            </w:r>
          </w:p>
        </w:tc>
        <w:tc>
          <w:tcPr>
            <w:tcW w:w="148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w w:val="99"/>
              </w:rPr>
              <w:t>Provisions</w:t>
            </w:r>
          </w:p>
        </w:tc>
        <w:tc>
          <w:tcPr>
            <w:tcW w:w="12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80" w:type="dxa"/>
            <w:vAlign w:val="bottom"/>
          </w:tcPr>
          <w:p>
            <w:pPr>
              <w:ind w:left="200"/>
              <w:spacing w:after="0"/>
              <w:rPr>
                <w:sz w:val="20"/>
                <w:szCs w:val="20"/>
                <w:color w:val="auto"/>
              </w:rPr>
            </w:pPr>
            <w:r>
              <w:rPr>
                <w:rFonts w:ascii="Courier New" w:cs="Courier New" w:eastAsia="Courier New" w:hAnsi="Courier New"/>
                <w:sz w:val="16"/>
                <w:szCs w:val="16"/>
                <w:color w:val="auto"/>
                <w:w w:val="98"/>
              </w:rPr>
              <w:t>Balance</w:t>
            </w:r>
          </w:p>
        </w:tc>
      </w:tr>
      <w:tr>
        <w:trPr>
          <w:trHeight w:val="185"/>
        </w:trPr>
        <w:tc>
          <w:tcPr>
            <w:tcW w:w="3080" w:type="dxa"/>
            <w:vAlign w:val="bottom"/>
          </w:tcPr>
          <w:p>
            <w:pPr>
              <w:spacing w:after="0"/>
              <w:rPr>
                <w:sz w:val="16"/>
                <w:szCs w:val="16"/>
                <w:color w:val="auto"/>
              </w:rPr>
            </w:pPr>
          </w:p>
        </w:tc>
        <w:tc>
          <w:tcPr>
            <w:tcW w:w="15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Beginning</w:t>
            </w:r>
          </w:p>
        </w:tc>
        <w:tc>
          <w:tcPr>
            <w:tcW w:w="1480" w:type="dxa"/>
            <w:vAlign w:val="bottom"/>
          </w:tcPr>
          <w:p>
            <w:pPr>
              <w:ind w:left="240"/>
              <w:spacing w:after="0"/>
              <w:rPr>
                <w:sz w:val="20"/>
                <w:szCs w:val="20"/>
                <w:color w:val="auto"/>
              </w:rPr>
            </w:pPr>
            <w:r>
              <w:rPr>
                <w:rFonts w:ascii="Courier New" w:cs="Courier New" w:eastAsia="Courier New" w:hAnsi="Courier New"/>
                <w:sz w:val="16"/>
                <w:szCs w:val="16"/>
                <w:color w:val="auto"/>
              </w:rPr>
              <w:t>Translation</w:t>
            </w: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w w:val="99"/>
              </w:rPr>
              <w:t>Charged to</w:t>
            </w:r>
          </w:p>
        </w:tc>
        <w:tc>
          <w:tcPr>
            <w:tcW w:w="120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Courier New" w:cs="Courier New" w:eastAsia="Courier New" w:hAnsi="Courier New"/>
                <w:sz w:val="16"/>
                <w:szCs w:val="16"/>
                <w:color w:val="auto"/>
              </w:rPr>
              <w:t>Reclassifications</w:t>
            </w:r>
          </w:p>
        </w:tc>
        <w:tc>
          <w:tcPr>
            <w:tcW w:w="880" w:type="dxa"/>
            <w:vAlign w:val="bottom"/>
          </w:tcPr>
          <w:p>
            <w:pPr>
              <w:ind w:left="200"/>
              <w:spacing w:after="0"/>
              <w:rPr>
                <w:sz w:val="20"/>
                <w:szCs w:val="20"/>
                <w:color w:val="auto"/>
              </w:rPr>
            </w:pPr>
            <w:r>
              <w:rPr>
                <w:rFonts w:ascii="Courier New" w:cs="Courier New" w:eastAsia="Courier New" w:hAnsi="Courier New"/>
                <w:sz w:val="16"/>
                <w:szCs w:val="16"/>
                <w:color w:val="auto"/>
              </w:rPr>
              <w:t>at End</w:t>
            </w:r>
          </w:p>
        </w:tc>
      </w:tr>
      <w:tr>
        <w:trPr>
          <w:trHeight w:val="185"/>
        </w:trPr>
        <w:tc>
          <w:tcPr>
            <w:tcW w:w="3080" w:type="dxa"/>
            <w:vAlign w:val="bottom"/>
          </w:tcPr>
          <w:p>
            <w:pPr>
              <w:spacing w:after="0"/>
              <w:rPr>
                <w:sz w:val="16"/>
                <w:szCs w:val="16"/>
                <w:color w:val="auto"/>
              </w:rPr>
            </w:pPr>
          </w:p>
        </w:tc>
        <w:tc>
          <w:tcPr>
            <w:tcW w:w="15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of Year</w:t>
            </w:r>
          </w:p>
        </w:tc>
        <w:tc>
          <w:tcPr>
            <w:tcW w:w="1480" w:type="dxa"/>
            <w:vAlign w:val="bottom"/>
          </w:tcPr>
          <w:p>
            <w:pPr>
              <w:ind w:left="240"/>
              <w:spacing w:after="0"/>
              <w:rPr>
                <w:sz w:val="20"/>
                <w:szCs w:val="20"/>
                <w:color w:val="auto"/>
              </w:rPr>
            </w:pPr>
            <w:r>
              <w:rPr>
                <w:rFonts w:ascii="Courier New" w:cs="Courier New" w:eastAsia="Courier New" w:hAnsi="Courier New"/>
                <w:sz w:val="16"/>
                <w:szCs w:val="16"/>
                <w:color w:val="auto"/>
              </w:rPr>
              <w:t>Adjustments</w:t>
            </w: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w w:val="98"/>
              </w:rPr>
              <w:t>Earnings</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Write-offs</w:t>
            </w:r>
          </w:p>
        </w:tc>
        <w:tc>
          <w:tcPr>
            <w:tcW w:w="1920" w:type="dxa"/>
            <w:vAlign w:val="bottom"/>
          </w:tcPr>
          <w:p>
            <w:pPr>
              <w:jc w:val="center"/>
              <w:spacing w:after="0"/>
              <w:rPr>
                <w:sz w:val="20"/>
                <w:szCs w:val="20"/>
                <w:color w:val="auto"/>
              </w:rPr>
            </w:pPr>
            <w:r>
              <w:rPr>
                <w:rFonts w:ascii="Courier New" w:cs="Courier New" w:eastAsia="Courier New" w:hAnsi="Courier New"/>
                <w:sz w:val="16"/>
                <w:szCs w:val="16"/>
                <w:color w:val="auto"/>
              </w:rPr>
              <w:t>and Other</w:t>
            </w:r>
          </w:p>
        </w:tc>
        <w:tc>
          <w:tcPr>
            <w:tcW w:w="880" w:type="dxa"/>
            <w:vAlign w:val="bottom"/>
          </w:tcPr>
          <w:p>
            <w:pPr>
              <w:ind w:left="200"/>
              <w:spacing w:after="0"/>
              <w:rPr>
                <w:sz w:val="20"/>
                <w:szCs w:val="20"/>
                <w:color w:val="auto"/>
              </w:rPr>
            </w:pPr>
            <w:r>
              <w:rPr>
                <w:rFonts w:ascii="Courier New" w:cs="Courier New" w:eastAsia="Courier New" w:hAnsi="Courier New"/>
                <w:sz w:val="16"/>
                <w:szCs w:val="16"/>
                <w:color w:val="auto"/>
                <w:w w:val="98"/>
              </w:rPr>
              <w:t>of Year</w:t>
            </w:r>
          </w:p>
        </w:tc>
      </w:tr>
      <w:tr>
        <w:trPr>
          <w:trHeight w:val="185"/>
        </w:trPr>
        <w:tc>
          <w:tcPr>
            <w:tcW w:w="3080" w:type="dxa"/>
            <w:vAlign w:val="bottom"/>
          </w:tcPr>
          <w:p>
            <w:pPr>
              <w:spacing w:after="0"/>
              <w:rPr>
                <w:sz w:val="16"/>
                <w:szCs w:val="16"/>
                <w:color w:val="auto"/>
              </w:rPr>
            </w:pPr>
          </w:p>
        </w:tc>
        <w:tc>
          <w:tcPr>
            <w:tcW w:w="1580" w:type="dxa"/>
            <w:vAlign w:val="bottom"/>
          </w:tcPr>
          <w:p>
            <w:pPr>
              <w:jc w:val="center"/>
              <w:ind w:left="14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center"/>
              <w:ind w:left="120"/>
              <w:spacing w:after="0"/>
              <w:rPr>
                <w:sz w:val="20"/>
                <w:szCs w:val="20"/>
                <w:color w:val="auto"/>
              </w:rPr>
            </w:pPr>
            <w:r>
              <w:rPr>
                <w:rFonts w:ascii="Courier New" w:cs="Courier New" w:eastAsia="Courier New" w:hAnsi="Courier New"/>
                <w:sz w:val="16"/>
                <w:szCs w:val="16"/>
                <w:color w:val="auto"/>
              </w:rPr>
              <w:t>-------</w:t>
            </w:r>
          </w:p>
        </w:tc>
      </w:tr>
      <w:tr>
        <w:trPr>
          <w:trHeight w:val="554"/>
        </w:trPr>
        <w:tc>
          <w:tcPr>
            <w:tcW w:w="3080" w:type="dxa"/>
            <w:vAlign w:val="bottom"/>
          </w:tcPr>
          <w:p>
            <w:pPr>
              <w:spacing w:after="0"/>
              <w:rPr>
                <w:sz w:val="20"/>
                <w:szCs w:val="20"/>
                <w:color w:val="auto"/>
              </w:rPr>
            </w:pPr>
            <w:r>
              <w:rPr>
                <w:rFonts w:ascii="Courier New" w:cs="Courier New" w:eastAsia="Courier New" w:hAnsi="Courier New"/>
                <w:sz w:val="16"/>
                <w:szCs w:val="16"/>
                <w:color w:val="auto"/>
              </w:rPr>
              <w:t>Year ended December 31, 2000</w:t>
            </w:r>
          </w:p>
        </w:tc>
        <w:tc>
          <w:tcPr>
            <w:tcW w:w="1580" w:type="dxa"/>
            <w:vAlign w:val="bottom"/>
          </w:tcPr>
          <w:p>
            <w:pPr>
              <w:jc w:val="center"/>
              <w:ind w:left="140"/>
              <w:spacing w:after="0"/>
              <w:rPr>
                <w:sz w:val="20"/>
                <w:szCs w:val="20"/>
                <w:color w:val="auto"/>
              </w:rPr>
            </w:pPr>
            <w:r>
              <w:rPr>
                <w:rFonts w:ascii="Courier New" w:cs="Courier New" w:eastAsia="Courier New" w:hAnsi="Courier New"/>
                <w:sz w:val="16"/>
                <w:szCs w:val="16"/>
                <w:color w:val="auto"/>
                <w:w w:val="99"/>
              </w:rPr>
              <w:t>$47.1</w:t>
            </w:r>
          </w:p>
        </w:tc>
        <w:tc>
          <w:tcPr>
            <w:tcW w:w="1480" w:type="dxa"/>
            <w:vAlign w:val="bottom"/>
          </w:tcPr>
          <w:p>
            <w:pPr>
              <w:jc w:val="center"/>
              <w:spacing w:after="0"/>
              <w:rPr>
                <w:sz w:val="20"/>
                <w:szCs w:val="20"/>
                <w:color w:val="auto"/>
              </w:rPr>
            </w:pPr>
            <w:r>
              <w:rPr>
                <w:rFonts w:ascii="Courier New" w:cs="Courier New" w:eastAsia="Courier New" w:hAnsi="Courier New"/>
                <w:sz w:val="16"/>
                <w:szCs w:val="16"/>
                <w:color w:val="auto"/>
                <w:w w:val="99"/>
              </w:rPr>
              <w:t>(1.9)</w:t>
            </w: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rPr>
              <w:t>21.7</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(12.2)</w:t>
            </w:r>
          </w:p>
        </w:tc>
        <w:tc>
          <w:tcPr>
            <w:tcW w:w="1920" w:type="dxa"/>
            <w:vAlign w:val="bottom"/>
          </w:tcPr>
          <w:p>
            <w:pPr>
              <w:ind w:left="780"/>
              <w:spacing w:after="0"/>
              <w:rPr>
                <w:sz w:val="20"/>
                <w:szCs w:val="20"/>
                <w:color w:val="auto"/>
              </w:rPr>
            </w:pPr>
            <w:r>
              <w:rPr>
                <w:rFonts w:ascii="Courier New" w:cs="Courier New" w:eastAsia="Courier New" w:hAnsi="Courier New"/>
                <w:sz w:val="16"/>
                <w:szCs w:val="16"/>
                <w:color w:val="auto"/>
              </w:rPr>
              <w:t>.6</w:t>
            </w:r>
          </w:p>
        </w:tc>
        <w:tc>
          <w:tcPr>
            <w:tcW w:w="880" w:type="dxa"/>
            <w:vAlign w:val="bottom"/>
          </w:tcPr>
          <w:p>
            <w:pPr>
              <w:jc w:val="center"/>
              <w:ind w:left="120"/>
              <w:spacing w:after="0"/>
              <w:rPr>
                <w:sz w:val="20"/>
                <w:szCs w:val="20"/>
                <w:color w:val="auto"/>
              </w:rPr>
            </w:pPr>
            <w:r>
              <w:rPr>
                <w:rFonts w:ascii="Courier New" w:cs="Courier New" w:eastAsia="Courier New" w:hAnsi="Courier New"/>
                <w:sz w:val="16"/>
                <w:szCs w:val="16"/>
                <w:color w:val="auto"/>
                <w:w w:val="99"/>
              </w:rPr>
              <w:t>$55.3</w:t>
            </w:r>
          </w:p>
        </w:tc>
      </w:tr>
      <w:tr>
        <w:trPr>
          <w:trHeight w:val="370"/>
        </w:trPr>
        <w:tc>
          <w:tcPr>
            <w:tcW w:w="3080" w:type="dxa"/>
            <w:vAlign w:val="bottom"/>
          </w:tcPr>
          <w:p>
            <w:pPr>
              <w:spacing w:after="0"/>
              <w:rPr>
                <w:sz w:val="20"/>
                <w:szCs w:val="20"/>
                <w:color w:val="auto"/>
              </w:rPr>
            </w:pPr>
            <w:r>
              <w:rPr>
                <w:rFonts w:ascii="Courier New" w:cs="Courier New" w:eastAsia="Courier New" w:hAnsi="Courier New"/>
                <w:sz w:val="16"/>
                <w:szCs w:val="16"/>
                <w:color w:val="auto"/>
              </w:rPr>
              <w:t>Year ended December 31, 1999</w:t>
            </w:r>
          </w:p>
        </w:tc>
        <w:tc>
          <w:tcPr>
            <w:tcW w:w="1580" w:type="dxa"/>
            <w:vAlign w:val="bottom"/>
          </w:tcPr>
          <w:p>
            <w:pPr>
              <w:jc w:val="center"/>
              <w:ind w:left="140"/>
              <w:spacing w:after="0"/>
              <w:rPr>
                <w:sz w:val="20"/>
                <w:szCs w:val="20"/>
                <w:color w:val="auto"/>
              </w:rPr>
            </w:pPr>
            <w:r>
              <w:rPr>
                <w:rFonts w:ascii="Courier New" w:cs="Courier New" w:eastAsia="Courier New" w:hAnsi="Courier New"/>
                <w:sz w:val="16"/>
                <w:szCs w:val="16"/>
                <w:color w:val="auto"/>
                <w:w w:val="99"/>
              </w:rPr>
              <w:t>$39.5</w:t>
            </w:r>
          </w:p>
        </w:tc>
        <w:tc>
          <w:tcPr>
            <w:tcW w:w="1480" w:type="dxa"/>
            <w:vAlign w:val="bottom"/>
          </w:tcPr>
          <w:p>
            <w:pPr>
              <w:jc w:val="center"/>
              <w:spacing w:after="0"/>
              <w:rPr>
                <w:sz w:val="20"/>
                <w:szCs w:val="20"/>
                <w:color w:val="auto"/>
              </w:rPr>
            </w:pPr>
            <w:r>
              <w:rPr>
                <w:rFonts w:ascii="Courier New" w:cs="Courier New" w:eastAsia="Courier New" w:hAnsi="Courier New"/>
                <w:sz w:val="16"/>
                <w:szCs w:val="16"/>
                <w:color w:val="auto"/>
                <w:w w:val="99"/>
              </w:rPr>
              <w:t>(3.3)</w:t>
            </w: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rPr>
              <w:t>20.7</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(10.6)</w:t>
            </w:r>
          </w:p>
        </w:tc>
        <w:tc>
          <w:tcPr>
            <w:tcW w:w="1920" w:type="dxa"/>
            <w:vAlign w:val="bottom"/>
          </w:tcPr>
          <w:p>
            <w:pPr>
              <w:ind w:left="780"/>
              <w:spacing w:after="0"/>
              <w:rPr>
                <w:sz w:val="20"/>
                <w:szCs w:val="20"/>
                <w:color w:val="auto"/>
              </w:rPr>
            </w:pPr>
            <w:r>
              <w:rPr>
                <w:rFonts w:ascii="Courier New" w:cs="Courier New" w:eastAsia="Courier New" w:hAnsi="Courier New"/>
                <w:sz w:val="16"/>
                <w:szCs w:val="16"/>
                <w:color w:val="auto"/>
              </w:rPr>
              <w:t>.8</w:t>
            </w:r>
          </w:p>
        </w:tc>
        <w:tc>
          <w:tcPr>
            <w:tcW w:w="880" w:type="dxa"/>
            <w:vAlign w:val="bottom"/>
          </w:tcPr>
          <w:p>
            <w:pPr>
              <w:jc w:val="center"/>
              <w:ind w:left="120"/>
              <w:spacing w:after="0"/>
              <w:rPr>
                <w:sz w:val="20"/>
                <w:szCs w:val="20"/>
                <w:color w:val="auto"/>
              </w:rPr>
            </w:pPr>
            <w:r>
              <w:rPr>
                <w:rFonts w:ascii="Courier New" w:cs="Courier New" w:eastAsia="Courier New" w:hAnsi="Courier New"/>
                <w:sz w:val="16"/>
                <w:szCs w:val="16"/>
                <w:color w:val="auto"/>
                <w:w w:val="99"/>
              </w:rPr>
              <w:t>$47.1</w:t>
            </w:r>
          </w:p>
        </w:tc>
      </w:tr>
      <w:tr>
        <w:trPr>
          <w:trHeight w:val="370"/>
        </w:trPr>
        <w:tc>
          <w:tcPr>
            <w:tcW w:w="3080" w:type="dxa"/>
            <w:vAlign w:val="bottom"/>
          </w:tcPr>
          <w:p>
            <w:pPr>
              <w:spacing w:after="0"/>
              <w:rPr>
                <w:sz w:val="20"/>
                <w:szCs w:val="20"/>
                <w:color w:val="auto"/>
              </w:rPr>
            </w:pPr>
            <w:r>
              <w:rPr>
                <w:rFonts w:ascii="Courier New" w:cs="Courier New" w:eastAsia="Courier New" w:hAnsi="Courier New"/>
                <w:sz w:val="16"/>
                <w:szCs w:val="16"/>
                <w:color w:val="auto"/>
              </w:rPr>
              <w:t>Year ended December 31, 1998</w:t>
            </w:r>
          </w:p>
        </w:tc>
        <w:tc>
          <w:tcPr>
            <w:tcW w:w="1580" w:type="dxa"/>
            <w:vAlign w:val="bottom"/>
          </w:tcPr>
          <w:p>
            <w:pPr>
              <w:jc w:val="center"/>
              <w:ind w:left="140"/>
              <w:spacing w:after="0"/>
              <w:rPr>
                <w:sz w:val="20"/>
                <w:szCs w:val="20"/>
                <w:color w:val="auto"/>
              </w:rPr>
            </w:pPr>
            <w:r>
              <w:rPr>
                <w:rFonts w:ascii="Courier New" w:cs="Courier New" w:eastAsia="Courier New" w:hAnsi="Courier New"/>
                <w:sz w:val="16"/>
                <w:szCs w:val="16"/>
                <w:color w:val="auto"/>
                <w:w w:val="99"/>
              </w:rPr>
              <w:t>$38.0</w:t>
            </w:r>
          </w:p>
        </w:tc>
        <w:tc>
          <w:tcPr>
            <w:tcW w:w="1480" w:type="dxa"/>
            <w:vAlign w:val="bottom"/>
          </w:tcPr>
          <w:p>
            <w:pPr>
              <w:jc w:val="center"/>
              <w:spacing w:after="0"/>
              <w:rPr>
                <w:sz w:val="20"/>
                <w:szCs w:val="20"/>
                <w:color w:val="auto"/>
              </w:rPr>
            </w:pPr>
            <w:r>
              <w:rPr>
                <w:rFonts w:ascii="Courier New" w:cs="Courier New" w:eastAsia="Courier New" w:hAnsi="Courier New"/>
                <w:sz w:val="16"/>
                <w:szCs w:val="16"/>
                <w:color w:val="auto"/>
              </w:rPr>
              <w:t>1.0</w:t>
            </w: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rPr>
              <w:t>12.0</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(11.5)</w:t>
            </w:r>
          </w:p>
        </w:tc>
        <w:tc>
          <w:tcPr>
            <w:tcW w:w="192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center"/>
              <w:ind w:left="120"/>
              <w:spacing w:after="0"/>
              <w:rPr>
                <w:sz w:val="20"/>
                <w:szCs w:val="20"/>
                <w:color w:val="auto"/>
              </w:rPr>
            </w:pPr>
            <w:r>
              <w:rPr>
                <w:rFonts w:ascii="Courier New" w:cs="Courier New" w:eastAsia="Courier New" w:hAnsi="Courier New"/>
                <w:sz w:val="16"/>
                <w:szCs w:val="16"/>
                <w:color w:val="auto"/>
                <w:w w:val="99"/>
              </w:rPr>
              <w:t>$39.5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1440"/>
          </w:cols>
          <w:pgMar w:left="240" w:top="300" w:right="219"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[FRONT PHOTO]</w:t>
      </w:r>
    </w:p>
    <w:p>
      <w:pPr>
        <w:spacing w:after="0" w:line="188"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BILINGUAL CALL CENTER AGENT</w:t>
      </w:r>
    </w:p>
    <w:p>
      <w:pPr>
        <w:spacing w:after="0" w:line="373"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VENEZUELA</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Manpower Venezuela used a creative compensation idea to win the staffing business for 3 call centers operated by the national telecommunications company, CANTV. Rather than receiving payment for each person assigned to work in the call centers, Manpower's compensation is performance-based, with a set rate to be paid for each call that is efficiently handled.</w:t>
      </w:r>
    </w:p>
    <w:p>
      <w:pPr>
        <w:spacing w:after="0" w:line="370"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[BACK PHOTO]</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POWER</w:t>
      </w:r>
    </w:p>
    <w:p>
      <w:pPr>
        <w:sectPr>
          <w:pgSz w:w="11900" w:h="16838" w:orient="portrait"/>
          <w:cols w:equalWidth="0" w:num="1">
            <w:col w:w="10219"/>
          </w:cols>
          <w:pgMar w:left="240" w:top="140"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2</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[FRONT PHOTO]</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SOLDIER</w:t>
      </w:r>
    </w:p>
    <w:p>
      <w:pPr>
        <w:spacing w:after="0" w:line="373"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AUSTRALIA</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Australian Defense Force, in an unprecedented move, decided to outsource its recruitment of military personnel to Manpower in 2000, due to our ability to provide a full-service solution, in part, through a collaborative effort with our new Empower Group operating unit. Approximately 10,000 full-time soldiers and reserve personnel will be needed per year, and the ADF expects the outsourcing agreement to cut its recruiting costs by 30 percent.</w:t>
      </w:r>
    </w:p>
    <w:p>
      <w:pPr>
        <w:spacing w:after="0" w:line="371"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[BACK PHOTO]</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POWER</w:t>
      </w:r>
    </w:p>
    <w:p>
      <w:pPr>
        <w:sectPr>
          <w:pgSz w:w="11900" w:h="16838" w:orient="portrait"/>
          <w:cols w:equalWidth="0" w:num="1">
            <w:col w:w="10219"/>
          </w:cols>
          <w:pgMar w:left="240" w:top="300"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6"/>
          <w:szCs w:val="16"/>
          <w:color w:val="auto"/>
        </w:rPr>
        <w:t>3</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[FRONT PHOTO]</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PC BUILDER</w:t>
      </w:r>
    </w:p>
    <w:p>
      <w:pPr>
        <w:spacing w:after="0" w:line="373"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UNITED STATES</w:t>
      </w:r>
    </w:p>
    <w:p>
      <w:pPr>
        <w:spacing w:after="0" w:line="190" w:lineRule="exact"/>
        <w:rPr>
          <w:sz w:val="20"/>
          <w:szCs w:val="20"/>
          <w:color w:val="auto"/>
        </w:rPr>
      </w:pPr>
    </w:p>
    <w:p>
      <w:pPr>
        <w:ind w:right="2539"/>
        <w:spacing w:after="0" w:line="263" w:lineRule="auto"/>
        <w:rPr>
          <w:sz w:val="20"/>
          <w:szCs w:val="20"/>
          <w:color w:val="auto"/>
        </w:rPr>
      </w:pPr>
      <w:r>
        <w:rPr>
          <w:rFonts w:ascii="Courier New" w:cs="Courier New" w:eastAsia="Courier New" w:hAnsi="Courier New"/>
          <w:sz w:val="15"/>
          <w:szCs w:val="15"/>
          <w:color w:val="auto"/>
        </w:rPr>
        <w:t>In North Carolina, USA, Manpower's Workforce Flexing Program helped IBM create significant savings associated with contractor staffing costs. Our Managed Services program includes a full management and support staff to recruit and train Manpower employees to support IBM PC Manufacturing, IBM Customer Solutions Center and administrative/clerical functions. Manpower accomplished critical staffing objectives -- in a market with a 1.4% unemployment rate average.</w:t>
      </w:r>
    </w:p>
    <w:p>
      <w:pPr>
        <w:spacing w:after="0" w:line="17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[BACK PHOTO]</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POWER</w:t>
      </w:r>
    </w:p>
    <w:p>
      <w:pPr>
        <w:sectPr>
          <w:pgSz w:w="11900" w:h="16838" w:orient="portrait"/>
          <w:cols w:equalWidth="0" w:num="1">
            <w:col w:w="10219"/>
          </w:cols>
          <w:pgMar w:left="240" w:top="300"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4</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[FRONT PHOTO]</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SUPERVISOR</w:t>
      </w:r>
    </w:p>
    <w:p>
      <w:pPr>
        <w:spacing w:after="0" w:line="373"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GERMANY</w:t>
      </w:r>
    </w:p>
    <w:p>
      <w:pPr>
        <w:spacing w:after="0" w:line="37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Weltbild, a media enterprise that publishes and sells books, CDs and videos by mail order, is one of the major players of its kind in Germany. To gain a more efficient and flexible recruitment process, the company decided to outsource the recruiting function to Manpower Germany. We were able to successfully recruit 800 employees in a ten-week period and provide on-site management of the workforce, consistent with our worldwide reputation for delivering results.</w:t>
      </w:r>
    </w:p>
    <w:p>
      <w:pPr>
        <w:spacing w:after="0" w:line="18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[BACK PHOTO]</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POWER</w:t>
      </w:r>
    </w:p>
    <w:p>
      <w:pPr>
        <w:sectPr>
          <w:pgSz w:w="11900" w:h="16838" w:orient="portrait"/>
          <w:cols w:equalWidth="0" w:num="1">
            <w:col w:w="10219"/>
          </w:cols>
          <w:pgMar w:left="240" w:top="300"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6"/>
          <w:szCs w:val="16"/>
          <w:color w:val="auto"/>
        </w:rPr>
        <w:t>5</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[FRONT PHOTO]</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TICKET AGENT</w:t>
      </w:r>
    </w:p>
    <w:p>
      <w:pPr>
        <w:spacing w:after="0" w:line="373"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HONG KONG</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Over the past several years, Cirque de Soleil has turned to Manpower in several countries worldwide to staff its popular shows. This year, Manpower was hired to staff the 2-1/2 month show, "Saltimbanco" during its run in Hong Kong. Within a 2-week period, Manpower Hong Kong succeeded in recruiting 150 staff for a wide range of positions. We also provided on-site management of the temporary employee workforce for the duration of the show.</w:t>
      </w:r>
    </w:p>
    <w:p>
      <w:pPr>
        <w:spacing w:after="0" w:line="18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[BACK PHOTO]</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POWER</w:t>
      </w:r>
    </w:p>
    <w:p>
      <w:pPr>
        <w:sectPr>
          <w:pgSz w:w="11900" w:h="16838" w:orient="portrait"/>
          <w:cols w:equalWidth="0" w:num="1">
            <w:col w:w="10219"/>
          </w:cols>
          <w:pgMar w:left="240" w:top="300"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6"/>
          <w:szCs w:val="16"/>
          <w:color w:val="auto"/>
        </w:rPr>
        <w:t>6</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[FRONT PHOTO]</w:t>
      </w:r>
    </w:p>
    <w:p>
      <w:pPr>
        <w:spacing w:after="0" w:line="18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PAYROLL MANAGER</w:t>
      </w:r>
    </w:p>
    <w:p>
      <w:pPr>
        <w:spacing w:after="0" w:line="373"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ECUADOR</w:t>
      </w:r>
    </w:p>
    <w:p>
      <w:pPr>
        <w:spacing w:after="0" w:line="190"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Outsourcing business functions has become a popular way for companies to improve their productivity and efficiency measures. In Ecuador, payroll outsourcing has become a growing part of the Manpower service mix, with clients such as MasterCard, Johnson &amp; Johnson, Albonova and Gillette.</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[BACK PHOTO]</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POWER</w:t>
      </w:r>
    </w:p>
    <w:p>
      <w:pPr>
        <w:sectPr>
          <w:pgSz w:w="11900" w:h="16838" w:orient="portrait"/>
          <w:cols w:equalWidth="0" w:num="1">
            <w:col w:w="10219"/>
          </w:cols>
          <w:pgMar w:left="240" w:top="300"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6"/>
          <w:szCs w:val="16"/>
          <w:color w:val="auto"/>
        </w:rPr>
        <w:t>7</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[FRONT PHOTO]</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WAITRESS</w:t>
      </w:r>
    </w:p>
    <w:p>
      <w:pPr>
        <w:spacing w:after="0" w:line="373"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BELGIUM</w:t>
      </w:r>
    </w:p>
    <w:p>
      <w:pPr>
        <w:spacing w:after="0" w:line="190"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Manpower was the first European staffing firm to open an in-house branch within a football stadium. At every football (soccer) game in the Anderlecht stadium, Manpower Belgium recruits and manages 200 trained temporary employees for the catering and hospitality areas of the stadium.</w:t>
      </w:r>
    </w:p>
    <w:p>
      <w:pPr>
        <w:spacing w:after="0" w:line="373"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[BACK PHOTO]</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POWER</w:t>
      </w:r>
    </w:p>
    <w:p>
      <w:pPr>
        <w:sectPr>
          <w:pgSz w:w="11900" w:h="16838" w:orient="portrait"/>
          <w:cols w:equalWidth="0" w:num="1">
            <w:col w:w="10219"/>
          </w:cols>
          <w:pgMar w:left="240" w:top="300"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6"/>
          <w:szCs w:val="16"/>
          <w:color w:val="auto"/>
        </w:rPr>
        <w:t>8</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[FRONT PHOTO]</w:t>
      </w:r>
    </w:p>
    <w:p>
      <w:pPr>
        <w:spacing w:after="0" w:line="1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CONSTRUCTION WORKER</w:t>
      </w:r>
    </w:p>
    <w:p>
      <w:pPr>
        <w:spacing w:after="0" w:line="373"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SWITZERLAND</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Manpower opened four new offices in 2000 to support a major construction project in Switzerland, which consists of building two tunnels through the Alps to ease transportation across the country. We are providing temporary construction workers for three different firms that are managing the project: AST from Austria, SATCO based in England, France, Sweden and Switzerland; and Matrans, a merger of French, Austrian and Swiss companies.</w:t>
      </w:r>
    </w:p>
    <w:p>
      <w:pPr>
        <w:spacing w:after="0" w:line="18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[BACK PHOTO]</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POWER</w:t>
      </w:r>
    </w:p>
    <w:p>
      <w:pPr>
        <w:sectPr>
          <w:pgSz w:w="11900" w:h="16838" w:orient="portrait"/>
          <w:cols w:equalWidth="0" w:num="1">
            <w:col w:w="10219"/>
          </w:cols>
          <w:pgMar w:left="240" w:top="300"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6"/>
          <w:szCs w:val="16"/>
          <w:color w:val="auto"/>
        </w:rPr>
        <w:t>9</w:t>
      </w:r>
    </w:p>
    <w:p>
      <w:pPr>
        <w:spacing w:after="0" w:line="4"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[FRONT PHOTO]</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SALESPERSON</w:t>
      </w:r>
    </w:p>
    <w:p>
      <w:pPr>
        <w:spacing w:after="0" w:line="373"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ARGENTINA</w:t>
      </w:r>
    </w:p>
    <w:p>
      <w:pPr>
        <w:spacing w:after="0" w:line="190" w:lineRule="exact"/>
        <w:rPr>
          <w:sz w:val="20"/>
          <w:szCs w:val="20"/>
          <w:color w:val="auto"/>
        </w:rPr>
      </w:pPr>
    </w:p>
    <w:p>
      <w:pPr>
        <w:jc w:val="both"/>
        <w:ind w:right="2719"/>
        <w:spacing w:after="0" w:line="243" w:lineRule="auto"/>
        <w:rPr>
          <w:sz w:val="20"/>
          <w:szCs w:val="20"/>
          <w:color w:val="auto"/>
        </w:rPr>
      </w:pPr>
      <w:r>
        <w:rPr>
          <w:rFonts w:ascii="Courier New" w:cs="Courier New" w:eastAsia="Courier New" w:hAnsi="Courier New"/>
          <w:sz w:val="16"/>
          <w:szCs w:val="16"/>
          <w:color w:val="auto"/>
        </w:rPr>
        <w:t>Through its dedicated sales personnel division, SalesPower, Manpower Argentina recruited, selected and trained more than 1,000 sales people for Movicom Bell South, helping the telecommunications company to become the leading seller of wireless phones in Argentina in 2000.</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[BACK PHOTO]</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POWER</w:t>
      </w:r>
    </w:p>
    <w:p>
      <w:pPr>
        <w:sectPr>
          <w:pgSz w:w="11900" w:h="16838" w:orient="portrait"/>
          <w:cols w:equalWidth="0" w:num="1">
            <w:col w:w="10219"/>
          </w:cols>
          <w:pgMar w:left="240" w:top="300"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6"/>
          <w:szCs w:val="16"/>
          <w:color w:val="auto"/>
        </w:rPr>
        <w:t>10</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[FRONT PHOTO]</w:t>
      </w:r>
    </w:p>
    <w:p>
      <w:pPr>
        <w:spacing w:after="0" w:line="18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WAREHOUSE WORKER</w:t>
      </w:r>
    </w:p>
    <w:p>
      <w:pPr>
        <w:spacing w:after="0" w:line="373"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SINGAPORE</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Manpower Singapore provides the total HR solution for the provision of logistics warehouse staff, including supervisors, for Sandvik Coromant, in Singapore. The scope of work includes selection of supervisors and deployment to Sandvik's facility in Holland for training. Manpower Singapore has been responsible for staffing the facility, plus developing and implementing HR processes and procedures, including achievement recognition programs, performance bonus programs and performance evaluation programs.</w:t>
      </w:r>
    </w:p>
    <w:p>
      <w:pPr>
        <w:spacing w:after="0" w:line="18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[BACK PHOTO]</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POWER</w:t>
      </w:r>
    </w:p>
    <w:p>
      <w:pPr>
        <w:sectPr>
          <w:pgSz w:w="11900" w:h="16838" w:orient="portrait"/>
          <w:cols w:equalWidth="0" w:num="1">
            <w:col w:w="10219"/>
          </w:cols>
          <w:pgMar w:left="240" w:top="300"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6"/>
          <w:szCs w:val="16"/>
          <w:color w:val="auto"/>
        </w:rPr>
        <w:t>11</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[FRONT PHOTO]</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PROGRAMMER</w:t>
      </w:r>
    </w:p>
    <w:p>
      <w:pPr>
        <w:spacing w:after="0" w:line="373"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ELAN GROUP LTD.</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Leading blue chip companies with major IT projects turned to Elan in 2000 to provide the right resources for the job in the United Kingdom, Netherlands, Ireland, Switzerland, Germany and Hong Kong. Elan's managed service business supplied on-site IT staffing services to global clients in the telecommunications and software services sectors, providing improved delivery of scarce human resources and organizational efficiencies.</w:t>
      </w:r>
    </w:p>
    <w:p>
      <w:pPr>
        <w:spacing w:after="0" w:line="18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[BACK PHOTO]</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POWER</w:t>
      </w:r>
    </w:p>
    <w:p>
      <w:pPr>
        <w:sectPr>
          <w:pgSz w:w="11900" w:h="16838" w:orient="portrait"/>
          <w:cols w:equalWidth="0" w:num="1">
            <w:col w:w="10219"/>
          </w:cols>
          <w:pgMar w:left="240" w:top="300"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6"/>
          <w:szCs w:val="16"/>
          <w:color w:val="auto"/>
        </w:rPr>
        <w:t>12</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[FRONT PHOTO]</w:t>
      </w:r>
    </w:p>
    <w:p>
      <w:pPr>
        <w:spacing w:after="0" w:line="18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SYSTEMS ENGINEER</w:t>
      </w:r>
    </w:p>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JAPAN</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As a preferred staffing vendor for global corporations like Hewlett-Packard, American Express and AIG, Manpower Japan is rapidly expanding its presence and quality reputation throughout the country. In 2000, we expanded our office network by 100 percent and opened dedicated recruiting and testing offices to meet the growing demand for our services.</w:t>
      </w:r>
    </w:p>
    <w:p>
      <w:pPr>
        <w:spacing w:after="0" w:line="185"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[BACK PHOTO]</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POWER</w:t>
      </w:r>
    </w:p>
    <w:p>
      <w:pPr>
        <w:sectPr>
          <w:pgSz w:w="11900" w:h="16838" w:orient="portrait"/>
          <w:cols w:equalWidth="0" w:num="1">
            <w:col w:w="10219"/>
          </w:cols>
          <w:pgMar w:left="240" w:top="300"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6"/>
          <w:szCs w:val="16"/>
          <w:color w:val="auto"/>
        </w:rPr>
        <w:t>13</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[FRONT PHOTO]</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WELDER</w:t>
      </w:r>
    </w:p>
    <w:p>
      <w:pPr>
        <w:spacing w:after="0" w:line="373"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FRANCE</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In response to the shortage of skilled workers in the industrial, construction and logistics sectors, Manpower France launched a nationwide program designed to recruit and train more than 1,000 people for new careers in 20 occupations with noted regional shortages. The program was completely financed by Manpower, with a budget of 15 million francs (US$2.3 million), and was open to anyone, regardless of age, level of education or previous employment experience. Manpower successfully provided a new pool of workers for our customers, and created new career opportunities for people to work as welders, masons, draftsmen and other skilled occupations.</w:t>
      </w:r>
    </w:p>
    <w:p>
      <w:pPr>
        <w:spacing w:after="0" w:line="18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[BACK PHOTO]</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POWER</w:t>
      </w:r>
    </w:p>
    <w:p>
      <w:pPr>
        <w:sectPr>
          <w:pgSz w:w="11900" w:h="16838" w:orient="portrait"/>
          <w:cols w:equalWidth="0" w:num="1">
            <w:col w:w="10219"/>
          </w:cols>
          <w:pgMar w:left="240" w:top="300"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6"/>
          <w:szCs w:val="16"/>
          <w:color w:val="auto"/>
        </w:rPr>
        <w:t>14</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[FRONT PHOTO]</w:t>
      </w:r>
    </w:p>
    <w:p>
      <w:pPr>
        <w:spacing w:after="0" w:line="18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IT ADMINISTRATOR</w:t>
      </w:r>
    </w:p>
    <w:p>
      <w:pPr>
        <w:spacing w:after="0" w:line="373"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FINLAND</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In 2000, Manpower Finland began a large-scale Solutions Management and Cooperation agreement with International Computers Limited, a global IT company belonging to the Fujitsu Group, which is Europe's leading provider of e-business and e-infrastructure solutions. In addition to staffing IT and administrative positions, we provide facility management services, support systems and human resource services for ICL's e-infrastructure outsourcing projects at companies like Nokia, another key Manpower client in Finland.</w:t>
      </w:r>
    </w:p>
    <w:p>
      <w:pPr>
        <w:spacing w:after="0" w:line="18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[BACK PHOTO]</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POWER</w:t>
      </w:r>
    </w:p>
    <w:p>
      <w:pPr>
        <w:sectPr>
          <w:pgSz w:w="11900" w:h="16838" w:orient="portrait"/>
          <w:cols w:equalWidth="0" w:num="1">
            <w:col w:w="10219"/>
          </w:cols>
          <w:pgMar w:left="240" w:top="300"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6"/>
          <w:szCs w:val="16"/>
          <w:color w:val="auto"/>
        </w:rPr>
        <w:t>15</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[FRONT PHOTO]</w:t>
      </w:r>
    </w:p>
    <w:p>
      <w:pPr>
        <w:spacing w:after="0" w:line="18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TRAINING MANAGER</w:t>
      </w:r>
    </w:p>
    <w:p>
      <w:pPr>
        <w:spacing w:after="0" w:line="373"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COLOMBIA</w:t>
      </w:r>
    </w:p>
    <w:p>
      <w:pPr>
        <w:spacing w:after="0" w:line="190" w:lineRule="exact"/>
        <w:rPr>
          <w:sz w:val="20"/>
          <w:szCs w:val="20"/>
          <w:color w:val="auto"/>
        </w:rPr>
      </w:pPr>
    </w:p>
    <w:p>
      <w:pPr>
        <w:ind w:right="2919"/>
        <w:spacing w:after="0" w:line="244" w:lineRule="auto"/>
        <w:rPr>
          <w:sz w:val="20"/>
          <w:szCs w:val="20"/>
          <w:color w:val="auto"/>
        </w:rPr>
      </w:pPr>
      <w:r>
        <w:rPr>
          <w:rFonts w:ascii="Courier New" w:cs="Courier New" w:eastAsia="Courier New" w:hAnsi="Courier New"/>
          <w:sz w:val="16"/>
          <w:szCs w:val="16"/>
          <w:color w:val="auto"/>
        </w:rPr>
        <w:t>Training services are a hallmark of Manpower's brand leadership around the world. Many companies hire us to provide training to their employees as a stand-alone service due to our quality reputation. In Colombia, we provide temporary employees for Almacenes Exito, as well as a comprehensive training program, including Quality Service, Personal Presentation Skills, Values and other topics, for employees in Medellin, Bogota and Cali.</w:t>
      </w:r>
    </w:p>
    <w:p>
      <w:pPr>
        <w:spacing w:after="0" w:line="18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[BACK PHOTO]</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POWER</w:t>
      </w:r>
    </w:p>
    <w:p>
      <w:pPr>
        <w:sectPr>
          <w:pgSz w:w="11900" w:h="16838" w:orient="portrait"/>
          <w:cols w:equalWidth="0" w:num="1">
            <w:col w:w="10219"/>
          </w:cols>
          <w:pgMar w:left="240" w:top="300"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6"/>
          <w:szCs w:val="16"/>
          <w:color w:val="auto"/>
        </w:rPr>
        <w:t>16</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[FRONT PHOTO]</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ASSEMBLER</w:t>
      </w:r>
    </w:p>
    <w:p>
      <w:pPr>
        <w:spacing w:after="0" w:line="373"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AUSTRIA</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In Austria, Manpower played a critical role in helping Magna, a leading global supplier of technologically advanced automotive systems, resolve the high labor turnover in three of its sites. We developed a plan to create precise job specifications and use Manpower's proprietary Ultradex system to assess the skills of job candidates and place them in jobs that match their skills. As a result, the turnover rate has been reduced from 35% to nearly zero, and Manpower has become a preferred supplier for the three Magna sites.</w:t>
      </w:r>
    </w:p>
    <w:p>
      <w:pPr>
        <w:spacing w:after="0" w:line="18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[BACK PHOTO]</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POWER</w:t>
      </w:r>
    </w:p>
    <w:p>
      <w:pPr>
        <w:sectPr>
          <w:pgSz w:w="11900" w:h="16838" w:orient="portrait"/>
          <w:cols w:equalWidth="0" w:num="1">
            <w:col w:w="10219"/>
          </w:cols>
          <w:pgMar w:left="240" w:top="300"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6"/>
          <w:szCs w:val="16"/>
          <w:color w:val="auto"/>
        </w:rPr>
        <w:t>17</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[FRONT PHOTO]</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RECRUITER</w:t>
      </w:r>
    </w:p>
    <w:p>
      <w:pPr>
        <w:spacing w:after="0" w:line="373"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ISRAEL</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Manpower Israel manages several C.V. Centers (resume centers) as an outsourced function for high technology companies like Lucent, Intel and Applied Materials. Our expertise in recruiting, assessment of the candidates' skills and abilities, and management of the employee intake process, provides these clients with a more efficient way to recruit talented employees in the highly competitive technology sector.</w:t>
      </w:r>
    </w:p>
    <w:p>
      <w:pPr>
        <w:spacing w:after="0" w:line="18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[BACK PHOTO]</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POWER</w:t>
      </w:r>
    </w:p>
    <w:p>
      <w:pPr>
        <w:sectPr>
          <w:pgSz w:w="11900" w:h="16838" w:orient="portrait"/>
          <w:cols w:equalWidth="0" w:num="1">
            <w:col w:w="10219"/>
          </w:cols>
          <w:pgMar w:left="240" w:top="300"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6"/>
          <w:szCs w:val="16"/>
          <w:color w:val="auto"/>
        </w:rPr>
        <w:t>18</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[FRONT PHOTO]</w:t>
      </w:r>
    </w:p>
    <w:p>
      <w:pPr>
        <w:spacing w:after="0" w:line="18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CONTACT CENTER MANAGER</w:t>
      </w:r>
    </w:p>
    <w:p>
      <w:pPr>
        <w:spacing w:after="0" w:line="373"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UNITED KINGDOM</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In the United Kingdom, Manpower provided a total contact center solution for leading CRM specialist, 7C, during 2000. In addition to providing the building and associated infrastructure, Manpower recruited the management team and a full workforce of contact center agents. The contact center supports 7C's client, ONdigital, the world's first digital terrestrial TV platform. The center opened at the end of July and, by late December, had handled its one-millionth call for ONdigital.</w:t>
      </w:r>
    </w:p>
    <w:p>
      <w:pPr>
        <w:spacing w:after="0" w:line="18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[BACK PHOTO]</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POWER</w:t>
      </w:r>
    </w:p>
    <w:p>
      <w:pPr>
        <w:sectPr>
          <w:pgSz w:w="11900" w:h="16838" w:orient="portrait"/>
          <w:cols w:equalWidth="0" w:num="1">
            <w:col w:w="10219"/>
          </w:cols>
          <w:pgMar w:left="240" w:top="300"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6"/>
          <w:szCs w:val="16"/>
          <w:color w:val="auto"/>
        </w:rPr>
        <w:t>19</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[FRONT PHOTO]</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ENGINEER</w:t>
      </w:r>
    </w:p>
    <w:p>
      <w:pPr>
        <w:spacing w:after="0" w:line="373"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DENMARK</w:t>
      </w:r>
    </w:p>
    <w:p>
      <w:pPr>
        <w:spacing w:after="0" w:line="190" w:lineRule="exact"/>
        <w:rPr>
          <w:sz w:val="20"/>
          <w:szCs w:val="20"/>
          <w:color w:val="auto"/>
        </w:rPr>
      </w:pPr>
    </w:p>
    <w:p>
      <w:pPr>
        <w:ind w:right="2539"/>
        <w:spacing w:after="0" w:line="263" w:lineRule="auto"/>
        <w:rPr>
          <w:sz w:val="20"/>
          <w:szCs w:val="20"/>
          <w:color w:val="auto"/>
        </w:rPr>
      </w:pPr>
      <w:r>
        <w:rPr>
          <w:rFonts w:ascii="Courier New" w:cs="Courier New" w:eastAsia="Courier New" w:hAnsi="Courier New"/>
          <w:sz w:val="15"/>
          <w:szCs w:val="15"/>
          <w:color w:val="auto"/>
        </w:rPr>
        <w:t>Manpower provides companies worldwide with professional staff in fields such as engineering, information technology, and laboratory science, to fill their needs for expert assistance on short-term projects. In Denmark, engineers are frequently provided for companies like Glunz &amp; Jensen, a manufacturer of process automation equipment. The contractor lifestyle is increasingly attractive to professionals in these fields because of the flexible work schedule and the variety of experience that they can gain in a short period of time.</w:t>
      </w:r>
    </w:p>
    <w:p>
      <w:pPr>
        <w:spacing w:after="0" w:line="173"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[BACK PHOTO]</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POWER</w:t>
      </w:r>
    </w:p>
    <w:p>
      <w:pPr>
        <w:sectPr>
          <w:pgSz w:w="11900" w:h="16838" w:orient="portrait"/>
          <w:cols w:equalWidth="0" w:num="1">
            <w:col w:w="10219"/>
          </w:cols>
          <w:pgMar w:left="240" w:top="300"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6"/>
          <w:szCs w:val="16"/>
          <w:color w:val="auto"/>
        </w:rPr>
        <w:t>20</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[FRONT PHOTO]</w:t>
      </w:r>
    </w:p>
    <w:p>
      <w:pPr>
        <w:spacing w:after="0" w:line="373"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PRODUCTION LINE WORKER</w:t>
      </w:r>
    </w:p>
    <w:p>
      <w:pPr>
        <w:spacing w:after="0" w:line="373"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MEXICO</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In Mexico, Manpower provides large-scale recruiting services for manufacturers like Solectron through the use of creative techniques such as mobile recruitment teams. They travel with vans and portable recruitment stands to find the qualified employees needed to fill the jobs. In 2000, our teams visited 40 villages as far as 55 miles away from the Solectron facilities to find the qualified workers.</w:t>
      </w:r>
    </w:p>
    <w:p>
      <w:pPr>
        <w:spacing w:after="0" w:line="371"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[BACK PHOTO]</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POWER</w:t>
      </w:r>
    </w:p>
    <w:p>
      <w:pPr>
        <w:sectPr>
          <w:pgSz w:w="11900" w:h="16838" w:orient="portrait"/>
          <w:cols w:equalWidth="0" w:num="1">
            <w:col w:w="10219"/>
          </w:cols>
          <w:pgMar w:left="240" w:top="300"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6"/>
          <w:szCs w:val="16"/>
          <w:color w:val="auto"/>
        </w:rPr>
        <w:t>21</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[FRONT PHOTO]</w:t>
      </w:r>
    </w:p>
    <w:p>
      <w:pPr>
        <w:spacing w:after="0" w:line="1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HR CONSULTANT</w:t>
      </w:r>
    </w:p>
    <w:p>
      <w:pPr>
        <w:spacing w:after="0" w:line="37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THE EMPOWER GROUP</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A key development for Manpower in 2000 was the launch of its Empower Group operating division to provide organizational performance consulting services to major companies worldwide. From its official opening in July with offices in 10 countries, The Empower Group has generated great interest from many of the world's largest corporations who are seeking more effective ways to manage their human resources.</w:t>
      </w:r>
    </w:p>
    <w:p>
      <w:pPr>
        <w:spacing w:after="0" w:line="18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[BACK PHOTO]</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POWER</w:t>
      </w:r>
    </w:p>
    <w:p>
      <w:pPr>
        <w:sectPr>
          <w:pgSz w:w="11900" w:h="16838" w:orient="portrait"/>
          <w:cols w:equalWidth="0" w:num="1">
            <w:col w:w="10219"/>
          </w:cols>
          <w:pgMar w:left="240" w:top="300"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6"/>
          <w:szCs w:val="16"/>
          <w:color w:val="auto"/>
        </w:rPr>
        <w:t>22</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[FRONT PHOTO]</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WEB SITE DEVELOPER</w:t>
      </w:r>
    </w:p>
    <w:p>
      <w:pPr>
        <w:spacing w:after="0" w:line="373"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SWEDEN</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explosion in e-business worldwide has been particularly evident in countries like Sweden, which has embraced technology more quickly than other areas of the world. For Manpower, this technically savvy culture serves as a fertile proving ground for new technologies. Manpower Sweden now operates the largest e-recruitment Web site in the country, offering its services free of charge for both its customers and its candidates. This has transformed the market and resulted in a substantial increase in market share.</w:t>
      </w:r>
    </w:p>
    <w:p>
      <w:pPr>
        <w:spacing w:after="0" w:line="18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[BACK PHOTO]</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POWER</w:t>
      </w:r>
    </w:p>
    <w:p>
      <w:pPr>
        <w:sectPr>
          <w:pgSz w:w="11900" w:h="16838" w:orient="portrait"/>
          <w:cols w:equalWidth="0" w:num="1">
            <w:col w:w="10219"/>
          </w:cols>
          <w:pgMar w:left="240" w:top="300"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6"/>
          <w:szCs w:val="16"/>
          <w:color w:val="auto"/>
        </w:rPr>
        <w:t>23</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[FRONT PHOTO]</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MECHANIC</w:t>
      </w:r>
    </w:p>
    <w:p>
      <w:pPr>
        <w:spacing w:after="0" w:line="373"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ITALY</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Manpower Italy provided an average of 1,300 temporary employees to Fiat at four different locations across Italy during 2000. Our services included on-site management of the temporary workforce, as well as recruiting, assessment and selection of all candidates. In addition, we created a program called "Iride" to support qualified candidates who were available to work at Fiat, but needed to move from other areas of Italy in order to accept the jobs. "Iride" provided the candidates with grants and other assistance, including temporary accommodations, to ease their transition to their new residence.</w:t>
      </w:r>
    </w:p>
    <w:p>
      <w:pPr>
        <w:spacing w:after="0" w:line="18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[BACK PHOTO]</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POWER</w:t>
      </w:r>
    </w:p>
    <w:p>
      <w:pPr>
        <w:sectPr>
          <w:pgSz w:w="11900" w:h="16838" w:orient="portrait"/>
          <w:cols w:equalWidth="0" w:num="1">
            <w:col w:w="10219"/>
          </w:cols>
          <w:pgMar w:left="240" w:top="300"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6"/>
          <w:szCs w:val="16"/>
          <w:color w:val="auto"/>
        </w:rPr>
        <w:t>24</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[FRONT PHOTO]</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STORE CLERK</w:t>
      </w:r>
    </w:p>
    <w:p>
      <w:pPr>
        <w:spacing w:after="0" w:line="373"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SPAIN</w:t>
      </w:r>
    </w:p>
    <w:p>
      <w:pPr>
        <w:spacing w:after="0" w:line="190" w:lineRule="exact"/>
        <w:rPr>
          <w:sz w:val="20"/>
          <w:szCs w:val="20"/>
          <w:color w:val="auto"/>
        </w:rPr>
      </w:pPr>
    </w:p>
    <w:p>
      <w:pPr>
        <w:ind w:right="2639"/>
        <w:spacing w:after="0" w:line="263" w:lineRule="auto"/>
        <w:rPr>
          <w:sz w:val="20"/>
          <w:szCs w:val="20"/>
          <w:color w:val="auto"/>
        </w:rPr>
      </w:pPr>
      <w:r>
        <w:rPr>
          <w:rFonts w:ascii="Courier New" w:cs="Courier New" w:eastAsia="Courier New" w:hAnsi="Courier New"/>
          <w:sz w:val="15"/>
          <w:szCs w:val="15"/>
          <w:color w:val="auto"/>
        </w:rPr>
        <w:t>In Barcelona, Spain, Manpower is finding new ways to fill Sales Clerk positions for Zara boutiques, one of the retail clothing stores owned by Inditex, the third largest textile company in the world. Our talented recruiters target places that are frequented by young, fashionable people who are accustomed to dealing with the public - colleges, dance clubs and other retail stores. This successful program is expanding to the other stores of Inditex in 2001, including Pull &amp; Bear, Bershka, Stradivarius and Massimo Dutti.</w:t>
      </w:r>
    </w:p>
    <w:p>
      <w:pPr>
        <w:spacing w:after="0" w:line="173"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[BACK PHOTO]</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POWER</w:t>
      </w:r>
    </w:p>
    <w:p>
      <w:pPr>
        <w:sectPr>
          <w:pgSz w:w="11900" w:h="16838" w:orient="portrait"/>
          <w:cols w:equalWidth="0" w:num="1">
            <w:col w:w="10219"/>
          </w:cols>
          <w:pgMar w:left="240" w:top="300"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6"/>
          <w:szCs w:val="16"/>
          <w:color w:val="auto"/>
        </w:rPr>
        <w:t>25</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[FRONT PHOTO]</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ACCOUNTANT</w:t>
      </w:r>
    </w:p>
    <w:p>
      <w:pPr>
        <w:spacing w:after="0" w:line="373"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NORWAY</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In 2000, Manpower Norway formed a joint venture company with one of its top customers, Norsk Hydro, to provide a more consistent approach to Hydro's workforce of temporary employees. Quality People is 50.1% owned by Manpower and 49.9% owned by Hydro, and we jointly share the responsibility for managing Hydro's workforce of temporary employees. The joint venture provides a single resource for the 1,000 employees that work for Hydro every day, including office workers, engineers, accountants and IT consultants.</w:t>
      </w:r>
    </w:p>
    <w:p>
      <w:pPr>
        <w:spacing w:after="0" w:line="18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[BACK PHOTO]</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POWER</w:t>
      </w:r>
    </w:p>
    <w:p>
      <w:pPr>
        <w:sectPr>
          <w:pgSz w:w="11900" w:h="16838" w:orient="portrait"/>
          <w:cols w:equalWidth="0" w:num="1">
            <w:col w:w="10219"/>
          </w:cols>
          <w:pgMar w:left="240" w:top="300"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6"/>
          <w:szCs w:val="16"/>
          <w:color w:val="auto"/>
        </w:rPr>
        <w:t>26</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[FRONT PHOTO]</w:t>
      </w:r>
    </w:p>
    <w:p>
      <w:pPr>
        <w:spacing w:after="0" w:line="18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SYSTEMS ANALYST</w:t>
      </w:r>
    </w:p>
    <w:p>
      <w:pPr>
        <w:spacing w:after="0" w:line="373"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PHILIPPINES</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Systems Integration Solutions (SIS), a rapidly growing US-based IT consulting services company, relies on Manpower to recruit highly skilled IT experts for its operations in the Philippines. By outsourcing the recruitment of permanent employees to Manpower Philippines, SIS is able to focus more of its employees on client service and other core business functions.</w:t>
      </w:r>
    </w:p>
    <w:p>
      <w:pPr>
        <w:spacing w:after="0" w:line="185"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[BACK PHOTO]</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POWER</w:t>
      </w:r>
    </w:p>
    <w:p>
      <w:pPr>
        <w:sectPr>
          <w:pgSz w:w="11900" w:h="16838" w:orient="portrait"/>
          <w:cols w:equalWidth="0" w:num="1">
            <w:col w:w="10219"/>
          </w:cols>
          <w:pgMar w:left="240" w:top="300"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6"/>
          <w:szCs w:val="16"/>
          <w:color w:val="auto"/>
        </w:rPr>
        <w:t>27</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[FRONT PHOTO]</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TEACHER</w:t>
      </w:r>
    </w:p>
    <w:p>
      <w:pPr>
        <w:spacing w:after="0" w:line="373"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NETHERLANDS</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A few short years ago, the Ministry of Education in the Netherlands turned to Manpower for a solution to the substantial shortage of school teachers. To solve this problem, Manpower has recruited and retrained more than 3,500 former teachers, as well as people from other careers, to fill the teaching vacancies - and this work continues today. As a result, Manpower has become the market leader in staffing services for the elementary and secondary education system in the Netherlands, providing career development, relocation and outplacement services, as well as mobility plans and substitute teacher pools.</w:t>
      </w:r>
    </w:p>
    <w:p>
      <w:pPr>
        <w:spacing w:after="0" w:line="18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[BACK PHOTO]</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POWER</w:t>
      </w:r>
    </w:p>
    <w:p>
      <w:pPr>
        <w:sectPr>
          <w:pgSz w:w="11900" w:h="16838" w:orient="portrait"/>
          <w:cols w:equalWidth="0" w:num="1">
            <w:col w:w="10219"/>
          </w:cols>
          <w:pgMar w:left="240" w:top="300"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6"/>
          <w:szCs w:val="16"/>
          <w:color w:val="auto"/>
        </w:rPr>
        <w:t>28</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[FRONT PHOTO]</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MERCHANDISER</w:t>
      </w:r>
    </w:p>
    <w:p>
      <w:pPr>
        <w:spacing w:after="0" w:line="373"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URUGUAY</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Manpower Uruguay manages a workforce of more than 400 people for Supermarket Devoto, part of the Geant - Excel Group, during the summer months in the cities of Punta del Este and Piriapolis. The employees required for this customer include warehouse workers, customer service representatives, accounting clerks and merchandisers who present products and promotions to customers at the stores.</w:t>
      </w:r>
    </w:p>
    <w:p>
      <w:pPr>
        <w:spacing w:after="0" w:line="18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[BACK PHOTO]</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POWER</w:t>
      </w:r>
    </w:p>
    <w:p>
      <w:pPr>
        <w:sectPr>
          <w:pgSz w:w="11900" w:h="16838" w:orient="portrait"/>
          <w:cols w:equalWidth="0" w:num="1">
            <w:col w:w="10219"/>
          </w:cols>
          <w:pgMar w:left="240" w:top="300"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6"/>
          <w:szCs w:val="16"/>
          <w:color w:val="auto"/>
        </w:rPr>
        <w:t>29</w:t>
      </w:r>
    </w:p>
    <w:p>
      <w:pPr>
        <w:spacing w:after="0" w:line="190"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With more than 2.7 million skilled, talented people in 59 countries worldwide, we deliver top-caliber staffing solutions to more than 400,000 customers around the globe.</w:t>
      </w:r>
    </w:p>
    <w:p>
      <w:pPr>
        <w:sectPr>
          <w:pgSz w:w="11900" w:h="16838" w:orient="portrait"/>
          <w:cols w:equalWidth="0" w:num="1">
            <w:col w:w="10219"/>
          </w:cols>
          <w:pgMar w:left="240" w:top="300"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6"/>
          <w:szCs w:val="16"/>
          <w:color w:val="auto"/>
        </w:rPr>
        <w:t>30</w:t>
      </w:r>
    </w:p>
    <w:p>
      <w:pPr>
        <w:spacing w:after="0" w:line="188" w:lineRule="exact"/>
        <w:rPr>
          <w:sz w:val="20"/>
          <w:szCs w:val="20"/>
          <w:color w:val="auto"/>
        </w:rPr>
      </w:pPr>
    </w:p>
    <w:p>
      <w:pPr>
        <w:jc w:val="right"/>
        <w:ind w:right="5999"/>
        <w:spacing w:after="0"/>
        <w:rPr>
          <w:sz w:val="20"/>
          <w:szCs w:val="20"/>
          <w:color w:val="auto"/>
        </w:rPr>
      </w:pPr>
      <w:r>
        <w:rPr>
          <w:rFonts w:ascii="Courier New" w:cs="Courier New" w:eastAsia="Courier New" w:hAnsi="Courier New"/>
          <w:sz w:val="16"/>
          <w:szCs w:val="16"/>
          <w:color w:val="auto"/>
        </w:rPr>
        <w:t>MANPOWER</w:t>
      </w:r>
    </w:p>
    <w:p>
      <w:pPr>
        <w:sectPr>
          <w:pgSz w:w="11900" w:h="16838" w:orient="portrait"/>
          <w:cols w:equalWidth="0" w:num="1">
            <w:col w:w="9939"/>
          </w:cols>
          <w:pgMar w:left="520" w:top="300"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6"/>
          <w:szCs w:val="16"/>
          <w:color w:val="auto"/>
        </w:rPr>
        <w:t>31</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CEO Letter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Shareholder,</w:t>
      </w:r>
    </w:p>
    <w:p>
      <w:pPr>
        <w:spacing w:after="0" w:line="190"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The people of Manpower throughout the world marked an impressive performance in all categories in 2000. We entered the year with ambitious plans to advance Manpower's profitability, visibility, and durability, and our efforts are being rewarded.</w:t>
      </w:r>
    </w:p>
    <w:p>
      <w:pPr>
        <w:spacing w:after="0" w:line="188"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In 2000, Manpower achieved new records. Systemwide sales reached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$12.4 billion, which is an organic growth rate of 15% in constant currency, but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most importantly operating margins rose to record levels totaling $311 million,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up 34.8% from 1999. This resulted in earnings per diluted share of $2.22, a 16%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Additionally, good progress was made on working capital with free cash</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flow of $130 million.</w:t>
      </w:r>
    </w:p>
    <w:p>
      <w:pPr>
        <w:spacing w:after="0" w:line="190" w:lineRule="exact"/>
        <w:rPr>
          <w:sz w:val="20"/>
          <w:szCs w:val="20"/>
          <w:color w:val="auto"/>
        </w:rPr>
      </w:pPr>
    </w:p>
    <w:p>
      <w:pPr>
        <w:ind w:right="2539" w:firstLine="1153"/>
        <w:spacing w:after="0" w:line="244" w:lineRule="auto"/>
        <w:rPr>
          <w:sz w:val="20"/>
          <w:szCs w:val="20"/>
          <w:color w:val="auto"/>
        </w:rPr>
      </w:pPr>
      <w:r>
        <w:rPr>
          <w:rFonts w:ascii="Courier New" w:cs="Courier New" w:eastAsia="Courier New" w:hAnsi="Courier New"/>
          <w:sz w:val="16"/>
          <w:szCs w:val="16"/>
          <w:color w:val="auto"/>
        </w:rPr>
        <w:t>These results are good to report, but much more remains to be done. Changing markets, new economic uncertainty, increasingly complex customer needs, and the continual worldwide tightening of the labor market - these and many other factors continue to affect our company. We view many of these market forces as real opportunities for Manpower.</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80" w:type="dxa"/>
            <w:vAlign w:val="bottom"/>
          </w:tcPr>
          <w:p>
            <w:pPr>
              <w:spacing w:after="0"/>
              <w:rPr>
                <w:sz w:val="20"/>
                <w:szCs w:val="20"/>
                <w:color w:val="auto"/>
              </w:rPr>
            </w:pPr>
            <w:r>
              <w:rPr>
                <w:rFonts w:ascii="Courier New" w:cs="Courier New" w:eastAsia="Courier New" w:hAnsi="Courier New"/>
                <w:sz w:val="16"/>
                <w:szCs w:val="16"/>
                <w:color w:val="auto"/>
              </w:rPr>
              <w:t>Manpower Inc.</w:t>
            </w:r>
          </w:p>
        </w:tc>
        <w:tc>
          <w:tcPr>
            <w:tcW w:w="330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bl>
    <w:p>
      <w:pPr>
        <w:sectPr>
          <w:pgSz w:w="11900" w:h="16838" w:orient="portrait"/>
          <w:cols w:equalWidth="0" w:num="1">
            <w:col w:w="10219"/>
          </w:cols>
          <w:pgMar w:left="240" w:top="300"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6"/>
          <w:szCs w:val="16"/>
          <w:color w:val="auto"/>
        </w:rPr>
        <w:t>32</w:t>
      </w:r>
    </w:p>
    <w:p>
      <w:pPr>
        <w:spacing w:after="0" w:line="190" w:lineRule="exact"/>
        <w:rPr>
          <w:sz w:val="20"/>
          <w:szCs w:val="20"/>
          <w:color w:val="auto"/>
        </w:rPr>
      </w:pPr>
    </w:p>
    <w:p>
      <w:pPr>
        <w:ind w:right="2539" w:firstLine="1153"/>
        <w:spacing w:after="0" w:line="244" w:lineRule="auto"/>
        <w:rPr>
          <w:sz w:val="20"/>
          <w:szCs w:val="20"/>
          <w:color w:val="auto"/>
        </w:rPr>
      </w:pPr>
      <w:r>
        <w:rPr>
          <w:rFonts w:ascii="Courier New" w:cs="Courier New" w:eastAsia="Courier New" w:hAnsi="Courier New"/>
          <w:sz w:val="16"/>
          <w:szCs w:val="16"/>
          <w:color w:val="auto"/>
        </w:rPr>
        <w:t>The condition of the labor market is an important issue on everyone's mind -- from corporate executives to employees -- and this is true in all geographies. This concern has served to increase our visibility on many fronts. As a result, over 400,000 customers and 2.7 million employees have found that Manpower is the answer. The responsibility to resolve the challenges of the workforce, from both the employer and employee perspectives, is one that we assume with pride and passion. We know that we owe our success to the power of people and our ability to match a person's skills with our customer's job requirements to ensure these working relationships are successful for everyone involved.</w:t>
      </w:r>
    </w:p>
    <w:p>
      <w:pPr>
        <w:spacing w:after="0" w:line="190" w:lineRule="exact"/>
        <w:rPr>
          <w:sz w:val="20"/>
          <w:szCs w:val="20"/>
          <w:color w:val="auto"/>
        </w:rPr>
      </w:pPr>
    </w:p>
    <w:p>
      <w:pPr>
        <w:ind w:right="2639" w:firstLine="1153"/>
        <w:spacing w:after="0" w:line="244" w:lineRule="auto"/>
        <w:rPr>
          <w:sz w:val="20"/>
          <w:szCs w:val="20"/>
          <w:color w:val="auto"/>
        </w:rPr>
      </w:pPr>
      <w:r>
        <w:rPr>
          <w:rFonts w:ascii="Courier New" w:cs="Courier New" w:eastAsia="Courier New" w:hAnsi="Courier New"/>
          <w:sz w:val="16"/>
          <w:szCs w:val="16"/>
          <w:color w:val="auto"/>
        </w:rPr>
        <w:t>Our efforts in the year 2000 were concentrated on expanding the key assets of the company. We continued to grow our network of offices to nearly 3,700 in 2000 with more than 285 new offices, which has strengthened our position in some of the fastest growing markets throughout the world. Countries like Sweden, Italy and Japan all added offices and continue to show positive signs of handsome returns to our shareholders. France contributed to share-holder value in extraordinary terms by increasing gross margins and improving operating profits by $30 million - or 49% in local currency.</w:t>
      </w:r>
    </w:p>
    <w:p>
      <w:pPr>
        <w:spacing w:after="0" w:line="189" w:lineRule="exact"/>
        <w:rPr>
          <w:sz w:val="20"/>
          <w:szCs w:val="20"/>
          <w:color w:val="auto"/>
        </w:rPr>
      </w:pPr>
    </w:p>
    <w:p>
      <w:pPr>
        <w:spacing w:after="0"/>
        <w:tabs>
          <w:tab w:leader="none" w:pos="6420" w:val="left"/>
        </w:tabs>
        <w:rPr>
          <w:sz w:val="20"/>
          <w:szCs w:val="20"/>
          <w:color w:val="auto"/>
        </w:rPr>
      </w:pPr>
      <w:r>
        <w:rPr>
          <w:rFonts w:ascii="Courier New" w:cs="Courier New" w:eastAsia="Courier New" w:hAnsi="Courier New"/>
          <w:sz w:val="15"/>
          <w:szCs w:val="15"/>
          <w:color w:val="auto"/>
        </w:rPr>
        <w:t>58</w:t>
      </w:r>
      <w:r>
        <w:rPr>
          <w:sz w:val="20"/>
          <w:szCs w:val="20"/>
          <w:color w:val="auto"/>
        </w:rPr>
        <w:tab/>
      </w:r>
      <w:r>
        <w:rPr>
          <w:rFonts w:ascii="Courier New" w:cs="Courier New" w:eastAsia="Courier New" w:hAnsi="Courier New"/>
          <w:sz w:val="15"/>
          <w:szCs w:val="15"/>
          <w:color w:val="auto"/>
        </w:rPr>
        <w:t>Manpower Inc.</w:t>
      </w:r>
    </w:p>
    <w:p>
      <w:pPr>
        <w:sectPr>
          <w:pgSz w:w="11900" w:h="16838" w:orient="portrait"/>
          <w:cols w:equalWidth="0" w:num="1">
            <w:col w:w="10219"/>
          </w:cols>
          <w:pgMar w:left="240" w:top="300"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6"/>
          <w:szCs w:val="16"/>
          <w:color w:val="auto"/>
        </w:rPr>
        <w:t>33</w:t>
      </w:r>
    </w:p>
    <w:p>
      <w:pPr>
        <w:spacing w:after="0" w:line="190" w:lineRule="exact"/>
        <w:rPr>
          <w:sz w:val="20"/>
          <w:szCs w:val="20"/>
          <w:color w:val="auto"/>
        </w:rPr>
      </w:pPr>
    </w:p>
    <w:p>
      <w:pPr>
        <w:ind w:right="2539" w:firstLine="1153"/>
        <w:spacing w:after="0" w:line="262" w:lineRule="auto"/>
        <w:rPr>
          <w:sz w:val="20"/>
          <w:szCs w:val="20"/>
          <w:color w:val="auto"/>
        </w:rPr>
      </w:pPr>
      <w:r>
        <w:rPr>
          <w:rFonts w:ascii="Courier New" w:cs="Courier New" w:eastAsia="Courier New" w:hAnsi="Courier New"/>
          <w:sz w:val="15"/>
          <w:szCs w:val="15"/>
          <w:color w:val="auto"/>
        </w:rPr>
        <w:t>We also continued to expand our wide array of services to our customers. We have recognized for several years that our customers need more help in the area of specialty and professional staffing services. Accordingly, we have invested in developing our specialty staffing resources, which now account for nearly 20% of our total business. Manpower Professional in the U.S. grew at 12%, which substantially exceeded industry growth, and we are poised to do even better in 2001. Additionally, we have begun to expand our IT staffing capabilities across continental Europe under the Elan brand. Elan Group Ltd., our European IT staffing subsidiary, has been fully integrated since we acquired it in January 2000. By combining Manpower's IT staffing services with Elan's capabilities, we now offer the premier service capabilities in the U.K. market.</w:t>
      </w:r>
    </w:p>
    <w:p>
      <w:pPr>
        <w:spacing w:after="0" w:line="177" w:lineRule="exact"/>
        <w:rPr>
          <w:sz w:val="20"/>
          <w:szCs w:val="20"/>
          <w:color w:val="auto"/>
        </w:rPr>
      </w:pPr>
    </w:p>
    <w:p>
      <w:pPr>
        <w:ind w:right="2539" w:firstLine="1153"/>
        <w:spacing w:after="0" w:line="244" w:lineRule="auto"/>
        <w:rPr>
          <w:sz w:val="20"/>
          <w:szCs w:val="20"/>
          <w:color w:val="auto"/>
        </w:rPr>
      </w:pPr>
      <w:r>
        <w:rPr>
          <w:rFonts w:ascii="Courier New" w:cs="Courier New" w:eastAsia="Courier New" w:hAnsi="Courier New"/>
          <w:sz w:val="16"/>
          <w:szCs w:val="16"/>
          <w:color w:val="auto"/>
        </w:rPr>
        <w:t>Globally, we launched The Empower Group in 2000. We developed this independent operating unit through a combination of acquisitions, alliances, and internal capabilities, to provide human resource consulting services to our major customers. Headquartered in London, The Empower Group is strategically important for our customer base, as they rely on us to supply a higher level of expertise to help them overcome the challenges of the tight labor market and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80" w:type="dxa"/>
            <w:vAlign w:val="bottom"/>
          </w:tcPr>
          <w:p>
            <w:pPr>
              <w:spacing w:after="0"/>
              <w:rPr>
                <w:sz w:val="20"/>
                <w:szCs w:val="20"/>
                <w:color w:val="auto"/>
              </w:rPr>
            </w:pPr>
            <w:r>
              <w:rPr>
                <w:rFonts w:ascii="Courier New" w:cs="Courier New" w:eastAsia="Courier New" w:hAnsi="Courier New"/>
                <w:sz w:val="16"/>
                <w:szCs w:val="16"/>
                <w:color w:val="auto"/>
              </w:rPr>
              <w:t>Manpower Inc.</w:t>
            </w:r>
          </w:p>
        </w:tc>
        <w:tc>
          <w:tcPr>
            <w:tcW w:w="330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r>
    </w:tbl>
    <w:p>
      <w:pPr>
        <w:sectPr>
          <w:pgSz w:w="11900" w:h="16838" w:orient="portrait"/>
          <w:cols w:equalWidth="0" w:num="1">
            <w:col w:w="10219"/>
          </w:cols>
          <w:pgMar w:left="240" w:top="300"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6"/>
          <w:szCs w:val="16"/>
          <w:color w:val="auto"/>
        </w:rPr>
        <w:t>34</w:t>
      </w:r>
    </w:p>
    <w:p>
      <w:pPr>
        <w:spacing w:after="0" w:line="190"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navigate the constantly changing dynamics of their organizational structures. The Empower Group currently has offices across the Americas, Europe and Asia/Pacific, and we plan to expand its size and number of locations throughout 2001.</w:t>
      </w:r>
    </w:p>
    <w:p>
      <w:pPr>
        <w:spacing w:after="0" w:line="5" w:lineRule="exact"/>
        <w:rPr>
          <w:sz w:val="20"/>
          <w:szCs w:val="20"/>
          <w:color w:val="auto"/>
        </w:rPr>
      </w:pPr>
    </w:p>
    <w:p>
      <w:pPr>
        <w:ind w:right="2539" w:firstLine="1153"/>
        <w:spacing w:after="0" w:line="244" w:lineRule="auto"/>
        <w:rPr>
          <w:sz w:val="20"/>
          <w:szCs w:val="20"/>
          <w:color w:val="auto"/>
        </w:rPr>
      </w:pPr>
      <w:r>
        <w:rPr>
          <w:rFonts w:ascii="Courier New" w:cs="Courier New" w:eastAsia="Courier New" w:hAnsi="Courier New"/>
          <w:sz w:val="16"/>
          <w:szCs w:val="16"/>
          <w:color w:val="auto"/>
        </w:rPr>
        <w:t>Technology plays a key role in business today, and it will continue to be a critical business issue as we move into the future. At Manpower, our commitment to technology remains strong, as we believe that the Internet is revolutionizing the staffing industry and offers tremendous opportunities to strengthen our relationships with our customers and our temporary employees. E-commerce may appear to have settled down because of the cooling of the "dot-coms," but it is no less important than it was a year ago. The difference now is that results must accompany the vision, and that is the standard to which we are holding ourselves. Our view of e-commerce is that it is a powerful and effective means to conduct business with our customers, and we have made great progress connecting our customers to us via the Internet. In fact, nearly $300 million worth of staffing business is conducted annually through our Internet offering on a global basis.</w:t>
      </w:r>
    </w:p>
    <w:p>
      <w:pPr>
        <w:spacing w:after="0" w:line="191" w:lineRule="exact"/>
        <w:rPr>
          <w:sz w:val="20"/>
          <w:szCs w:val="20"/>
          <w:color w:val="auto"/>
        </w:rPr>
      </w:pPr>
    </w:p>
    <w:p>
      <w:pPr>
        <w:spacing w:after="0"/>
        <w:tabs>
          <w:tab w:leader="none" w:pos="6420" w:val="left"/>
        </w:tabs>
        <w:rPr>
          <w:sz w:val="20"/>
          <w:szCs w:val="20"/>
          <w:color w:val="auto"/>
        </w:rPr>
      </w:pPr>
      <w:r>
        <w:rPr>
          <w:rFonts w:ascii="Courier New" w:cs="Courier New" w:eastAsia="Courier New" w:hAnsi="Courier New"/>
          <w:sz w:val="15"/>
          <w:szCs w:val="15"/>
          <w:color w:val="auto"/>
        </w:rPr>
        <w:t>60</w:t>
      </w:r>
      <w:r>
        <w:rPr>
          <w:sz w:val="20"/>
          <w:szCs w:val="20"/>
          <w:color w:val="auto"/>
        </w:rPr>
        <w:tab/>
      </w:r>
      <w:r>
        <w:rPr>
          <w:rFonts w:ascii="Courier New" w:cs="Courier New" w:eastAsia="Courier New" w:hAnsi="Courier New"/>
          <w:sz w:val="15"/>
          <w:szCs w:val="15"/>
          <w:color w:val="auto"/>
        </w:rPr>
        <w:t>Manpower Inc.</w:t>
      </w:r>
    </w:p>
    <w:p>
      <w:pPr>
        <w:sectPr>
          <w:pgSz w:w="11900" w:h="16838" w:orient="portrait"/>
          <w:cols w:equalWidth="0" w:num="1">
            <w:col w:w="10219"/>
          </w:cols>
          <w:pgMar w:left="240" w:top="300"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6"/>
          <w:szCs w:val="16"/>
          <w:color w:val="auto"/>
        </w:rPr>
        <w:t>35</w:t>
      </w:r>
    </w:p>
    <w:p>
      <w:pPr>
        <w:spacing w:after="0" w:line="190" w:lineRule="exact"/>
        <w:rPr>
          <w:sz w:val="20"/>
          <w:szCs w:val="20"/>
          <w:color w:val="auto"/>
        </w:rPr>
      </w:pPr>
    </w:p>
    <w:p>
      <w:pPr>
        <w:ind w:right="2539" w:firstLine="1153"/>
        <w:spacing w:after="0" w:line="263" w:lineRule="auto"/>
        <w:rPr>
          <w:sz w:val="20"/>
          <w:szCs w:val="20"/>
          <w:color w:val="auto"/>
        </w:rPr>
      </w:pPr>
      <w:r>
        <w:rPr>
          <w:rFonts w:ascii="Courier New" w:cs="Courier New" w:eastAsia="Courier New" w:hAnsi="Courier New"/>
          <w:sz w:val="15"/>
          <w:szCs w:val="15"/>
          <w:color w:val="auto"/>
        </w:rPr>
        <w:t>Additionally, we have used our global resources to discover and develop new and better ways of attracting people to Manpower so that we can assign employees to job assignments more accurately and efficiently than ever before. This has been achieved, in part, by delivering a wealth of free training to our employees over the Internet, and offering our people challenging assignments working at some of the most exciting companies throughout the world.</w:t>
      </w:r>
    </w:p>
    <w:p>
      <w:pPr>
        <w:spacing w:after="0" w:line="176" w:lineRule="exact"/>
        <w:rPr>
          <w:sz w:val="20"/>
          <w:szCs w:val="20"/>
          <w:color w:val="auto"/>
        </w:rPr>
      </w:pPr>
    </w:p>
    <w:p>
      <w:pPr>
        <w:ind w:right="2539" w:firstLine="1153"/>
        <w:spacing w:after="0" w:line="244" w:lineRule="auto"/>
        <w:rPr>
          <w:sz w:val="20"/>
          <w:szCs w:val="20"/>
          <w:color w:val="auto"/>
        </w:rPr>
      </w:pPr>
      <w:r>
        <w:rPr>
          <w:rFonts w:ascii="Courier New" w:cs="Courier New" w:eastAsia="Courier New" w:hAnsi="Courier New"/>
          <w:sz w:val="16"/>
          <w:szCs w:val="16"/>
          <w:color w:val="auto"/>
        </w:rPr>
        <w:t>These accomplishments throughout the year 2000 have added to the diversity of Manpower's offerings and earnings. Our expansion in offices, our expansion in services, and our expansion in our customer base will add to the durability of our earnings as we enter into potentially unpredictable economies. The rapid rate of economic growth that we have experienced in the U.S. and many markets worldwide in the past year is expected to slow markedly in 2001. We began, in fact, to feel the effects of the slowdown in the fourth quarter of 2000. While the extent and impact of the slowing economy remains to be seen, we believe our geographic spread and wide range of services can reduce our exposure to these changes over the next year.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80" w:type="dxa"/>
            <w:vAlign w:val="bottom"/>
          </w:tcPr>
          <w:p>
            <w:pPr>
              <w:spacing w:after="0"/>
              <w:rPr>
                <w:sz w:val="20"/>
                <w:szCs w:val="20"/>
                <w:color w:val="auto"/>
              </w:rPr>
            </w:pPr>
            <w:r>
              <w:rPr>
                <w:rFonts w:ascii="Courier New" w:cs="Courier New" w:eastAsia="Courier New" w:hAnsi="Courier New"/>
                <w:sz w:val="16"/>
                <w:szCs w:val="16"/>
                <w:color w:val="auto"/>
              </w:rPr>
              <w:t>Manpower Inc.</w:t>
            </w:r>
          </w:p>
        </w:tc>
        <w:tc>
          <w:tcPr>
            <w:tcW w:w="3300" w:type="dxa"/>
            <w:vAlign w:val="bottom"/>
          </w:tcPr>
          <w:p>
            <w:pPr>
              <w:jc w:val="right"/>
              <w:spacing w:after="0"/>
              <w:rPr>
                <w:sz w:val="20"/>
                <w:szCs w:val="20"/>
                <w:color w:val="auto"/>
              </w:rPr>
            </w:pPr>
            <w:r>
              <w:rPr>
                <w:rFonts w:ascii="Courier New" w:cs="Courier New" w:eastAsia="Courier New" w:hAnsi="Courier New"/>
                <w:sz w:val="16"/>
                <w:szCs w:val="16"/>
                <w:color w:val="auto"/>
              </w:rPr>
              <w:t>61</w:t>
            </w:r>
          </w:p>
        </w:tc>
      </w:tr>
    </w:tbl>
    <w:p>
      <w:pPr>
        <w:sectPr>
          <w:pgSz w:w="11900" w:h="16838" w:orient="portrait"/>
          <w:cols w:equalWidth="0" w:num="1">
            <w:col w:w="10219"/>
          </w:cols>
          <w:pgMar w:left="240" w:top="300"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6"/>
          <w:szCs w:val="16"/>
          <w:color w:val="auto"/>
        </w:rPr>
        <w:t>36</w:t>
      </w:r>
    </w:p>
    <w:p>
      <w:pPr>
        <w:spacing w:after="0" w:line="190" w:lineRule="exact"/>
        <w:rPr>
          <w:sz w:val="20"/>
          <w:szCs w:val="20"/>
          <w:color w:val="auto"/>
        </w:rPr>
      </w:pPr>
    </w:p>
    <w:p>
      <w:pPr>
        <w:ind w:right="2539" w:firstLine="1153"/>
        <w:spacing w:after="0" w:line="244" w:lineRule="auto"/>
        <w:rPr>
          <w:sz w:val="20"/>
          <w:szCs w:val="20"/>
          <w:color w:val="auto"/>
        </w:rPr>
      </w:pPr>
      <w:r>
        <w:rPr>
          <w:rFonts w:ascii="Courier New" w:cs="Courier New" w:eastAsia="Courier New" w:hAnsi="Courier New"/>
          <w:sz w:val="16"/>
          <w:szCs w:val="16"/>
          <w:color w:val="auto"/>
        </w:rPr>
        <w:t>We have accomplished a tremendous amount over the past year. We have improved the ways in which we operate; leveraging the strength of our global brand, our worldwide network, and our combined expertise and knowledge more effectively than ever before. When you look at our financial results, our range of services, our quality, and our ability to respond to customers' increasingly complex requests, it is clear to see how far we have come. This progress is a credit to the hard work and diligence of the Manpower people around the world - and I thank them for their efforts.</w:t>
      </w:r>
    </w:p>
    <w:p>
      <w:pPr>
        <w:spacing w:after="0" w:line="189" w:lineRule="exact"/>
        <w:rPr>
          <w:sz w:val="20"/>
          <w:szCs w:val="20"/>
          <w:color w:val="auto"/>
        </w:rPr>
      </w:pPr>
    </w:p>
    <w:p>
      <w:pPr>
        <w:jc w:val="both"/>
        <w:ind w:right="2639" w:firstLine="1153"/>
        <w:spacing w:after="0" w:line="243" w:lineRule="auto"/>
        <w:rPr>
          <w:sz w:val="20"/>
          <w:szCs w:val="20"/>
          <w:color w:val="auto"/>
        </w:rPr>
      </w:pPr>
      <w:r>
        <w:rPr>
          <w:rFonts w:ascii="Courier New" w:cs="Courier New" w:eastAsia="Courier New" w:hAnsi="Courier New"/>
          <w:sz w:val="16"/>
          <w:szCs w:val="16"/>
          <w:color w:val="auto"/>
        </w:rPr>
        <w:t>We had a good year in 2000, but we have only started to demonstrate what this company is capable of achieving. All of us at Manpower are focused on the power of people to make 2001 even better.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20" w:type="dxa"/>
            <w:vAlign w:val="bottom"/>
          </w:tcPr>
          <w:p>
            <w:pPr>
              <w:spacing w:after="0"/>
              <w:rPr>
                <w:sz w:val="20"/>
                <w:szCs w:val="20"/>
                <w:color w:val="auto"/>
              </w:rPr>
            </w:pPr>
            <w:r>
              <w:rPr>
                <w:rFonts w:ascii="Courier New" w:cs="Courier New" w:eastAsia="Courier New" w:hAnsi="Courier New"/>
                <w:sz w:val="16"/>
                <w:szCs w:val="16"/>
                <w:color w:val="auto"/>
              </w:rPr>
              <w:t>Cordially,</w:t>
            </w:r>
          </w:p>
        </w:tc>
        <w:tc>
          <w:tcPr>
            <w:tcW w:w="2060" w:type="dxa"/>
            <w:vAlign w:val="bottom"/>
          </w:tcPr>
          <w:p>
            <w:pPr>
              <w:spacing w:after="0"/>
              <w:rPr>
                <w:sz w:val="15"/>
                <w:szCs w:val="15"/>
                <w:color w:val="auto"/>
              </w:rPr>
            </w:pPr>
          </w:p>
        </w:tc>
      </w:tr>
      <w:tr>
        <w:trPr>
          <w:trHeight w:val="370"/>
        </w:trPr>
        <w:tc>
          <w:tcPr>
            <w:tcW w:w="5620" w:type="dxa"/>
            <w:vAlign w:val="bottom"/>
          </w:tcPr>
          <w:p>
            <w:pPr>
              <w:spacing w:after="0"/>
              <w:rPr>
                <w:sz w:val="20"/>
                <w:szCs w:val="20"/>
                <w:color w:val="auto"/>
              </w:rPr>
            </w:pPr>
            <w:r>
              <w:rPr>
                <w:rFonts w:ascii="Courier New" w:cs="Courier New" w:eastAsia="Courier New" w:hAnsi="Courier New"/>
                <w:sz w:val="16"/>
                <w:szCs w:val="16"/>
                <w:color w:val="auto"/>
              </w:rPr>
              <w:t>/s/ JEFFREY A. JOERRES</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[PHOTO]</w:t>
            </w:r>
          </w:p>
        </w:tc>
      </w:tr>
      <w:tr>
        <w:trPr>
          <w:trHeight w:val="370"/>
        </w:trPr>
        <w:tc>
          <w:tcPr>
            <w:tcW w:w="5620" w:type="dxa"/>
            <w:vAlign w:val="bottom"/>
          </w:tcPr>
          <w:p>
            <w:pPr>
              <w:spacing w:after="0"/>
              <w:rPr>
                <w:sz w:val="20"/>
                <w:szCs w:val="20"/>
                <w:color w:val="auto"/>
              </w:rPr>
            </w:pPr>
            <w:r>
              <w:rPr>
                <w:rFonts w:ascii="Courier New" w:cs="Courier New" w:eastAsia="Courier New" w:hAnsi="Courier New"/>
                <w:sz w:val="16"/>
                <w:szCs w:val="16"/>
                <w:color w:val="auto"/>
              </w:rPr>
              <w:t>Jeffrey A. Joerres President and CEO March 1, 2001</w:t>
            </w:r>
          </w:p>
        </w:tc>
        <w:tc>
          <w:tcPr>
            <w:tcW w:w="2060" w:type="dxa"/>
            <w:vAlign w:val="bottom"/>
          </w:tcPr>
          <w:p>
            <w:pPr>
              <w:spacing w:after="0"/>
              <w:rPr>
                <w:sz w:val="24"/>
                <w:szCs w:val="24"/>
                <w:color w:val="auto"/>
              </w:rPr>
            </w:pPr>
          </w:p>
        </w:tc>
      </w:tr>
      <w:tr>
        <w:trPr>
          <w:trHeight w:val="370"/>
        </w:trPr>
        <w:tc>
          <w:tcPr>
            <w:tcW w:w="5620" w:type="dxa"/>
            <w:vAlign w:val="bottom"/>
          </w:tcPr>
          <w:p>
            <w:pPr>
              <w:spacing w:after="0"/>
              <w:rPr>
                <w:sz w:val="20"/>
                <w:szCs w:val="20"/>
                <w:color w:val="auto"/>
              </w:rPr>
            </w:pPr>
            <w:r>
              <w:rPr>
                <w:rFonts w:ascii="Courier New" w:cs="Courier New" w:eastAsia="Courier New" w:hAnsi="Courier New"/>
                <w:sz w:val="16"/>
                <w:szCs w:val="16"/>
                <w:color w:val="auto"/>
              </w:rPr>
              <w:t>62</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Manpower Inc.</w:t>
            </w:r>
          </w:p>
        </w:tc>
      </w:tr>
    </w:tbl>
    <w:p>
      <w:pPr>
        <w:sectPr>
          <w:pgSz w:w="11900" w:h="16838" w:orient="portrait"/>
          <w:cols w:equalWidth="0" w:num="1">
            <w:col w:w="10219"/>
          </w:cols>
          <w:pgMar w:left="240" w:top="300" w:right="1440" w:bottom="1440" w:gutter="0" w:footer="0" w:header="0"/>
        </w:sectPr>
      </w:pPr>
    </w:p>
    <w:bookmarkStart w:id="52" w:name="page53"/>
    <w:bookmarkEnd w:id="52"/>
    <w:p>
      <w:pPr>
        <w:ind w:left="281"/>
        <w:spacing w:after="0"/>
        <w:rPr>
          <w:sz w:val="20"/>
          <w:szCs w:val="20"/>
          <w:color w:val="auto"/>
        </w:rPr>
      </w:pPr>
      <w:r>
        <w:rPr>
          <w:rFonts w:ascii="Courier New" w:cs="Courier New" w:eastAsia="Courier New" w:hAnsi="Courier New"/>
          <w:sz w:val="16"/>
          <w:szCs w:val="16"/>
          <w:color w:val="auto"/>
        </w:rPr>
        <w:t>37</w:t>
      </w:r>
    </w:p>
    <w:p>
      <w:pPr>
        <w:spacing w:after="0" w:line="188" w:lineRule="exact"/>
        <w:rPr>
          <w:sz w:val="20"/>
          <w:szCs w:val="20"/>
          <w:color w:val="auto"/>
        </w:rPr>
      </w:pPr>
    </w:p>
    <w:p>
      <w:pPr>
        <w:ind w:left="2881"/>
        <w:spacing w:after="0"/>
        <w:rPr>
          <w:sz w:val="20"/>
          <w:szCs w:val="20"/>
          <w:color w:val="auto"/>
        </w:rPr>
      </w:pPr>
      <w:r>
        <w:rPr>
          <w:rFonts w:ascii="Courier New" w:cs="Courier New" w:eastAsia="Courier New" w:hAnsi="Courier New"/>
          <w:sz w:val="16"/>
          <w:szCs w:val="16"/>
          <w:color w:val="auto"/>
        </w:rPr>
        <w:t>Financial Highlights</w:t>
      </w:r>
    </w:p>
    <w:p>
      <w:pPr>
        <w:spacing w:after="0" w:line="373" w:lineRule="exact"/>
        <w:rPr>
          <w:sz w:val="20"/>
          <w:szCs w:val="20"/>
          <w:color w:val="auto"/>
        </w:rPr>
      </w:pPr>
    </w:p>
    <w:p>
      <w:pPr>
        <w:ind w:left="1541"/>
        <w:spacing w:after="0"/>
        <w:rPr>
          <w:sz w:val="20"/>
          <w:szCs w:val="20"/>
          <w:color w:val="auto"/>
        </w:rPr>
      </w:pPr>
      <w:r>
        <w:rPr>
          <w:rFonts w:ascii="Courier New" w:cs="Courier New" w:eastAsia="Courier New" w:hAnsi="Courier New"/>
          <w:sz w:val="16"/>
          <w:szCs w:val="16"/>
          <w:color w:val="auto"/>
        </w:rPr>
        <w:t>SYSTEMWIDE SALES(a) (in millions of U.S. Dollars)</w:t>
      </w:r>
    </w:p>
    <w:p>
      <w:pPr>
        <w:spacing w:after="0" w:line="373" w:lineRule="exact"/>
        <w:rPr>
          <w:sz w:val="20"/>
          <w:szCs w:val="20"/>
          <w:color w:val="auto"/>
        </w:rPr>
      </w:pPr>
    </w:p>
    <w:p>
      <w:pPr>
        <w:ind w:left="2981"/>
        <w:spacing w:after="0"/>
        <w:rPr>
          <w:sz w:val="20"/>
          <w:szCs w:val="20"/>
          <w:color w:val="auto"/>
        </w:rPr>
      </w:pPr>
      <w:r>
        <w:rPr>
          <w:rFonts w:ascii="Courier New" w:cs="Courier New" w:eastAsia="Courier New" w:hAnsi="Courier New"/>
          <w:sz w:val="16"/>
          <w:szCs w:val="16"/>
          <w:color w:val="auto"/>
        </w:rPr>
        <w:t>[PERFORMANCE GRAPH]</w:t>
      </w:r>
    </w:p>
    <w:p>
      <w:pPr>
        <w:spacing w:after="0" w:line="373" w:lineRule="exact"/>
        <w:rPr>
          <w:sz w:val="20"/>
          <w:szCs w:val="20"/>
          <w:color w:val="auto"/>
        </w:rPr>
      </w:pPr>
    </w:p>
    <w:p>
      <w:pPr>
        <w:ind w:left="2021"/>
        <w:spacing w:after="0"/>
        <w:rPr>
          <w:sz w:val="20"/>
          <w:szCs w:val="20"/>
          <w:color w:val="auto"/>
        </w:rPr>
      </w:pPr>
      <w:r>
        <w:rPr>
          <w:rFonts w:ascii="Courier New" w:cs="Courier New" w:eastAsia="Courier New" w:hAnsi="Courier New"/>
          <w:sz w:val="16"/>
          <w:szCs w:val="16"/>
          <w:color w:val="auto"/>
        </w:rPr>
        <w:t>REVENUES (in millions of U.S. Dollars)</w:t>
      </w:r>
    </w:p>
    <w:p>
      <w:pPr>
        <w:spacing w:after="0" w:line="373" w:lineRule="exact"/>
        <w:rPr>
          <w:sz w:val="20"/>
          <w:szCs w:val="20"/>
          <w:color w:val="auto"/>
        </w:rPr>
      </w:pPr>
    </w:p>
    <w:p>
      <w:pPr>
        <w:ind w:left="2981"/>
        <w:spacing w:after="0"/>
        <w:rPr>
          <w:sz w:val="20"/>
          <w:szCs w:val="20"/>
          <w:color w:val="auto"/>
        </w:rPr>
      </w:pPr>
      <w:r>
        <w:rPr>
          <w:rFonts w:ascii="Courier New" w:cs="Courier New" w:eastAsia="Courier New" w:hAnsi="Courier New"/>
          <w:sz w:val="16"/>
          <w:szCs w:val="16"/>
          <w:color w:val="auto"/>
        </w:rPr>
        <w:t>[PERFORMANCE GRAPH]</w:t>
      </w:r>
    </w:p>
    <w:p>
      <w:pPr>
        <w:spacing w:after="0" w:line="373" w:lineRule="exact"/>
        <w:rPr>
          <w:sz w:val="20"/>
          <w:szCs w:val="20"/>
          <w:color w:val="auto"/>
        </w:rPr>
      </w:pPr>
    </w:p>
    <w:p>
      <w:pPr>
        <w:ind w:left="1541"/>
        <w:spacing w:after="0"/>
        <w:rPr>
          <w:sz w:val="20"/>
          <w:szCs w:val="20"/>
          <w:color w:val="auto"/>
        </w:rPr>
      </w:pPr>
      <w:r>
        <w:rPr>
          <w:rFonts w:ascii="Courier New" w:cs="Courier New" w:eastAsia="Courier New" w:hAnsi="Courier New"/>
          <w:sz w:val="16"/>
          <w:szCs w:val="16"/>
          <w:color w:val="auto"/>
        </w:rPr>
        <w:t>OPERATING MARGIN(b) (in millions of U.S. Dollars)</w:t>
      </w:r>
    </w:p>
    <w:p>
      <w:pPr>
        <w:spacing w:after="0" w:line="373" w:lineRule="exact"/>
        <w:rPr>
          <w:sz w:val="20"/>
          <w:szCs w:val="20"/>
          <w:color w:val="auto"/>
        </w:rPr>
      </w:pPr>
    </w:p>
    <w:p>
      <w:pPr>
        <w:ind w:left="2981"/>
        <w:spacing w:after="0"/>
        <w:rPr>
          <w:sz w:val="20"/>
          <w:szCs w:val="20"/>
          <w:color w:val="auto"/>
        </w:rPr>
      </w:pPr>
      <w:r>
        <w:rPr>
          <w:rFonts w:ascii="Courier New" w:cs="Courier New" w:eastAsia="Courier New" w:hAnsi="Courier New"/>
          <w:sz w:val="16"/>
          <w:szCs w:val="16"/>
          <w:color w:val="auto"/>
        </w:rPr>
        <w:t>[PERFORMANCE GRAPH]</w:t>
      </w:r>
    </w:p>
    <w:p>
      <w:pPr>
        <w:spacing w:after="0" w:line="188" w:lineRule="exact"/>
        <w:rPr>
          <w:sz w:val="20"/>
          <w:szCs w:val="20"/>
          <w:color w:val="auto"/>
        </w:rPr>
      </w:pPr>
    </w:p>
    <w:p>
      <w:pPr>
        <w:ind w:left="381" w:hanging="381"/>
        <w:spacing w:after="0"/>
        <w:tabs>
          <w:tab w:leader="none" w:pos="3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total sales of Company-owned branches and franchises.</w:t>
      </w:r>
    </w:p>
    <w:p>
      <w:pPr>
        <w:spacing w:after="0" w:line="3"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Operating profit excluding nonrecurring items in 1999 and 1998.</w:t>
      </w: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380" w:type="dxa"/>
            <w:vAlign w:val="bottom"/>
          </w:tcPr>
          <w:p>
            <w:pPr>
              <w:spacing w:after="0"/>
              <w:rPr>
                <w:sz w:val="20"/>
                <w:szCs w:val="20"/>
                <w:color w:val="auto"/>
              </w:rPr>
            </w:pPr>
            <w:r>
              <w:rPr>
                <w:rFonts w:ascii="Courier New" w:cs="Courier New" w:eastAsia="Courier New" w:hAnsi="Courier New"/>
                <w:sz w:val="16"/>
                <w:szCs w:val="16"/>
                <w:color w:val="auto"/>
              </w:rPr>
              <w:t>Manpower Inc.</w:t>
            </w:r>
          </w:p>
        </w:tc>
        <w:tc>
          <w:tcPr>
            <w:tcW w:w="3300" w:type="dxa"/>
            <w:vAlign w:val="bottom"/>
          </w:tcPr>
          <w:p>
            <w:pPr>
              <w:jc w:val="right"/>
              <w:spacing w:after="0"/>
              <w:rPr>
                <w:sz w:val="20"/>
                <w:szCs w:val="20"/>
                <w:color w:val="auto"/>
              </w:rPr>
            </w:pPr>
            <w:r>
              <w:rPr>
                <w:rFonts w:ascii="Courier New" w:cs="Courier New" w:eastAsia="Courier New" w:hAnsi="Courier New"/>
                <w:sz w:val="16"/>
                <w:szCs w:val="16"/>
                <w:color w:val="auto"/>
              </w:rPr>
              <w:t>63</w:t>
            </w:r>
          </w:p>
        </w:tc>
      </w:tr>
    </w:tbl>
    <w:p>
      <w:pPr>
        <w:sectPr>
          <w:pgSz w:w="11900" w:h="16838" w:orient="portrait"/>
          <w:cols w:equalWidth="0" w:num="1">
            <w:col w:w="10221"/>
          </w:cols>
          <w:pgMar w:left="239" w:top="300"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6"/>
          <w:szCs w:val="16"/>
          <w:color w:val="auto"/>
        </w:rPr>
        <w:t>38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40" w:type="dxa"/>
            <w:vAlign w:val="bottom"/>
          </w:tcPr>
          <w:p>
            <w:pPr>
              <w:spacing w:after="0"/>
              <w:rPr>
                <w:sz w:val="15"/>
                <w:szCs w:val="15"/>
                <w:color w:val="auto"/>
              </w:rPr>
            </w:pPr>
          </w:p>
        </w:tc>
        <w:tc>
          <w:tcPr>
            <w:tcW w:w="47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TABLE OF CONTENTS</w:t>
            </w:r>
          </w:p>
        </w:tc>
        <w:tc>
          <w:tcPr>
            <w:tcW w:w="47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739"/>
        </w:trPr>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93"/>
              </w:rPr>
              <w:t>65</w:t>
            </w:r>
          </w:p>
        </w:tc>
        <w:tc>
          <w:tcPr>
            <w:tcW w:w="47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MANAGEMENT'S DISCUSSION AND ANALYSIS</w:t>
            </w:r>
          </w:p>
        </w:tc>
        <w:tc>
          <w:tcPr>
            <w:tcW w:w="4720" w:type="dxa"/>
            <w:vAlign w:val="bottom"/>
          </w:tcPr>
          <w:p>
            <w:pPr>
              <w:ind w:left="160"/>
              <w:spacing w:after="0"/>
              <w:rPr>
                <w:sz w:val="20"/>
                <w:szCs w:val="20"/>
                <w:color w:val="auto"/>
              </w:rPr>
            </w:pPr>
            <w:r>
              <w:rPr>
                <w:rFonts w:ascii="Courier New" w:cs="Courier New" w:eastAsia="Courier New" w:hAnsi="Courier New"/>
                <w:sz w:val="16"/>
                <w:szCs w:val="16"/>
                <w:color w:val="auto"/>
              </w:rPr>
              <w:t>CONSOLIDATED STATEMENTS OF SHAREHOLDERS' EQUITY</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79</w:t>
            </w:r>
          </w:p>
        </w:tc>
      </w:tr>
      <w:tr>
        <w:trPr>
          <w:trHeight w:val="370"/>
        </w:trPr>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93"/>
              </w:rPr>
              <w:t>74</w:t>
            </w:r>
          </w:p>
        </w:tc>
        <w:tc>
          <w:tcPr>
            <w:tcW w:w="47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REPORT OF INDEPENDENT PUBLIC ACCOUNTANTS</w:t>
            </w:r>
          </w:p>
        </w:tc>
        <w:tc>
          <w:tcPr>
            <w:tcW w:w="4720" w:type="dxa"/>
            <w:vAlign w:val="bottom"/>
          </w:tcPr>
          <w:p>
            <w:pPr>
              <w:ind w:left="160"/>
              <w:spacing w:after="0"/>
              <w:rPr>
                <w:sz w:val="20"/>
                <w:szCs w:val="20"/>
                <w:color w:val="auto"/>
              </w:rPr>
            </w:pPr>
            <w:r>
              <w:rPr>
                <w:rFonts w:ascii="Courier New" w:cs="Courier New" w:eastAsia="Courier New" w:hAnsi="Courier New"/>
                <w:sz w:val="16"/>
                <w:szCs w:val="16"/>
                <w:color w:val="auto"/>
              </w:rPr>
              <w:t>NOTES TO CONSOLIDATED FINANCIAL STATEMENTS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80</w:t>
            </w:r>
          </w:p>
        </w:tc>
      </w:tr>
      <w:tr>
        <w:trPr>
          <w:trHeight w:val="370"/>
        </w:trPr>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93"/>
              </w:rPr>
              <w:t>75</w:t>
            </w:r>
          </w:p>
        </w:tc>
        <w:tc>
          <w:tcPr>
            <w:tcW w:w="47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CONSOLIDATED STATEMENTS OF OPERATIONS</w:t>
            </w:r>
          </w:p>
        </w:tc>
        <w:tc>
          <w:tcPr>
            <w:tcW w:w="4720" w:type="dxa"/>
            <w:vAlign w:val="bottom"/>
          </w:tcPr>
          <w:p>
            <w:pPr>
              <w:ind w:left="160"/>
              <w:spacing w:after="0"/>
              <w:rPr>
                <w:sz w:val="20"/>
                <w:szCs w:val="20"/>
                <w:color w:val="auto"/>
              </w:rPr>
            </w:pPr>
            <w:r>
              <w:rPr>
                <w:rFonts w:ascii="Courier New" w:cs="Courier New" w:eastAsia="Courier New" w:hAnsi="Courier New"/>
                <w:sz w:val="16"/>
                <w:szCs w:val="16"/>
                <w:color w:val="auto"/>
              </w:rPr>
              <w:t>QUARTERLY DATA (UNAUDITED)</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95</w:t>
            </w:r>
          </w:p>
        </w:tc>
      </w:tr>
      <w:tr>
        <w:trPr>
          <w:trHeight w:val="370"/>
        </w:trPr>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93"/>
              </w:rPr>
              <w:t>75</w:t>
            </w:r>
          </w:p>
        </w:tc>
        <w:tc>
          <w:tcPr>
            <w:tcW w:w="47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SUPPLEMENTAL SYSTEMWIDE INFORMATION (UNAUDITED)</w:t>
            </w:r>
          </w:p>
        </w:tc>
        <w:tc>
          <w:tcPr>
            <w:tcW w:w="4720" w:type="dxa"/>
            <w:vAlign w:val="bottom"/>
          </w:tcPr>
          <w:p>
            <w:pPr>
              <w:ind w:left="160"/>
              <w:spacing w:after="0"/>
              <w:rPr>
                <w:sz w:val="20"/>
                <w:szCs w:val="20"/>
                <w:color w:val="auto"/>
              </w:rPr>
            </w:pPr>
            <w:r>
              <w:rPr>
                <w:rFonts w:ascii="Courier New" w:cs="Courier New" w:eastAsia="Courier New" w:hAnsi="Courier New"/>
                <w:sz w:val="16"/>
                <w:szCs w:val="16"/>
                <w:color w:val="auto"/>
              </w:rPr>
              <w:t>SELECTED FINANCIAL DATA</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96</w:t>
            </w:r>
          </w:p>
        </w:tc>
      </w:tr>
      <w:tr>
        <w:trPr>
          <w:trHeight w:val="370"/>
        </w:trPr>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93"/>
              </w:rPr>
              <w:t>76</w:t>
            </w:r>
          </w:p>
        </w:tc>
        <w:tc>
          <w:tcPr>
            <w:tcW w:w="47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CONSOLIDATED BALANCE SHEETS</w:t>
            </w:r>
          </w:p>
        </w:tc>
        <w:tc>
          <w:tcPr>
            <w:tcW w:w="4720" w:type="dxa"/>
            <w:vAlign w:val="bottom"/>
          </w:tcPr>
          <w:p>
            <w:pPr>
              <w:ind w:left="160"/>
              <w:spacing w:after="0"/>
              <w:rPr>
                <w:sz w:val="20"/>
                <w:szCs w:val="20"/>
                <w:color w:val="auto"/>
              </w:rPr>
            </w:pPr>
            <w:r>
              <w:rPr>
                <w:rFonts w:ascii="Courier New" w:cs="Courier New" w:eastAsia="Courier New" w:hAnsi="Courier New"/>
                <w:sz w:val="16"/>
                <w:szCs w:val="16"/>
                <w:color w:val="auto"/>
              </w:rPr>
              <w:t>CORPORATE INFORMATION</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97</w:t>
            </w:r>
          </w:p>
        </w:tc>
      </w:tr>
      <w:tr>
        <w:trPr>
          <w:trHeight w:val="370"/>
        </w:trPr>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93"/>
              </w:rPr>
              <w:t>78</w:t>
            </w:r>
          </w:p>
        </w:tc>
        <w:tc>
          <w:tcPr>
            <w:tcW w:w="47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CONSOLIDATED STATEMENTS OF CASH FLOWS</w:t>
            </w:r>
          </w:p>
        </w:tc>
        <w:tc>
          <w:tcPr>
            <w:tcW w:w="4720" w:type="dxa"/>
            <w:vAlign w:val="bottom"/>
          </w:tcPr>
          <w:p>
            <w:pPr>
              <w:ind w:left="160"/>
              <w:spacing w:after="0"/>
              <w:rPr>
                <w:sz w:val="20"/>
                <w:szCs w:val="20"/>
                <w:color w:val="auto"/>
              </w:rPr>
            </w:pPr>
            <w:r>
              <w:rPr>
                <w:rFonts w:ascii="Courier New" w:cs="Courier New" w:eastAsia="Courier New" w:hAnsi="Courier New"/>
                <w:sz w:val="16"/>
                <w:szCs w:val="16"/>
                <w:color w:val="auto"/>
              </w:rPr>
              <w:t>PRINCIPAL OPERATING UNITS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98</w:t>
            </w:r>
          </w:p>
        </w:tc>
      </w:tr>
      <w:tr>
        <w:trPr>
          <w:trHeight w:val="554"/>
        </w:trPr>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93"/>
              </w:rPr>
              <w:t>64</w:t>
            </w:r>
          </w:p>
        </w:tc>
        <w:tc>
          <w:tcPr>
            <w:tcW w:w="4700" w:type="dxa"/>
            <w:vAlign w:val="bottom"/>
          </w:tcPr>
          <w:p>
            <w:pPr>
              <w:spacing w:after="0"/>
              <w:rPr>
                <w:sz w:val="24"/>
                <w:szCs w:val="24"/>
                <w:color w:val="auto"/>
              </w:rPr>
            </w:pPr>
          </w:p>
        </w:tc>
        <w:tc>
          <w:tcPr>
            <w:tcW w:w="4720" w:type="dxa"/>
            <w:vAlign w:val="bottom"/>
          </w:tcPr>
          <w:p>
            <w:pPr>
              <w:ind w:left="1500"/>
              <w:spacing w:after="0"/>
              <w:rPr>
                <w:sz w:val="20"/>
                <w:szCs w:val="20"/>
                <w:color w:val="auto"/>
              </w:rPr>
            </w:pPr>
            <w:r>
              <w:rPr>
                <w:rFonts w:ascii="Courier New" w:cs="Courier New" w:eastAsia="Courier New" w:hAnsi="Courier New"/>
                <w:sz w:val="16"/>
                <w:szCs w:val="16"/>
                <w:color w:val="auto"/>
              </w:rPr>
              <w:t>Manpower Inc.</w:t>
            </w:r>
          </w:p>
        </w:tc>
        <w:tc>
          <w:tcPr>
            <w:tcW w:w="240" w:type="dxa"/>
            <w:vAlign w:val="bottom"/>
          </w:tcPr>
          <w:p>
            <w:pPr>
              <w:spacing w:after="0"/>
              <w:rPr>
                <w:sz w:val="24"/>
                <w:szCs w:val="24"/>
                <w:color w:val="auto"/>
              </w:rPr>
            </w:pPr>
          </w:p>
        </w:tc>
      </w:tr>
    </w:tbl>
    <w:p>
      <w:pPr>
        <w:sectPr>
          <w:pgSz w:w="11900" w:h="16838" w:orient="portrait"/>
          <w:cols w:equalWidth="0" w:num="1">
            <w:col w:w="10219"/>
          </w:cols>
          <w:pgMar w:left="240" w:top="300"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6"/>
          <w:szCs w:val="16"/>
          <w:color w:val="auto"/>
        </w:rPr>
        <w:t>39</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MANAGEMENT'S DISCUSSION AND ANALYSIS</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of Financial Condition and Results of Operations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Nature of Operations</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Manpower Inc. (the "Company") is a global staffing leader delivering high-value staffing and workforce management solutions worldwide. Through a system-wide network of nearly 3,700 offices in 59 countries, the Company provides a wide range of human resource services including professional, technical, specialized, office and industrial staffing; temporary and permanent employee testing, selection, training and development; and organizational-performance consulting.</w:t>
      </w:r>
    </w:p>
    <w:p>
      <w:pPr>
        <w:spacing w:after="0" w:line="18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The staffing industry is large and fragmented, comprised of thousands of firms employing millions of people and generating billions in annual revenues. It is also a highly competitive industry, reflecting several trends in the global marketplace, notably increasing demand for skilled people and consolidation among customers and in the industry itself.</w:t>
      </w:r>
    </w:p>
    <w:p>
      <w:pPr>
        <w:spacing w:after="0" w:line="187"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The Company attempts to manage these trends by leveraging established strengths, including one of the staffing industry's best-recognized brands; geographic diversification; size and service scope; an innovative product mix; and a strong customer base. While staffing is an important aspect of our business, our strategy is focused on providing both the skilled employees our customers need and high-value work-force management solutions.</w:t>
      </w:r>
    </w:p>
    <w:p>
      <w:pPr>
        <w:spacing w:after="0" w:line="188" w:lineRule="exact"/>
        <w:rPr>
          <w:sz w:val="20"/>
          <w:szCs w:val="20"/>
          <w:color w:val="auto"/>
        </w:rPr>
      </w:pPr>
    </w:p>
    <w:p>
      <w:pPr>
        <w:jc w:val="both"/>
        <w:ind w:right="2639" w:firstLine="865"/>
        <w:spacing w:after="0" w:line="244" w:lineRule="auto"/>
        <w:rPr>
          <w:sz w:val="20"/>
          <w:szCs w:val="20"/>
          <w:color w:val="auto"/>
        </w:rPr>
      </w:pPr>
      <w:r>
        <w:rPr>
          <w:rFonts w:ascii="Courier New" w:cs="Courier New" w:eastAsia="Courier New" w:hAnsi="Courier New"/>
          <w:sz w:val="16"/>
          <w:szCs w:val="16"/>
          <w:color w:val="auto"/>
        </w:rPr>
        <w:t>Systemwide information referred to throughout this discussion includes both Company-owned branches and franchises. The Company generates revenues from sales of services by its own branch operations and from fees earned on sales of services by its franchise operations. (See Note 1 to the Consolidated Financial Statements for further information.)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80" w:type="dxa"/>
            <w:vAlign w:val="bottom"/>
          </w:tcPr>
          <w:p>
            <w:pPr>
              <w:spacing w:after="0"/>
              <w:rPr>
                <w:sz w:val="20"/>
                <w:szCs w:val="20"/>
                <w:color w:val="auto"/>
              </w:rPr>
            </w:pPr>
            <w:r>
              <w:rPr>
                <w:rFonts w:ascii="Courier New" w:cs="Courier New" w:eastAsia="Courier New" w:hAnsi="Courier New"/>
                <w:sz w:val="16"/>
                <w:szCs w:val="16"/>
                <w:color w:val="auto"/>
              </w:rPr>
              <w:t>Systemwide Offices</w:t>
            </w:r>
          </w:p>
        </w:tc>
        <w:tc>
          <w:tcPr>
            <w:tcW w:w="17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85"/>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860" w:type="dxa"/>
            <w:vAlign w:val="bottom"/>
          </w:tcPr>
          <w:p>
            <w:pPr>
              <w:spacing w:after="0"/>
              <w:rPr>
                <w:sz w:val="16"/>
                <w:szCs w:val="16"/>
                <w:color w:val="auto"/>
              </w:rPr>
            </w:pPr>
          </w:p>
        </w:tc>
      </w:tr>
      <w:tr>
        <w:trPr>
          <w:trHeight w:val="185"/>
        </w:trPr>
        <w:tc>
          <w:tcPr>
            <w:tcW w:w="4080" w:type="dxa"/>
            <w:vAlign w:val="bottom"/>
          </w:tcPr>
          <w:p>
            <w:pPr>
              <w:ind w:left="2500"/>
              <w:spacing w:after="0"/>
              <w:rPr>
                <w:sz w:val="20"/>
                <w:szCs w:val="20"/>
                <w:color w:val="auto"/>
              </w:rPr>
            </w:pPr>
            <w:r>
              <w:rPr>
                <w:rFonts w:ascii="Courier New" w:cs="Courier New" w:eastAsia="Courier New" w:hAnsi="Courier New"/>
                <w:sz w:val="16"/>
                <w:szCs w:val="16"/>
                <w:color w:val="auto"/>
              </w:rPr>
              <w:t>UNITED STATES</w:t>
            </w:r>
          </w:p>
        </w:tc>
        <w:tc>
          <w:tcPr>
            <w:tcW w:w="1740" w:type="dxa"/>
            <w:vAlign w:val="bottom"/>
          </w:tcPr>
          <w:p>
            <w:pPr>
              <w:jc w:val="right"/>
              <w:ind w:right="1040"/>
              <w:spacing w:after="0"/>
              <w:rPr>
                <w:sz w:val="20"/>
                <w:szCs w:val="20"/>
                <w:color w:val="auto"/>
              </w:rPr>
            </w:pPr>
            <w:r>
              <w:rPr>
                <w:rFonts w:ascii="Courier New" w:cs="Courier New" w:eastAsia="Courier New" w:hAnsi="Courier New"/>
                <w:sz w:val="16"/>
                <w:szCs w:val="16"/>
                <w:color w:val="auto"/>
              </w:rPr>
              <w:t>1,155</w:t>
            </w:r>
          </w:p>
        </w:tc>
        <w:tc>
          <w:tcPr>
            <w:tcW w:w="1860" w:type="dxa"/>
            <w:vAlign w:val="bottom"/>
          </w:tcPr>
          <w:p>
            <w:pPr>
              <w:spacing w:after="0"/>
              <w:rPr>
                <w:sz w:val="16"/>
                <w:szCs w:val="16"/>
                <w:color w:val="auto"/>
              </w:rPr>
            </w:pPr>
          </w:p>
        </w:tc>
      </w:tr>
      <w:tr>
        <w:trPr>
          <w:trHeight w:val="370"/>
        </w:trPr>
        <w:tc>
          <w:tcPr>
            <w:tcW w:w="4080" w:type="dxa"/>
            <w:vAlign w:val="bottom"/>
          </w:tcPr>
          <w:p>
            <w:pPr>
              <w:ind w:left="2500"/>
              <w:spacing w:after="0"/>
              <w:rPr>
                <w:sz w:val="20"/>
                <w:szCs w:val="20"/>
                <w:color w:val="auto"/>
              </w:rPr>
            </w:pPr>
            <w:r>
              <w:rPr>
                <w:rFonts w:ascii="Courier New" w:cs="Courier New" w:eastAsia="Courier New" w:hAnsi="Courier New"/>
                <w:sz w:val="16"/>
                <w:szCs w:val="16"/>
                <w:color w:val="auto"/>
              </w:rPr>
              <w:t>FRANCE</w:t>
            </w:r>
          </w:p>
        </w:tc>
        <w:tc>
          <w:tcPr>
            <w:tcW w:w="1740" w:type="dxa"/>
            <w:vAlign w:val="bottom"/>
          </w:tcPr>
          <w:p>
            <w:pPr>
              <w:jc w:val="right"/>
              <w:ind w:right="1040"/>
              <w:spacing w:after="0"/>
              <w:rPr>
                <w:sz w:val="20"/>
                <w:szCs w:val="20"/>
                <w:color w:val="auto"/>
              </w:rPr>
            </w:pPr>
            <w:r>
              <w:rPr>
                <w:rFonts w:ascii="Courier New" w:cs="Courier New" w:eastAsia="Courier New" w:hAnsi="Courier New"/>
                <w:sz w:val="16"/>
                <w:szCs w:val="16"/>
                <w:color w:val="auto"/>
              </w:rPr>
              <w:t>927</w:t>
            </w:r>
          </w:p>
        </w:tc>
        <w:tc>
          <w:tcPr>
            <w:tcW w:w="1860" w:type="dxa"/>
            <w:vAlign w:val="bottom"/>
          </w:tcPr>
          <w:p>
            <w:pPr>
              <w:spacing w:after="0"/>
              <w:rPr>
                <w:sz w:val="24"/>
                <w:szCs w:val="24"/>
                <w:color w:val="auto"/>
              </w:rPr>
            </w:pPr>
          </w:p>
        </w:tc>
      </w:tr>
      <w:tr>
        <w:trPr>
          <w:trHeight w:val="370"/>
        </w:trPr>
        <w:tc>
          <w:tcPr>
            <w:tcW w:w="4080" w:type="dxa"/>
            <w:vAlign w:val="bottom"/>
          </w:tcPr>
          <w:p>
            <w:pPr>
              <w:ind w:left="2500"/>
              <w:spacing w:after="0"/>
              <w:rPr>
                <w:sz w:val="20"/>
                <w:szCs w:val="20"/>
                <w:color w:val="auto"/>
              </w:rPr>
            </w:pPr>
            <w:r>
              <w:rPr>
                <w:rFonts w:ascii="Courier New" w:cs="Courier New" w:eastAsia="Courier New" w:hAnsi="Courier New"/>
                <w:sz w:val="16"/>
                <w:szCs w:val="16"/>
                <w:color w:val="auto"/>
              </w:rPr>
              <w:t>UNITED KINGDOM</w:t>
            </w:r>
          </w:p>
        </w:tc>
        <w:tc>
          <w:tcPr>
            <w:tcW w:w="1740" w:type="dxa"/>
            <w:vAlign w:val="bottom"/>
          </w:tcPr>
          <w:p>
            <w:pPr>
              <w:jc w:val="right"/>
              <w:ind w:right="1040"/>
              <w:spacing w:after="0"/>
              <w:rPr>
                <w:sz w:val="20"/>
                <w:szCs w:val="20"/>
                <w:color w:val="auto"/>
              </w:rPr>
            </w:pPr>
            <w:r>
              <w:rPr>
                <w:rFonts w:ascii="Courier New" w:cs="Courier New" w:eastAsia="Courier New" w:hAnsi="Courier New"/>
                <w:sz w:val="16"/>
                <w:szCs w:val="16"/>
                <w:color w:val="auto"/>
              </w:rPr>
              <w:t>292</w:t>
            </w:r>
          </w:p>
        </w:tc>
        <w:tc>
          <w:tcPr>
            <w:tcW w:w="1860" w:type="dxa"/>
            <w:vAlign w:val="bottom"/>
          </w:tcPr>
          <w:p>
            <w:pPr>
              <w:spacing w:after="0"/>
              <w:rPr>
                <w:sz w:val="24"/>
                <w:szCs w:val="24"/>
                <w:color w:val="auto"/>
              </w:rPr>
            </w:pPr>
          </w:p>
        </w:tc>
      </w:tr>
      <w:tr>
        <w:trPr>
          <w:trHeight w:val="370"/>
        </w:trPr>
        <w:tc>
          <w:tcPr>
            <w:tcW w:w="4080" w:type="dxa"/>
            <w:vAlign w:val="bottom"/>
          </w:tcPr>
          <w:p>
            <w:pPr>
              <w:ind w:left="2500"/>
              <w:spacing w:after="0"/>
              <w:rPr>
                <w:sz w:val="20"/>
                <w:szCs w:val="20"/>
                <w:color w:val="auto"/>
              </w:rPr>
            </w:pPr>
            <w:r>
              <w:rPr>
                <w:rFonts w:ascii="Courier New" w:cs="Courier New" w:eastAsia="Courier New" w:hAnsi="Courier New"/>
                <w:sz w:val="16"/>
                <w:szCs w:val="16"/>
                <w:color w:val="auto"/>
              </w:rPr>
              <w:t>OTHER EUROPE</w:t>
            </w:r>
          </w:p>
        </w:tc>
        <w:tc>
          <w:tcPr>
            <w:tcW w:w="1740" w:type="dxa"/>
            <w:vAlign w:val="bottom"/>
          </w:tcPr>
          <w:p>
            <w:pPr>
              <w:jc w:val="right"/>
              <w:ind w:right="1040"/>
              <w:spacing w:after="0"/>
              <w:rPr>
                <w:sz w:val="20"/>
                <w:szCs w:val="20"/>
                <w:color w:val="auto"/>
              </w:rPr>
            </w:pPr>
            <w:r>
              <w:rPr>
                <w:rFonts w:ascii="Courier New" w:cs="Courier New" w:eastAsia="Courier New" w:hAnsi="Courier New"/>
                <w:sz w:val="16"/>
                <w:szCs w:val="16"/>
                <w:color w:val="auto"/>
              </w:rPr>
              <w:t>926</w:t>
            </w:r>
          </w:p>
        </w:tc>
        <w:tc>
          <w:tcPr>
            <w:tcW w:w="1860" w:type="dxa"/>
            <w:vAlign w:val="bottom"/>
          </w:tcPr>
          <w:p>
            <w:pPr>
              <w:spacing w:after="0"/>
              <w:rPr>
                <w:sz w:val="24"/>
                <w:szCs w:val="24"/>
                <w:color w:val="auto"/>
              </w:rPr>
            </w:pPr>
          </w:p>
        </w:tc>
      </w:tr>
      <w:tr>
        <w:trPr>
          <w:trHeight w:val="370"/>
        </w:trPr>
        <w:tc>
          <w:tcPr>
            <w:tcW w:w="4080" w:type="dxa"/>
            <w:vAlign w:val="bottom"/>
          </w:tcPr>
          <w:p>
            <w:pPr>
              <w:ind w:left="2500"/>
              <w:spacing w:after="0"/>
              <w:rPr>
                <w:sz w:val="20"/>
                <w:szCs w:val="20"/>
                <w:color w:val="auto"/>
              </w:rPr>
            </w:pPr>
            <w:r>
              <w:rPr>
                <w:rFonts w:ascii="Courier New" w:cs="Courier New" w:eastAsia="Courier New" w:hAnsi="Courier New"/>
                <w:sz w:val="16"/>
                <w:szCs w:val="16"/>
                <w:color w:val="auto"/>
              </w:rPr>
              <w:t>OTHER COUNTRIES</w:t>
            </w:r>
          </w:p>
        </w:tc>
        <w:tc>
          <w:tcPr>
            <w:tcW w:w="1740" w:type="dxa"/>
            <w:vAlign w:val="bottom"/>
          </w:tcPr>
          <w:p>
            <w:pPr>
              <w:jc w:val="right"/>
              <w:ind w:right="1040"/>
              <w:spacing w:after="0"/>
              <w:rPr>
                <w:sz w:val="20"/>
                <w:szCs w:val="20"/>
                <w:color w:val="auto"/>
              </w:rPr>
            </w:pPr>
            <w:r>
              <w:rPr>
                <w:rFonts w:ascii="Courier New" w:cs="Courier New" w:eastAsia="Courier New" w:hAnsi="Courier New"/>
                <w:sz w:val="16"/>
                <w:szCs w:val="16"/>
                <w:color w:val="auto"/>
              </w:rPr>
              <w:t>385</w:t>
            </w:r>
          </w:p>
        </w:tc>
        <w:tc>
          <w:tcPr>
            <w:tcW w:w="1860" w:type="dxa"/>
            <w:vAlign w:val="bottom"/>
          </w:tcPr>
          <w:p>
            <w:pPr>
              <w:ind w:left="800"/>
              <w:spacing w:after="0"/>
              <w:rPr>
                <w:sz w:val="20"/>
                <w:szCs w:val="20"/>
                <w:color w:val="auto"/>
              </w:rPr>
            </w:pPr>
            <w:r>
              <w:rPr>
                <w:rFonts w:ascii="Courier New" w:cs="Courier New" w:eastAsia="Courier New" w:hAnsi="Courier New"/>
                <w:sz w:val="16"/>
                <w:szCs w:val="16"/>
                <w:color w:val="auto"/>
                <w:w w:val="98"/>
              </w:rPr>
              <w:t>[PIE CHART]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 - Years Ended December 31, 2000, 1999 and 1998</w:t>
      </w:r>
    </w:p>
    <w:p>
      <w:pPr>
        <w:spacing w:after="0" w:line="190" w:lineRule="exact"/>
        <w:rPr>
          <w:sz w:val="20"/>
          <w:szCs w:val="20"/>
          <w:color w:val="auto"/>
        </w:rPr>
      </w:pPr>
    </w:p>
    <w:p>
      <w:pPr>
        <w:ind w:right="2639"/>
        <w:spacing w:after="0" w:line="242" w:lineRule="auto"/>
        <w:rPr>
          <w:sz w:val="20"/>
          <w:szCs w:val="20"/>
          <w:color w:val="auto"/>
        </w:rPr>
      </w:pPr>
      <w:r>
        <w:rPr>
          <w:rFonts w:ascii="Courier New" w:cs="Courier New" w:eastAsia="Courier New" w:hAnsi="Courier New"/>
          <w:sz w:val="16"/>
          <w:szCs w:val="16"/>
          <w:color w:val="auto"/>
        </w:rPr>
        <w:t>CONSOLIDATED RESULTS - 2000 COMPARED TO 1999 Systemwide sales increased 8.1% to $12.4 billion in 2000 from $11.5 billion in 1999.</w:t>
      </w:r>
    </w:p>
    <w:p>
      <w:pPr>
        <w:spacing w:after="0" w:line="189"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Revenues from services increased 11.0%. Revenues were unfavorably impacted during the year by changes in currency exchange rates, as the U.S. Dollar strengthened relative to the functional currencies of the Company's European subsidiaries. At constant exchange rates, the increase in revenues would have been 20.8%. The increase in revenue includes the impact of acquisitions made during 2000. Organic constant currency revenue growth was approximately 19%.</w:t>
      </w:r>
    </w:p>
    <w:p>
      <w:pPr>
        <w:spacing w:after="0" w:line="188" w:lineRule="exact"/>
        <w:rPr>
          <w:sz w:val="20"/>
          <w:szCs w:val="20"/>
          <w:color w:val="auto"/>
        </w:rPr>
      </w:pPr>
    </w:p>
    <w:p>
      <w:pPr>
        <w:ind w:right="2539" w:firstLine="865"/>
        <w:spacing w:after="0" w:line="264" w:lineRule="auto"/>
        <w:rPr>
          <w:sz w:val="20"/>
          <w:szCs w:val="20"/>
          <w:color w:val="auto"/>
        </w:rPr>
      </w:pPr>
      <w:r>
        <w:rPr>
          <w:rFonts w:ascii="Courier New" w:cs="Courier New" w:eastAsia="Courier New" w:hAnsi="Courier New"/>
          <w:sz w:val="15"/>
          <w:szCs w:val="15"/>
          <w:color w:val="auto"/>
        </w:rPr>
        <w:t>Operating profit increased 34.8% during 2000. Excluding the impact of the $28.0 million of nonrecurring items recorded in 1999, related to employee severances, retirement costs and other associated realignment costs, Operating profit increased 20.2%. As a percentage of revenues, Operating profit, excluding the non-recurring items, increased 30 basis points (.3%) to 2.9% in 2000.</w:t>
      </w:r>
    </w:p>
    <w:p>
      <w:pPr>
        <w:spacing w:after="0" w:line="174"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Gross profit increased 14.2% during 2000, reflecting both the increase in revenues and an improvement in the gross profit margin. The gross profit margin improved to 18.0% in 2000 from 17.5% in 1999 due primarily to the enhanced pricing in France and the Company's continued focus on higher-margin business.</w:t>
      </w:r>
    </w:p>
    <w:p>
      <w:pPr>
        <w:spacing w:after="0" w:line="187"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Selling and administrative expenses increased 10.9% during 2000. Excluding the impact of the nonrecurring items recorded in 1999, Selling and administrative expenses increased 13.1%. As a percent of Gross profit, excluding nonrecurring items, these expenses were 84.0% in 2000 and 84.8% in 1999. This improvement was achieved despite the increased administrative costs in France resulting from the 35 hour work week instituted during 2000 and the investments in Manpower Professional in the U.S. and new markets worldwide. The Company opened more than 285 offices during 2000, with the majority being opened throughout mainland Europe.</w:t>
      </w:r>
    </w:p>
    <w:p>
      <w:pPr>
        <w:spacing w:after="0" w:line="189"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Interest and other expenses increased $21.0 million during 2000 due primarily to higher net interest expense levels. Net interest expense was $27.7 million in 2000 compared to $9.3 million in 1999. This increased expense is due to higher borrowing levels required to finance the Company's acquisitions, the share repurchase program and the ongoing investments in its global office network.</w:t>
      </w:r>
    </w:p>
    <w:p>
      <w:pPr>
        <w:sectPr>
          <w:pgSz w:w="11900" w:h="16838" w:orient="portrait"/>
          <w:cols w:equalWidth="0" w:num="1">
            <w:col w:w="10219"/>
          </w:cols>
          <w:pgMar w:left="240" w:top="300" w:right="1440" w:bottom="0" w:gutter="0" w:footer="0" w:header="0"/>
        </w:sectPr>
      </w:pPr>
    </w:p>
    <w:bookmarkStart w:id="55" w:name="page56"/>
    <w:bookmarkEnd w:id="55"/>
    <w:p>
      <w:pPr>
        <w:jc w:val="right"/>
        <w:ind w:right="2539"/>
        <w:spacing w:after="0"/>
        <w:rPr>
          <w:sz w:val="20"/>
          <w:szCs w:val="20"/>
          <w:color w:val="auto"/>
        </w:rPr>
      </w:pPr>
      <w:r>
        <w:rPr>
          <w:rFonts w:ascii="Courier New" w:cs="Courier New" w:eastAsia="Courier New" w:hAnsi="Courier New"/>
          <w:sz w:val="16"/>
          <w:szCs w:val="16"/>
          <w:color w:val="auto"/>
        </w:rPr>
        <w:t>65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Manpower Inc.</w:t>
      </w:r>
    </w:p>
    <w:p>
      <w:pPr>
        <w:sectPr>
          <w:pgSz w:w="11900" w:h="16838" w:orient="portrait"/>
          <w:cols w:equalWidth="0" w:num="1">
            <w:col w:w="10219"/>
          </w:cols>
          <w:pgMar w:left="240" w:top="140" w:right="1440"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6"/>
          <w:szCs w:val="16"/>
          <w:color w:val="auto"/>
        </w:rPr>
        <w:t>40</w:t>
      </w:r>
    </w:p>
    <w:p>
      <w:pPr>
        <w:spacing w:after="0" w:line="188"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MANAGEMENT'S DISCUSSION AND ANALYSIS (continued)</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of Financial Condition and Results of Operations</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The Company provided for income taxes at a rate of 35.4% in 2000 compared to 27.1% in 1999. The increase in the rate primarily reflects the impact of the 1999 nonrecurring items, including a one-time tax benefit of $15.7 million related to the Company's dissolution of a non-operating subsidiary. Without these nonrecurring items, the 1999 tax rate would have been 35.5%. The 2000 rate is different than the U.S. Federal statutory rate due to foreign repatriations, foreign tax rate differences, state income taxes and net operating loss carryforwards which had been fully reserved for in prior years.</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Net earnings per share, on a diluted basis, increased 16.2% to $2.22 in 2000 compared to $1.91 in 1999. Excluding the nonrecurring items recorded in 1999, diluted earnings per share was $1.92. The 2000 earnings per share, on a diluted basis, was negatively impacted by the lower currency exchange rates during the year. At constant exchange rates, 2000 diluted earnings per share would have been $2.52, an increase of 31.9% over 1999. The weighted average shares outstanding decreased 2.0% for the year due to the Company's treasury stock purchases. On an undiluted basis, net earnings per share was $2.26 in 2000, which compares to $1.95 in 1999, excluding the nonrecurring items.</w:t>
      </w:r>
    </w:p>
    <w:p>
      <w:pPr>
        <w:spacing w:after="0" w:line="189" w:lineRule="exact"/>
        <w:rPr>
          <w:sz w:val="20"/>
          <w:szCs w:val="20"/>
          <w:color w:val="auto"/>
        </w:rPr>
      </w:pPr>
    </w:p>
    <w:p>
      <w:pPr>
        <w:ind w:right="2539"/>
        <w:spacing w:after="0" w:line="242" w:lineRule="auto"/>
        <w:rPr>
          <w:sz w:val="20"/>
          <w:szCs w:val="20"/>
          <w:color w:val="auto"/>
        </w:rPr>
      </w:pPr>
      <w:r>
        <w:rPr>
          <w:rFonts w:ascii="Courier New" w:cs="Courier New" w:eastAsia="Courier New" w:hAnsi="Courier New"/>
          <w:sz w:val="16"/>
          <w:szCs w:val="16"/>
          <w:color w:val="auto"/>
        </w:rPr>
        <w:t>CONSOLIDATED RESULTS - 1999 COMPARED TO 1998 Systemwide sales were $11.5 billion during 1999, increasing 9.4% over the 1998 level of $10.5 billion.</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Revenues from services increased 10.8%. Revenues were unfavorably impacted during the year by changes in currency exchange rates, as the U.S. Dollar strengthened relative to the currencies in most of the Company's non-U.S. markets. At constant exchange rates, the increase in revenues would have been 13.2%.</w:t>
      </w:r>
    </w:p>
    <w:p>
      <w:pPr>
        <w:spacing w:after="0" w:line="187"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Operating profit increased 76.9% during 1999. Excluding the impact of the $28.0 million of nonrecurring items recorded in 1999, and the $92.1 million write-down of capitalized software in 1998, Operating profit increased 16.3%. As a percentage of revenues, Operating profit increased to 2.6% in 1999 from 2.5% in 1998.</w:t>
      </w:r>
    </w:p>
    <w:p>
      <w:pPr>
        <w:spacing w:after="0" w:line="187"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Gross profit increased 13.4% during 1999, reflecting both the increase in revenues and an improvement in the gross profit margin. The gross profit margin improved to 17.5% in 1999 from 17.1% in 1998 due primarily to the enhanced pricing of our business in France.</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Selling and administrative expenses increased 15.1% during 1999. Excluding the impact of the nonrecurring items recorded in 1999, Selling and administrative expenses increased 12.9%. As a percent of Gross profit, these expenses were 84.8% in 1999 and 85.2% in 1998, excluding nonrecurring items. This improvement was achieved despite an increase in France's business tax (taxe professionnelle) and the continued investment in new or expanding markets. On a worldwide basis, the Company opened more than 200 new offices during 1999, with the majority being opened throughout mainland Europe.</w:t>
      </w:r>
    </w:p>
    <w:p>
      <w:pPr>
        <w:spacing w:after="0" w:line="189" w:lineRule="exact"/>
        <w:rPr>
          <w:sz w:val="20"/>
          <w:szCs w:val="20"/>
          <w:color w:val="auto"/>
        </w:rPr>
      </w:pPr>
    </w:p>
    <w:p>
      <w:pPr>
        <w:ind w:right="2539" w:firstLine="865"/>
        <w:spacing w:after="0" w:line="267" w:lineRule="auto"/>
        <w:rPr>
          <w:sz w:val="20"/>
          <w:szCs w:val="20"/>
          <w:color w:val="auto"/>
        </w:rPr>
      </w:pPr>
      <w:r>
        <w:rPr>
          <w:rFonts w:ascii="Courier New" w:cs="Courier New" w:eastAsia="Courier New" w:hAnsi="Courier New"/>
          <w:sz w:val="15"/>
          <w:szCs w:val="15"/>
          <w:color w:val="auto"/>
        </w:rPr>
        <w:t>Interest and other expense increased $8.2 million during 1999 primarily due to the higher borrowing levels required to finance the Company's share repurchase program and the ongoing investments in its global office network.</w:t>
      </w:r>
    </w:p>
    <w:p>
      <w:pPr>
        <w:spacing w:after="0" w:line="172"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The Company provided for income taxes at a rate of 27.1% in 1999 compared to 33.5% in 1998. The decrease in the rate primarily reflects the nonrecurring items, including a one-time tax benefit of $15.7 million in 1999. Without these nonrecurring items, the tax rate would have been 35.5%, which is different than the U.S. Federal statutory rate due to foreign repatriations, foreign tax rate differences and net operating loss carryforwards which had been fully reserved for in prior years.</w:t>
      </w:r>
    </w:p>
    <w:p>
      <w:pPr>
        <w:spacing w:after="0" w:line="188"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Net earnings per share, on a fully diluted basis, was $1.91 in 1999 compared to $.93 in 1998. Excluding the nonrecurring items recorded in 1999 and the write-down of capitalized software in 1998, diluted earnings per share was $1.92 in 1999 compared to $1.64 in 1998. The 1999 earnings were negatively impacted $.05 per share due to the lower currency exchange rates during the year. The weighted average shares outstanding decreased 3.0% due to the Company's treasury stock purchases. On an undiluted basis, net earnings per share was $1.94 in 1999 ($1.95 excluding the nonrecurring items) and $.94 in 1998 ($1.66 excluding the write-down of capitalized software).</w:t>
      </w:r>
    </w:p>
    <w:p>
      <w:pPr>
        <w:spacing w:after="0" w:line="189" w:lineRule="exact"/>
        <w:rPr>
          <w:sz w:val="20"/>
          <w:szCs w:val="20"/>
          <w:color w:val="auto"/>
        </w:rPr>
      </w:pPr>
    </w:p>
    <w:p>
      <w:pPr>
        <w:spacing w:after="0"/>
        <w:tabs>
          <w:tab w:leader="none" w:pos="6420" w:val="left"/>
        </w:tabs>
        <w:rPr>
          <w:sz w:val="20"/>
          <w:szCs w:val="20"/>
          <w:color w:val="auto"/>
        </w:rPr>
      </w:pPr>
      <w:r>
        <w:rPr>
          <w:rFonts w:ascii="Courier New" w:cs="Courier New" w:eastAsia="Courier New" w:hAnsi="Courier New"/>
          <w:sz w:val="15"/>
          <w:szCs w:val="15"/>
          <w:color w:val="auto"/>
        </w:rPr>
        <w:t>66</w:t>
      </w:r>
      <w:r>
        <w:rPr>
          <w:sz w:val="20"/>
          <w:szCs w:val="20"/>
          <w:color w:val="auto"/>
        </w:rPr>
        <w:tab/>
      </w:r>
      <w:r>
        <w:rPr>
          <w:rFonts w:ascii="Courier New" w:cs="Courier New" w:eastAsia="Courier New" w:hAnsi="Courier New"/>
          <w:sz w:val="15"/>
          <w:szCs w:val="15"/>
          <w:color w:val="auto"/>
        </w:rPr>
        <w:t>Manpower Inc.</w:t>
      </w:r>
    </w:p>
    <w:p>
      <w:pPr>
        <w:sectPr>
          <w:pgSz w:w="11900" w:h="16838" w:orient="portrait"/>
          <w:cols w:equalWidth="0" w:num="1">
            <w:col w:w="10219"/>
          </w:cols>
          <w:pgMar w:left="240" w:top="300" w:right="1440" w:bottom="1440" w:gutter="0" w:footer="0" w:header="0"/>
        </w:sectPr>
      </w:pPr>
    </w:p>
    <w:bookmarkStart w:id="57" w:name="page58"/>
    <w:bookmarkEnd w:id="57"/>
    <w:p>
      <w:pPr>
        <w:ind w:left="281"/>
        <w:spacing w:after="0"/>
        <w:rPr>
          <w:sz w:val="20"/>
          <w:szCs w:val="20"/>
          <w:color w:val="auto"/>
        </w:rPr>
      </w:pPr>
      <w:r>
        <w:rPr>
          <w:rFonts w:ascii="Courier New" w:cs="Courier New" w:eastAsia="Courier New" w:hAnsi="Courier New"/>
          <w:sz w:val="16"/>
          <w:szCs w:val="16"/>
          <w:color w:val="auto"/>
        </w:rPr>
        <w:t>41</w:t>
      </w:r>
    </w:p>
    <w:p>
      <w:pPr>
        <w:spacing w:after="0" w:line="190"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SEGMENT RESULTS The Company is organized and managed on a geographical basis. Each country has its own distinct operations, is managed locally by its own management team and maintains its own financial reports. Each country reports directly, or indirectly through a regional manager, to a member of executive management. Given this reporting structure, all of the Company's operations have been segregated into the following segments - the United States, France, the United Kingdom, Other Europe and Other Countries. (See Note 14 to the Consolidated Financial Statements for further information.)</w:t>
      </w:r>
    </w:p>
    <w:p>
      <w:pPr>
        <w:spacing w:after="0" w:line="187"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020" w:type="dxa"/>
            <w:vAlign w:val="bottom"/>
          </w:tcPr>
          <w:p>
            <w:pPr>
              <w:spacing w:after="0"/>
              <w:rPr>
                <w:sz w:val="20"/>
                <w:szCs w:val="20"/>
                <w:color w:val="auto"/>
              </w:rPr>
            </w:pPr>
            <w:r>
              <w:rPr>
                <w:rFonts w:ascii="Courier New" w:cs="Courier New" w:eastAsia="Courier New" w:hAnsi="Courier New"/>
                <w:sz w:val="16"/>
                <w:szCs w:val="16"/>
                <w:color w:val="auto"/>
              </w:rPr>
              <w:t>Systemwide Sales</w:t>
            </w:r>
          </w:p>
        </w:tc>
        <w:tc>
          <w:tcPr>
            <w:tcW w:w="20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85"/>
        </w:trPr>
        <w:tc>
          <w:tcPr>
            <w:tcW w:w="5860" w:type="dxa"/>
            <w:vAlign w:val="bottom"/>
            <w:gridSpan w:val="3"/>
          </w:tcPr>
          <w:p>
            <w:pPr>
              <w:spacing w:after="0"/>
              <w:rPr>
                <w:sz w:val="20"/>
                <w:szCs w:val="20"/>
                <w:color w:val="auto"/>
              </w:rPr>
            </w:pPr>
            <w:r>
              <w:rPr>
                <w:rFonts w:ascii="Courier New" w:cs="Courier New" w:eastAsia="Courier New" w:hAnsi="Courier New"/>
                <w:sz w:val="16"/>
                <w:szCs w:val="16"/>
                <w:color w:val="auto"/>
              </w:rPr>
              <w:t>- ---------------------------------------------------</w:t>
            </w:r>
          </w:p>
        </w:tc>
        <w:tc>
          <w:tcPr>
            <w:tcW w:w="1820" w:type="dxa"/>
            <w:vAlign w:val="bottom"/>
          </w:tcPr>
          <w:p>
            <w:pPr>
              <w:spacing w:after="0"/>
              <w:rPr>
                <w:sz w:val="16"/>
                <w:szCs w:val="16"/>
                <w:color w:val="auto"/>
              </w:rPr>
            </w:pPr>
          </w:p>
        </w:tc>
      </w:tr>
      <w:tr>
        <w:trPr>
          <w:trHeight w:val="185"/>
        </w:trPr>
        <w:tc>
          <w:tcPr>
            <w:tcW w:w="2020" w:type="dxa"/>
            <w:vAlign w:val="bottom"/>
          </w:tcPr>
          <w:p>
            <w:pPr>
              <w:spacing w:after="0"/>
              <w:rPr>
                <w:sz w:val="20"/>
                <w:szCs w:val="20"/>
                <w:color w:val="auto"/>
              </w:rPr>
            </w:pPr>
            <w:r>
              <w:rPr>
                <w:rFonts w:ascii="Courier New" w:cs="Courier New" w:eastAsia="Courier New" w:hAnsi="Courier New"/>
                <w:sz w:val="16"/>
                <w:szCs w:val="16"/>
                <w:color w:val="auto"/>
              </w:rPr>
              <w:t>(in millions</w:t>
            </w:r>
          </w:p>
        </w:tc>
        <w:tc>
          <w:tcPr>
            <w:tcW w:w="2020" w:type="dxa"/>
            <w:vAlign w:val="bottom"/>
          </w:tcPr>
          <w:p>
            <w:pPr>
              <w:ind w:left="480"/>
              <w:spacing w:after="0"/>
              <w:rPr>
                <w:sz w:val="20"/>
                <w:szCs w:val="20"/>
                <w:color w:val="auto"/>
              </w:rPr>
            </w:pPr>
            <w:r>
              <w:rPr>
                <w:rFonts w:ascii="Courier New" w:cs="Courier New" w:eastAsia="Courier New" w:hAnsi="Courier New"/>
                <w:sz w:val="16"/>
                <w:szCs w:val="16"/>
                <w:color w:val="auto"/>
              </w:rPr>
              <w:t>UNITED STATES</w:t>
            </w:r>
          </w:p>
        </w:tc>
        <w:tc>
          <w:tcPr>
            <w:tcW w:w="1820" w:type="dxa"/>
            <w:vAlign w:val="bottom"/>
          </w:tcPr>
          <w:p>
            <w:pPr>
              <w:jc w:val="right"/>
              <w:ind w:right="980"/>
              <w:spacing w:after="0"/>
              <w:rPr>
                <w:sz w:val="20"/>
                <w:szCs w:val="20"/>
                <w:color w:val="auto"/>
              </w:rPr>
            </w:pPr>
            <w:r>
              <w:rPr>
                <w:rFonts w:ascii="Courier New" w:cs="Courier New" w:eastAsia="Courier New" w:hAnsi="Courier New"/>
                <w:sz w:val="16"/>
                <w:szCs w:val="16"/>
                <w:color w:val="auto"/>
              </w:rPr>
              <w:t>3,814.9</w:t>
            </w:r>
          </w:p>
        </w:tc>
        <w:tc>
          <w:tcPr>
            <w:tcW w:w="1820" w:type="dxa"/>
            <w:vAlign w:val="bottom"/>
          </w:tcPr>
          <w:p>
            <w:pPr>
              <w:spacing w:after="0"/>
              <w:rPr>
                <w:sz w:val="16"/>
                <w:szCs w:val="16"/>
                <w:color w:val="auto"/>
              </w:rPr>
            </w:pPr>
          </w:p>
        </w:tc>
      </w:tr>
      <w:tr>
        <w:trPr>
          <w:trHeight w:val="185"/>
        </w:trPr>
        <w:tc>
          <w:tcPr>
            <w:tcW w:w="2020" w:type="dxa"/>
            <w:vAlign w:val="bottom"/>
          </w:tcPr>
          <w:p>
            <w:pPr>
              <w:spacing w:after="0"/>
              <w:rPr>
                <w:sz w:val="20"/>
                <w:szCs w:val="20"/>
                <w:color w:val="auto"/>
              </w:rPr>
            </w:pPr>
            <w:r>
              <w:rPr>
                <w:rFonts w:ascii="Courier New" w:cs="Courier New" w:eastAsia="Courier New" w:hAnsi="Courier New"/>
                <w:sz w:val="16"/>
                <w:szCs w:val="16"/>
                <w:color w:val="auto"/>
              </w:rPr>
              <w:t>of U.S. Dollars)</w:t>
            </w:r>
          </w:p>
        </w:tc>
        <w:tc>
          <w:tcPr>
            <w:tcW w:w="20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185"/>
        </w:trPr>
        <w:tc>
          <w:tcPr>
            <w:tcW w:w="2020" w:type="dxa"/>
            <w:vAlign w:val="bottom"/>
          </w:tcPr>
          <w:p>
            <w:pPr>
              <w:spacing w:after="0"/>
              <w:rPr>
                <w:sz w:val="16"/>
                <w:szCs w:val="16"/>
                <w:color w:val="auto"/>
              </w:rPr>
            </w:pPr>
          </w:p>
        </w:tc>
        <w:tc>
          <w:tcPr>
            <w:tcW w:w="2020" w:type="dxa"/>
            <w:vAlign w:val="bottom"/>
          </w:tcPr>
          <w:p>
            <w:pPr>
              <w:ind w:left="480"/>
              <w:spacing w:after="0"/>
              <w:rPr>
                <w:sz w:val="20"/>
                <w:szCs w:val="20"/>
                <w:color w:val="auto"/>
              </w:rPr>
            </w:pPr>
            <w:r>
              <w:rPr>
                <w:rFonts w:ascii="Courier New" w:cs="Courier New" w:eastAsia="Courier New" w:hAnsi="Courier New"/>
                <w:sz w:val="16"/>
                <w:szCs w:val="16"/>
                <w:color w:val="auto"/>
              </w:rPr>
              <w:t>FRANCE</w:t>
            </w:r>
          </w:p>
        </w:tc>
        <w:tc>
          <w:tcPr>
            <w:tcW w:w="1820" w:type="dxa"/>
            <w:vAlign w:val="bottom"/>
          </w:tcPr>
          <w:p>
            <w:pPr>
              <w:jc w:val="right"/>
              <w:ind w:right="980"/>
              <w:spacing w:after="0"/>
              <w:rPr>
                <w:sz w:val="20"/>
                <w:szCs w:val="20"/>
                <w:color w:val="auto"/>
              </w:rPr>
            </w:pPr>
            <w:r>
              <w:rPr>
                <w:rFonts w:ascii="Courier New" w:cs="Courier New" w:eastAsia="Courier New" w:hAnsi="Courier New"/>
                <w:sz w:val="16"/>
                <w:szCs w:val="16"/>
                <w:color w:val="auto"/>
              </w:rPr>
              <w:t>3,939.2</w:t>
            </w:r>
          </w:p>
        </w:tc>
        <w:tc>
          <w:tcPr>
            <w:tcW w:w="1820" w:type="dxa"/>
            <w:vAlign w:val="bottom"/>
          </w:tcPr>
          <w:p>
            <w:pPr>
              <w:spacing w:after="0"/>
              <w:rPr>
                <w:sz w:val="16"/>
                <w:szCs w:val="16"/>
                <w:color w:val="auto"/>
              </w:rPr>
            </w:pPr>
          </w:p>
        </w:tc>
      </w:tr>
      <w:tr>
        <w:trPr>
          <w:trHeight w:val="370"/>
        </w:trPr>
        <w:tc>
          <w:tcPr>
            <w:tcW w:w="2020" w:type="dxa"/>
            <w:vAlign w:val="bottom"/>
          </w:tcPr>
          <w:p>
            <w:pPr>
              <w:spacing w:after="0"/>
              <w:rPr>
                <w:sz w:val="24"/>
                <w:szCs w:val="24"/>
                <w:color w:val="auto"/>
              </w:rPr>
            </w:pPr>
          </w:p>
        </w:tc>
        <w:tc>
          <w:tcPr>
            <w:tcW w:w="2020" w:type="dxa"/>
            <w:vAlign w:val="bottom"/>
          </w:tcPr>
          <w:p>
            <w:pPr>
              <w:ind w:left="480"/>
              <w:spacing w:after="0"/>
              <w:rPr>
                <w:sz w:val="20"/>
                <w:szCs w:val="20"/>
                <w:color w:val="auto"/>
              </w:rPr>
            </w:pPr>
            <w:r>
              <w:rPr>
                <w:rFonts w:ascii="Courier New" w:cs="Courier New" w:eastAsia="Courier New" w:hAnsi="Courier New"/>
                <w:sz w:val="16"/>
                <w:szCs w:val="16"/>
                <w:color w:val="auto"/>
              </w:rPr>
              <w:t>UNITED KINGDOM</w:t>
            </w:r>
          </w:p>
        </w:tc>
        <w:tc>
          <w:tcPr>
            <w:tcW w:w="1820" w:type="dxa"/>
            <w:vAlign w:val="bottom"/>
          </w:tcPr>
          <w:p>
            <w:pPr>
              <w:jc w:val="right"/>
              <w:ind w:right="980"/>
              <w:spacing w:after="0"/>
              <w:rPr>
                <w:sz w:val="20"/>
                <w:szCs w:val="20"/>
                <w:color w:val="auto"/>
              </w:rPr>
            </w:pPr>
            <w:r>
              <w:rPr>
                <w:rFonts w:ascii="Courier New" w:cs="Courier New" w:eastAsia="Courier New" w:hAnsi="Courier New"/>
                <w:sz w:val="16"/>
                <w:szCs w:val="16"/>
                <w:color w:val="auto"/>
              </w:rPr>
              <w:t>1,453.1</w:t>
            </w:r>
          </w:p>
        </w:tc>
        <w:tc>
          <w:tcPr>
            <w:tcW w:w="1820" w:type="dxa"/>
            <w:vAlign w:val="bottom"/>
          </w:tcPr>
          <w:p>
            <w:pPr>
              <w:spacing w:after="0"/>
              <w:rPr>
                <w:sz w:val="24"/>
                <w:szCs w:val="24"/>
                <w:color w:val="auto"/>
              </w:rPr>
            </w:pPr>
          </w:p>
        </w:tc>
      </w:tr>
      <w:tr>
        <w:trPr>
          <w:trHeight w:val="370"/>
        </w:trPr>
        <w:tc>
          <w:tcPr>
            <w:tcW w:w="2020" w:type="dxa"/>
            <w:vAlign w:val="bottom"/>
          </w:tcPr>
          <w:p>
            <w:pPr>
              <w:spacing w:after="0"/>
              <w:rPr>
                <w:sz w:val="24"/>
                <w:szCs w:val="24"/>
                <w:color w:val="auto"/>
              </w:rPr>
            </w:pPr>
          </w:p>
        </w:tc>
        <w:tc>
          <w:tcPr>
            <w:tcW w:w="2020" w:type="dxa"/>
            <w:vAlign w:val="bottom"/>
          </w:tcPr>
          <w:p>
            <w:pPr>
              <w:ind w:left="480"/>
              <w:spacing w:after="0"/>
              <w:rPr>
                <w:sz w:val="20"/>
                <w:szCs w:val="20"/>
                <w:color w:val="auto"/>
              </w:rPr>
            </w:pPr>
            <w:r>
              <w:rPr>
                <w:rFonts w:ascii="Courier New" w:cs="Courier New" w:eastAsia="Courier New" w:hAnsi="Courier New"/>
                <w:sz w:val="16"/>
                <w:szCs w:val="16"/>
                <w:color w:val="auto"/>
              </w:rPr>
              <w:t>OTHER EUROPE</w:t>
            </w:r>
          </w:p>
        </w:tc>
        <w:tc>
          <w:tcPr>
            <w:tcW w:w="1820" w:type="dxa"/>
            <w:vAlign w:val="bottom"/>
          </w:tcPr>
          <w:p>
            <w:pPr>
              <w:jc w:val="right"/>
              <w:ind w:right="980"/>
              <w:spacing w:after="0"/>
              <w:rPr>
                <w:sz w:val="20"/>
                <w:szCs w:val="20"/>
                <w:color w:val="auto"/>
              </w:rPr>
            </w:pPr>
            <w:r>
              <w:rPr>
                <w:rFonts w:ascii="Courier New" w:cs="Courier New" w:eastAsia="Courier New" w:hAnsi="Courier New"/>
                <w:sz w:val="16"/>
                <w:szCs w:val="16"/>
                <w:color w:val="auto"/>
              </w:rPr>
              <w:t>2,051.4</w:t>
            </w:r>
          </w:p>
        </w:tc>
        <w:tc>
          <w:tcPr>
            <w:tcW w:w="1820" w:type="dxa"/>
            <w:vAlign w:val="bottom"/>
          </w:tcPr>
          <w:p>
            <w:pPr>
              <w:spacing w:after="0"/>
              <w:rPr>
                <w:sz w:val="24"/>
                <w:szCs w:val="24"/>
                <w:color w:val="auto"/>
              </w:rPr>
            </w:pPr>
          </w:p>
        </w:tc>
      </w:tr>
      <w:tr>
        <w:trPr>
          <w:trHeight w:val="370"/>
        </w:trPr>
        <w:tc>
          <w:tcPr>
            <w:tcW w:w="2020" w:type="dxa"/>
            <w:vAlign w:val="bottom"/>
          </w:tcPr>
          <w:p>
            <w:pPr>
              <w:spacing w:after="0"/>
              <w:rPr>
                <w:sz w:val="24"/>
                <w:szCs w:val="24"/>
                <w:color w:val="auto"/>
              </w:rPr>
            </w:pPr>
          </w:p>
        </w:tc>
        <w:tc>
          <w:tcPr>
            <w:tcW w:w="2020" w:type="dxa"/>
            <w:vAlign w:val="bottom"/>
          </w:tcPr>
          <w:p>
            <w:pPr>
              <w:ind w:left="480"/>
              <w:spacing w:after="0"/>
              <w:rPr>
                <w:sz w:val="20"/>
                <w:szCs w:val="20"/>
                <w:color w:val="auto"/>
              </w:rPr>
            </w:pPr>
            <w:r>
              <w:rPr>
                <w:rFonts w:ascii="Courier New" w:cs="Courier New" w:eastAsia="Courier New" w:hAnsi="Courier New"/>
                <w:sz w:val="16"/>
                <w:szCs w:val="16"/>
                <w:color w:val="auto"/>
              </w:rPr>
              <w:t>OTHER COUNTRIES</w:t>
            </w:r>
          </w:p>
        </w:tc>
        <w:tc>
          <w:tcPr>
            <w:tcW w:w="1820" w:type="dxa"/>
            <w:vAlign w:val="bottom"/>
          </w:tcPr>
          <w:p>
            <w:pPr>
              <w:jc w:val="right"/>
              <w:ind w:right="980"/>
              <w:spacing w:after="0"/>
              <w:rPr>
                <w:sz w:val="20"/>
                <w:szCs w:val="20"/>
                <w:color w:val="auto"/>
              </w:rPr>
            </w:pPr>
            <w:r>
              <w:rPr>
                <w:rFonts w:ascii="Courier New" w:cs="Courier New" w:eastAsia="Courier New" w:hAnsi="Courier New"/>
                <w:sz w:val="16"/>
                <w:szCs w:val="16"/>
                <w:color w:val="auto"/>
              </w:rPr>
              <w:t>1,186.3</w:t>
            </w:r>
          </w:p>
        </w:tc>
        <w:tc>
          <w:tcPr>
            <w:tcW w:w="1820" w:type="dxa"/>
            <w:vAlign w:val="bottom"/>
          </w:tcPr>
          <w:p>
            <w:pPr>
              <w:ind w:left="760"/>
              <w:spacing w:after="0"/>
              <w:rPr>
                <w:sz w:val="20"/>
                <w:szCs w:val="20"/>
                <w:color w:val="auto"/>
              </w:rPr>
            </w:pPr>
            <w:r>
              <w:rPr>
                <w:rFonts w:ascii="Courier New" w:cs="Courier New" w:eastAsia="Courier New" w:hAnsi="Courier New"/>
                <w:sz w:val="16"/>
                <w:szCs w:val="16"/>
                <w:color w:val="auto"/>
                <w:w w:val="98"/>
              </w:rPr>
              <w:t>[PIE CHART]</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United States - Systemwide sales in the United States reached a new record high, exceeding $3.8 billion. Revenues also reached a new high, increasing 7% to $2.4 billion. While year-over-year revenue growth rates were generally stable for the first nine months of the year, the U.S. experienced slower growth rates in the fourth quarter as a result of the slowing U.S. economy.</w:t>
      </w:r>
    </w:p>
    <w:p>
      <w:pPr>
        <w:spacing w:after="0" w:line="187" w:lineRule="exact"/>
        <w:rPr>
          <w:sz w:val="20"/>
          <w:szCs w:val="20"/>
          <w:color w:val="auto"/>
        </w:rPr>
      </w:pPr>
    </w:p>
    <w:p>
      <w:pPr>
        <w:ind w:left="1" w:right="2639" w:firstLine="865"/>
        <w:spacing w:after="0" w:line="243" w:lineRule="auto"/>
        <w:rPr>
          <w:sz w:val="20"/>
          <w:szCs w:val="20"/>
          <w:color w:val="auto"/>
        </w:rPr>
      </w:pPr>
      <w:r>
        <w:rPr>
          <w:rFonts w:ascii="Courier New" w:cs="Courier New" w:eastAsia="Courier New" w:hAnsi="Courier New"/>
          <w:sz w:val="16"/>
          <w:szCs w:val="16"/>
          <w:color w:val="auto"/>
        </w:rPr>
        <w:t>Manpower Professional was the fastest growing sector within the U.S. with revenues increasing 12% during the year. Expansion of higher-value service through the Manpower Professional brand was a primary objective of the U.S. organization.</w:t>
      </w:r>
    </w:p>
    <w:p>
      <w:pPr>
        <w:spacing w:after="0" w:line="190" w:lineRule="exact"/>
        <w:rPr>
          <w:sz w:val="20"/>
          <w:szCs w:val="20"/>
          <w:color w:val="auto"/>
        </w:rPr>
      </w:pPr>
    </w:p>
    <w:p>
      <w:pPr>
        <w:jc w:val="both"/>
        <w:ind w:left="1" w:right="2819" w:firstLine="865"/>
        <w:spacing w:after="0" w:line="243" w:lineRule="auto"/>
        <w:rPr>
          <w:sz w:val="20"/>
          <w:szCs w:val="20"/>
          <w:color w:val="auto"/>
        </w:rPr>
      </w:pPr>
      <w:r>
        <w:rPr>
          <w:rFonts w:ascii="Courier New" w:cs="Courier New" w:eastAsia="Courier New" w:hAnsi="Courier New"/>
          <w:sz w:val="16"/>
          <w:szCs w:val="16"/>
          <w:color w:val="auto"/>
        </w:rPr>
        <w:t>Operating profit increased 5% to $84.6 million, while the operating margin declined slightly to 3.5% from 3.6% in 1999. During the year, the U.S. organization implemented a number of productivity initiatives, the savings of which were offset by additional investments in Manpower Professional.</w:t>
      </w:r>
    </w:p>
    <w:p>
      <w:pPr>
        <w:spacing w:after="0" w:line="190" w:lineRule="exact"/>
        <w:rPr>
          <w:sz w:val="20"/>
          <w:szCs w:val="20"/>
          <w:color w:val="auto"/>
        </w:rPr>
      </w:pPr>
    </w:p>
    <w:p>
      <w:pPr>
        <w:ind w:left="1" w:right="3019" w:firstLine="865"/>
        <w:spacing w:after="0" w:line="243" w:lineRule="auto"/>
        <w:rPr>
          <w:sz w:val="20"/>
          <w:szCs w:val="20"/>
          <w:color w:val="auto"/>
        </w:rPr>
      </w:pPr>
      <w:r>
        <w:rPr>
          <w:rFonts w:ascii="Courier New" w:cs="Courier New" w:eastAsia="Courier New" w:hAnsi="Courier New"/>
          <w:sz w:val="16"/>
          <w:szCs w:val="16"/>
          <w:color w:val="auto"/>
        </w:rPr>
        <w:t>The company acquired three U.S. franchises during the year, adding approximately $50 million of revenue. The impact of these acquisitions on Operating profit was negligible.</w:t>
      </w:r>
    </w:p>
    <w:p>
      <w:pPr>
        <w:spacing w:after="0" w:line="371" w:lineRule="exact"/>
        <w:rPr>
          <w:sz w:val="20"/>
          <w:szCs w:val="20"/>
          <w:color w:val="auto"/>
        </w:rPr>
      </w:pPr>
    </w:p>
    <w:p>
      <w:pPr>
        <w:ind w:left="1"/>
        <w:spacing w:after="0"/>
        <w:tabs>
          <w:tab w:leader="none" w:pos="2381" w:val="left"/>
          <w:tab w:leader="none" w:pos="4881" w:val="left"/>
        </w:tabs>
        <w:rPr>
          <w:sz w:val="20"/>
          <w:szCs w:val="20"/>
          <w:color w:val="auto"/>
        </w:rPr>
      </w:pPr>
      <w:r>
        <w:rPr>
          <w:rFonts w:ascii="Courier New" w:cs="Courier New" w:eastAsia="Courier New" w:hAnsi="Courier New"/>
          <w:sz w:val="16"/>
          <w:szCs w:val="16"/>
          <w:color w:val="auto"/>
        </w:rPr>
        <w:t>United States</w:t>
      </w:r>
      <w:r>
        <w:rPr>
          <w:sz w:val="20"/>
          <w:szCs w:val="20"/>
          <w:color w:val="auto"/>
        </w:rPr>
        <w:tab/>
      </w:r>
      <w:r>
        <w:rPr>
          <w:rFonts w:ascii="Courier New" w:cs="Courier New" w:eastAsia="Courier New" w:hAnsi="Courier New"/>
          <w:sz w:val="16"/>
          <w:szCs w:val="16"/>
          <w:color w:val="auto"/>
        </w:rPr>
        <w:t>Systemwide Sales</w:t>
      </w:r>
      <w:r>
        <w:rPr>
          <w:sz w:val="20"/>
          <w:szCs w:val="20"/>
          <w:color w:val="auto"/>
        </w:rPr>
        <w:tab/>
      </w:r>
      <w:r>
        <w:rPr>
          <w:rFonts w:ascii="Courier New" w:cs="Courier New" w:eastAsia="Courier New" w:hAnsi="Courier New"/>
          <w:sz w:val="16"/>
          <w:szCs w:val="16"/>
          <w:color w:val="auto"/>
        </w:rPr>
        <w:t>Operating Profit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960" w:type="dxa"/>
            <w:vAlign w:val="bottom"/>
          </w:tcPr>
          <w:p>
            <w:pPr>
              <w:spacing w:after="0"/>
              <w:rPr>
                <w:sz w:val="20"/>
                <w:szCs w:val="20"/>
                <w:color w:val="auto"/>
              </w:rPr>
            </w:pPr>
            <w:r>
              <w:rPr>
                <w:rFonts w:ascii="Courier New" w:cs="Courier New" w:eastAsia="Courier New" w:hAnsi="Courier New"/>
                <w:sz w:val="16"/>
                <w:szCs w:val="16"/>
                <w:color w:val="auto"/>
              </w:rPr>
              <w:t>(in millions</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4,000</w:t>
            </w: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100</w:t>
            </w: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5"/>
        </w:trPr>
        <w:tc>
          <w:tcPr>
            <w:tcW w:w="1960" w:type="dxa"/>
            <w:vAlign w:val="bottom"/>
          </w:tcPr>
          <w:p>
            <w:pPr>
              <w:spacing w:after="0"/>
              <w:rPr>
                <w:sz w:val="20"/>
                <w:szCs w:val="20"/>
                <w:color w:val="auto"/>
              </w:rPr>
            </w:pPr>
            <w:r>
              <w:rPr>
                <w:rFonts w:ascii="Courier New" w:cs="Courier New" w:eastAsia="Courier New" w:hAnsi="Courier New"/>
                <w:sz w:val="16"/>
                <w:szCs w:val="16"/>
                <w:color w:val="auto"/>
              </w:rPr>
              <w:t>of U.S. Dollars)</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3,200</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+7%</w:t>
            </w:r>
          </w:p>
        </w:tc>
        <w:tc>
          <w:tcPr>
            <w:tcW w:w="580" w:type="dxa"/>
            <w:vAlign w:val="bottom"/>
          </w:tcPr>
          <w:p>
            <w:pPr>
              <w:ind w:left="160"/>
              <w:spacing w:after="0"/>
              <w:rPr>
                <w:sz w:val="20"/>
                <w:szCs w:val="20"/>
                <w:color w:val="auto"/>
              </w:rPr>
            </w:pPr>
            <w:r>
              <w:rPr>
                <w:rFonts w:ascii="Courier New" w:cs="Courier New" w:eastAsia="Courier New" w:hAnsi="Courier New"/>
                <w:sz w:val="16"/>
                <w:szCs w:val="16"/>
                <w:color w:val="auto"/>
              </w:rPr>
              <w:t>+5%</w:t>
            </w:r>
          </w:p>
        </w:tc>
        <w:tc>
          <w:tcPr>
            <w:tcW w:w="680" w:type="dxa"/>
            <w:vAlign w:val="bottom"/>
          </w:tcPr>
          <w:p>
            <w:pPr>
              <w:ind w:left="160"/>
              <w:spacing w:after="0"/>
              <w:rPr>
                <w:sz w:val="20"/>
                <w:szCs w:val="20"/>
                <w:color w:val="auto"/>
              </w:rPr>
            </w:pPr>
            <w:r>
              <w:rPr>
                <w:rFonts w:ascii="Courier New" w:cs="Courier New" w:eastAsia="Courier New" w:hAnsi="Courier New"/>
                <w:sz w:val="16"/>
                <w:szCs w:val="16"/>
                <w:color w:val="auto"/>
              </w:rPr>
              <w:t>+2%</w:t>
            </w:r>
          </w:p>
        </w:tc>
        <w:tc>
          <w:tcPr>
            <w:tcW w:w="6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80</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+3%</w:t>
            </w:r>
          </w:p>
        </w:tc>
        <w:tc>
          <w:tcPr>
            <w:tcW w:w="1340" w:type="dxa"/>
            <w:vAlign w:val="bottom"/>
          </w:tcPr>
          <w:p>
            <w:pPr>
              <w:ind w:left="100"/>
              <w:spacing w:after="0"/>
              <w:rPr>
                <w:sz w:val="20"/>
                <w:szCs w:val="20"/>
                <w:color w:val="auto"/>
              </w:rPr>
            </w:pPr>
            <w:r>
              <w:rPr>
                <w:rFonts w:ascii="Courier New" w:cs="Courier New" w:eastAsia="Courier New" w:hAnsi="Courier New"/>
                <w:sz w:val="16"/>
                <w:szCs w:val="16"/>
                <w:color w:val="auto"/>
              </w:rPr>
              <w:t>+5%</w:t>
            </w:r>
          </w:p>
        </w:tc>
      </w:tr>
      <w:tr>
        <w:trPr>
          <w:trHeight w:val="185"/>
        </w:trPr>
        <w:tc>
          <w:tcPr>
            <w:tcW w:w="19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2,400</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98</w:t>
            </w:r>
          </w:p>
        </w:tc>
        <w:tc>
          <w:tcPr>
            <w:tcW w:w="580" w:type="dxa"/>
            <w:vAlign w:val="bottom"/>
          </w:tcPr>
          <w:p>
            <w:pPr>
              <w:ind w:left="160"/>
              <w:spacing w:after="0"/>
              <w:rPr>
                <w:sz w:val="20"/>
                <w:szCs w:val="20"/>
                <w:color w:val="auto"/>
              </w:rPr>
            </w:pPr>
            <w:r>
              <w:rPr>
                <w:rFonts w:ascii="Courier New" w:cs="Courier New" w:eastAsia="Courier New" w:hAnsi="Courier New"/>
                <w:sz w:val="16"/>
                <w:szCs w:val="16"/>
                <w:color w:val="auto"/>
              </w:rPr>
              <w:t>99</w:t>
            </w:r>
          </w:p>
        </w:tc>
        <w:tc>
          <w:tcPr>
            <w:tcW w:w="680" w:type="dxa"/>
            <w:vAlign w:val="bottom"/>
          </w:tcPr>
          <w:p>
            <w:pPr>
              <w:ind w:left="160"/>
              <w:spacing w:after="0"/>
              <w:rPr>
                <w:sz w:val="20"/>
                <w:szCs w:val="20"/>
                <w:color w:val="auto"/>
              </w:rPr>
            </w:pPr>
            <w:r>
              <w:rPr>
                <w:rFonts w:ascii="Courier New" w:cs="Courier New" w:eastAsia="Courier New" w:hAnsi="Courier New"/>
                <w:sz w:val="16"/>
                <w:szCs w:val="16"/>
                <w:color w:val="auto"/>
              </w:rPr>
              <w:t>00</w:t>
            </w:r>
          </w:p>
        </w:tc>
        <w:tc>
          <w:tcPr>
            <w:tcW w:w="6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60</w:t>
            </w:r>
          </w:p>
        </w:tc>
        <w:tc>
          <w:tcPr>
            <w:tcW w:w="5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98</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99</w:t>
            </w:r>
          </w:p>
        </w:tc>
        <w:tc>
          <w:tcPr>
            <w:tcW w:w="1340" w:type="dxa"/>
            <w:vAlign w:val="bottom"/>
          </w:tcPr>
          <w:p>
            <w:pPr>
              <w:ind w:left="100"/>
              <w:spacing w:after="0"/>
              <w:rPr>
                <w:sz w:val="20"/>
                <w:szCs w:val="20"/>
                <w:color w:val="auto"/>
              </w:rPr>
            </w:pPr>
            <w:r>
              <w:rPr>
                <w:rFonts w:ascii="Courier New" w:cs="Courier New" w:eastAsia="Courier New" w:hAnsi="Courier New"/>
                <w:sz w:val="16"/>
                <w:szCs w:val="16"/>
                <w:color w:val="auto"/>
              </w:rPr>
              <w:t>00</w:t>
            </w:r>
          </w:p>
        </w:tc>
      </w:tr>
      <w:tr>
        <w:trPr>
          <w:trHeight w:val="185"/>
        </w:trPr>
        <w:tc>
          <w:tcPr>
            <w:tcW w:w="19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1,600</w:t>
            </w: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40</w:t>
            </w: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5"/>
        </w:trPr>
        <w:tc>
          <w:tcPr>
            <w:tcW w:w="19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800</w:t>
            </w: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w:t>
            </w:r>
          </w:p>
        </w:tc>
        <w:tc>
          <w:tcPr>
            <w:tcW w:w="540" w:type="dxa"/>
            <w:vAlign w:val="bottom"/>
          </w:tcPr>
          <w:p>
            <w:pPr>
              <w:spacing w:after="0"/>
              <w:rPr>
                <w:sz w:val="16"/>
                <w:szCs w:val="16"/>
                <w:color w:val="auto"/>
              </w:rPr>
            </w:pPr>
          </w:p>
        </w:tc>
        <w:tc>
          <w:tcPr>
            <w:tcW w:w="186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[PERFORMANCE CHART]</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jc w:val="both"/>
        <w:ind w:left="1" w:right="2539"/>
        <w:spacing w:after="0" w:line="267" w:lineRule="auto"/>
        <w:rPr>
          <w:sz w:val="20"/>
          <w:szCs w:val="20"/>
          <w:color w:val="auto"/>
        </w:rPr>
      </w:pPr>
      <w:r>
        <w:rPr>
          <w:rFonts w:ascii="Courier New" w:cs="Courier New" w:eastAsia="Courier New" w:hAnsi="Courier New"/>
          <w:sz w:val="15"/>
          <w:szCs w:val="15"/>
          <w:color w:val="auto"/>
        </w:rPr>
        <w:t>France - Revenues in France grew 20% in local currency to FFR 28.0 billion ($3.9 billion). This strong organic growth rate, which slightly exceeded the staffing industry's market rate of growth, was fueled by the strong French economy.</w:t>
      </w:r>
    </w:p>
    <w:p>
      <w:pPr>
        <w:spacing w:after="0" w:line="172" w:lineRule="exact"/>
        <w:rPr>
          <w:sz w:val="20"/>
          <w:szCs w:val="20"/>
          <w:color w:val="auto"/>
        </w:rPr>
      </w:pPr>
    </w:p>
    <w:p>
      <w:pPr>
        <w:ind w:left="1" w:right="2819" w:firstLine="865"/>
        <w:spacing w:after="0" w:line="244" w:lineRule="auto"/>
        <w:rPr>
          <w:sz w:val="20"/>
          <w:szCs w:val="20"/>
          <w:color w:val="auto"/>
        </w:rPr>
      </w:pPr>
      <w:r>
        <w:rPr>
          <w:rFonts w:ascii="Courier New" w:cs="Courier New" w:eastAsia="Courier New" w:hAnsi="Courier New"/>
          <w:sz w:val="16"/>
          <w:szCs w:val="16"/>
          <w:color w:val="auto"/>
        </w:rPr>
        <w:t>More importantly, our French organization was able to achieve this strong revenue gain while improving operating margins. Operating profit increased 49% in local currency in 2000, following a 39% improvement in 1999. Operating profit margins improved to 3.3% in 2000, representing the second consecutive year with a 60 basis point improvement. These improvements are primarily the result of enhanced pricing initiatives.</w:t>
      </w:r>
    </w:p>
    <w:p>
      <w:pPr>
        <w:spacing w:after="0" w:line="186" w:lineRule="exact"/>
        <w:rPr>
          <w:sz w:val="20"/>
          <w:szCs w:val="20"/>
          <w:color w:val="auto"/>
        </w:rPr>
      </w:pPr>
    </w:p>
    <w:p>
      <w:pPr>
        <w:ind w:left="1"/>
        <w:spacing w:after="0"/>
        <w:tabs>
          <w:tab w:leader="none" w:pos="2281" w:val="left"/>
          <w:tab w:leader="none" w:pos="4301" w:val="left"/>
        </w:tabs>
        <w:rPr>
          <w:sz w:val="20"/>
          <w:szCs w:val="20"/>
          <w:color w:val="auto"/>
        </w:rPr>
      </w:pPr>
      <w:r>
        <w:rPr>
          <w:rFonts w:ascii="Courier New" w:cs="Courier New" w:eastAsia="Courier New" w:hAnsi="Courier New"/>
          <w:sz w:val="16"/>
          <w:szCs w:val="16"/>
          <w:color w:val="auto"/>
        </w:rPr>
        <w:t>France</w:t>
      </w:r>
      <w:r>
        <w:rPr>
          <w:sz w:val="20"/>
          <w:szCs w:val="20"/>
          <w:color w:val="auto"/>
        </w:rPr>
        <w:tab/>
      </w:r>
      <w:r>
        <w:rPr>
          <w:rFonts w:ascii="Courier New" w:cs="Courier New" w:eastAsia="Courier New" w:hAnsi="Courier New"/>
          <w:sz w:val="16"/>
          <w:szCs w:val="16"/>
          <w:color w:val="auto"/>
        </w:rPr>
        <w:t>Revenue</w:t>
      </w:r>
      <w:r>
        <w:rPr>
          <w:sz w:val="20"/>
          <w:szCs w:val="20"/>
          <w:color w:val="auto"/>
        </w:rPr>
        <w:tab/>
      </w:r>
      <w:r>
        <w:rPr>
          <w:rFonts w:ascii="Courier New" w:cs="Courier New" w:eastAsia="Courier New" w:hAnsi="Courier New"/>
          <w:sz w:val="16"/>
          <w:szCs w:val="16"/>
          <w:color w:val="auto"/>
        </w:rPr>
        <w:t>Operating Profit</w:t>
      </w:r>
    </w:p>
    <w:p>
      <w:pPr>
        <w:spacing w:after="0" w:line="5" w:lineRule="exact"/>
        <w:rPr>
          <w:sz w:val="20"/>
          <w:szCs w:val="20"/>
          <w:color w:val="auto"/>
        </w:rPr>
      </w:pPr>
    </w:p>
    <w:p>
      <w:pPr>
        <w:ind w:left="201" w:hanging="201"/>
        <w:spacing w:after="0"/>
        <w:tabs>
          <w:tab w:leader="none" w:pos="20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millions</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920" w:type="dxa"/>
            <w:vAlign w:val="bottom"/>
          </w:tcPr>
          <w:p>
            <w:pPr>
              <w:spacing w:after="0"/>
              <w:rPr>
                <w:sz w:val="20"/>
                <w:szCs w:val="20"/>
                <w:color w:val="auto"/>
              </w:rPr>
            </w:pPr>
            <w:r>
              <w:rPr>
                <w:rFonts w:ascii="Courier New" w:cs="Courier New" w:eastAsia="Courier New" w:hAnsi="Courier New"/>
                <w:sz w:val="16"/>
                <w:szCs w:val="16"/>
                <w:color w:val="auto"/>
              </w:rPr>
              <w:t>of U.S. Dollars)</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4,000</w:t>
            </w:r>
          </w:p>
        </w:tc>
        <w:tc>
          <w:tcPr>
            <w:tcW w:w="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+34%</w:t>
            </w: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rPr>
              <w:t>+4%</w:t>
            </w:r>
          </w:p>
        </w:tc>
        <w:tc>
          <w:tcPr>
            <w:tcW w:w="720" w:type="dxa"/>
            <w:vAlign w:val="bottom"/>
          </w:tcPr>
          <w:p>
            <w:pPr>
              <w:ind w:left="100"/>
              <w:spacing w:after="0"/>
              <w:rPr>
                <w:sz w:val="20"/>
                <w:szCs w:val="20"/>
                <w:color w:val="auto"/>
              </w:rPr>
            </w:pPr>
            <w:r>
              <w:rPr>
                <w:rFonts w:ascii="Courier New" w:cs="Courier New" w:eastAsia="Courier New" w:hAnsi="Courier New"/>
                <w:sz w:val="16"/>
                <w:szCs w:val="16"/>
                <w:color w:val="auto"/>
              </w:rPr>
              <w:t>+4%</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140</w:t>
            </w:r>
          </w:p>
        </w:tc>
        <w:tc>
          <w:tcPr>
            <w:tcW w:w="13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-16% +31% +29%</w:t>
            </w:r>
          </w:p>
        </w:tc>
      </w:tr>
      <w:tr>
        <w:trPr>
          <w:trHeight w:val="185"/>
        </w:trPr>
        <w:tc>
          <w:tcPr>
            <w:tcW w:w="19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3,200</w:t>
            </w:r>
          </w:p>
        </w:tc>
        <w:tc>
          <w:tcPr>
            <w:tcW w:w="5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98</w:t>
            </w: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rPr>
              <w:t>99</w:t>
            </w:r>
          </w:p>
        </w:tc>
        <w:tc>
          <w:tcPr>
            <w:tcW w:w="720" w:type="dxa"/>
            <w:vAlign w:val="bottom"/>
          </w:tcPr>
          <w:p>
            <w:pPr>
              <w:ind w:left="100"/>
              <w:spacing w:after="0"/>
              <w:rPr>
                <w:sz w:val="20"/>
                <w:szCs w:val="20"/>
                <w:color w:val="auto"/>
              </w:rPr>
            </w:pPr>
            <w:r>
              <w:rPr>
                <w:rFonts w:ascii="Courier New" w:cs="Courier New" w:eastAsia="Courier New" w:hAnsi="Courier New"/>
                <w:sz w:val="16"/>
                <w:szCs w:val="16"/>
                <w:color w:val="auto"/>
              </w:rPr>
              <w:t>00</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120</w:t>
            </w:r>
          </w:p>
        </w:tc>
        <w:tc>
          <w:tcPr>
            <w:tcW w:w="4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98</w:t>
            </w:r>
          </w:p>
        </w:tc>
        <w:tc>
          <w:tcPr>
            <w:tcW w:w="4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99</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00</w:t>
            </w:r>
          </w:p>
        </w:tc>
      </w:tr>
      <w:tr>
        <w:trPr>
          <w:trHeight w:val="185"/>
        </w:trPr>
        <w:tc>
          <w:tcPr>
            <w:tcW w:w="19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2,400</w:t>
            </w: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185"/>
        </w:trPr>
        <w:tc>
          <w:tcPr>
            <w:tcW w:w="19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1,600</w:t>
            </w: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80</w:t>
            </w: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185"/>
        </w:trPr>
        <w:tc>
          <w:tcPr>
            <w:tcW w:w="19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800</w:t>
            </w: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r>
    </w:tbl>
    <w:p>
      <w:pPr>
        <w:spacing w:after="0" w:line="4" w:lineRule="exact"/>
        <w:rPr>
          <w:sz w:val="20"/>
          <w:szCs w:val="20"/>
          <w:color w:val="auto"/>
        </w:rPr>
      </w:pPr>
    </w:p>
    <w:p>
      <w:pPr>
        <w:ind w:left="5001"/>
        <w:spacing w:after="0"/>
        <w:rPr>
          <w:sz w:val="20"/>
          <w:szCs w:val="20"/>
          <w:color w:val="auto"/>
        </w:rPr>
      </w:pPr>
      <w:r>
        <w:rPr>
          <w:rFonts w:ascii="Courier New" w:cs="Courier New" w:eastAsia="Courier New" w:hAnsi="Courier New"/>
          <w:sz w:val="16"/>
          <w:szCs w:val="16"/>
          <w:color w:val="auto"/>
        </w:rPr>
        <w:t>40</w:t>
      </w:r>
    </w:p>
    <w:p>
      <w:pPr>
        <w:spacing w:after="0" w:line="4" w:lineRule="exact"/>
        <w:rPr>
          <w:sz w:val="20"/>
          <w:szCs w:val="20"/>
          <w:color w:val="auto"/>
        </w:rPr>
      </w:pPr>
    </w:p>
    <w:p>
      <w:pPr>
        <w:ind w:left="5001"/>
        <w:spacing w:after="0"/>
        <w:tabs>
          <w:tab w:leader="none" w:pos="5841" w:val="left"/>
        </w:tabs>
        <w:rPr>
          <w:sz w:val="20"/>
          <w:szCs w:val="20"/>
          <w:color w:val="auto"/>
        </w:rPr>
      </w:pPr>
      <w:r>
        <w:rPr>
          <w:rFonts w:ascii="Courier New" w:cs="Courier New" w:eastAsia="Courier New" w:hAnsi="Courier New"/>
          <w:sz w:val="16"/>
          <w:szCs w:val="16"/>
          <w:color w:val="auto"/>
        </w:rPr>
        <w:t>20</w:t>
      </w:r>
      <w:r>
        <w:rPr>
          <w:sz w:val="20"/>
          <w:szCs w:val="20"/>
          <w:color w:val="auto"/>
        </w:rPr>
        <w:tab/>
      </w:r>
      <w:r>
        <w:rPr>
          <w:rFonts w:ascii="Courier New" w:cs="Courier New" w:eastAsia="Courier New" w:hAnsi="Courier New"/>
          <w:sz w:val="16"/>
          <w:szCs w:val="16"/>
          <w:color w:val="auto"/>
        </w:rPr>
        <w:t>[PERFORMANCE GRAPH]</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right="2539"/>
        <w:spacing w:after="0" w:line="263" w:lineRule="auto"/>
        <w:rPr>
          <w:sz w:val="20"/>
          <w:szCs w:val="20"/>
          <w:color w:val="auto"/>
        </w:rPr>
      </w:pPr>
      <w:r>
        <w:rPr>
          <w:rFonts w:ascii="Courier New" w:cs="Courier New" w:eastAsia="Courier New" w:hAnsi="Courier New"/>
          <w:sz w:val="15"/>
          <w:szCs w:val="15"/>
          <w:color w:val="auto"/>
        </w:rPr>
        <w:t>United Kingdom - In January 2000, the Company acquired Elan Group Limited (`Elan'), a European specialty IT staffing company with significant operations in the U.K. (See Note 11 to the Consolidated Financial Statements for further information.) All of the Company's IT business in the U.K. has been integrated into Elan, strengthening our position as the leading IT staffing provider in the U.K. The Company expects that this integration will provide a strong platform for the rapid expansion of its IT staffing business throughout mainland Europe.</w:t>
      </w:r>
    </w:p>
    <w:p>
      <w:pPr>
        <w:spacing w:after="0" w:line="175" w:lineRule="exact"/>
        <w:rPr>
          <w:sz w:val="20"/>
          <w:szCs w:val="20"/>
          <w:color w:val="auto"/>
        </w:rPr>
      </w:pPr>
    </w:p>
    <w:p>
      <w:pPr>
        <w:ind w:left="1" w:right="2539" w:firstLine="865"/>
        <w:spacing w:after="0" w:line="274" w:lineRule="auto"/>
        <w:rPr>
          <w:sz w:val="20"/>
          <w:szCs w:val="20"/>
          <w:color w:val="auto"/>
        </w:rPr>
      </w:pPr>
      <w:r>
        <w:rPr>
          <w:rFonts w:ascii="Courier New" w:cs="Courier New" w:eastAsia="Courier New" w:hAnsi="Courier New"/>
          <w:sz w:val="15"/>
          <w:szCs w:val="15"/>
          <w:color w:val="auto"/>
        </w:rPr>
        <w:t>Revenues in the U.K. grew 33%, in local currency, reaching $1.5 billion for the year 2000. This growth includes the impact of the Elan acquisition.</w:t>
      </w:r>
    </w:p>
    <w:p>
      <w:pPr>
        <w:sectPr>
          <w:pgSz w:w="11900" w:h="16838" w:orient="portrait"/>
          <w:cols w:equalWidth="0" w:num="1">
            <w:col w:w="10221"/>
          </w:cols>
          <w:pgMar w:left="239" w:top="300" w:right="1440" w:bottom="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81"/>
        </w:trPr>
        <w:tc>
          <w:tcPr>
            <w:tcW w:w="4380" w:type="dxa"/>
            <w:vAlign w:val="bottom"/>
          </w:tcPr>
          <w:p>
            <w:pPr>
              <w:spacing w:after="0"/>
              <w:rPr>
                <w:sz w:val="20"/>
                <w:szCs w:val="20"/>
                <w:color w:val="auto"/>
              </w:rPr>
            </w:pPr>
            <w:r>
              <w:rPr>
                <w:rFonts w:ascii="Courier New" w:cs="Courier New" w:eastAsia="Courier New" w:hAnsi="Courier New"/>
                <w:sz w:val="16"/>
                <w:szCs w:val="16"/>
                <w:color w:val="auto"/>
              </w:rPr>
              <w:t>Manpower Inc.</w:t>
            </w:r>
          </w:p>
        </w:tc>
        <w:tc>
          <w:tcPr>
            <w:tcW w:w="3300" w:type="dxa"/>
            <w:vAlign w:val="bottom"/>
          </w:tcPr>
          <w:p>
            <w:pPr>
              <w:jc w:val="right"/>
              <w:spacing w:after="0"/>
              <w:rPr>
                <w:sz w:val="20"/>
                <w:szCs w:val="20"/>
                <w:color w:val="auto"/>
              </w:rPr>
            </w:pPr>
            <w:r>
              <w:rPr>
                <w:rFonts w:ascii="Courier New" w:cs="Courier New" w:eastAsia="Courier New" w:hAnsi="Courier New"/>
                <w:sz w:val="16"/>
                <w:szCs w:val="16"/>
                <w:color w:val="auto"/>
              </w:rPr>
              <w:t>67</w:t>
            </w:r>
          </w:p>
        </w:tc>
      </w:tr>
    </w:tbl>
    <w:p>
      <w:pPr>
        <w:sectPr>
          <w:pgSz w:w="11900" w:h="16838" w:orient="portrait"/>
          <w:cols w:equalWidth="0" w:num="1">
            <w:col w:w="10219"/>
          </w:cols>
          <w:pgMar w:left="240" w:top="140" w:right="1440" w:bottom="1440" w:gutter="0" w:footer="0" w:header="0"/>
        </w:sectPr>
      </w:pPr>
    </w:p>
    <w:bookmarkStart w:id="59" w:name="page60"/>
    <w:bookmarkEnd w:id="59"/>
    <w:p>
      <w:pPr>
        <w:ind w:left="281"/>
        <w:spacing w:after="0"/>
        <w:rPr>
          <w:sz w:val="20"/>
          <w:szCs w:val="20"/>
          <w:color w:val="auto"/>
        </w:rPr>
      </w:pPr>
      <w:r>
        <w:rPr>
          <w:rFonts w:ascii="Courier New" w:cs="Courier New" w:eastAsia="Courier New" w:hAnsi="Courier New"/>
          <w:sz w:val="16"/>
          <w:szCs w:val="16"/>
          <w:color w:val="auto"/>
        </w:rPr>
        <w:t>42</w:t>
      </w:r>
    </w:p>
    <w:p>
      <w:pPr>
        <w:spacing w:after="0" w:line="4" w:lineRule="exact"/>
        <w:rPr>
          <w:sz w:val="20"/>
          <w:szCs w:val="20"/>
          <w:color w:val="auto"/>
        </w:rPr>
      </w:pPr>
    </w:p>
    <w:p>
      <w:pPr>
        <w:ind w:left="1541"/>
        <w:spacing w:after="0"/>
        <w:rPr>
          <w:sz w:val="20"/>
          <w:szCs w:val="20"/>
          <w:color w:val="auto"/>
        </w:rPr>
      </w:pPr>
      <w:r>
        <w:rPr>
          <w:rFonts w:ascii="Courier New" w:cs="Courier New" w:eastAsia="Courier New" w:hAnsi="Courier New"/>
          <w:sz w:val="16"/>
          <w:szCs w:val="16"/>
          <w:color w:val="auto"/>
        </w:rPr>
        <w:t>MANAGEMENT'S DISCUSSION AND ANALYSIS (continued)</w:t>
      </w:r>
    </w:p>
    <w:p>
      <w:pPr>
        <w:spacing w:after="0" w:line="4" w:lineRule="exact"/>
        <w:rPr>
          <w:sz w:val="20"/>
          <w:szCs w:val="20"/>
          <w:color w:val="auto"/>
        </w:rPr>
      </w:pPr>
    </w:p>
    <w:p>
      <w:pPr>
        <w:ind w:left="1541"/>
        <w:spacing w:after="0"/>
        <w:rPr>
          <w:sz w:val="20"/>
          <w:szCs w:val="20"/>
          <w:color w:val="auto"/>
        </w:rPr>
      </w:pPr>
      <w:r>
        <w:rPr>
          <w:rFonts w:ascii="Courier New" w:cs="Courier New" w:eastAsia="Courier New" w:hAnsi="Courier New"/>
          <w:sz w:val="16"/>
          <w:szCs w:val="16"/>
          <w:color w:val="auto"/>
        </w:rPr>
        <w:t>of Financial Condition and Results of Operations</w:t>
      </w:r>
    </w:p>
    <w:p>
      <w:pPr>
        <w:spacing w:after="0" w:line="190"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Operating profit margins declined 20 basis points during the year, reflecting the continued price competition of the large account business and the impact of the slowdown in the IT sector in the U.K. The Manpower brand has begun implementing a program expected to achieve higher gross margins and improved productivity through its office network.</w:t>
      </w:r>
    </w:p>
    <w:p>
      <w:pPr>
        <w:spacing w:after="0" w:line="187" w:lineRule="exact"/>
        <w:rPr>
          <w:sz w:val="20"/>
          <w:szCs w:val="20"/>
          <w:color w:val="auto"/>
        </w:rPr>
      </w:pPr>
    </w:p>
    <w:p>
      <w:pPr>
        <w:ind w:left="1" w:right="3119" w:firstLine="865"/>
        <w:spacing w:after="0" w:line="274" w:lineRule="auto"/>
        <w:rPr>
          <w:sz w:val="20"/>
          <w:szCs w:val="20"/>
          <w:color w:val="auto"/>
        </w:rPr>
      </w:pPr>
      <w:r>
        <w:rPr>
          <w:rFonts w:ascii="Courier New" w:cs="Courier New" w:eastAsia="Courier New" w:hAnsi="Courier New"/>
          <w:sz w:val="15"/>
          <w:szCs w:val="15"/>
          <w:color w:val="auto"/>
        </w:rPr>
        <w:t>The Brook Street brand had a very good performance, with revenues increasing 11%, in local currency. Operating profit increased 23%.</w:t>
      </w:r>
    </w:p>
    <w:p>
      <w:pPr>
        <w:spacing w:after="0" w:line="164" w:lineRule="exact"/>
        <w:rPr>
          <w:sz w:val="20"/>
          <w:szCs w:val="20"/>
          <w:color w:val="auto"/>
        </w:rPr>
      </w:pPr>
    </w:p>
    <w:p>
      <w:pPr>
        <w:ind w:left="1"/>
        <w:spacing w:after="0"/>
        <w:tabs>
          <w:tab w:leader="none" w:pos="3061" w:val="left"/>
          <w:tab w:leader="none" w:pos="5081" w:val="left"/>
        </w:tabs>
        <w:rPr>
          <w:sz w:val="20"/>
          <w:szCs w:val="20"/>
          <w:color w:val="auto"/>
        </w:rPr>
      </w:pPr>
      <w:r>
        <w:rPr>
          <w:rFonts w:ascii="Courier New" w:cs="Courier New" w:eastAsia="Courier New" w:hAnsi="Courier New"/>
          <w:sz w:val="16"/>
          <w:szCs w:val="16"/>
          <w:color w:val="auto"/>
        </w:rPr>
        <w:t>United Kingdom</w:t>
      </w:r>
      <w:r>
        <w:rPr>
          <w:sz w:val="20"/>
          <w:szCs w:val="20"/>
          <w:color w:val="auto"/>
        </w:rPr>
        <w:tab/>
      </w:r>
      <w:r>
        <w:rPr>
          <w:rFonts w:ascii="Courier New" w:cs="Courier New" w:eastAsia="Courier New" w:hAnsi="Courier New"/>
          <w:sz w:val="16"/>
          <w:szCs w:val="16"/>
          <w:color w:val="auto"/>
        </w:rPr>
        <w:t>Revenue</w:t>
      </w:r>
      <w:r>
        <w:rPr>
          <w:sz w:val="20"/>
          <w:szCs w:val="20"/>
          <w:color w:val="auto"/>
        </w:rPr>
        <w:tab/>
      </w:r>
      <w:r>
        <w:rPr>
          <w:rFonts w:ascii="Courier New" w:cs="Courier New" w:eastAsia="Courier New" w:hAnsi="Courier New"/>
          <w:sz w:val="15"/>
          <w:szCs w:val="15"/>
          <w:color w:val="auto"/>
        </w:rPr>
        <w:t>Operating Profit</w:t>
      </w:r>
    </w:p>
    <w:p>
      <w:pPr>
        <w:spacing w:after="0" w:line="5" w:lineRule="exact"/>
        <w:rPr>
          <w:sz w:val="20"/>
          <w:szCs w:val="20"/>
          <w:color w:val="auto"/>
        </w:rPr>
      </w:pPr>
    </w:p>
    <w:p>
      <w:pPr>
        <w:ind w:left="201" w:hanging="201"/>
        <w:spacing w:after="0"/>
        <w:tabs>
          <w:tab w:leader="none" w:pos="201"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millions</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920" w:type="dxa"/>
            <w:vAlign w:val="bottom"/>
          </w:tcPr>
          <w:p>
            <w:pPr>
              <w:spacing w:after="0"/>
              <w:rPr>
                <w:sz w:val="20"/>
                <w:szCs w:val="20"/>
                <w:color w:val="auto"/>
              </w:rPr>
            </w:pPr>
            <w:r>
              <w:rPr>
                <w:rFonts w:ascii="Courier New" w:cs="Courier New" w:eastAsia="Courier New" w:hAnsi="Courier New"/>
                <w:sz w:val="16"/>
                <w:szCs w:val="16"/>
                <w:color w:val="auto"/>
              </w:rPr>
              <w:t>of U.S. Dollars)</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5,000</w:t>
            </w:r>
          </w:p>
        </w:tc>
        <w:tc>
          <w:tcPr>
            <w:tcW w:w="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w:t>
            </w: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rPr>
              <w:t>+8%</w:t>
            </w:r>
          </w:p>
        </w:tc>
        <w:tc>
          <w:tcPr>
            <w:tcW w:w="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+24%</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5"/>
        </w:trPr>
        <w:tc>
          <w:tcPr>
            <w:tcW w:w="19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1,200</w:t>
            </w:r>
          </w:p>
        </w:tc>
        <w:tc>
          <w:tcPr>
            <w:tcW w:w="5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98</w:t>
            </w: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rPr>
              <w:t>99</w:t>
            </w:r>
          </w:p>
        </w:tc>
        <w:tc>
          <w:tcPr>
            <w:tcW w:w="8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00</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98</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99</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00</w:t>
            </w:r>
          </w:p>
        </w:tc>
      </w:tr>
      <w:tr>
        <w:trPr>
          <w:trHeight w:val="185"/>
        </w:trPr>
        <w:tc>
          <w:tcPr>
            <w:tcW w:w="19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900</w:t>
            </w: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85"/>
        </w:trPr>
        <w:tc>
          <w:tcPr>
            <w:tcW w:w="19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600</w:t>
            </w: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85"/>
        </w:trPr>
        <w:tc>
          <w:tcPr>
            <w:tcW w:w="19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300</w:t>
            </w: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r>
    </w:tbl>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[PERFORMANCE GRAPH]</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jc w:val="both"/>
        <w:ind w:left="1" w:right="3299"/>
        <w:spacing w:after="0" w:line="243" w:lineRule="auto"/>
        <w:rPr>
          <w:sz w:val="20"/>
          <w:szCs w:val="20"/>
          <w:color w:val="auto"/>
        </w:rPr>
      </w:pPr>
      <w:r>
        <w:rPr>
          <w:rFonts w:ascii="Courier New" w:cs="Courier New" w:eastAsia="Courier New" w:hAnsi="Courier New"/>
          <w:sz w:val="16"/>
          <w:szCs w:val="16"/>
          <w:color w:val="auto"/>
        </w:rPr>
        <w:t>Other Europe - Revenues in the Other Europe segment grew 29% in constant currency during 2000, reaching $1.9 billion. This represents the fourth consecutive year of organic constant currency growth in excess of 25%.</w:t>
      </w:r>
    </w:p>
    <w:p>
      <w:pPr>
        <w:spacing w:after="0" w:line="189" w:lineRule="exact"/>
        <w:rPr>
          <w:sz w:val="20"/>
          <w:szCs w:val="20"/>
          <w:color w:val="auto"/>
        </w:rPr>
      </w:pPr>
    </w:p>
    <w:p>
      <w:pPr>
        <w:ind w:left="1" w:right="2539" w:firstLine="865"/>
        <w:spacing w:after="0" w:line="243" w:lineRule="auto"/>
        <w:rPr>
          <w:sz w:val="20"/>
          <w:szCs w:val="20"/>
          <w:color w:val="auto"/>
        </w:rPr>
      </w:pPr>
      <w:r>
        <w:rPr>
          <w:rFonts w:ascii="Courier New" w:cs="Courier New" w:eastAsia="Courier New" w:hAnsi="Courier New"/>
          <w:sz w:val="16"/>
          <w:szCs w:val="16"/>
          <w:color w:val="auto"/>
        </w:rPr>
        <w:t>Operating profit was also very strong, increasing in excess of 50% on a constant currency basis. Operating profit reached $89.1 million in 2000, more than doubling over the last three years.</w:t>
      </w:r>
    </w:p>
    <w:p>
      <w:pPr>
        <w:spacing w:after="0" w:line="189" w:lineRule="exact"/>
        <w:rPr>
          <w:sz w:val="20"/>
          <w:szCs w:val="20"/>
          <w:color w:val="auto"/>
        </w:rPr>
      </w:pPr>
    </w:p>
    <w:p>
      <w:pPr>
        <w:ind w:left="1" w:right="2719" w:firstLine="865"/>
        <w:spacing w:after="0" w:line="243" w:lineRule="auto"/>
        <w:rPr>
          <w:sz w:val="20"/>
          <w:szCs w:val="20"/>
          <w:color w:val="auto"/>
        </w:rPr>
      </w:pPr>
      <w:r>
        <w:rPr>
          <w:rFonts w:ascii="Courier New" w:cs="Courier New" w:eastAsia="Courier New" w:hAnsi="Courier New"/>
          <w:sz w:val="16"/>
          <w:szCs w:val="16"/>
          <w:color w:val="auto"/>
        </w:rPr>
        <w:t>This strong revenue and profit growth is the direct result of significant new office investments the Company has made over the last several years, particularly in fast growing markets such as Italy, Sweden and Germany.</w:t>
      </w:r>
    </w:p>
    <w:p>
      <w:pPr>
        <w:spacing w:after="0" w:line="189" w:lineRule="exact"/>
        <w:rPr>
          <w:sz w:val="20"/>
          <w:szCs w:val="20"/>
          <w:color w:val="auto"/>
        </w:rPr>
      </w:pPr>
    </w:p>
    <w:p>
      <w:pPr>
        <w:ind w:left="1" w:right="2539"/>
        <w:spacing w:after="0" w:line="274" w:lineRule="auto"/>
        <w:rPr>
          <w:sz w:val="20"/>
          <w:szCs w:val="20"/>
          <w:color w:val="auto"/>
        </w:rPr>
      </w:pPr>
      <w:r>
        <w:rPr>
          <w:rFonts w:ascii="Courier New" w:cs="Courier New" w:eastAsia="Courier New" w:hAnsi="Courier New"/>
          <w:sz w:val="15"/>
          <w:szCs w:val="15"/>
          <w:color w:val="auto"/>
        </w:rPr>
        <w:t>During 2000, the Company opened almost 150 offices in the Other European markets and has opened over 700 offices in this market during the past five years.</w:t>
      </w:r>
    </w:p>
    <w:p>
      <w:pPr>
        <w:spacing w:after="0" w:line="164" w:lineRule="exact"/>
        <w:rPr>
          <w:sz w:val="20"/>
          <w:szCs w:val="20"/>
          <w:color w:val="auto"/>
        </w:rPr>
      </w:pPr>
    </w:p>
    <w:p>
      <w:pPr>
        <w:ind w:left="1"/>
        <w:spacing w:after="0"/>
        <w:tabs>
          <w:tab w:leader="none" w:pos="2861" w:val="left"/>
          <w:tab w:leader="none" w:pos="4881" w:val="left"/>
        </w:tabs>
        <w:rPr>
          <w:sz w:val="20"/>
          <w:szCs w:val="20"/>
          <w:color w:val="auto"/>
        </w:rPr>
      </w:pPr>
      <w:r>
        <w:rPr>
          <w:rFonts w:ascii="Courier New" w:cs="Courier New" w:eastAsia="Courier New" w:hAnsi="Courier New"/>
          <w:sz w:val="16"/>
          <w:szCs w:val="16"/>
          <w:color w:val="auto"/>
        </w:rPr>
        <w:t>Other Europe</w:t>
      </w:r>
      <w:r>
        <w:rPr>
          <w:sz w:val="20"/>
          <w:szCs w:val="20"/>
          <w:color w:val="auto"/>
        </w:rPr>
        <w:tab/>
      </w:r>
      <w:r>
        <w:rPr>
          <w:rFonts w:ascii="Courier New" w:cs="Courier New" w:eastAsia="Courier New" w:hAnsi="Courier New"/>
          <w:sz w:val="16"/>
          <w:szCs w:val="16"/>
          <w:color w:val="auto"/>
        </w:rPr>
        <w:t>Revenue</w:t>
      </w:r>
      <w:r>
        <w:rPr>
          <w:sz w:val="20"/>
          <w:szCs w:val="20"/>
          <w:color w:val="auto"/>
        </w:rPr>
        <w:tab/>
      </w:r>
      <w:r>
        <w:rPr>
          <w:rFonts w:ascii="Courier New" w:cs="Courier New" w:eastAsia="Courier New" w:hAnsi="Courier New"/>
          <w:sz w:val="16"/>
          <w:szCs w:val="16"/>
          <w:color w:val="auto"/>
        </w:rPr>
        <w:t>Operating Profit</w:t>
      </w:r>
    </w:p>
    <w:p>
      <w:pPr>
        <w:spacing w:after="0" w:line="5" w:lineRule="exact"/>
        <w:rPr>
          <w:sz w:val="20"/>
          <w:szCs w:val="20"/>
          <w:color w:val="auto"/>
        </w:rPr>
      </w:pPr>
    </w:p>
    <w:p>
      <w:pPr>
        <w:ind w:left="201" w:hanging="201"/>
        <w:spacing w:after="0"/>
        <w:tabs>
          <w:tab w:leader="none" w:pos="201"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millions</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920" w:type="dxa"/>
            <w:vAlign w:val="bottom"/>
          </w:tcPr>
          <w:p>
            <w:pPr>
              <w:spacing w:after="0"/>
              <w:rPr>
                <w:sz w:val="20"/>
                <w:szCs w:val="20"/>
                <w:color w:val="auto"/>
              </w:rPr>
            </w:pPr>
            <w:r>
              <w:rPr>
                <w:rFonts w:ascii="Courier New" w:cs="Courier New" w:eastAsia="Courier New" w:hAnsi="Courier New"/>
                <w:sz w:val="16"/>
                <w:szCs w:val="16"/>
                <w:color w:val="auto"/>
              </w:rPr>
              <w:t>of U.S. Dollars)</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c>
          <w:tcPr>
            <w:tcW w:w="1720" w:type="dxa"/>
            <w:vAlign w:val="bottom"/>
            <w:gridSpan w:val="3"/>
          </w:tcPr>
          <w:p>
            <w:pPr>
              <w:jc w:val="right"/>
              <w:ind w:right="260"/>
              <w:spacing w:after="0"/>
              <w:rPr>
                <w:sz w:val="20"/>
                <w:szCs w:val="20"/>
                <w:color w:val="auto"/>
              </w:rPr>
            </w:pPr>
            <w:r>
              <w:rPr>
                <w:rFonts w:ascii="Courier New" w:cs="Courier New" w:eastAsia="Courier New" w:hAnsi="Courier New"/>
                <w:sz w:val="16"/>
                <w:szCs w:val="16"/>
                <w:color w:val="auto"/>
              </w:rPr>
              <w:t>+32% +29% +14%</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c>
          <w:tcPr>
            <w:tcW w:w="13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+14% +29% +31%</w:t>
            </w:r>
          </w:p>
        </w:tc>
      </w:tr>
      <w:tr>
        <w:trPr>
          <w:trHeight w:val="185"/>
        </w:trPr>
        <w:tc>
          <w:tcPr>
            <w:tcW w:w="19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1,500</w:t>
            </w:r>
          </w:p>
        </w:tc>
        <w:tc>
          <w:tcPr>
            <w:tcW w:w="4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98</w:t>
            </w:r>
          </w:p>
        </w:tc>
        <w:tc>
          <w:tcPr>
            <w:tcW w:w="4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99</w:t>
            </w:r>
          </w:p>
        </w:tc>
        <w:tc>
          <w:tcPr>
            <w:tcW w:w="76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00</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80</w:t>
            </w:r>
          </w:p>
        </w:tc>
        <w:tc>
          <w:tcPr>
            <w:tcW w:w="4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98</w:t>
            </w:r>
          </w:p>
        </w:tc>
        <w:tc>
          <w:tcPr>
            <w:tcW w:w="4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99</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00</w:t>
            </w:r>
          </w:p>
        </w:tc>
      </w:tr>
      <w:tr>
        <w:trPr>
          <w:trHeight w:val="185"/>
        </w:trPr>
        <w:tc>
          <w:tcPr>
            <w:tcW w:w="19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185"/>
        </w:trPr>
        <w:tc>
          <w:tcPr>
            <w:tcW w:w="19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500</w:t>
            </w: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185"/>
        </w:trPr>
        <w:tc>
          <w:tcPr>
            <w:tcW w:w="19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r>
    </w:tbl>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[PERFORMANCE GRAPH]</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right="2539"/>
        <w:spacing w:after="0" w:line="242" w:lineRule="auto"/>
        <w:rPr>
          <w:sz w:val="20"/>
          <w:szCs w:val="20"/>
          <w:color w:val="auto"/>
        </w:rPr>
      </w:pPr>
      <w:r>
        <w:rPr>
          <w:rFonts w:ascii="Courier New" w:cs="Courier New" w:eastAsia="Courier New" w:hAnsi="Courier New"/>
          <w:sz w:val="16"/>
          <w:szCs w:val="16"/>
          <w:color w:val="auto"/>
        </w:rPr>
        <w:t>Other Countries - Revenues in the Other Countries segment exceeded $1.1 billion, increasing 26% in U.S. dollars and constant currency.</w:t>
      </w:r>
    </w:p>
    <w:p>
      <w:pPr>
        <w:spacing w:after="0" w:line="189"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The Company's largest operation within this segment is Japan, where revenues increased 19% in local currency during 2000. Revenue growth improved throughout the year, ending with a fourth quarter revenue increase of 26%. This increase in revenue reflects the improving economy and strong secular trends toward greater usage of flexible staffing. The Company continues to invest in Japan, opening 27 offices during 2000, and is well positioned for future growth opportunities.</w:t>
      </w:r>
    </w:p>
    <w:p>
      <w:pPr>
        <w:spacing w:after="0" w:line="188"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Our operations in Canada, Mexico and Asia posted local currency revenue growth of 28%, 18%, and 56%, respectively, in 2000 while improving operating profit margins. These results reflect the benefit of our continued investment in these regions, where we added 27 offices during 2000 and 52 offices during the past two years.</w:t>
      </w:r>
    </w:p>
    <w:p>
      <w:pPr>
        <w:spacing w:after="0" w:line="187" w:lineRule="exact"/>
        <w:rPr>
          <w:sz w:val="20"/>
          <w:szCs w:val="20"/>
          <w:color w:val="auto"/>
        </w:rPr>
      </w:pPr>
    </w:p>
    <w:p>
      <w:pPr>
        <w:ind w:left="1" w:right="2719" w:firstLine="865"/>
        <w:spacing w:after="0" w:line="243" w:lineRule="auto"/>
        <w:rPr>
          <w:sz w:val="20"/>
          <w:szCs w:val="20"/>
          <w:color w:val="auto"/>
        </w:rPr>
      </w:pPr>
      <w:r>
        <w:rPr>
          <w:rFonts w:ascii="Courier New" w:cs="Courier New" w:eastAsia="Courier New" w:hAnsi="Courier New"/>
          <w:sz w:val="16"/>
          <w:szCs w:val="16"/>
          <w:color w:val="auto"/>
        </w:rPr>
        <w:t>The operating profit margin for the segment overall remained stable during the year, as our continued investment in these markets offset operating profit margin gains in other countries.</w:t>
      </w:r>
    </w:p>
    <w:p>
      <w:pPr>
        <w:spacing w:after="0" w:line="187" w:lineRule="exact"/>
        <w:rPr>
          <w:sz w:val="20"/>
          <w:szCs w:val="20"/>
          <w:color w:val="auto"/>
        </w:rPr>
      </w:pPr>
    </w:p>
    <w:p>
      <w:pPr>
        <w:ind w:left="1"/>
        <w:spacing w:after="0"/>
        <w:tabs>
          <w:tab w:leader="none" w:pos="2281" w:val="left"/>
          <w:tab w:leader="none" w:pos="4781" w:val="left"/>
        </w:tabs>
        <w:rPr>
          <w:sz w:val="20"/>
          <w:szCs w:val="20"/>
          <w:color w:val="auto"/>
        </w:rPr>
      </w:pPr>
      <w:r>
        <w:rPr>
          <w:rFonts w:ascii="Courier New" w:cs="Courier New" w:eastAsia="Courier New" w:hAnsi="Courier New"/>
          <w:sz w:val="16"/>
          <w:szCs w:val="16"/>
          <w:color w:val="auto"/>
        </w:rPr>
        <w:t>Other Countries</w:t>
      </w:r>
      <w:r>
        <w:rPr>
          <w:sz w:val="20"/>
          <w:szCs w:val="20"/>
          <w:color w:val="auto"/>
        </w:rPr>
        <w:tab/>
      </w:r>
      <w:r>
        <w:rPr>
          <w:rFonts w:ascii="Courier New" w:cs="Courier New" w:eastAsia="Courier New" w:hAnsi="Courier New"/>
          <w:sz w:val="16"/>
          <w:szCs w:val="16"/>
          <w:color w:val="auto"/>
        </w:rPr>
        <w:t>Revenue</w:t>
      </w:r>
      <w:r>
        <w:rPr>
          <w:sz w:val="20"/>
          <w:szCs w:val="20"/>
          <w:color w:val="auto"/>
        </w:rPr>
        <w:tab/>
      </w:r>
      <w:r>
        <w:rPr>
          <w:rFonts w:ascii="Courier New" w:cs="Courier New" w:eastAsia="Courier New" w:hAnsi="Courier New"/>
          <w:sz w:val="16"/>
          <w:szCs w:val="16"/>
          <w:color w:val="auto"/>
        </w:rPr>
        <w:t>Operating Profit</w:t>
      </w:r>
    </w:p>
    <w:p>
      <w:pPr>
        <w:spacing w:after="0" w:line="5" w:lineRule="exact"/>
        <w:rPr>
          <w:sz w:val="20"/>
          <w:szCs w:val="20"/>
          <w:color w:val="auto"/>
        </w:rPr>
      </w:pPr>
    </w:p>
    <w:p>
      <w:pPr>
        <w:ind w:left="201" w:hanging="201"/>
        <w:spacing w:after="0"/>
        <w:tabs>
          <w:tab w:leader="none" w:pos="20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millions</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920" w:type="dxa"/>
            <w:vAlign w:val="bottom"/>
          </w:tcPr>
          <w:p>
            <w:pPr>
              <w:spacing w:after="0"/>
              <w:rPr>
                <w:sz w:val="20"/>
                <w:szCs w:val="20"/>
                <w:color w:val="auto"/>
              </w:rPr>
            </w:pPr>
            <w:r>
              <w:rPr>
                <w:rFonts w:ascii="Courier New" w:cs="Courier New" w:eastAsia="Courier New" w:hAnsi="Courier New"/>
                <w:sz w:val="16"/>
                <w:szCs w:val="16"/>
                <w:color w:val="auto"/>
              </w:rPr>
              <w:t>of U.S. Dollars)</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1,200</w:t>
            </w:r>
          </w:p>
        </w:tc>
        <w:tc>
          <w:tcPr>
            <w:tcW w:w="1720" w:type="dxa"/>
            <w:vAlign w:val="bottom"/>
            <w:gridSpan w:val="3"/>
          </w:tcPr>
          <w:p>
            <w:pPr>
              <w:jc w:val="right"/>
              <w:ind w:right="260"/>
              <w:spacing w:after="0"/>
              <w:rPr>
                <w:sz w:val="20"/>
                <w:szCs w:val="20"/>
                <w:color w:val="auto"/>
              </w:rPr>
            </w:pPr>
            <w:r>
              <w:rPr>
                <w:rFonts w:ascii="Courier New" w:cs="Courier New" w:eastAsia="Courier New" w:hAnsi="Courier New"/>
                <w:sz w:val="16"/>
                <w:szCs w:val="16"/>
                <w:color w:val="auto"/>
              </w:rPr>
              <w:t>+11% +40% +26%</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c>
          <w:tcPr>
            <w:tcW w:w="14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-27% -36% +24%</w:t>
            </w:r>
          </w:p>
        </w:tc>
      </w:tr>
      <w:tr>
        <w:trPr>
          <w:trHeight w:val="185"/>
        </w:trPr>
        <w:tc>
          <w:tcPr>
            <w:tcW w:w="19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900</w:t>
            </w:r>
          </w:p>
        </w:tc>
        <w:tc>
          <w:tcPr>
            <w:tcW w:w="4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98</w:t>
            </w:r>
          </w:p>
        </w:tc>
        <w:tc>
          <w:tcPr>
            <w:tcW w:w="4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99</w:t>
            </w:r>
          </w:p>
        </w:tc>
        <w:tc>
          <w:tcPr>
            <w:tcW w:w="76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00</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c>
          <w:tcPr>
            <w:tcW w:w="4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98</w:t>
            </w:r>
          </w:p>
        </w:tc>
        <w:tc>
          <w:tcPr>
            <w:tcW w:w="4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99</w:t>
            </w:r>
          </w:p>
        </w:tc>
        <w:tc>
          <w:tcPr>
            <w:tcW w:w="4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00</w:t>
            </w:r>
          </w:p>
        </w:tc>
      </w:tr>
      <w:tr>
        <w:trPr>
          <w:trHeight w:val="185"/>
        </w:trPr>
        <w:tc>
          <w:tcPr>
            <w:tcW w:w="19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600</w:t>
            </w: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85"/>
        </w:trPr>
        <w:tc>
          <w:tcPr>
            <w:tcW w:w="19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300</w:t>
            </w: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r>
    </w:tbl>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[PERFORMANCE GRAPH]</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0"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CASH SOURCES Cash provided by operating activities during 2000 was $157.9 million compared to a $.5 million use of cash in 1999. Cash provided by operating activities for 1998 was $265.2 million. The accounts receivable securitization impacted the cash balances by $(55.0) million, $25.0 million and $175.0 million during 2000, 1999 and 1998, respectively. (See "Capital</w:t>
      </w:r>
    </w:p>
    <w:p>
      <w:pPr>
        <w:sectPr>
          <w:pgSz w:w="11900" w:h="16838" w:orient="portrait"/>
          <w:cols w:equalWidth="0" w:num="1">
            <w:col w:w="10221"/>
          </w:cols>
          <w:pgMar w:left="239" w:top="300" w:right="1440" w:bottom="0" w:gutter="0" w:footer="0" w:header="0"/>
        </w:sectPr>
      </w:pPr>
    </w:p>
    <w:bookmarkStart w:id="60" w:name="page61"/>
    <w:bookmarkEnd w:id="60"/>
    <w:p>
      <w:pPr>
        <w:ind w:right="2539"/>
        <w:spacing w:after="0" w:line="244" w:lineRule="auto"/>
        <w:rPr>
          <w:sz w:val="20"/>
          <w:szCs w:val="20"/>
          <w:color w:val="auto"/>
        </w:rPr>
      </w:pPr>
      <w:r>
        <w:rPr>
          <w:rFonts w:ascii="Courier New" w:cs="Courier New" w:eastAsia="Courier New" w:hAnsi="Courier New"/>
          <w:sz w:val="16"/>
          <w:szCs w:val="16"/>
          <w:color w:val="auto"/>
        </w:rPr>
        <w:t>resources" for a discussion of this program). Excluding the accounts receivable securitization, changes in working capital also significantly impacted cash. Cash used to support working capital needs during 2000, 1999 and 1998 was $31.0 million, $275.2 million and $107.7 million, respectively. The primary reason for the decrease in working capital needs from 1999 to 2000 is better working capital management evidenced by the reduction in consolidated DSO levels for much of</w:t>
      </w:r>
    </w:p>
    <w:p>
      <w:pPr>
        <w:spacing w:after="0" w:line="186" w:lineRule="exact"/>
        <w:rPr>
          <w:sz w:val="20"/>
          <w:szCs w:val="20"/>
          <w:color w:val="auto"/>
        </w:rPr>
      </w:pPr>
    </w:p>
    <w:p>
      <w:pPr>
        <w:spacing w:after="0"/>
        <w:tabs>
          <w:tab w:leader="none" w:pos="6320" w:val="left"/>
        </w:tabs>
        <w:rPr>
          <w:sz w:val="20"/>
          <w:szCs w:val="20"/>
          <w:color w:val="auto"/>
        </w:rPr>
      </w:pPr>
      <w:r>
        <w:rPr>
          <w:rFonts w:ascii="Courier New" w:cs="Courier New" w:eastAsia="Courier New" w:hAnsi="Courier New"/>
          <w:sz w:val="16"/>
          <w:szCs w:val="16"/>
          <w:color w:val="auto"/>
        </w:rPr>
        <w:t>68</w:t>
      </w:r>
      <w:r>
        <w:rPr>
          <w:sz w:val="20"/>
          <w:szCs w:val="20"/>
          <w:color w:val="auto"/>
        </w:rPr>
        <w:tab/>
      </w:r>
      <w:r>
        <w:rPr>
          <w:rFonts w:ascii="Courier New" w:cs="Courier New" w:eastAsia="Courier New" w:hAnsi="Courier New"/>
          <w:sz w:val="16"/>
          <w:szCs w:val="16"/>
          <w:color w:val="auto"/>
        </w:rPr>
        <w:t>Manpower Inc.</w:t>
      </w:r>
    </w:p>
    <w:p>
      <w:pPr>
        <w:sectPr>
          <w:pgSz w:w="11900" w:h="16838" w:orient="portrait"/>
          <w:cols w:equalWidth="0" w:num="1">
            <w:col w:w="10219"/>
          </w:cols>
          <w:pgMar w:left="240" w:top="142" w:right="1440"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6"/>
          <w:szCs w:val="16"/>
          <w:color w:val="auto"/>
        </w:rPr>
        <w:t>43</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2000. The increase in working capital needs from 1998 to 1999 was due to the revenue growth in France and Italy, as it is normal in these markets to have a DSO in excess of 70 days. Cash provided by operating activities before working capital changes was $243.9 million, $249.7 million and $197.9 million during 2000, 1999, and 1998, respectively.</w:t>
      </w:r>
    </w:p>
    <w:p>
      <w:pPr>
        <w:spacing w:after="0" w:line="187"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Accounts receivable increased to $2,094.4 million at December 31, 2000 from $1,897.6 million at December 31, 1999. This change is due to the increased sales levels in all of the Company's major markets and a $55.0 million reduction in the amount of accounts receivable sold under the Company's securitization agreement. At constant exchange rates, the receivables balance would have been $145.0 million higher.</w:t>
      </w:r>
    </w:p>
    <w:p>
      <w:pPr>
        <w:spacing w:after="0" w:line="18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Net cash provided by borrowings was $71.8 million and $246.6 million in 2000 and 1999, respectively. Borrowings in 2000 and 1999 were used for acquisitions, investments in new markets, capital expenditures and repurchases of the Company's common stock. In 1999, borrowings were also used to fund working capital growth.</w:t>
      </w:r>
    </w:p>
    <w:p>
      <w:pPr>
        <w:spacing w:after="0" w:line="187"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CASH USES Capital expenditures were $82.6 million, $74.7 million and $140.8 million during 2000, 1999 and 1998, respectively. These expenditures are primarily comprised of purchases of computer equipment, office furniture and other costs related to office openings and refurbishments, as well as capitalized software costs of $6.9 million, $3.0 million and $40.1 million in 2000, 1999 and 1998, respectively.</w:t>
      </w:r>
    </w:p>
    <w:p>
      <w:pPr>
        <w:spacing w:after="0" w:line="188"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In January 2000, the Company acquired Elan and as of December 31, 2000, the total consideration paid for Elan was approximately $116.2 million. In addition, there is approximately $30.0 million in deferred consideration expected to be paid during March 2001.</w:t>
      </w:r>
    </w:p>
    <w:p>
      <w:pPr>
        <w:spacing w:after="0" w:line="190"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From time to time, the Company acquires and invests in companies throughout the world. The total consideration paid for such transactions, excluding the acquisition of Elan in 2000, was $60.2 million, $18.8 million and $32.5 million in 2000, 1999 and 1998, respectively.</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The Board of Directors has authorized the repurchase of 15 million shares under the Company's share repurchase program. Share repurchases may be made from time to time and may be implemented through a variety of methods, including open market purchases, block transactions, privately negotiated transactions, accelerated share repurchase programs, forward repurchase agreements or similar facilities. At December 31, 2000, 8.9 million shares at a cost of $249.8 million have been repurchased under the program, $20.0 million of which were repurchased during 2000.</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During September 2000, the Company entered into a forward repurchase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to purchase shares of its common stock under its share repurchase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program. Under the agreement, the Company will, from time to time over the next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two years, repurchase a total of one million shares at a forward price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$31.70, which approximates the market price at the inception of the agreement,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plus a financing charge. The Company may choose the method by which it</w:t>
      </w:r>
    </w:p>
    <w:p>
      <w:pPr>
        <w:spacing w:after="0" w:line="5" w:lineRule="exact"/>
        <w:rPr>
          <w:sz w:val="20"/>
          <w:szCs w:val="20"/>
          <w:color w:val="auto"/>
        </w:rPr>
      </w:pPr>
    </w:p>
    <w:p>
      <w:pPr>
        <w:ind w:right="2539"/>
        <w:spacing w:after="0" w:line="242" w:lineRule="auto"/>
        <w:rPr>
          <w:sz w:val="20"/>
          <w:szCs w:val="20"/>
          <w:color w:val="auto"/>
        </w:rPr>
      </w:pPr>
      <w:r>
        <w:rPr>
          <w:rFonts w:ascii="Courier New" w:cs="Courier New" w:eastAsia="Courier New" w:hAnsi="Courier New"/>
          <w:sz w:val="16"/>
          <w:szCs w:val="16"/>
          <w:color w:val="auto"/>
        </w:rPr>
        <w:t>settles the agreement (i.e., cash or shares). As of December 31, 2000, no shares have been purchased under this agreement.</w:t>
      </w:r>
    </w:p>
    <w:p>
      <w:pPr>
        <w:spacing w:after="0" w:line="189"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The Company paid dividends of $15.1 million, $15.3 million and $15.2 million in 2000, 1999 and 1998, respectively.</w:t>
      </w:r>
    </w:p>
    <w:p>
      <w:pPr>
        <w:spacing w:after="0" w:line="189" w:lineRule="exact"/>
        <w:rPr>
          <w:sz w:val="20"/>
          <w:szCs w:val="20"/>
          <w:color w:val="auto"/>
        </w:rPr>
      </w:pPr>
    </w:p>
    <w:p>
      <w:pPr>
        <w:ind w:right="2639" w:firstLine="865"/>
        <w:spacing w:after="0" w:line="274" w:lineRule="auto"/>
        <w:rPr>
          <w:sz w:val="20"/>
          <w:szCs w:val="20"/>
          <w:color w:val="auto"/>
        </w:rPr>
      </w:pPr>
      <w:r>
        <w:rPr>
          <w:rFonts w:ascii="Courier New" w:cs="Courier New" w:eastAsia="Courier New" w:hAnsi="Courier New"/>
          <w:sz w:val="15"/>
          <w:szCs w:val="15"/>
          <w:color w:val="auto"/>
        </w:rPr>
        <w:t>Cash and cash equivalents decreased by $60.0 million in 2000 compared to increases of $61.2 million and $38.2 million in 1999 and 1998, respectively.</w:t>
      </w:r>
    </w:p>
    <w:p>
      <w:pPr>
        <w:spacing w:after="0" w:line="166"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CAPITALIZATION Total capitalization at December 31, 2000 was $1,297.9 million, comprised of $557.5 million of debt and $740.4 million of equity. Debt as a percentage of total capitalization at December 31, 2000 remained consistent with the prior year at 43%.</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Capitalization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120" w:type="dxa"/>
            <w:vAlign w:val="bottom"/>
          </w:tcPr>
          <w:p>
            <w:pPr>
              <w:spacing w:after="0"/>
              <w:rPr>
                <w:sz w:val="20"/>
                <w:szCs w:val="20"/>
                <w:color w:val="auto"/>
              </w:rPr>
            </w:pPr>
            <w:r>
              <w:rPr>
                <w:rFonts w:ascii="Courier New" w:cs="Courier New" w:eastAsia="Courier New" w:hAnsi="Courier New"/>
                <w:sz w:val="16"/>
                <w:szCs w:val="16"/>
                <w:color w:val="auto"/>
              </w:rPr>
              <w:t>(in millions</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1,500</w:t>
            </w:r>
          </w:p>
        </w:tc>
      </w:tr>
      <w:tr>
        <w:trPr>
          <w:trHeight w:val="185"/>
        </w:trPr>
        <w:tc>
          <w:tcPr>
            <w:tcW w:w="2120" w:type="dxa"/>
            <w:vAlign w:val="bottom"/>
          </w:tcPr>
          <w:p>
            <w:pPr>
              <w:spacing w:after="0"/>
              <w:rPr>
                <w:sz w:val="20"/>
                <w:szCs w:val="20"/>
                <w:color w:val="auto"/>
              </w:rPr>
            </w:pPr>
            <w:r>
              <w:rPr>
                <w:rFonts w:ascii="Courier New" w:cs="Courier New" w:eastAsia="Courier New" w:hAnsi="Courier New"/>
                <w:sz w:val="16"/>
                <w:szCs w:val="16"/>
                <w:color w:val="auto"/>
              </w:rPr>
              <w:t>of U.S. Dollars)</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1,200</w:t>
            </w:r>
          </w:p>
        </w:tc>
      </w:tr>
      <w:tr>
        <w:trPr>
          <w:trHeight w:val="185"/>
        </w:trPr>
        <w:tc>
          <w:tcPr>
            <w:tcW w:w="2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r>
      <w:tr>
        <w:trPr>
          <w:trHeight w:val="185"/>
        </w:trPr>
        <w:tc>
          <w:tcPr>
            <w:tcW w:w="2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750</w:t>
            </w:r>
          </w:p>
        </w:tc>
      </w:tr>
      <w:tr>
        <w:trPr>
          <w:trHeight w:val="185"/>
        </w:trPr>
        <w:tc>
          <w:tcPr>
            <w:tcW w:w="2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500</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20" w:type="dxa"/>
            <w:vAlign w:val="bottom"/>
          </w:tcPr>
          <w:p>
            <w:pPr>
              <w:spacing w:after="0"/>
              <w:rPr>
                <w:sz w:val="20"/>
                <w:szCs w:val="20"/>
                <w:color w:val="auto"/>
              </w:rPr>
            </w:pPr>
            <w:r>
              <w:rPr>
                <w:rFonts w:ascii="Courier New" w:cs="Courier New" w:eastAsia="Courier New" w:hAnsi="Courier New"/>
                <w:sz w:val="16"/>
                <w:szCs w:val="16"/>
                <w:color w:val="auto"/>
              </w:rPr>
              <w:t>- - Debt</w:t>
            </w:r>
          </w:p>
        </w:tc>
        <w:tc>
          <w:tcPr>
            <w:tcW w:w="17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250</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5"/>
        </w:trPr>
        <w:tc>
          <w:tcPr>
            <w:tcW w:w="2020" w:type="dxa"/>
            <w:vAlign w:val="bottom"/>
          </w:tcPr>
          <w:p>
            <w:pPr>
              <w:spacing w:after="0"/>
              <w:rPr>
                <w:sz w:val="20"/>
                <w:szCs w:val="20"/>
                <w:color w:val="auto"/>
              </w:rPr>
            </w:pPr>
            <w:r>
              <w:rPr>
                <w:rFonts w:ascii="Courier New" w:cs="Courier New" w:eastAsia="Courier New" w:hAnsi="Courier New"/>
                <w:sz w:val="16"/>
                <w:szCs w:val="16"/>
                <w:color w:val="auto"/>
              </w:rPr>
              <w:t>- - Equity</w:t>
            </w:r>
          </w:p>
        </w:tc>
        <w:tc>
          <w:tcPr>
            <w:tcW w:w="1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2020" w:type="dxa"/>
            <w:vAlign w:val="bottom"/>
          </w:tcPr>
          <w:p>
            <w:pPr>
              <w:spacing w:after="0"/>
              <w:rPr>
                <w:sz w:val="16"/>
                <w:szCs w:val="16"/>
                <w:color w:val="auto"/>
              </w:rPr>
            </w:pPr>
          </w:p>
        </w:tc>
        <w:tc>
          <w:tcPr>
            <w:tcW w:w="1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96</w:t>
            </w:r>
          </w:p>
        </w:tc>
        <w:tc>
          <w:tcPr>
            <w:tcW w:w="7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97</w:t>
            </w:r>
          </w:p>
        </w:tc>
        <w:tc>
          <w:tcPr>
            <w:tcW w:w="7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98</w:t>
            </w:r>
          </w:p>
        </w:tc>
        <w:tc>
          <w:tcPr>
            <w:tcW w:w="7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99</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00</w:t>
            </w:r>
          </w:p>
        </w:tc>
      </w:tr>
    </w:tbl>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[PERFORMANCE CHART]</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80" w:type="dxa"/>
            <w:vAlign w:val="bottom"/>
          </w:tcPr>
          <w:p>
            <w:pPr>
              <w:spacing w:after="0"/>
              <w:rPr>
                <w:sz w:val="20"/>
                <w:szCs w:val="20"/>
                <w:color w:val="auto"/>
              </w:rPr>
            </w:pPr>
            <w:r>
              <w:rPr>
                <w:rFonts w:ascii="Courier New" w:cs="Courier New" w:eastAsia="Courier New" w:hAnsi="Courier New"/>
                <w:sz w:val="16"/>
                <w:szCs w:val="16"/>
                <w:color w:val="auto"/>
              </w:rPr>
              <w:t>Manpower Inc.</w:t>
            </w:r>
          </w:p>
        </w:tc>
        <w:tc>
          <w:tcPr>
            <w:tcW w:w="3300" w:type="dxa"/>
            <w:vAlign w:val="bottom"/>
          </w:tcPr>
          <w:p>
            <w:pPr>
              <w:jc w:val="right"/>
              <w:spacing w:after="0"/>
              <w:rPr>
                <w:sz w:val="20"/>
                <w:szCs w:val="20"/>
                <w:color w:val="auto"/>
              </w:rPr>
            </w:pPr>
            <w:r>
              <w:rPr>
                <w:rFonts w:ascii="Courier New" w:cs="Courier New" w:eastAsia="Courier New" w:hAnsi="Courier New"/>
                <w:sz w:val="16"/>
                <w:szCs w:val="16"/>
                <w:color w:val="auto"/>
              </w:rPr>
              <w:t>69</w:t>
            </w:r>
          </w:p>
        </w:tc>
      </w:tr>
    </w:tbl>
    <w:p>
      <w:pPr>
        <w:sectPr>
          <w:pgSz w:w="11900" w:h="16838" w:orient="portrait"/>
          <w:cols w:equalWidth="0" w:num="1">
            <w:col w:w="10219"/>
          </w:cols>
          <w:pgMar w:left="240" w:top="300" w:right="1440" w:bottom="826"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6"/>
          <w:szCs w:val="16"/>
          <w:color w:val="auto"/>
        </w:rPr>
        <w:t>44</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MANAGEMENT'S DISCUSSION AND ANALYSIS (CONTINUED)</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of Financial Condition and Results of Operations</w:t>
      </w:r>
    </w:p>
    <w:p>
      <w:pPr>
        <w:spacing w:after="0" w:line="190"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CAPITAL RESOURCES In March 2000, the Company issued (Euro) 150.0 million in unsecured notes due March 2005. Net proceeds of $143.1 million from the issuance were used to repay amounts under the Company's unsecured revolving credit agreement.</w:t>
      </w:r>
    </w:p>
    <w:p>
      <w:pPr>
        <w:spacing w:after="0" w:line="190"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In July 1999, the Company issued (Euro) 200.0 million in unsecured notes due July 2006. Net proceeds of $200.9 million from the issuance of these notes were used to repay amounts under the Company's unsecured revolving credit agreement and commercial paper program.</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The Company has a $415.0 million unsecured revolving credit agreement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that allows for borrowings in various currencies and includes a $90.0 million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commitment to be used exclusively for standby letters of credit. Borrowings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$138.4 million and letters of credit of $62.1 million were outstanding under the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facility at December 31, 2000. The facility matures in November 2002 and may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increased to a maximum of $500.0 million or extended for an additional year with</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lenders' consent. The agreement requires, among other things, that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comply with an interest coverage ratio of not less than 3.0 to 1,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debt-to-capitalization ratio of less than .60 to 1 and a maximum subsidiary debt</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level of $50.0 million. As defined by the agreement, the Company had an interest</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coverage ratio, debt-to-capitalization ratio and a subsidiary debt level of 10.6</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1, .50 to 1 and $21.6 million, respectively, as of December 31, 2000.</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The Company also has a $300.0 million unsecured revolving credit agreement. The facility was extended in November 2000 to expire in November 2001, and may be extended for an additional year with the lenders' consent. This agreement has similar restrictive covenants to the Company's $415.0 million revolving credit agreement. As of December 31, 2000, the Company had no borrowings under this agreement.</w:t>
      </w:r>
    </w:p>
    <w:p>
      <w:pPr>
        <w:spacing w:after="0" w:line="188"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Borrowings of $4.6 million were outstanding under the Company's $75.0 million U.S. commercial paper program. Commercial paper borrowings, which are backed by the $415.0 million unsecured revolving credit agreement, have been classified as long-term debt due to the availability to refinance them on a long-term basis under the revolving credit facility.</w:t>
      </w:r>
    </w:p>
    <w:p>
      <w:pPr>
        <w:spacing w:after="0" w:line="187"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In addition to the above, the Company and some of its foreign subsidiaries maintain separate lines of credit with local financial institutions to meet working capital needs. As of December 31, 2000, such lines totaled $205.1 million, of which $144.4 million was unused.</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A wholly-owned U.S. subsidiary of the Company has an agreement to sell, on an ongoing basis, up to $200.0 million of an undivided interest in its accounts receivable. The amount of receivables sold under this agreement totaled $145.0 million at December 31, 2000. Unless extended by amendment, the agreement expires in December 2001. (See Note 4 to the Consolidated Financial Statements for further information.)</w:t>
      </w:r>
    </w:p>
    <w:p>
      <w:pPr>
        <w:spacing w:after="0" w:line="18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The Company's principal ongoing cash needs are to finance working capital, capital expenditures, acquisitions and the share repurchase program. Working capital is primarily in the form of trade receivables, which increase as revenues increase. The amount of financing necessary to support revenue growth depends on receivable turnover, which differs in each market in which the Company operates.</w:t>
      </w:r>
    </w:p>
    <w:p>
      <w:pPr>
        <w:spacing w:after="0" w:line="373"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The Company believes that its internally generated funds and its existing credit facilities are sufficient to cover its near-term projected cash needs. With continued revenue increases or additional acquisitions or share repurchases, additional borrowings under the existing facilities would be necessary to finance the Company's cash needs.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Significant Matters Affecting Results of Operations</w:t>
      </w:r>
    </w:p>
    <w:p>
      <w:pPr>
        <w:spacing w:after="0" w:line="190" w:lineRule="exact"/>
        <w:rPr>
          <w:sz w:val="20"/>
          <w:szCs w:val="20"/>
          <w:color w:val="auto"/>
        </w:rPr>
      </w:pPr>
    </w:p>
    <w:p>
      <w:pPr>
        <w:ind w:right="3599"/>
        <w:spacing w:after="0" w:line="242" w:lineRule="auto"/>
        <w:rPr>
          <w:sz w:val="20"/>
          <w:szCs w:val="20"/>
          <w:color w:val="auto"/>
        </w:rPr>
      </w:pPr>
      <w:r>
        <w:rPr>
          <w:rFonts w:ascii="Courier New" w:cs="Courier New" w:eastAsia="Courier New" w:hAnsi="Courier New"/>
          <w:sz w:val="16"/>
          <w:szCs w:val="16"/>
          <w:color w:val="auto"/>
        </w:rPr>
        <w:t>MARKET RISKS The Company is exposed to the impact of foreign currency fluctuations and interest rate changes.</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EXCHANGE RATES The Company's exposure to exchange rates relates primarily to its foreign subsidiaries and its Euro and Yen denominated borrowings. For its foreign subsidiaries, exchange rates impact the U.S. Dollar value of their reported earnings, the Company's investments in the subsidiaries and the intercompany transactions with the subsidiaries.</w:t>
      </w:r>
    </w:p>
    <w:p>
      <w:pPr>
        <w:spacing w:after="0" w:line="187"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Approximately 75% and 80% of the Company's revenues and operating profits, respectively, are generated outside of the United States, the majority of which are in Europe. As a result, fluctuations in the value of foreign currencies against the dollar may have a significant impact on the reported results of the Company. Revenues and expenses denominated in foreign currencies are translated into United States dollars at the weighted average exchange rate for the year. Consequently, as the value of the dollar</w:t>
      </w:r>
    </w:p>
    <w:p>
      <w:pPr>
        <w:spacing w:after="0" w:line="188" w:lineRule="exact"/>
        <w:rPr>
          <w:sz w:val="20"/>
          <w:szCs w:val="20"/>
          <w:color w:val="auto"/>
        </w:rPr>
      </w:pPr>
    </w:p>
    <w:p>
      <w:pPr>
        <w:spacing w:after="0"/>
        <w:tabs>
          <w:tab w:leader="none" w:pos="6420" w:val="left"/>
        </w:tabs>
        <w:rPr>
          <w:sz w:val="20"/>
          <w:szCs w:val="20"/>
          <w:color w:val="auto"/>
        </w:rPr>
      </w:pPr>
      <w:r>
        <w:rPr>
          <w:rFonts w:ascii="Courier New" w:cs="Courier New" w:eastAsia="Courier New" w:hAnsi="Courier New"/>
          <w:sz w:val="15"/>
          <w:szCs w:val="15"/>
          <w:color w:val="auto"/>
        </w:rPr>
        <w:t>70</w:t>
      </w:r>
      <w:r>
        <w:rPr>
          <w:sz w:val="20"/>
          <w:szCs w:val="20"/>
          <w:color w:val="auto"/>
        </w:rPr>
        <w:tab/>
      </w:r>
      <w:r>
        <w:rPr>
          <w:rFonts w:ascii="Courier New" w:cs="Courier New" w:eastAsia="Courier New" w:hAnsi="Courier New"/>
          <w:sz w:val="15"/>
          <w:szCs w:val="15"/>
          <w:color w:val="auto"/>
        </w:rPr>
        <w:t>Manpower Inc.</w:t>
      </w:r>
    </w:p>
    <w:p>
      <w:pPr>
        <w:sectPr>
          <w:pgSz w:w="11900" w:h="16838" w:orient="portrait"/>
          <w:cols w:equalWidth="0" w:num="1">
            <w:col w:w="10219"/>
          </w:cols>
          <w:pgMar w:left="240" w:top="300" w:right="1440" w:bottom="97" w:gutter="0" w:footer="0" w:header="0"/>
        </w:sectPr>
      </w:pPr>
    </w:p>
    <w:bookmarkStart w:id="63" w:name="page64"/>
    <w:bookmarkEnd w:id="63"/>
    <w:p>
      <w:pPr>
        <w:ind w:left="280"/>
        <w:spacing w:after="0"/>
        <w:rPr>
          <w:sz w:val="20"/>
          <w:szCs w:val="20"/>
          <w:color w:val="auto"/>
        </w:rPr>
      </w:pPr>
      <w:r>
        <w:rPr>
          <w:rFonts w:ascii="Courier New" w:cs="Courier New" w:eastAsia="Courier New" w:hAnsi="Courier New"/>
          <w:sz w:val="16"/>
          <w:szCs w:val="16"/>
          <w:color w:val="auto"/>
        </w:rPr>
        <w:t>45</w:t>
      </w:r>
    </w:p>
    <w:p>
      <w:pPr>
        <w:spacing w:after="0" w:line="5"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strengthens relative to other currencies in the Company's major markets, as it did in the European markets during 2000, the resulting translated revenues, expenses and operating proofs are lower. Using constant exchange rates, 2000 revenues and operating profits would have been approximately 9% and 12% higher than reported, respectively.</w:t>
      </w:r>
    </w:p>
    <w:p>
      <w:pPr>
        <w:spacing w:after="0" w:line="372"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Fluctuations in currency exchange rates also impact the U.S. Dollar amount of shareholders' equity of the Company. The assets and liabilities of the Company's non-U.S. subsidiaries are translated into United States dollars at the exchange rates in effect at year-end. The resulting translation adjustments are recorded in Shareholders' equity as Accumulated other comprehensive income (loss). The dollar was stronger relative to many of the foreign currencies at December 31, 2000 compared to December 31, 1999. Consequently, the Accumulated other comprehensive income (loss) component of Shareholders' equity decreased $50.6 million during the year. Using the year-end exchange rates, the total amount permanently invested in non-U.S. subsidiaries at December 31, 2000 is approximately $1.9 billion.</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As of December 31, 2000 the Company had $467.4 million of long-term borrowings denominated in Euro ($412.7 million) and Yen ($54.7 million). These borrowings provide a hedge of the Company's net investment in subsidiaries with the related functional currencies. Since the Company's net investment in these subsidiaries exceeds the respective amount of the borrowings, all translation gains or losses related to these borrowings are included as a component of Accumulated other comprehensive income (loss). The Accumulated other comprehensive income (loss) component of Shareholders' equity increased $15.0 million during the year due to the currency impact on these borrowings.</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Although currency fluctuations impact the Company's reported results and Shareholders' equity, such fluctuations generally do not affect the Company's cash flow or result in actual economic gains or losses. Substantially all of the Company's subsidiaries derive revenues and incur expenses within a single country and consequently, do not generally incur currency risks in connection with the conduct of their normal business operations. The Company generally has few cross border transfers of funds, except for transfers to the United States to fund the expense of the Company's international headquarters and working capital loans made from the United States to the Company's foreign subsidiaries. To reduce the currency risk related to the loans, the Company may borrow funds under the Revolving Credit Agreement in the foreign currency to lend to the subsidiary, or alternatively, may enter into a forward contract to hedge the loan. Foreign exchange gains and losses recognized on any transactions are included in the Consolidated Statements of Operations and historically have been immaterial. The Company generally does not engage in hedging activities, except as discussed above. As of December 31, 2000, the only derivative instruments held by the Company were foreign currency exchange contracts and interest rate swap agreements.</w:t>
      </w:r>
    </w:p>
    <w:p>
      <w:pPr>
        <w:spacing w:after="0" w:line="194" w:lineRule="exact"/>
        <w:rPr>
          <w:sz w:val="20"/>
          <w:szCs w:val="20"/>
          <w:color w:val="auto"/>
        </w:rPr>
      </w:pPr>
    </w:p>
    <w:p>
      <w:pPr>
        <w:ind w:right="2539" w:firstLine="865"/>
        <w:spacing w:after="0" w:line="263" w:lineRule="auto"/>
        <w:rPr>
          <w:sz w:val="20"/>
          <w:szCs w:val="20"/>
          <w:color w:val="auto"/>
        </w:rPr>
      </w:pPr>
      <w:r>
        <w:rPr>
          <w:rFonts w:ascii="Courier New" w:cs="Courier New" w:eastAsia="Courier New" w:hAnsi="Courier New"/>
          <w:sz w:val="15"/>
          <w:szCs w:val="15"/>
          <w:color w:val="auto"/>
        </w:rPr>
        <w:t>The Company holds a 49% interest in its Swiss franchise, which holds an investment portfolio of approximately $67.9 million as of December 31, 2000. This portfolio is invested in a wide diversity of European and U.S. debt and equity securities as well as various professionally managed funds. To the extent that there are realized gains or losses related to this portfolio, the Company's ownership share is included in its Consolidated Statements of Operations.</w:t>
      </w:r>
    </w:p>
    <w:p>
      <w:pPr>
        <w:spacing w:after="0" w:line="176"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INTEREST RATES The Company's exposure to market risk for changes in interest rates relates primarily to the Company's long-term debt obligations. The Company has historically managed interest rates through the use of a combination of fixed and variable rate borrowings and interest rate swap agreements. Excluding the impact of the swap agreements, the Company has $203.7 million in variable rate borrowings at a weighted average interest rate of 4.69% and $353.8 million in fixed rate borrowings at a weighted average interest rate of 5.95% as of December 31, 2000.</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In June 2000, the Company entered into various interest rate swap agreements in order to fix its interest costs on a portion of its Euro and Yen denominated variable rate borrowings. The Euro interest rate swap agreements have a notional value of (Euro) 100.0 million ($94.0 million) and expire in 2010. The Yen interest rate swap agreement has a notional value of (Y)4,000.0 million ($35.0 million) and expires in 2003. The Company also had an interest rate swap agreement that expired in January 2001, which throughout 2000 fixed the interest rate at 6.0% on $50.0 million of the Company's U.S. dollar-based borrowings. At December 31, 2000, including the impact of the interest rate swap agreements, the Company effectively had $74.7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80" w:type="dxa"/>
            <w:vAlign w:val="bottom"/>
          </w:tcPr>
          <w:p>
            <w:pPr>
              <w:spacing w:after="0"/>
              <w:rPr>
                <w:sz w:val="20"/>
                <w:szCs w:val="20"/>
                <w:color w:val="auto"/>
              </w:rPr>
            </w:pPr>
            <w:r>
              <w:rPr>
                <w:rFonts w:ascii="Courier New" w:cs="Courier New" w:eastAsia="Courier New" w:hAnsi="Courier New"/>
                <w:sz w:val="16"/>
                <w:szCs w:val="16"/>
                <w:color w:val="auto"/>
              </w:rPr>
              <w:t>Manpower Inc.</w:t>
            </w:r>
          </w:p>
        </w:tc>
        <w:tc>
          <w:tcPr>
            <w:tcW w:w="3300" w:type="dxa"/>
            <w:vAlign w:val="bottom"/>
          </w:tcPr>
          <w:p>
            <w:pPr>
              <w:jc w:val="right"/>
              <w:spacing w:after="0"/>
              <w:rPr>
                <w:sz w:val="20"/>
                <w:szCs w:val="20"/>
                <w:color w:val="auto"/>
              </w:rPr>
            </w:pPr>
            <w:r>
              <w:rPr>
                <w:rFonts w:ascii="Courier New" w:cs="Courier New" w:eastAsia="Courier New" w:hAnsi="Courier New"/>
                <w:sz w:val="16"/>
                <w:szCs w:val="16"/>
                <w:color w:val="auto"/>
              </w:rPr>
              <w:t>71</w:t>
            </w:r>
          </w:p>
        </w:tc>
      </w:tr>
    </w:tbl>
    <w:p>
      <w:pPr>
        <w:sectPr>
          <w:pgSz w:w="11900" w:h="16838" w:orient="portrait"/>
          <w:cols w:equalWidth="0" w:num="1">
            <w:col w:w="10219"/>
          </w:cols>
          <w:pgMar w:left="240" w:top="300" w:right="1440" w:bottom="1440" w:gutter="0" w:footer="0" w:header="0"/>
        </w:sectPr>
      </w:pPr>
    </w:p>
    <w:bookmarkStart w:id="64" w:name="page65"/>
    <w:bookmarkEnd w:id="64"/>
    <w:p>
      <w:pPr>
        <w:ind w:left="280"/>
        <w:spacing w:after="0"/>
        <w:rPr>
          <w:sz w:val="20"/>
          <w:szCs w:val="20"/>
          <w:color w:val="auto"/>
        </w:rPr>
      </w:pPr>
      <w:r>
        <w:rPr>
          <w:rFonts w:ascii="Courier New" w:cs="Courier New" w:eastAsia="Courier New" w:hAnsi="Courier New"/>
          <w:sz w:val="16"/>
          <w:szCs w:val="16"/>
          <w:color w:val="auto"/>
        </w:rPr>
        <w:t>46</w:t>
      </w:r>
    </w:p>
    <w:p>
      <w:pPr>
        <w:spacing w:after="0" w:line="188"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MANAGEMENT'S DISCUSSION AND ANALYSIS (CONTINUED)</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of Financial Condition and Results of Operations</w:t>
      </w:r>
    </w:p>
    <w:p>
      <w:pPr>
        <w:spacing w:after="0" w:line="190"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million and $482.8 million in variable and fixed rate borrowings, respectively, at a weighted average interest rate of 5.18% and 5.65%, respectively. The fair value of these agreements and the impact on the interest expense recorded during 2000 was not material.</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A 52 basis point (.52%) move in interest rates on the Company's variable rate borrowings (10% of the weighted average variable interest rate, including the impact of the swap agreements) would have an immaterial impact on the Company's earnings before income taxes and cash flows in each of the next five years. In addition, a 52 basis point move in interest rates would have an immaterial impact on the fair value, interest expense and cash flows related to the Company's interest rate swap agreements.</w:t>
      </w:r>
    </w:p>
    <w:p>
      <w:pPr>
        <w:spacing w:after="0" w:line="188"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IMPACT OF ECONOMIC CONDITIONS Because one of the principal attractions of using temporary staffing solutions is to maintain a flexible supply of labor to meet changing economic conditions, the industry has been and remains sensitive to economic cycles. To help counter the effects of these economic cycles, the Company continues to provide a wide range of human resource services including professional, technical, specialized, office and industrial staffing; temporary and permanent employee testing, selection, training, and development; organizational-development consulting; strategic outsourcing; major-project planning, staffing and management; and human resource information management. While the Company believes that the breadth of its operations and the diversity of its service mix cushions it against the impact of an adverse economic cycle in any single country or industry, adverse economic conditions in any of its three largest markets would likely have a material impact on the Company's consolidated operating results.</w:t>
      </w:r>
    </w:p>
    <w:p>
      <w:pPr>
        <w:spacing w:after="0" w:line="192" w:lineRule="exact"/>
        <w:rPr>
          <w:sz w:val="20"/>
          <w:szCs w:val="20"/>
          <w:color w:val="auto"/>
        </w:rPr>
      </w:pPr>
    </w:p>
    <w:p>
      <w:pPr>
        <w:ind w:right="2539"/>
        <w:spacing w:after="0" w:line="262" w:lineRule="auto"/>
        <w:rPr>
          <w:sz w:val="20"/>
          <w:szCs w:val="20"/>
          <w:color w:val="auto"/>
        </w:rPr>
      </w:pPr>
      <w:r>
        <w:rPr>
          <w:rFonts w:ascii="Courier New" w:cs="Courier New" w:eastAsia="Courier New" w:hAnsi="Courier New"/>
          <w:sz w:val="15"/>
          <w:szCs w:val="15"/>
          <w:color w:val="auto"/>
        </w:rPr>
        <w:t>THE EURO Twelve of the fifteen member countries of the European Union (the "participating countries") have established fixed conversion rates between their existing sovereign currencies (the "legacy currencies") and the Euro and have agreed to adopt the Euro as their common legal currency. The legacy currencies will remain legal tender in the participating countries as denominations of the Euro between January 1, 1999 and January 1, 2002 (the "transition period"). During the transition period, public and private parties may pay for goods and services using either the Euro or the participating country's legacy currency. Beginning on January 1, 2002, Euro-denominated bills and coins will be issued and legacy currencies will be withdrawn from circulation.</w:t>
      </w:r>
    </w:p>
    <w:p>
      <w:pPr>
        <w:spacing w:after="0" w:line="17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The Company has significant operations in many of the participating countries and continues to assess the impact of the Euro on its business operations. Since the Company's labor costs and prices are generally determined on a local basis, the near-term impact of the Euro has been and is expected to be primarily related to making internal information systems modifications to meet customer invoicing and financial reporting requirements. Such modifications relate to converting currency values and to operating in a dual currency environment during the transition period. Modifications of internal information systems will occur throughout the transition period and will be coordinated with other system-related upgrades and enhancements.</w:t>
      </w:r>
    </w:p>
    <w:p>
      <w:pPr>
        <w:spacing w:after="0" w:line="190"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On a long-term basis, the Company believes that the introduction of the Euro may cause a greater level of price harmonization between participating countries, notwithstanding certain country-specific costs.</w:t>
      </w:r>
    </w:p>
    <w:p>
      <w:pPr>
        <w:spacing w:after="0" w:line="189" w:lineRule="exact"/>
        <w:rPr>
          <w:sz w:val="20"/>
          <w:szCs w:val="20"/>
          <w:color w:val="auto"/>
        </w:rPr>
      </w:pPr>
    </w:p>
    <w:p>
      <w:pPr>
        <w:jc w:val="both"/>
        <w:ind w:right="3019" w:firstLine="865"/>
        <w:spacing w:after="0" w:line="243" w:lineRule="auto"/>
        <w:rPr>
          <w:sz w:val="20"/>
          <w:szCs w:val="20"/>
          <w:color w:val="auto"/>
        </w:rPr>
      </w:pPr>
      <w:r>
        <w:rPr>
          <w:rFonts w:ascii="Courier New" w:cs="Courier New" w:eastAsia="Courier New" w:hAnsi="Courier New"/>
          <w:sz w:val="16"/>
          <w:szCs w:val="16"/>
          <w:color w:val="auto"/>
        </w:rPr>
        <w:t>The Company will account for all related system modification costs in accordance with its existing policy and does not expect such costs to be material to the Company's Consolidated Financial Statements.</w:t>
      </w:r>
    </w:p>
    <w:p>
      <w:pPr>
        <w:spacing w:after="0" w:line="189"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LEGAL REGULATIONS AND UNION RELATIONSHIPS The temporary employment services industry is closely regulated in all of the major markets in which the Company operates except the United States and Canada. In addition to licensing or registration requirements, many countries impose substantive restrictions on temporary employment services, either on the temporary staffing company or the ultimate client company. They may restrict the length of temporary assignments, the type of work permitted for temporary workers or the occasions on which temporary workers may be used. Changes in applicable laws or regulations have occurred in the past and are expected in the future to affect the extent to which temporary employment services firms may operate. These changes could impose additional costs or taxes, additional record keeping or reporting requirements; restrict the tasks</w:t>
      </w:r>
    </w:p>
    <w:p>
      <w:pPr>
        <w:spacing w:after="0" w:line="191" w:lineRule="exact"/>
        <w:rPr>
          <w:sz w:val="20"/>
          <w:szCs w:val="20"/>
          <w:color w:val="auto"/>
        </w:rPr>
      </w:pPr>
    </w:p>
    <w:p>
      <w:pPr>
        <w:spacing w:after="0"/>
        <w:tabs>
          <w:tab w:leader="none" w:pos="6420"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5"/>
          <w:szCs w:val="15"/>
          <w:color w:val="auto"/>
        </w:rPr>
        <w:t>Manpower Inc.</w:t>
      </w:r>
    </w:p>
    <w:p>
      <w:pPr>
        <w:sectPr>
          <w:pgSz w:w="11900" w:h="16838" w:orient="portrait"/>
          <w:cols w:equalWidth="0" w:num="1">
            <w:col w:w="10219"/>
          </w:cols>
          <w:pgMar w:left="240" w:top="300" w:right="1440" w:bottom="1440" w:gutter="0" w:footer="0" w:header="0"/>
        </w:sectPr>
      </w:pPr>
    </w:p>
    <w:bookmarkStart w:id="65" w:name="page66"/>
    <w:bookmarkEnd w:id="65"/>
    <w:p>
      <w:pPr>
        <w:ind w:left="281"/>
        <w:spacing w:after="0"/>
        <w:rPr>
          <w:sz w:val="20"/>
          <w:szCs w:val="20"/>
          <w:color w:val="auto"/>
        </w:rPr>
      </w:pPr>
      <w:r>
        <w:rPr>
          <w:rFonts w:ascii="Courier New" w:cs="Courier New" w:eastAsia="Courier New" w:hAnsi="Courier New"/>
          <w:sz w:val="16"/>
          <w:szCs w:val="16"/>
          <w:color w:val="auto"/>
        </w:rPr>
        <w:t>47</w:t>
      </w:r>
    </w:p>
    <w:p>
      <w:pPr>
        <w:spacing w:after="0" w:line="5" w:lineRule="exact"/>
        <w:rPr>
          <w:sz w:val="20"/>
          <w:szCs w:val="20"/>
          <w:color w:val="auto"/>
        </w:rPr>
      </w:pPr>
    </w:p>
    <w:p>
      <w:pPr>
        <w:jc w:val="both"/>
        <w:ind w:left="1" w:right="3199"/>
        <w:spacing w:after="0" w:line="243" w:lineRule="auto"/>
        <w:rPr>
          <w:sz w:val="20"/>
          <w:szCs w:val="20"/>
          <w:color w:val="auto"/>
        </w:rPr>
      </w:pPr>
      <w:r>
        <w:rPr>
          <w:rFonts w:ascii="Courier New" w:cs="Courier New" w:eastAsia="Courier New" w:hAnsi="Courier New"/>
          <w:sz w:val="16"/>
          <w:szCs w:val="16"/>
          <w:color w:val="auto"/>
        </w:rPr>
        <w:t>to which temporaries may be assigned; limit the duration of or otherwise impose restrictions on the nature of the temporary relationship (with the Company or the customer) or otherwise adversely affect the industry.</w:t>
      </w:r>
    </w:p>
    <w:p>
      <w:pPr>
        <w:spacing w:after="0" w:line="189" w:lineRule="exact"/>
        <w:rPr>
          <w:sz w:val="20"/>
          <w:szCs w:val="20"/>
          <w:color w:val="auto"/>
        </w:rPr>
      </w:pPr>
    </w:p>
    <w:p>
      <w:pPr>
        <w:ind w:left="1" w:right="2539" w:firstLine="865"/>
        <w:spacing w:after="0" w:line="263" w:lineRule="auto"/>
        <w:rPr>
          <w:sz w:val="20"/>
          <w:szCs w:val="20"/>
          <w:color w:val="auto"/>
        </w:rPr>
      </w:pPr>
      <w:r>
        <w:rPr>
          <w:rFonts w:ascii="Courier New" w:cs="Courier New" w:eastAsia="Courier New" w:hAnsi="Courier New"/>
          <w:sz w:val="15"/>
          <w:szCs w:val="15"/>
          <w:color w:val="auto"/>
        </w:rPr>
        <w:t>In many markets, the existence or absence of collective bargaining agreements with labor organizations has a significant impact on the Company's operations and the ability of customers to utilize the Company's services. In some markets, labor agreements are structured on a national or industry-wide (rather than a company) basis. Changes in these collective labor agreements have occurred in the past and are expected in the future and may have a material impact on the operations of temporary staffing firms, including the Company.</w:t>
      </w:r>
    </w:p>
    <w:p>
      <w:pPr>
        <w:spacing w:after="0" w:line="175" w:lineRule="exact"/>
        <w:rPr>
          <w:sz w:val="20"/>
          <w:szCs w:val="20"/>
          <w:color w:val="auto"/>
        </w:rPr>
      </w:pPr>
    </w:p>
    <w:p>
      <w:pPr>
        <w:ind w:left="1" w:right="2639"/>
        <w:spacing w:after="0" w:line="262" w:lineRule="auto"/>
        <w:rPr>
          <w:sz w:val="20"/>
          <w:szCs w:val="20"/>
          <w:color w:val="auto"/>
        </w:rPr>
      </w:pPr>
      <w:r>
        <w:rPr>
          <w:rFonts w:ascii="Courier New" w:cs="Courier New" w:eastAsia="Courier New" w:hAnsi="Courier New"/>
          <w:sz w:val="15"/>
          <w:szCs w:val="15"/>
          <w:color w:val="auto"/>
        </w:rPr>
        <w:t>FORWARD-LOOKING STATEMENTS Certain information included or incorporated by reference in this filing and identified by use of the words "expects," "believes," "plans" or the like constitutes forward-looking statements, as such term is defined in Section 27A of the Securities Act of 1933 and Section 21E of the Securities Exchange Act of 1934. In addition, any information included or incorporated by reference in future filings by the Company with the Securities and Exchange Commission, as well as information contained in written material, releases and oral statements issued by or on behalf of the Company may include forward-looking statements. All statements which address operating performance, events or developments that the Company expects or anticipates will occur or future financial performance are forward-looking statements.</w:t>
      </w:r>
    </w:p>
    <w:p>
      <w:pPr>
        <w:spacing w:after="0" w:line="177" w:lineRule="exact"/>
        <w:rPr>
          <w:sz w:val="20"/>
          <w:szCs w:val="20"/>
          <w:color w:val="auto"/>
        </w:rPr>
      </w:pPr>
    </w:p>
    <w:p>
      <w:pPr>
        <w:ind w:left="1" w:right="2539" w:firstLine="865"/>
        <w:spacing w:after="0" w:line="264" w:lineRule="auto"/>
        <w:rPr>
          <w:sz w:val="20"/>
          <w:szCs w:val="20"/>
          <w:color w:val="auto"/>
        </w:rPr>
      </w:pPr>
      <w:r>
        <w:rPr>
          <w:rFonts w:ascii="Courier New" w:cs="Courier New" w:eastAsia="Courier New" w:hAnsi="Courier New"/>
          <w:sz w:val="15"/>
          <w:szCs w:val="15"/>
          <w:color w:val="auto"/>
        </w:rPr>
        <w:t>These forward-looking statements speak only as of the date on which they are made. They rely on a number of assumptions concerning future events and are subject to a number of risks and uncertainties, many of which are outside of the Company's control, that could cause actual results to differ materially from such statements. These risks and uncertainties include, but are not limited to:</w:t>
      </w:r>
    </w:p>
    <w:p>
      <w:pPr>
        <w:spacing w:after="0" w:line="174" w:lineRule="exact"/>
        <w:rPr>
          <w:sz w:val="20"/>
          <w:szCs w:val="20"/>
          <w:color w:val="auto"/>
        </w:rPr>
      </w:pPr>
    </w:p>
    <w:p>
      <w:pPr>
        <w:ind w:left="381" w:right="2639" w:hanging="381"/>
        <w:spacing w:after="0" w:line="242" w:lineRule="auto"/>
        <w:tabs>
          <w:tab w:leader="none" w:pos="18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material changes in the demand from larger customers, including customers with which the Company has national or global arrangements</w:t>
      </w:r>
    </w:p>
    <w:p>
      <w:pPr>
        <w:spacing w:after="0" w:line="4" w:lineRule="exact"/>
        <w:rPr>
          <w:rFonts w:ascii="Courier New" w:cs="Courier New" w:eastAsia="Courier New" w:hAnsi="Courier New"/>
          <w:sz w:val="16"/>
          <w:szCs w:val="16"/>
          <w:color w:val="auto"/>
        </w:rPr>
      </w:pPr>
    </w:p>
    <w:p>
      <w:pPr>
        <w:ind w:left="381" w:right="2719" w:hanging="381"/>
        <w:spacing w:after="0" w:line="242" w:lineRule="auto"/>
        <w:tabs>
          <w:tab w:leader="none" w:pos="18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availability of temporary workers or workers with the skills required by customers</w:t>
      </w:r>
    </w:p>
    <w:p>
      <w:pPr>
        <w:spacing w:after="0" w:line="2"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increases in the wages paid to temporary workers</w:t>
      </w:r>
    </w:p>
    <w:p>
      <w:pPr>
        <w:spacing w:after="0" w:line="3"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competitive market pressures, including pricing pressures</w:t>
      </w:r>
    </w:p>
    <w:p>
      <w:pPr>
        <w:spacing w:after="0" w:line="5" w:lineRule="exact"/>
        <w:rPr>
          <w:rFonts w:ascii="Courier New" w:cs="Courier New" w:eastAsia="Courier New" w:hAnsi="Courier New"/>
          <w:sz w:val="16"/>
          <w:szCs w:val="16"/>
          <w:color w:val="auto"/>
        </w:rPr>
      </w:pPr>
    </w:p>
    <w:p>
      <w:pPr>
        <w:ind w:left="381" w:right="2639" w:hanging="381"/>
        <w:spacing w:after="0" w:line="242" w:lineRule="auto"/>
        <w:tabs>
          <w:tab w:leader="none" w:pos="18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ability of the Company to successfully expand into new markets or service lines</w:t>
      </w:r>
    </w:p>
    <w:p>
      <w:pPr>
        <w:spacing w:after="0" w:line="2"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ability to successfully invest in and implement information systems</w:t>
      </w:r>
    </w:p>
    <w:p>
      <w:pPr>
        <w:spacing w:after="0" w:line="5" w:lineRule="exact"/>
        <w:rPr>
          <w:rFonts w:ascii="Courier New" w:cs="Courier New" w:eastAsia="Courier New" w:hAnsi="Courier New"/>
          <w:sz w:val="16"/>
          <w:szCs w:val="16"/>
          <w:color w:val="auto"/>
        </w:rPr>
      </w:pPr>
    </w:p>
    <w:p>
      <w:pPr>
        <w:ind w:left="381" w:right="2339" w:hanging="381"/>
        <w:spacing w:after="0" w:line="242" w:lineRule="auto"/>
        <w:tabs>
          <w:tab w:leader="none" w:pos="18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unanticipated technological changes, including obsolescence or impairment of information systems</w:t>
      </w:r>
    </w:p>
    <w:p>
      <w:pPr>
        <w:spacing w:after="0" w:line="2"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changes in customer attitudes toward the use of staffing services</w:t>
      </w:r>
    </w:p>
    <w:p>
      <w:pPr>
        <w:spacing w:after="0" w:line="5" w:lineRule="exact"/>
        <w:rPr>
          <w:rFonts w:ascii="Courier New" w:cs="Courier New" w:eastAsia="Courier New" w:hAnsi="Courier New"/>
          <w:sz w:val="16"/>
          <w:szCs w:val="16"/>
          <w:color w:val="auto"/>
        </w:rPr>
      </w:pPr>
    </w:p>
    <w:p>
      <w:pPr>
        <w:ind w:left="381" w:right="2639" w:hanging="381"/>
        <w:spacing w:after="0" w:line="242" w:lineRule="auto"/>
        <w:tabs>
          <w:tab w:leader="none" w:pos="18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government, tax or regulatory policies adverse to the employment services industry</w:t>
      </w:r>
    </w:p>
    <w:p>
      <w:pPr>
        <w:spacing w:after="0" w:line="2"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general economic conditions in international markets</w:t>
      </w:r>
    </w:p>
    <w:p>
      <w:pPr>
        <w:spacing w:after="0" w:line="3"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interest rate and exchange rate fluctuations</w:t>
      </w:r>
    </w:p>
    <w:p>
      <w:pPr>
        <w:spacing w:after="0" w:line="5" w:lineRule="exact"/>
        <w:rPr>
          <w:rFonts w:ascii="Courier New" w:cs="Courier New" w:eastAsia="Courier New" w:hAnsi="Courier New"/>
          <w:sz w:val="16"/>
          <w:szCs w:val="16"/>
          <w:color w:val="auto"/>
        </w:rPr>
      </w:pPr>
    </w:p>
    <w:p>
      <w:pPr>
        <w:ind w:left="381" w:right="2719" w:hanging="381"/>
        <w:spacing w:after="0" w:line="242" w:lineRule="auto"/>
        <w:tabs>
          <w:tab w:leader="none" w:pos="18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difficulties related to acquisitions, including integrating the acquired companies and achieving the expected benefits</w:t>
      </w:r>
    </w:p>
    <w:p>
      <w:pPr>
        <w:spacing w:after="0" w:line="189" w:lineRule="exact"/>
        <w:rPr>
          <w:sz w:val="20"/>
          <w:szCs w:val="20"/>
          <w:color w:val="auto"/>
        </w:rPr>
      </w:pPr>
    </w:p>
    <w:p>
      <w:pPr>
        <w:ind w:left="1" w:right="2719" w:firstLine="865"/>
        <w:spacing w:after="0" w:line="243" w:lineRule="auto"/>
        <w:rPr>
          <w:sz w:val="20"/>
          <w:szCs w:val="20"/>
          <w:color w:val="auto"/>
        </w:rPr>
      </w:pPr>
      <w:r>
        <w:rPr>
          <w:rFonts w:ascii="Courier New" w:cs="Courier New" w:eastAsia="Courier New" w:hAnsi="Courier New"/>
          <w:sz w:val="16"/>
          <w:szCs w:val="16"/>
          <w:color w:val="auto"/>
        </w:rPr>
        <w:t>The Company disclaims any obligation to update publicly or revise any forward-looking statements, whether as a result of new information, future events or otherwise.</w:t>
      </w:r>
    </w:p>
    <w:p>
      <w:pPr>
        <w:spacing w:after="0" w:line="189"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ACCOUNTING CHANGES Since June 1998, the Financial Accounting Standards Board ("FASB") has issued SFAS Nos. 133, 137, and 138 related to "Accounting for Derivative Instruments and Hedging Activities" ("SFAS No. 133, as amended" or "Statements"). These Statements establish accounting and reporting standards requiring that every derivative instrument be recorded on the balance sheet as either an asset or liability measured at its fair value. The Statements require that changes in the derivative's fair value be recognized currently in earnings unless specific hedge accounting criteria are met, in which case the gains or losses would offset the related results of the hedged item. The Company enters into certain derivative financial instruments to manage its exchange rate and interest rate risks, as discussed previously.</w:t>
      </w:r>
    </w:p>
    <w:p>
      <w:pPr>
        <w:spacing w:after="0" w:line="190"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On January 1, 2001, the Company adopted SFAS No. 133, as amended. As a result of adopting this standard, the Company recognized the fair value of all derivative contracts as a net liability of $3.4 million on the balance sheet at January 1, 2001. This amount was recorded as an adjustment to Shareholders' equity through Accumulated other comprehensive income (loss). There was no impact on Net earnings.</w:t>
      </w:r>
    </w:p>
    <w:p>
      <w:pPr>
        <w:sectPr>
          <w:pgSz w:w="11900" w:h="16838" w:orient="portrait"/>
          <w:cols w:equalWidth="0" w:num="1">
            <w:col w:w="10221"/>
          </w:cols>
          <w:pgMar w:left="239" w:top="300" w:right="1440" w:bottom="1440" w:gutter="0" w:footer="0" w:header="0"/>
        </w:sectPr>
      </w:pPr>
    </w:p>
    <w:p>
      <w:pPr>
        <w:spacing w:after="0" w:line="371"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Manpower, Inc.</w:t>
      </w:r>
      <w:r>
        <w:rPr>
          <w:sz w:val="20"/>
          <w:szCs w:val="20"/>
          <w:color w:val="auto"/>
        </w:rPr>
        <w:tab/>
      </w:r>
      <w:r>
        <w:rPr>
          <w:rFonts w:ascii="Courier New" w:cs="Courier New" w:eastAsia="Courier New" w:hAnsi="Courier New"/>
          <w:sz w:val="15"/>
          <w:szCs w:val="15"/>
          <w:color w:val="auto"/>
        </w:rPr>
        <w:t>73</w:t>
      </w:r>
    </w:p>
    <w:p>
      <w:pPr>
        <w:sectPr>
          <w:pgSz w:w="11900" w:h="16838" w:orient="portrait"/>
          <w:cols w:equalWidth="0" w:num="1">
            <w:col w:w="10221"/>
          </w:cols>
          <w:pgMar w:left="239" w:top="300" w:right="1440" w:bottom="1440" w:gutter="0" w:footer="0" w:header="0"/>
          <w:type w:val="continuous"/>
        </w:sectPr>
      </w:pPr>
    </w:p>
    <w:bookmarkStart w:id="66" w:name="page67"/>
    <w:bookmarkEnd w:id="66"/>
    <w:p>
      <w:pPr>
        <w:ind w:left="280"/>
        <w:spacing w:after="0"/>
        <w:rPr>
          <w:sz w:val="20"/>
          <w:szCs w:val="20"/>
          <w:color w:val="auto"/>
        </w:rPr>
      </w:pPr>
      <w:r>
        <w:rPr>
          <w:rFonts w:ascii="Courier New" w:cs="Courier New" w:eastAsia="Courier New" w:hAnsi="Courier New"/>
          <w:sz w:val="16"/>
          <w:szCs w:val="16"/>
          <w:color w:val="auto"/>
        </w:rPr>
        <w:t>48</w:t>
      </w:r>
    </w:p>
    <w:p>
      <w:pPr>
        <w:spacing w:after="0" w:line="188"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REPORT OF INDEPENDENT PUBLIC ACCOUNTANTS</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Shareholders of Manpower Inc.:</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We have audited the accompanying consolidated balance sheets of Manpower Inc. (a Wisconsin corporation) and subsidiaries as of December 31, 2000 and 1999, and the related consolidated statements of operations, cash flows and shareholders' equity for each of the three years in the period ended December 31, 2000. These consolidated financial statements are the responsibility of the Company's management. Our responsibility is to express an opinion on these consolidated financial statements based on our audits.</w:t>
      </w:r>
    </w:p>
    <w:p>
      <w:pPr>
        <w:spacing w:after="0" w:line="18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In our opinion, the consolidated financial statements referred to above present fairly, in all material respects, the financial position of Manpower Inc. and subsidiaries as of December 31, 2000 and 1999, and the results of their operations and their cash flows for each of the three years in the period ended December 31, 2000, in conformity with accounting principles generally accepted in the United States.</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ARTHUR ANDERSEN LLP</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ARTHUR ANDERSEN LLP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Milwaukee, Wisconsin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31, 2001</w:t>
      </w:r>
    </w:p>
    <w:p>
      <w:pPr>
        <w:spacing w:after="0" w:line="190" w:lineRule="exact"/>
        <w:rPr>
          <w:sz w:val="20"/>
          <w:szCs w:val="20"/>
          <w:color w:val="auto"/>
        </w:rPr>
      </w:pPr>
    </w:p>
    <w:p>
      <w:pPr>
        <w:spacing w:after="0"/>
        <w:tabs>
          <w:tab w:leader="none" w:pos="6420" w:val="left"/>
        </w:tabs>
        <w:rPr>
          <w:sz w:val="20"/>
          <w:szCs w:val="20"/>
          <w:color w:val="auto"/>
        </w:rPr>
      </w:pPr>
      <w:r>
        <w:rPr>
          <w:rFonts w:ascii="Courier New" w:cs="Courier New" w:eastAsia="Courier New" w:hAnsi="Courier New"/>
          <w:sz w:val="15"/>
          <w:szCs w:val="15"/>
          <w:color w:val="auto"/>
        </w:rPr>
        <w:t>74</w:t>
      </w:r>
      <w:r>
        <w:rPr>
          <w:sz w:val="20"/>
          <w:szCs w:val="20"/>
          <w:color w:val="auto"/>
        </w:rPr>
        <w:tab/>
      </w:r>
      <w:r>
        <w:rPr>
          <w:rFonts w:ascii="Courier New" w:cs="Courier New" w:eastAsia="Courier New" w:hAnsi="Courier New"/>
          <w:sz w:val="15"/>
          <w:szCs w:val="15"/>
          <w:color w:val="auto"/>
        </w:rPr>
        <w:t>Manpower Inc.</w:t>
      </w:r>
    </w:p>
    <w:p>
      <w:pPr>
        <w:sectPr>
          <w:pgSz w:w="11900" w:h="16838" w:orient="portrait"/>
          <w:cols w:equalWidth="0" w:num="1">
            <w:col w:w="10219"/>
          </w:cols>
          <w:pgMar w:left="240" w:top="300" w:right="1440" w:bottom="1440" w:gutter="0" w:footer="0" w:header="0"/>
        </w:sectPr>
      </w:pPr>
    </w:p>
    <w:bookmarkStart w:id="67" w:name="page68"/>
    <w:bookmarkEnd w:id="67"/>
    <w:p>
      <w:pPr>
        <w:ind w:left="280"/>
        <w:spacing w:after="0"/>
        <w:rPr>
          <w:sz w:val="20"/>
          <w:szCs w:val="20"/>
          <w:color w:val="auto"/>
        </w:rPr>
      </w:pPr>
      <w:r>
        <w:rPr>
          <w:rFonts w:ascii="Courier New" w:cs="Courier New" w:eastAsia="Courier New" w:hAnsi="Courier New"/>
          <w:sz w:val="16"/>
          <w:szCs w:val="16"/>
          <w:color w:val="auto"/>
        </w:rPr>
        <w:t>49</w:t>
      </w:r>
    </w:p>
    <w:p>
      <w:pPr>
        <w:spacing w:after="0" w:line="188"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160" w:type="dxa"/>
            <w:vAlign w:val="bottom"/>
          </w:tcPr>
          <w:p>
            <w:pPr>
              <w:spacing w:after="0"/>
              <w:rPr>
                <w:sz w:val="20"/>
                <w:szCs w:val="20"/>
                <w:color w:val="auto"/>
              </w:rPr>
            </w:pPr>
            <w:r>
              <w:rPr>
                <w:rFonts w:ascii="Courier New" w:cs="Courier New" w:eastAsia="Courier New" w:hAnsi="Courier New"/>
                <w:sz w:val="16"/>
                <w:szCs w:val="16"/>
                <w:color w:val="auto"/>
              </w:rPr>
              <w:t>YEAR ENDED DECEMBER 31</w:t>
            </w:r>
          </w:p>
        </w:tc>
        <w:tc>
          <w:tcPr>
            <w:tcW w:w="18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2000</w:t>
            </w:r>
          </w:p>
        </w:tc>
        <w:tc>
          <w:tcPr>
            <w:tcW w:w="12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1999</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80" w:type="dxa"/>
            <w:vAlign w:val="bottom"/>
          </w:tcPr>
          <w:p>
            <w:pPr>
              <w:spacing w:after="0"/>
              <w:rPr>
                <w:sz w:val="20"/>
                <w:szCs w:val="20"/>
                <w:color w:val="auto"/>
              </w:rPr>
            </w:pPr>
            <w:r>
              <w:rPr>
                <w:rFonts w:ascii="Courier New" w:cs="Courier New" w:eastAsia="Courier New" w:hAnsi="Courier New"/>
                <w:sz w:val="16"/>
                <w:szCs w:val="16"/>
                <w:color w:val="auto"/>
              </w:rPr>
              <w:t>Revenues from services</w:t>
            </w:r>
          </w:p>
        </w:tc>
        <w:tc>
          <w:tcPr>
            <w:tcW w:w="18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$ 10,842.8</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9,770.1</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  8,814.3</w:t>
            </w:r>
          </w:p>
        </w:tc>
      </w:tr>
      <w:tr>
        <w:trPr>
          <w:trHeight w:val="185"/>
        </w:trPr>
        <w:tc>
          <w:tcPr>
            <w:tcW w:w="2880" w:type="dxa"/>
            <w:vAlign w:val="bottom"/>
          </w:tcPr>
          <w:p>
            <w:pPr>
              <w:spacing w:after="0"/>
              <w:rPr>
                <w:sz w:val="20"/>
                <w:szCs w:val="20"/>
                <w:color w:val="auto"/>
              </w:rPr>
            </w:pPr>
            <w:r>
              <w:rPr>
                <w:rFonts w:ascii="Courier New" w:cs="Courier New" w:eastAsia="Courier New" w:hAnsi="Courier New"/>
                <w:sz w:val="16"/>
                <w:szCs w:val="16"/>
                <w:color w:val="auto"/>
              </w:rPr>
              <w:t>Cost of services</w:t>
            </w:r>
          </w:p>
        </w:tc>
        <w:tc>
          <w:tcPr>
            <w:tcW w:w="18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8,896.1</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8,065.2</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7,311.3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4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12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1,946.7</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1,704.9</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1,503.0</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Selling and administrative expenses</w:t>
            </w:r>
          </w:p>
        </w:tc>
        <w:tc>
          <w:tcPr>
            <w:tcW w:w="12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1,635.7</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1,474.3</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1,280.5</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Write-down of capitalized software</w:t>
            </w:r>
          </w:p>
        </w:tc>
        <w:tc>
          <w:tcPr>
            <w:tcW w:w="12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92.1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320" w:type="dxa"/>
            <w:vAlign w:val="bottom"/>
          </w:tcPr>
          <w:p>
            <w:pPr>
              <w:spacing w:after="0"/>
              <w:rPr>
                <w:sz w:val="20"/>
                <w:szCs w:val="20"/>
                <w:color w:val="auto"/>
              </w:rPr>
            </w:pPr>
            <w:r>
              <w:rPr>
                <w:rFonts w:ascii="Courier New" w:cs="Courier New" w:eastAsia="Courier New" w:hAnsi="Courier New"/>
                <w:sz w:val="16"/>
                <w:szCs w:val="16"/>
                <w:color w:val="auto"/>
              </w:rPr>
              <w:t>Operating profit</w:t>
            </w:r>
          </w:p>
        </w:tc>
        <w:tc>
          <w:tcPr>
            <w:tcW w:w="16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311.0</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230.6</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130.4</w:t>
            </w:r>
          </w:p>
        </w:tc>
      </w:tr>
      <w:tr>
        <w:trPr>
          <w:trHeight w:val="185"/>
        </w:trPr>
        <w:tc>
          <w:tcPr>
            <w:tcW w:w="3320" w:type="dxa"/>
            <w:vAlign w:val="bottom"/>
          </w:tcPr>
          <w:p>
            <w:pPr>
              <w:spacing w:after="0"/>
              <w:rPr>
                <w:sz w:val="20"/>
                <w:szCs w:val="20"/>
                <w:color w:val="auto"/>
              </w:rPr>
            </w:pPr>
            <w:r>
              <w:rPr>
                <w:rFonts w:ascii="Courier New" w:cs="Courier New" w:eastAsia="Courier New" w:hAnsi="Courier New"/>
                <w:sz w:val="16"/>
                <w:szCs w:val="16"/>
                <w:color w:val="auto"/>
              </w:rPr>
              <w:t>Interest and other expense</w:t>
            </w:r>
          </w:p>
        </w:tc>
        <w:tc>
          <w:tcPr>
            <w:tcW w:w="16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45.8</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24.8</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16.6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00" w:type="dxa"/>
            <w:vAlign w:val="bottom"/>
          </w:tcPr>
          <w:p>
            <w:pPr>
              <w:spacing w:after="0"/>
              <w:rPr>
                <w:sz w:val="20"/>
                <w:szCs w:val="20"/>
                <w:color w:val="auto"/>
              </w:rPr>
            </w:pPr>
            <w:r>
              <w:rPr>
                <w:rFonts w:ascii="Courier New" w:cs="Courier New" w:eastAsia="Courier New" w:hAnsi="Courier New"/>
                <w:sz w:val="16"/>
                <w:szCs w:val="16"/>
                <w:color w:val="auto"/>
              </w:rPr>
              <w:t>Earnings before income taxes</w:t>
            </w:r>
          </w:p>
        </w:tc>
        <w:tc>
          <w:tcPr>
            <w:tcW w:w="16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265.2</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205.8</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113.8</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16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94.0</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55.8</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38.1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3620" w:val="left"/>
          <w:tab w:leader="none" w:pos="4120" w:val="left"/>
          <w:tab w:leader="none" w:pos="4880" w:val="left"/>
          <w:tab w:leader="none" w:pos="5360" w:val="left"/>
          <w:tab w:leader="none" w:pos="6040" w:val="left"/>
          <w:tab w:leader="none" w:pos="6600" w:val="left"/>
        </w:tabs>
        <w:rPr>
          <w:sz w:val="20"/>
          <w:szCs w:val="20"/>
          <w:color w:val="auto"/>
        </w:rPr>
      </w:pPr>
      <w:r>
        <w:rPr>
          <w:rFonts w:ascii="Courier New" w:cs="Courier New" w:eastAsia="Courier New" w:hAnsi="Courier New"/>
          <w:sz w:val="16"/>
          <w:szCs w:val="16"/>
          <w:color w:val="auto"/>
        </w:rPr>
        <w:t>Net earnings</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171.2</w:t>
        <w:tab/>
        <w:t>$</w:t>
      </w:r>
      <w:r>
        <w:rPr>
          <w:sz w:val="20"/>
          <w:szCs w:val="20"/>
          <w:color w:val="auto"/>
        </w:rPr>
        <w:tab/>
      </w:r>
      <w:r>
        <w:rPr>
          <w:rFonts w:ascii="Courier New" w:cs="Courier New" w:eastAsia="Courier New" w:hAnsi="Courier New"/>
          <w:sz w:val="16"/>
          <w:szCs w:val="16"/>
          <w:color w:val="auto"/>
        </w:rPr>
        <w:t>150.0</w:t>
        <w:tab/>
        <w:t>$</w:t>
      </w:r>
      <w:r>
        <w:rPr>
          <w:sz w:val="20"/>
          <w:szCs w:val="20"/>
          <w:color w:val="auto"/>
        </w:rPr>
        <w:tab/>
      </w:r>
      <w:r>
        <w:rPr>
          <w:rFonts w:ascii="Courier New" w:cs="Courier New" w:eastAsia="Courier New" w:hAnsi="Courier New"/>
          <w:sz w:val="16"/>
          <w:szCs w:val="16"/>
          <w:color w:val="auto"/>
        </w:rPr>
        <w:t>75.7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tabs>
          <w:tab w:leader="none" w:pos="3620" w:val="left"/>
          <w:tab w:leader="none" w:pos="4200" w:val="left"/>
          <w:tab w:leader="none" w:pos="4880" w:val="left"/>
          <w:tab w:leader="none" w:pos="5460" w:val="left"/>
          <w:tab w:leader="none" w:pos="6040" w:val="left"/>
          <w:tab w:leader="none" w:pos="6700" w:val="left"/>
        </w:tabs>
        <w:rPr>
          <w:sz w:val="20"/>
          <w:szCs w:val="20"/>
          <w:color w:val="auto"/>
        </w:rPr>
      </w:pPr>
      <w:r>
        <w:rPr>
          <w:rFonts w:ascii="Courier New" w:cs="Courier New" w:eastAsia="Courier New" w:hAnsi="Courier New"/>
          <w:sz w:val="16"/>
          <w:szCs w:val="16"/>
          <w:color w:val="auto"/>
        </w:rPr>
        <w:t>Net earnings per share</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2.26</w:t>
        <w:tab/>
        <w:t>$</w:t>
      </w:r>
      <w:r>
        <w:rPr>
          <w:sz w:val="20"/>
          <w:szCs w:val="20"/>
          <w:color w:val="auto"/>
        </w:rPr>
        <w:tab/>
      </w:r>
      <w:r>
        <w:rPr>
          <w:rFonts w:ascii="Courier New" w:cs="Courier New" w:eastAsia="Courier New" w:hAnsi="Courier New"/>
          <w:sz w:val="16"/>
          <w:szCs w:val="16"/>
          <w:color w:val="auto"/>
        </w:rPr>
        <w:t>1.94</w:t>
        <w:tab/>
        <w:t>$</w:t>
      </w:r>
      <w:r>
        <w:rPr>
          <w:sz w:val="20"/>
          <w:szCs w:val="20"/>
          <w:color w:val="auto"/>
        </w:rPr>
        <w:tab/>
      </w:r>
      <w:r>
        <w:rPr>
          <w:rFonts w:ascii="Courier New" w:cs="Courier New" w:eastAsia="Courier New" w:hAnsi="Courier New"/>
          <w:sz w:val="16"/>
          <w:szCs w:val="16"/>
          <w:color w:val="auto"/>
        </w:rPr>
        <w:t>.94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tabs>
          <w:tab w:leader="none" w:pos="3620" w:val="left"/>
          <w:tab w:leader="none" w:pos="4200" w:val="left"/>
          <w:tab w:leader="none" w:pos="4880" w:val="left"/>
          <w:tab w:leader="none" w:pos="5460" w:val="left"/>
          <w:tab w:leader="none" w:pos="6040" w:val="left"/>
          <w:tab w:leader="none" w:pos="6700" w:val="left"/>
        </w:tabs>
        <w:rPr>
          <w:sz w:val="20"/>
          <w:szCs w:val="20"/>
          <w:color w:val="auto"/>
        </w:rPr>
      </w:pPr>
      <w:r>
        <w:rPr>
          <w:rFonts w:ascii="Courier New" w:cs="Courier New" w:eastAsia="Courier New" w:hAnsi="Courier New"/>
          <w:sz w:val="16"/>
          <w:szCs w:val="16"/>
          <w:color w:val="auto"/>
        </w:rPr>
        <w:t>Net earnings per share - diluted</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2.22</w:t>
        <w:tab/>
        <w:t>$</w:t>
      </w:r>
      <w:r>
        <w:rPr>
          <w:sz w:val="20"/>
          <w:szCs w:val="20"/>
          <w:color w:val="auto"/>
        </w:rPr>
        <w:tab/>
      </w:r>
      <w:r>
        <w:rPr>
          <w:rFonts w:ascii="Courier New" w:cs="Courier New" w:eastAsia="Courier New" w:hAnsi="Courier New"/>
          <w:sz w:val="16"/>
          <w:szCs w:val="16"/>
          <w:color w:val="auto"/>
        </w:rPr>
        <w:t>1.91</w:t>
        <w:tab/>
        <w:t>$</w:t>
      </w:r>
      <w:r>
        <w:rPr>
          <w:sz w:val="20"/>
          <w:szCs w:val="20"/>
          <w:color w:val="auto"/>
        </w:rPr>
        <w:tab/>
      </w:r>
      <w:r>
        <w:rPr>
          <w:rFonts w:ascii="Courier New" w:cs="Courier New" w:eastAsia="Courier New" w:hAnsi="Courier New"/>
          <w:sz w:val="16"/>
          <w:szCs w:val="16"/>
          <w:color w:val="auto"/>
        </w:rPr>
        <w:t>.93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60" w:lineRule="exact"/>
        <w:rPr>
          <w:sz w:val="20"/>
          <w:szCs w:val="20"/>
          <w:color w:val="auto"/>
        </w:rPr>
      </w:pPr>
    </w:p>
    <w:p>
      <w:pPr>
        <w:ind w:right="2539"/>
        <w:spacing w:after="0" w:line="242" w:lineRule="auto"/>
        <w:rPr>
          <w:sz w:val="20"/>
          <w:szCs w:val="20"/>
          <w:color w:val="auto"/>
        </w:rPr>
      </w:pPr>
      <w:r>
        <w:rPr>
          <w:rFonts w:ascii="Courier New" w:cs="Courier New" w:eastAsia="Courier New" w:hAnsi="Courier New"/>
          <w:sz w:val="16"/>
          <w:szCs w:val="16"/>
          <w:color w:val="auto"/>
        </w:rPr>
        <w:t>The accompanying Notes to Consolidated Financial Statements are an integral part of these statements.</w:t>
      </w:r>
    </w:p>
    <w:p>
      <w:pPr>
        <w:spacing w:after="0" w:line="200" w:lineRule="exact"/>
        <w:rPr>
          <w:sz w:val="20"/>
          <w:szCs w:val="20"/>
          <w:color w:val="auto"/>
        </w:rPr>
      </w:pPr>
    </w:p>
    <w:p>
      <w:pPr>
        <w:spacing w:after="0" w:line="356"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SUPPLEMENTAL SYSTEMWIDE INFORMATION (UNAUDITED)</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(dollars in millions)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20" w:type="dxa"/>
            <w:vAlign w:val="bottom"/>
          </w:tcPr>
          <w:p>
            <w:pPr>
              <w:spacing w:after="0"/>
              <w:rPr>
                <w:sz w:val="20"/>
                <w:szCs w:val="20"/>
                <w:color w:val="auto"/>
              </w:rPr>
            </w:pPr>
            <w:r>
              <w:rPr>
                <w:rFonts w:ascii="Courier New" w:cs="Courier New" w:eastAsia="Courier New" w:hAnsi="Courier New"/>
                <w:sz w:val="16"/>
                <w:szCs w:val="16"/>
                <w:color w:val="auto"/>
              </w:rPr>
              <w:t>YEAR ENDED DECEMBER 31</w:t>
            </w: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2000</w:t>
            </w:r>
          </w:p>
        </w:tc>
        <w:tc>
          <w:tcPr>
            <w:tcW w:w="11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1999</w:t>
            </w:r>
          </w:p>
        </w:tc>
        <w:tc>
          <w:tcPr>
            <w:tcW w:w="2340" w:type="dxa"/>
            <w:vAlign w:val="bottom"/>
          </w:tcPr>
          <w:p>
            <w:pPr>
              <w:jc w:val="right"/>
              <w:ind w:right="1260"/>
              <w:spacing w:after="0"/>
              <w:rPr>
                <w:sz w:val="20"/>
                <w:szCs w:val="20"/>
                <w:color w:val="auto"/>
              </w:rPr>
            </w:pPr>
            <w:r>
              <w:rPr>
                <w:rFonts w:ascii="Courier New" w:cs="Courier New" w:eastAsia="Courier New" w:hAnsi="Courier New"/>
                <w:sz w:val="16"/>
                <w:szCs w:val="16"/>
                <w:color w:val="auto"/>
              </w:rPr>
              <w:t>1998</w:t>
            </w:r>
          </w:p>
        </w:tc>
      </w:tr>
      <w:tr>
        <w:trPr>
          <w:trHeight w:val="185"/>
        </w:trPr>
        <w:tc>
          <w:tcPr>
            <w:tcW w:w="7680" w:type="dxa"/>
            <w:vAlign w:val="bottom"/>
            <w:gridSpan w:val="4"/>
          </w:tcPr>
          <w:p>
            <w:pPr>
              <w:spacing w:after="0"/>
              <w:rPr>
                <w:sz w:val="20"/>
                <w:szCs w:val="20"/>
                <w:color w:val="auto"/>
              </w:rPr>
            </w:pPr>
            <w:r>
              <w:rPr>
                <w:rFonts w:ascii="Courier New" w:cs="Courier New" w:eastAsia="Courier New" w:hAnsi="Courier New"/>
                <w:sz w:val="16"/>
                <w:szCs w:val="16"/>
                <w:color w:val="auto"/>
              </w:rPr>
              <w:t>- -------------------------------------------------------------------</w:t>
            </w:r>
          </w:p>
        </w:tc>
      </w:tr>
      <w:tr>
        <w:trPr>
          <w:trHeight w:val="185"/>
        </w:trPr>
        <w:tc>
          <w:tcPr>
            <w:tcW w:w="3020" w:type="dxa"/>
            <w:vAlign w:val="bottom"/>
          </w:tcPr>
          <w:p>
            <w:pPr>
              <w:spacing w:after="0"/>
              <w:rPr>
                <w:sz w:val="20"/>
                <w:szCs w:val="20"/>
                <w:color w:val="auto"/>
              </w:rPr>
            </w:pPr>
            <w:r>
              <w:rPr>
                <w:rFonts w:ascii="Courier New" w:cs="Courier New" w:eastAsia="Courier New" w:hAnsi="Courier New"/>
                <w:sz w:val="16"/>
                <w:szCs w:val="16"/>
                <w:color w:val="auto"/>
              </w:rPr>
              <w:t>Systemwide sales</w:t>
            </w: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$12,444.9</w:t>
            </w:r>
          </w:p>
        </w:tc>
        <w:tc>
          <w:tcPr>
            <w:tcW w:w="11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$11,511.4</w:t>
            </w:r>
          </w:p>
        </w:tc>
        <w:tc>
          <w:tcPr>
            <w:tcW w:w="2340" w:type="dxa"/>
            <w:vAlign w:val="bottom"/>
          </w:tcPr>
          <w:p>
            <w:pPr>
              <w:jc w:val="right"/>
              <w:ind w:right="1260"/>
              <w:spacing w:after="0"/>
              <w:rPr>
                <w:sz w:val="20"/>
                <w:szCs w:val="20"/>
                <w:color w:val="auto"/>
              </w:rPr>
            </w:pPr>
            <w:r>
              <w:rPr>
                <w:rFonts w:ascii="Courier New" w:cs="Courier New" w:eastAsia="Courier New" w:hAnsi="Courier New"/>
                <w:sz w:val="16"/>
                <w:szCs w:val="16"/>
                <w:color w:val="auto"/>
              </w:rPr>
              <w:t>$10,523.4</w:t>
            </w:r>
          </w:p>
        </w:tc>
      </w:tr>
      <w:tr>
        <w:trPr>
          <w:trHeight w:val="185"/>
        </w:trPr>
        <w:tc>
          <w:tcPr>
            <w:tcW w:w="3020" w:type="dxa"/>
            <w:vAlign w:val="bottom"/>
          </w:tcPr>
          <w:p>
            <w:pPr>
              <w:spacing w:after="0"/>
              <w:rPr>
                <w:sz w:val="20"/>
                <w:szCs w:val="20"/>
                <w:color w:val="auto"/>
              </w:rPr>
            </w:pPr>
            <w:r>
              <w:rPr>
                <w:rFonts w:ascii="Courier New" w:cs="Courier New" w:eastAsia="Courier New" w:hAnsi="Courier New"/>
                <w:sz w:val="16"/>
                <w:szCs w:val="16"/>
                <w:color w:val="auto"/>
              </w:rPr>
              <w:t>Systemwide offices at year-end</w:t>
            </w: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3,685</w:t>
            </w:r>
          </w:p>
        </w:tc>
        <w:tc>
          <w:tcPr>
            <w:tcW w:w="11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3,396</w:t>
            </w:r>
          </w:p>
        </w:tc>
        <w:tc>
          <w:tcPr>
            <w:tcW w:w="2340" w:type="dxa"/>
            <w:vAlign w:val="bottom"/>
          </w:tcPr>
          <w:p>
            <w:pPr>
              <w:jc w:val="right"/>
              <w:ind w:right="1260"/>
              <w:spacing w:after="0"/>
              <w:rPr>
                <w:sz w:val="20"/>
                <w:szCs w:val="20"/>
                <w:color w:val="auto"/>
              </w:rPr>
            </w:pPr>
            <w:r>
              <w:rPr>
                <w:rFonts w:ascii="Courier New" w:cs="Courier New" w:eastAsia="Courier New" w:hAnsi="Courier New"/>
                <w:sz w:val="16"/>
                <w:szCs w:val="16"/>
                <w:color w:val="auto"/>
              </w:rPr>
              <w:t>3,189</w:t>
            </w:r>
          </w:p>
        </w:tc>
      </w:tr>
      <w:tr>
        <w:trPr>
          <w:trHeight w:val="185"/>
        </w:trPr>
        <w:tc>
          <w:tcPr>
            <w:tcW w:w="7680" w:type="dxa"/>
            <w:vAlign w:val="bottom"/>
            <w:gridSpan w:val="4"/>
          </w:tcPr>
          <w:p>
            <w:pPr>
              <w:spacing w:after="0"/>
              <w:rPr>
                <w:sz w:val="20"/>
                <w:szCs w:val="20"/>
                <w:color w:val="auto"/>
              </w:rPr>
            </w:pPr>
            <w:r>
              <w:rPr>
                <w:rFonts w:ascii="Courier New" w:cs="Courier New" w:eastAsia="Courier New" w:hAnsi="Courier New"/>
                <w:sz w:val="16"/>
                <w:szCs w:val="16"/>
                <w:color w:val="auto"/>
              </w:rPr>
              <w:t>===================================================================</w:t>
            </w:r>
          </w:p>
        </w:tc>
      </w:tr>
      <w:tr>
        <w:trPr>
          <w:trHeight w:val="185"/>
        </w:trPr>
        <w:tc>
          <w:tcPr>
            <w:tcW w:w="7680" w:type="dxa"/>
            <w:vAlign w:val="bottom"/>
            <w:gridSpan w:val="4"/>
          </w:tcPr>
          <w:p>
            <w:pPr>
              <w:spacing w:after="0"/>
              <w:rPr>
                <w:sz w:val="20"/>
                <w:szCs w:val="20"/>
                <w:color w:val="auto"/>
              </w:rPr>
            </w:pPr>
            <w:r>
              <w:rPr>
                <w:rFonts w:ascii="Courier New" w:cs="Courier New" w:eastAsia="Courier New" w:hAnsi="Courier New"/>
                <w:sz w:val="16"/>
                <w:szCs w:val="16"/>
                <w:color w:val="auto"/>
              </w:rPr>
              <w:t>Systemwide information represents total of Company-owned branches and</w:t>
            </w:r>
          </w:p>
        </w:tc>
      </w:tr>
      <w:tr>
        <w:trPr>
          <w:trHeight w:val="185"/>
        </w:trPr>
        <w:tc>
          <w:tcPr>
            <w:tcW w:w="3020" w:type="dxa"/>
            <w:vAlign w:val="bottom"/>
          </w:tcPr>
          <w:p>
            <w:pPr>
              <w:spacing w:after="0"/>
              <w:rPr>
                <w:sz w:val="20"/>
                <w:szCs w:val="20"/>
                <w:color w:val="auto"/>
              </w:rPr>
            </w:pPr>
            <w:r>
              <w:rPr>
                <w:rFonts w:ascii="Courier New" w:cs="Courier New" w:eastAsia="Courier New" w:hAnsi="Courier New"/>
                <w:sz w:val="16"/>
                <w:szCs w:val="16"/>
                <w:color w:val="auto"/>
              </w:rPr>
              <w:t>franchises.</w:t>
            </w:r>
          </w:p>
        </w:tc>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554"/>
        </w:trPr>
        <w:tc>
          <w:tcPr>
            <w:tcW w:w="3020" w:type="dxa"/>
            <w:vAlign w:val="bottom"/>
          </w:tcPr>
          <w:p>
            <w:pPr>
              <w:spacing w:after="0"/>
              <w:rPr>
                <w:sz w:val="20"/>
                <w:szCs w:val="20"/>
                <w:color w:val="auto"/>
              </w:rPr>
            </w:pPr>
            <w:r>
              <w:rPr>
                <w:rFonts w:ascii="Courier New" w:cs="Courier New" w:eastAsia="Courier New" w:hAnsi="Courier New"/>
                <w:sz w:val="16"/>
                <w:szCs w:val="16"/>
                <w:color w:val="auto"/>
              </w:rPr>
              <w:t>Manpower Inc.</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Courier New" w:cs="Courier New" w:eastAsia="Courier New" w:hAnsi="Courier New"/>
                <w:sz w:val="16"/>
                <w:szCs w:val="16"/>
                <w:color w:val="auto"/>
              </w:rPr>
              <w:t>75</w:t>
            </w:r>
          </w:p>
        </w:tc>
      </w:tr>
    </w:tbl>
    <w:p>
      <w:pPr>
        <w:sectPr>
          <w:pgSz w:w="11900" w:h="16838" w:orient="portrait"/>
          <w:cols w:equalWidth="0" w:num="1">
            <w:col w:w="10219"/>
          </w:cols>
          <w:pgMar w:left="240" w:top="300" w:right="1440" w:bottom="1440" w:gutter="0" w:footer="0" w:header="0"/>
        </w:sectPr>
      </w:pPr>
    </w:p>
    <w:bookmarkStart w:id="68" w:name="page69"/>
    <w:bookmarkEnd w:id="68"/>
    <w:p>
      <w:pPr>
        <w:ind w:left="280"/>
        <w:spacing w:after="0"/>
        <w:rPr>
          <w:sz w:val="20"/>
          <w:szCs w:val="20"/>
          <w:color w:val="auto"/>
        </w:rPr>
      </w:pPr>
      <w:r>
        <w:rPr>
          <w:rFonts w:ascii="Courier New" w:cs="Courier New" w:eastAsia="Courier New" w:hAnsi="Courier New"/>
          <w:sz w:val="16"/>
          <w:szCs w:val="16"/>
          <w:color w:val="auto"/>
        </w:rPr>
        <w:t>50</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CONSOLIDATED BALANCE SHEETS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680" w:type="dxa"/>
            <w:vAlign w:val="bottom"/>
          </w:tcPr>
          <w:p>
            <w:pPr>
              <w:spacing w:after="0"/>
              <w:rPr>
                <w:sz w:val="15"/>
                <w:szCs w:val="15"/>
                <w:color w:val="auto"/>
              </w:rPr>
            </w:pPr>
          </w:p>
        </w:tc>
        <w:tc>
          <w:tcPr>
            <w:tcW w:w="7600" w:type="dxa"/>
            <w:vAlign w:val="bottom"/>
          </w:tcPr>
          <w:p>
            <w:pPr>
              <w:jc w:val="right"/>
              <w:ind w:right="3820"/>
              <w:spacing w:after="0"/>
              <w:rPr>
                <w:sz w:val="20"/>
                <w:szCs w:val="20"/>
                <w:color w:val="auto"/>
              </w:rPr>
            </w:pPr>
            <w:r>
              <w:rPr>
                <w:rFonts w:ascii="Courier New" w:cs="Courier New" w:eastAsia="Courier New" w:hAnsi="Courier New"/>
                <w:sz w:val="16"/>
                <w:szCs w:val="16"/>
                <w:color w:val="auto"/>
              </w:rPr>
              <w:t>(in millions, except share data)</w:t>
            </w:r>
          </w:p>
        </w:tc>
        <w:tc>
          <w:tcPr>
            <w:tcW w:w="720" w:type="dxa"/>
            <w:vAlign w:val="bottom"/>
          </w:tcPr>
          <w:p>
            <w:pPr>
              <w:spacing w:after="0"/>
              <w:rPr>
                <w:sz w:val="15"/>
                <w:szCs w:val="15"/>
                <w:color w:val="auto"/>
              </w:rPr>
            </w:pPr>
          </w:p>
        </w:tc>
      </w:tr>
      <w:tr>
        <w:trPr>
          <w:trHeight w:val="924"/>
        </w:trPr>
        <w:tc>
          <w:tcPr>
            <w:tcW w:w="1680" w:type="dxa"/>
            <w:vAlign w:val="bottom"/>
          </w:tcPr>
          <w:p>
            <w:pPr>
              <w:spacing w:after="0"/>
              <w:rPr>
                <w:sz w:val="20"/>
                <w:szCs w:val="20"/>
                <w:color w:val="auto"/>
              </w:rPr>
            </w:pPr>
            <w:r>
              <w:rPr>
                <w:rFonts w:ascii="Courier New" w:cs="Courier New" w:eastAsia="Courier New" w:hAnsi="Courier New"/>
                <w:sz w:val="16"/>
                <w:szCs w:val="16"/>
                <w:color w:val="auto"/>
              </w:rPr>
              <w:t>DECEMBER 31</w:t>
            </w:r>
          </w:p>
        </w:tc>
        <w:tc>
          <w:tcPr>
            <w:tcW w:w="76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2000</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86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2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5"/>
        </w:trPr>
        <w:tc>
          <w:tcPr>
            <w:tcW w:w="68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2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6860" w:type="dxa"/>
            <w:vAlign w:val="bottom"/>
          </w:tcPr>
          <w:p>
            <w:pPr>
              <w:ind w:left="100"/>
              <w:spacing w:after="0"/>
              <w:rPr>
                <w:sz w:val="20"/>
                <w:szCs w:val="20"/>
                <w:color w:val="auto"/>
              </w:rPr>
            </w:pPr>
            <w:r>
              <w:rPr>
                <w:rFonts w:ascii="Courier New" w:cs="Courier New" w:eastAsia="Courier New" w:hAnsi="Courier New"/>
                <w:sz w:val="16"/>
                <w:szCs w:val="16"/>
                <w:color w:val="auto"/>
              </w:rPr>
              <w:t>Cash and cash equivalents</w:t>
            </w:r>
          </w:p>
        </w:tc>
        <w:tc>
          <w:tcPr>
            <w:tcW w:w="22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  181.7</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  241.7</w:t>
            </w:r>
          </w:p>
        </w:tc>
      </w:tr>
      <w:tr>
        <w:trPr>
          <w:trHeight w:val="185"/>
        </w:trPr>
        <w:tc>
          <w:tcPr>
            <w:tcW w:w="6860" w:type="dxa"/>
            <w:vAlign w:val="bottom"/>
          </w:tcPr>
          <w:p>
            <w:pPr>
              <w:ind w:left="100"/>
              <w:spacing w:after="0"/>
              <w:rPr>
                <w:sz w:val="20"/>
                <w:szCs w:val="20"/>
                <w:color w:val="auto"/>
              </w:rPr>
            </w:pPr>
            <w:r>
              <w:rPr>
                <w:rFonts w:ascii="Courier New" w:cs="Courier New" w:eastAsia="Courier New" w:hAnsi="Courier New"/>
                <w:sz w:val="16"/>
                <w:szCs w:val="16"/>
                <w:color w:val="auto"/>
              </w:rPr>
              <w:t>Accounts receivable, less allowance for doubtful accounts</w:t>
            </w:r>
          </w:p>
        </w:tc>
        <w:tc>
          <w:tcPr>
            <w:tcW w:w="22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6860" w:type="dxa"/>
            <w:vAlign w:val="bottom"/>
          </w:tcPr>
          <w:p>
            <w:pPr>
              <w:ind w:left="280"/>
              <w:spacing w:after="0"/>
              <w:rPr>
                <w:sz w:val="20"/>
                <w:szCs w:val="20"/>
                <w:color w:val="auto"/>
              </w:rPr>
            </w:pPr>
            <w:r>
              <w:rPr>
                <w:rFonts w:ascii="Courier New" w:cs="Courier New" w:eastAsia="Courier New" w:hAnsi="Courier New"/>
                <w:sz w:val="16"/>
                <w:szCs w:val="16"/>
                <w:color w:val="auto"/>
              </w:rPr>
              <w:t>of $55.3 and $47.1, respectively</w:t>
            </w:r>
          </w:p>
        </w:tc>
        <w:tc>
          <w:tcPr>
            <w:tcW w:w="22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2,094.4</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1,897.6</w:t>
            </w:r>
          </w:p>
        </w:tc>
      </w:tr>
      <w:tr>
        <w:trPr>
          <w:trHeight w:val="185"/>
        </w:trPr>
        <w:tc>
          <w:tcPr>
            <w:tcW w:w="6860" w:type="dxa"/>
            <w:vAlign w:val="bottom"/>
          </w:tcPr>
          <w:p>
            <w:pPr>
              <w:ind w:left="100"/>
              <w:spacing w:after="0"/>
              <w:rPr>
                <w:sz w:val="20"/>
                <w:szCs w:val="20"/>
                <w:color w:val="auto"/>
              </w:rPr>
            </w:pPr>
            <w:r>
              <w:rPr>
                <w:rFonts w:ascii="Courier New" w:cs="Courier New" w:eastAsia="Courier New" w:hAnsi="Courier New"/>
                <w:sz w:val="16"/>
                <w:szCs w:val="16"/>
                <w:color w:val="auto"/>
              </w:rPr>
              <w:t>Prepaid expenses and other assets</w:t>
            </w:r>
          </w:p>
        </w:tc>
        <w:tc>
          <w:tcPr>
            <w:tcW w:w="22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51.8</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66.0</w:t>
            </w:r>
          </w:p>
        </w:tc>
      </w:tr>
      <w:tr>
        <w:trPr>
          <w:trHeight w:val="185"/>
        </w:trPr>
        <w:tc>
          <w:tcPr>
            <w:tcW w:w="6860" w:type="dxa"/>
            <w:vAlign w:val="bottom"/>
          </w:tcPr>
          <w:p>
            <w:pPr>
              <w:ind w:left="100"/>
              <w:spacing w:after="0"/>
              <w:rPr>
                <w:sz w:val="20"/>
                <w:szCs w:val="20"/>
                <w:color w:val="auto"/>
              </w:rPr>
            </w:pPr>
            <w:r>
              <w:rPr>
                <w:rFonts w:ascii="Courier New" w:cs="Courier New" w:eastAsia="Courier New" w:hAnsi="Courier New"/>
                <w:sz w:val="16"/>
                <w:szCs w:val="16"/>
                <w:color w:val="auto"/>
              </w:rPr>
              <w:t>Future income tax benefits</w:t>
            </w:r>
          </w:p>
        </w:tc>
        <w:tc>
          <w:tcPr>
            <w:tcW w:w="22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68.8</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52.0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60" w:type="dxa"/>
            <w:vAlign w:val="bottom"/>
          </w:tcPr>
          <w:p>
            <w:pPr>
              <w:spacing w:after="0"/>
              <w:rPr>
                <w:sz w:val="20"/>
                <w:szCs w:val="20"/>
                <w:color w:val="auto"/>
              </w:rPr>
            </w:pPr>
            <w:r>
              <w:rPr>
                <w:rFonts w:ascii="Courier New" w:cs="Courier New" w:eastAsia="Courier New" w:hAnsi="Courier New"/>
                <w:sz w:val="16"/>
                <w:szCs w:val="16"/>
                <w:color w:val="auto"/>
              </w:rPr>
              <w:t>Total current assets</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2,396.7</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2,257.3</w:t>
            </w:r>
          </w:p>
        </w:tc>
      </w:tr>
      <w:tr>
        <w:trPr>
          <w:trHeight w:val="370"/>
        </w:trPr>
        <w:tc>
          <w:tcPr>
            <w:tcW w:w="806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5"/>
        </w:trPr>
        <w:tc>
          <w:tcPr>
            <w:tcW w:w="8060" w:type="dxa"/>
            <w:vAlign w:val="bottom"/>
          </w:tcPr>
          <w:p>
            <w:pPr>
              <w:ind w:left="100"/>
              <w:spacing w:after="0"/>
              <w:rPr>
                <w:sz w:val="20"/>
                <w:szCs w:val="20"/>
                <w:color w:val="auto"/>
              </w:rPr>
            </w:pPr>
            <w:r>
              <w:rPr>
                <w:rFonts w:ascii="Courier New" w:cs="Courier New" w:eastAsia="Courier New" w:hAnsi="Courier New"/>
                <w:sz w:val="16"/>
                <w:szCs w:val="16"/>
                <w:color w:val="auto"/>
              </w:rPr>
              <w:t>Intangible assets, less accumulated amortization of $27.2 and $16.3, respectively</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247.6</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89.4</w:t>
            </w:r>
          </w:p>
        </w:tc>
      </w:tr>
      <w:tr>
        <w:trPr>
          <w:trHeight w:val="185"/>
        </w:trPr>
        <w:tc>
          <w:tcPr>
            <w:tcW w:w="8060" w:type="dxa"/>
            <w:vAlign w:val="bottom"/>
          </w:tcPr>
          <w:p>
            <w:pPr>
              <w:ind w:left="100"/>
              <w:spacing w:after="0"/>
              <w:rPr>
                <w:sz w:val="20"/>
                <w:szCs w:val="20"/>
                <w:color w:val="auto"/>
              </w:rPr>
            </w:pPr>
            <w:r>
              <w:rPr>
                <w:rFonts w:ascii="Courier New" w:cs="Courier New" w:eastAsia="Courier New" w:hAnsi="Courier New"/>
                <w:sz w:val="16"/>
                <w:szCs w:val="16"/>
                <w:color w:val="auto"/>
              </w:rPr>
              <w:t>Investments in licensees</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41.8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37.0</w:t>
            </w:r>
          </w:p>
        </w:tc>
      </w:tr>
      <w:tr>
        <w:trPr>
          <w:trHeight w:val="185"/>
        </w:trPr>
        <w:tc>
          <w:tcPr>
            <w:tcW w:w="8060" w:type="dxa"/>
            <w:vAlign w:val="bottom"/>
          </w:tcPr>
          <w:p>
            <w:pPr>
              <w:ind w:left="100"/>
              <w:spacing w:after="0"/>
              <w:rPr>
                <w:sz w:val="20"/>
                <w:szCs w:val="20"/>
                <w:color w:val="auto"/>
              </w:rPr>
            </w:pPr>
            <w:r>
              <w:rPr>
                <w:rFonts w:ascii="Courier New" w:cs="Courier New" w:eastAsia="Courier New" w:hAnsi="Courier New"/>
                <w:sz w:val="16"/>
                <w:szCs w:val="16"/>
                <w:color w:val="auto"/>
              </w:rPr>
              <w:t>Other assets</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163.9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152.6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820" w:type="dxa"/>
            <w:vAlign w:val="bottom"/>
          </w:tcPr>
          <w:p>
            <w:pPr>
              <w:spacing w:after="0"/>
              <w:rPr>
                <w:sz w:val="20"/>
                <w:szCs w:val="20"/>
                <w:color w:val="auto"/>
              </w:rPr>
            </w:pPr>
            <w:r>
              <w:rPr>
                <w:rFonts w:ascii="Courier New" w:cs="Courier New" w:eastAsia="Courier New" w:hAnsi="Courier New"/>
                <w:sz w:val="16"/>
                <w:szCs w:val="16"/>
                <w:color w:val="auto"/>
              </w:rPr>
              <w:t>Total other assets</w:t>
            </w:r>
          </w:p>
        </w:tc>
        <w:tc>
          <w:tcPr>
            <w:tcW w:w="24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453.3</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279.0</w:t>
            </w:r>
          </w:p>
        </w:tc>
      </w:tr>
      <w:tr>
        <w:trPr>
          <w:trHeight w:val="370"/>
        </w:trPr>
        <w:tc>
          <w:tcPr>
            <w:tcW w:w="6820" w:type="dxa"/>
            <w:vAlign w:val="bottom"/>
          </w:tcPr>
          <w:p>
            <w:pPr>
              <w:spacing w:after="0"/>
              <w:rPr>
                <w:sz w:val="20"/>
                <w:szCs w:val="20"/>
                <w:color w:val="auto"/>
              </w:rPr>
            </w:pPr>
            <w:r>
              <w:rPr>
                <w:rFonts w:ascii="Courier New" w:cs="Courier New" w:eastAsia="Courier New" w:hAnsi="Courier New"/>
                <w:sz w:val="16"/>
                <w:szCs w:val="16"/>
                <w:color w:val="auto"/>
              </w:rPr>
              <w:t>Property and Equipment:</w:t>
            </w:r>
          </w:p>
        </w:tc>
        <w:tc>
          <w:tcPr>
            <w:tcW w:w="2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6820" w:type="dxa"/>
            <w:vAlign w:val="bottom"/>
          </w:tcPr>
          <w:p>
            <w:pPr>
              <w:ind w:left="100"/>
              <w:spacing w:after="0"/>
              <w:rPr>
                <w:sz w:val="20"/>
                <w:szCs w:val="20"/>
                <w:color w:val="auto"/>
              </w:rPr>
            </w:pPr>
            <w:r>
              <w:rPr>
                <w:rFonts w:ascii="Courier New" w:cs="Courier New" w:eastAsia="Courier New" w:hAnsi="Courier New"/>
                <w:sz w:val="16"/>
                <w:szCs w:val="16"/>
                <w:color w:val="auto"/>
              </w:rPr>
              <w:t>Land, buildings, leasehold improvements and equipment</w:t>
            </w:r>
          </w:p>
        </w:tc>
        <w:tc>
          <w:tcPr>
            <w:tcW w:w="24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440.9</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416.1</w:t>
            </w:r>
          </w:p>
        </w:tc>
      </w:tr>
      <w:tr>
        <w:trPr>
          <w:trHeight w:val="185"/>
        </w:trPr>
        <w:tc>
          <w:tcPr>
            <w:tcW w:w="6820" w:type="dxa"/>
            <w:vAlign w:val="bottom"/>
          </w:tcPr>
          <w:p>
            <w:pPr>
              <w:ind w:left="100"/>
              <w:spacing w:after="0"/>
              <w:rPr>
                <w:sz w:val="20"/>
                <w:szCs w:val="20"/>
                <w:color w:val="auto"/>
              </w:rPr>
            </w:pPr>
            <w:r>
              <w:rPr>
                <w:rFonts w:ascii="Courier New" w:cs="Courier New" w:eastAsia="Courier New" w:hAnsi="Courier New"/>
                <w:sz w:val="16"/>
                <w:szCs w:val="16"/>
                <w:color w:val="auto"/>
              </w:rPr>
              <w:t>Less: accumulated depreciation and amortization</w:t>
            </w:r>
          </w:p>
        </w:tc>
        <w:tc>
          <w:tcPr>
            <w:tcW w:w="24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249.3</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233.7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480" w:type="dxa"/>
            <w:vAlign w:val="bottom"/>
          </w:tcPr>
          <w:p>
            <w:pPr>
              <w:spacing w:after="0"/>
              <w:rPr>
                <w:sz w:val="20"/>
                <w:szCs w:val="20"/>
                <w:color w:val="auto"/>
              </w:rPr>
            </w:pPr>
            <w:r>
              <w:rPr>
                <w:rFonts w:ascii="Courier New" w:cs="Courier New" w:eastAsia="Courier New" w:hAnsi="Courier New"/>
                <w:sz w:val="16"/>
                <w:szCs w:val="16"/>
                <w:color w:val="auto"/>
              </w:rPr>
              <w:t>Net property and equipment</w:t>
            </w:r>
          </w:p>
        </w:tc>
        <w:tc>
          <w:tcPr>
            <w:tcW w:w="37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191.6</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182.4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6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44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$3,041.6</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$2,718.7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58" w:lineRule="exact"/>
        <w:rPr>
          <w:sz w:val="20"/>
          <w:szCs w:val="20"/>
          <w:color w:val="auto"/>
        </w:rPr>
      </w:pPr>
    </w:p>
    <w:p>
      <w:pPr>
        <w:spacing w:after="0"/>
        <w:tabs>
          <w:tab w:leader="none" w:pos="6420" w:val="left"/>
        </w:tabs>
        <w:rPr>
          <w:sz w:val="20"/>
          <w:szCs w:val="20"/>
          <w:color w:val="auto"/>
        </w:rPr>
      </w:pPr>
      <w:r>
        <w:rPr>
          <w:rFonts w:ascii="Courier New" w:cs="Courier New" w:eastAsia="Courier New" w:hAnsi="Courier New"/>
          <w:sz w:val="16"/>
          <w:szCs w:val="16"/>
          <w:color w:val="auto"/>
        </w:rPr>
        <w:t>76</w:t>
      </w:r>
      <w:r>
        <w:rPr>
          <w:sz w:val="20"/>
          <w:szCs w:val="20"/>
          <w:color w:val="auto"/>
        </w:rPr>
        <w:tab/>
      </w:r>
      <w:r>
        <w:rPr>
          <w:rFonts w:ascii="Courier New" w:cs="Courier New" w:eastAsia="Courier New" w:hAnsi="Courier New"/>
          <w:sz w:val="16"/>
          <w:szCs w:val="16"/>
          <w:color w:val="auto"/>
        </w:rPr>
        <w:t>Manpower Inc.</w:t>
      </w:r>
    </w:p>
    <w:p>
      <w:pPr>
        <w:sectPr>
          <w:pgSz w:w="11900" w:h="16838" w:orient="portrait"/>
          <w:cols w:equalWidth="0" w:num="1">
            <w:col w:w="10280"/>
          </w:cols>
          <w:pgMar w:left="240" w:top="300" w:right="137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81"/>
        </w:trPr>
        <w:tc>
          <w:tcPr>
            <w:tcW w:w="4620" w:type="dxa"/>
            <w:vAlign w:val="bottom"/>
          </w:tcPr>
          <w:p>
            <w:pPr>
              <w:jc w:val="right"/>
              <w:ind w:right="4060"/>
              <w:spacing w:after="0"/>
              <w:rPr>
                <w:sz w:val="20"/>
                <w:szCs w:val="20"/>
                <w:color w:val="auto"/>
              </w:rPr>
            </w:pPr>
            <w:r>
              <w:rPr>
                <w:rFonts w:ascii="Courier New" w:cs="Courier New" w:eastAsia="Courier New" w:hAnsi="Courier New"/>
                <w:sz w:val="16"/>
                <w:szCs w:val="16"/>
                <w:color w:val="auto"/>
              </w:rPr>
              <w:t>51</w:t>
            </w:r>
          </w:p>
        </w:tc>
        <w:tc>
          <w:tcPr>
            <w:tcW w:w="4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739"/>
        </w:trPr>
        <w:tc>
          <w:tcPr>
            <w:tcW w:w="4620" w:type="dxa"/>
            <w:vAlign w:val="bottom"/>
          </w:tcPr>
          <w:p>
            <w:pPr>
              <w:jc w:val="right"/>
              <w:ind w:right="3480"/>
              <w:spacing w:after="0"/>
              <w:rPr>
                <w:sz w:val="20"/>
                <w:szCs w:val="20"/>
                <w:color w:val="auto"/>
              </w:rPr>
            </w:pPr>
            <w:r>
              <w:rPr>
                <w:rFonts w:ascii="Courier New" w:cs="Courier New" w:eastAsia="Courier New" w:hAnsi="Courier New"/>
                <w:sz w:val="16"/>
                <w:szCs w:val="16"/>
                <w:color w:val="auto"/>
                <w:w w:val="98"/>
              </w:rPr>
              <w:t>DECEMBER 31</w:t>
            </w:r>
          </w:p>
        </w:tc>
        <w:tc>
          <w:tcPr>
            <w:tcW w:w="432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2000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960" w:type="dxa"/>
            <w:vAlign w:val="bottom"/>
            <w:gridSpan w:val="2"/>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18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5"/>
        </w:trPr>
        <w:tc>
          <w:tcPr>
            <w:tcW w:w="21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48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2160" w:type="dxa"/>
            <w:vAlign w:val="bottom"/>
          </w:tcPr>
          <w:p>
            <w:pPr>
              <w:ind w:left="100"/>
              <w:spacing w:after="0"/>
              <w:rPr>
                <w:sz w:val="20"/>
                <w:szCs w:val="20"/>
                <w:color w:val="auto"/>
              </w:rPr>
            </w:pPr>
            <w:r>
              <w:rPr>
                <w:rFonts w:ascii="Courier New" w:cs="Courier New" w:eastAsia="Courier New" w:hAnsi="Courier New"/>
                <w:sz w:val="16"/>
                <w:szCs w:val="16"/>
                <w:color w:val="auto"/>
              </w:rPr>
              <w:t>Accounts payable</w:t>
            </w:r>
          </w:p>
        </w:tc>
        <w:tc>
          <w:tcPr>
            <w:tcW w:w="4800" w:type="dxa"/>
            <w:vAlign w:val="bottom"/>
          </w:tcPr>
          <w:p>
            <w:pPr>
              <w:spacing w:after="0"/>
              <w:rPr>
                <w:sz w:val="16"/>
                <w:szCs w:val="16"/>
                <w:color w:val="auto"/>
              </w:rPr>
            </w:pPr>
          </w:p>
        </w:tc>
        <w:tc>
          <w:tcPr>
            <w:tcW w:w="1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  453.1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  388.0</w:t>
            </w:r>
          </w:p>
        </w:tc>
      </w:tr>
      <w:tr>
        <w:trPr>
          <w:trHeight w:val="185"/>
        </w:trPr>
        <w:tc>
          <w:tcPr>
            <w:tcW w:w="2160" w:type="dxa"/>
            <w:vAlign w:val="bottom"/>
          </w:tcPr>
          <w:p>
            <w:pPr>
              <w:ind w:left="100"/>
              <w:spacing w:after="0"/>
              <w:rPr>
                <w:sz w:val="20"/>
                <w:szCs w:val="20"/>
                <w:color w:val="auto"/>
              </w:rPr>
            </w:pPr>
            <w:r>
              <w:rPr>
                <w:rFonts w:ascii="Courier New" w:cs="Courier New" w:eastAsia="Courier New" w:hAnsi="Courier New"/>
                <w:sz w:val="16"/>
                <w:szCs w:val="16"/>
                <w:color w:val="auto"/>
              </w:rPr>
              <w:t>Employee compensation</w:t>
            </w:r>
          </w:p>
        </w:tc>
        <w:tc>
          <w:tcPr>
            <w:tcW w:w="4800" w:type="dxa"/>
            <w:vAlign w:val="bottom"/>
          </w:tcPr>
          <w:p>
            <w:pPr>
              <w:ind w:left="40"/>
              <w:spacing w:after="0"/>
              <w:rPr>
                <w:sz w:val="20"/>
                <w:szCs w:val="20"/>
                <w:color w:val="auto"/>
              </w:rPr>
            </w:pPr>
            <w:r>
              <w:rPr>
                <w:rFonts w:ascii="Courier New" w:cs="Courier New" w:eastAsia="Courier New" w:hAnsi="Courier New"/>
                <w:sz w:val="16"/>
                <w:szCs w:val="16"/>
                <w:color w:val="auto"/>
              </w:rPr>
              <w:t>payable</w:t>
            </w:r>
          </w:p>
        </w:tc>
        <w:tc>
          <w:tcPr>
            <w:tcW w:w="1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81.2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71.9</w:t>
            </w:r>
          </w:p>
        </w:tc>
      </w:tr>
      <w:tr>
        <w:trPr>
          <w:trHeight w:val="185"/>
        </w:trPr>
        <w:tc>
          <w:tcPr>
            <w:tcW w:w="2160" w:type="dxa"/>
            <w:vAlign w:val="bottom"/>
          </w:tcPr>
          <w:p>
            <w:pPr>
              <w:ind w:left="100"/>
              <w:spacing w:after="0"/>
              <w:rPr>
                <w:sz w:val="20"/>
                <w:szCs w:val="20"/>
                <w:color w:val="auto"/>
              </w:rPr>
            </w:pPr>
            <w:r>
              <w:rPr>
                <w:rFonts w:ascii="Courier New" w:cs="Courier New" w:eastAsia="Courier New" w:hAnsi="Courier New"/>
                <w:sz w:val="16"/>
                <w:szCs w:val="16"/>
                <w:color w:val="auto"/>
              </w:rPr>
              <w:t>Accrued liabilities</w:t>
            </w:r>
          </w:p>
        </w:tc>
        <w:tc>
          <w:tcPr>
            <w:tcW w:w="4800" w:type="dxa"/>
            <w:vAlign w:val="bottom"/>
          </w:tcPr>
          <w:p>
            <w:pPr>
              <w:spacing w:after="0"/>
              <w:rPr>
                <w:sz w:val="16"/>
                <w:szCs w:val="16"/>
                <w:color w:val="auto"/>
              </w:rPr>
            </w:pPr>
          </w:p>
        </w:tc>
        <w:tc>
          <w:tcPr>
            <w:tcW w:w="1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269.2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180.2</w:t>
            </w:r>
          </w:p>
        </w:tc>
      </w:tr>
      <w:tr>
        <w:trPr>
          <w:trHeight w:val="185"/>
        </w:trPr>
        <w:tc>
          <w:tcPr>
            <w:tcW w:w="2160" w:type="dxa"/>
            <w:vAlign w:val="bottom"/>
          </w:tcPr>
          <w:p>
            <w:pPr>
              <w:ind w:left="100"/>
              <w:spacing w:after="0"/>
              <w:rPr>
                <w:sz w:val="20"/>
                <w:szCs w:val="20"/>
                <w:color w:val="auto"/>
              </w:rPr>
            </w:pPr>
            <w:r>
              <w:rPr>
                <w:rFonts w:ascii="Courier New" w:cs="Courier New" w:eastAsia="Courier New" w:hAnsi="Courier New"/>
                <w:sz w:val="16"/>
                <w:szCs w:val="16"/>
                <w:color w:val="auto"/>
              </w:rPr>
              <w:t>Accrued payroll taxes</w:t>
            </w:r>
          </w:p>
        </w:tc>
        <w:tc>
          <w:tcPr>
            <w:tcW w:w="4800" w:type="dxa"/>
            <w:vAlign w:val="bottom"/>
          </w:tcPr>
          <w:p>
            <w:pPr>
              <w:ind w:left="40"/>
              <w:spacing w:after="0"/>
              <w:rPr>
                <w:sz w:val="20"/>
                <w:szCs w:val="20"/>
                <w:color w:val="auto"/>
              </w:rPr>
            </w:pPr>
            <w:r>
              <w:rPr>
                <w:rFonts w:ascii="Courier New" w:cs="Courier New" w:eastAsia="Courier New" w:hAnsi="Courier New"/>
                <w:sz w:val="16"/>
                <w:szCs w:val="16"/>
                <w:color w:val="auto"/>
              </w:rPr>
              <w:t>and insurance</w:t>
            </w:r>
          </w:p>
        </w:tc>
        <w:tc>
          <w:tcPr>
            <w:tcW w:w="1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341.8</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340.9</w:t>
            </w:r>
          </w:p>
        </w:tc>
      </w:tr>
      <w:tr>
        <w:trPr>
          <w:trHeight w:val="185"/>
        </w:trPr>
        <w:tc>
          <w:tcPr>
            <w:tcW w:w="69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Value added taxes payable</w:t>
            </w:r>
          </w:p>
        </w:tc>
        <w:tc>
          <w:tcPr>
            <w:tcW w:w="1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311.0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305.6</w:t>
            </w:r>
          </w:p>
        </w:tc>
      </w:tr>
      <w:tr>
        <w:trPr>
          <w:trHeight w:val="185"/>
        </w:trPr>
        <w:tc>
          <w:tcPr>
            <w:tcW w:w="2160" w:type="dxa"/>
            <w:vAlign w:val="bottom"/>
          </w:tcPr>
          <w:p>
            <w:pPr>
              <w:ind w:left="100"/>
              <w:spacing w:after="0"/>
              <w:rPr>
                <w:sz w:val="20"/>
                <w:szCs w:val="20"/>
                <w:color w:val="auto"/>
              </w:rPr>
            </w:pPr>
            <w:r>
              <w:rPr>
                <w:rFonts w:ascii="Courier New" w:cs="Courier New" w:eastAsia="Courier New" w:hAnsi="Courier New"/>
                <w:sz w:val="16"/>
                <w:szCs w:val="16"/>
                <w:color w:val="auto"/>
              </w:rPr>
              <w:t>Short-term borrowings</w:t>
            </w:r>
          </w:p>
        </w:tc>
        <w:tc>
          <w:tcPr>
            <w:tcW w:w="4800" w:type="dxa"/>
            <w:vAlign w:val="bottom"/>
          </w:tcPr>
          <w:p>
            <w:pPr>
              <w:ind w:left="40"/>
              <w:spacing w:after="0"/>
              <w:rPr>
                <w:sz w:val="20"/>
                <w:szCs w:val="20"/>
                <w:color w:val="auto"/>
              </w:rPr>
            </w:pPr>
            <w:r>
              <w:rPr>
                <w:rFonts w:ascii="Courier New" w:cs="Courier New" w:eastAsia="Courier New" w:hAnsi="Courier New"/>
                <w:sz w:val="16"/>
                <w:szCs w:val="16"/>
                <w:color w:val="auto"/>
              </w:rPr>
              <w:t>and current maturities of long-term debt</w:t>
            </w:r>
          </w:p>
        </w:tc>
        <w:tc>
          <w:tcPr>
            <w:tcW w:w="1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65.9</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131.5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40" w:type="dxa"/>
            <w:vAlign w:val="bottom"/>
          </w:tcPr>
          <w:p>
            <w:pPr>
              <w:spacing w:after="0"/>
              <w:rPr>
                <w:sz w:val="20"/>
                <w:szCs w:val="20"/>
                <w:color w:val="auto"/>
              </w:rPr>
            </w:pPr>
            <w:r>
              <w:rPr>
                <w:rFonts w:ascii="Courier New" w:cs="Courier New" w:eastAsia="Courier New" w:hAnsi="Courier New"/>
                <w:sz w:val="16"/>
                <w:szCs w:val="16"/>
                <w:color w:val="auto"/>
              </w:rPr>
              <w:t>Total current liabilities</w:t>
            </w:r>
          </w:p>
        </w:tc>
        <w:tc>
          <w:tcPr>
            <w:tcW w:w="3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1,522.2</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1,418.1</w:t>
            </w:r>
          </w:p>
        </w:tc>
      </w:tr>
      <w:tr>
        <w:trPr>
          <w:trHeight w:val="370"/>
        </w:trPr>
        <w:tc>
          <w:tcPr>
            <w:tcW w:w="534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3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5340" w:type="dxa"/>
            <w:vAlign w:val="bottom"/>
          </w:tcPr>
          <w:p>
            <w:pPr>
              <w:ind w:left="100"/>
              <w:spacing w:after="0"/>
              <w:rPr>
                <w:sz w:val="20"/>
                <w:szCs w:val="20"/>
                <w:color w:val="auto"/>
              </w:rPr>
            </w:pPr>
            <w:r>
              <w:rPr>
                <w:rFonts w:ascii="Courier New" w:cs="Courier New" w:eastAsia="Courier New" w:hAnsi="Courier New"/>
                <w:sz w:val="16"/>
                <w:szCs w:val="16"/>
                <w:color w:val="auto"/>
              </w:rPr>
              <w:t>Long-term debt</w:t>
            </w:r>
          </w:p>
        </w:tc>
        <w:tc>
          <w:tcPr>
            <w:tcW w:w="3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491.6</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357.5</w:t>
            </w:r>
          </w:p>
        </w:tc>
      </w:tr>
      <w:tr>
        <w:trPr>
          <w:trHeight w:val="185"/>
        </w:trPr>
        <w:tc>
          <w:tcPr>
            <w:tcW w:w="5340" w:type="dxa"/>
            <w:vAlign w:val="bottom"/>
          </w:tcPr>
          <w:p>
            <w:pPr>
              <w:ind w:left="100"/>
              <w:spacing w:after="0"/>
              <w:rPr>
                <w:sz w:val="20"/>
                <w:szCs w:val="20"/>
                <w:color w:val="auto"/>
              </w:rPr>
            </w:pPr>
            <w:r>
              <w:rPr>
                <w:rFonts w:ascii="Courier New" w:cs="Courier New" w:eastAsia="Courier New" w:hAnsi="Courier New"/>
                <w:sz w:val="16"/>
                <w:szCs w:val="16"/>
                <w:color w:val="auto"/>
              </w:rPr>
              <w:t>Other long-term liabilities</w:t>
            </w:r>
          </w:p>
        </w:tc>
        <w:tc>
          <w:tcPr>
            <w:tcW w:w="3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287.4</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292.5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580" w:type="dxa"/>
            <w:vAlign w:val="bottom"/>
          </w:tcPr>
          <w:p>
            <w:pPr>
              <w:spacing w:after="0"/>
              <w:rPr>
                <w:sz w:val="20"/>
                <w:szCs w:val="20"/>
                <w:color w:val="auto"/>
              </w:rPr>
            </w:pPr>
            <w:r>
              <w:rPr>
                <w:rFonts w:ascii="Courier New" w:cs="Courier New" w:eastAsia="Courier New" w:hAnsi="Courier New"/>
                <w:sz w:val="16"/>
                <w:szCs w:val="16"/>
                <w:color w:val="auto"/>
              </w:rPr>
              <w:t>Total other liabilities</w:t>
            </w:r>
          </w:p>
        </w:tc>
        <w:tc>
          <w:tcPr>
            <w:tcW w:w="13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779.0</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650.0</w:t>
            </w:r>
          </w:p>
        </w:tc>
      </w:tr>
      <w:tr>
        <w:trPr>
          <w:trHeight w:val="370"/>
        </w:trPr>
        <w:tc>
          <w:tcPr>
            <w:tcW w:w="758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5"/>
        </w:trPr>
        <w:tc>
          <w:tcPr>
            <w:tcW w:w="7580" w:type="dxa"/>
            <w:vAlign w:val="bottom"/>
          </w:tcPr>
          <w:p>
            <w:pPr>
              <w:ind w:left="100"/>
              <w:spacing w:after="0"/>
              <w:rPr>
                <w:sz w:val="20"/>
                <w:szCs w:val="20"/>
                <w:color w:val="auto"/>
              </w:rPr>
            </w:pPr>
            <w:r>
              <w:rPr>
                <w:rFonts w:ascii="Courier New" w:cs="Courier New" w:eastAsia="Courier New" w:hAnsi="Courier New"/>
                <w:sz w:val="16"/>
                <w:szCs w:val="16"/>
                <w:color w:val="auto"/>
              </w:rPr>
              <w:t>Preferred stock, $.01 par value, authorized 25,000,000 shares, none issued</w:t>
            </w:r>
          </w:p>
        </w:tc>
        <w:tc>
          <w:tcPr>
            <w:tcW w:w="13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7580" w:type="dxa"/>
            <w:vAlign w:val="bottom"/>
          </w:tcPr>
          <w:p>
            <w:pPr>
              <w:ind w:left="100"/>
              <w:spacing w:after="0"/>
              <w:rPr>
                <w:sz w:val="20"/>
                <w:szCs w:val="20"/>
                <w:color w:val="auto"/>
              </w:rPr>
            </w:pPr>
            <w:r>
              <w:rPr>
                <w:rFonts w:ascii="Courier New" w:cs="Courier New" w:eastAsia="Courier New" w:hAnsi="Courier New"/>
                <w:sz w:val="16"/>
                <w:szCs w:val="16"/>
                <w:color w:val="auto"/>
              </w:rPr>
              <w:t>Common stock, $.01 par value, authorized 125,000,000 shares,</w:t>
            </w:r>
          </w:p>
        </w:tc>
        <w:tc>
          <w:tcPr>
            <w:tcW w:w="13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7580" w:type="dxa"/>
            <w:vAlign w:val="bottom"/>
          </w:tcPr>
          <w:p>
            <w:pPr>
              <w:ind w:left="280"/>
              <w:spacing w:after="0"/>
              <w:rPr>
                <w:sz w:val="20"/>
                <w:szCs w:val="20"/>
                <w:color w:val="auto"/>
              </w:rPr>
            </w:pPr>
            <w:r>
              <w:rPr>
                <w:rFonts w:ascii="Courier New" w:cs="Courier New" w:eastAsia="Courier New" w:hAnsi="Courier New"/>
                <w:sz w:val="16"/>
                <w:szCs w:val="16"/>
                <w:color w:val="auto"/>
              </w:rPr>
              <w:t>issued 84,717,834 and 84,272,460 shares, respectively</w:t>
            </w:r>
          </w:p>
        </w:tc>
        <w:tc>
          <w:tcPr>
            <w:tcW w:w="13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.8</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w:t>
            </w:r>
          </w:p>
        </w:tc>
      </w:tr>
      <w:tr>
        <w:trPr>
          <w:trHeight w:val="185"/>
        </w:trPr>
        <w:tc>
          <w:tcPr>
            <w:tcW w:w="7580" w:type="dxa"/>
            <w:vAlign w:val="bottom"/>
          </w:tcPr>
          <w:p>
            <w:pPr>
              <w:ind w:left="100"/>
              <w:spacing w:after="0"/>
              <w:rPr>
                <w:sz w:val="20"/>
                <w:szCs w:val="20"/>
                <w:color w:val="auto"/>
              </w:rPr>
            </w:pPr>
            <w:r>
              <w:rPr>
                <w:rFonts w:ascii="Courier New" w:cs="Courier New" w:eastAsia="Courier New" w:hAnsi="Courier New"/>
                <w:sz w:val="16"/>
                <w:szCs w:val="16"/>
                <w:color w:val="auto"/>
              </w:rPr>
              <w:t>Capital in excess of par value</w:t>
            </w:r>
          </w:p>
        </w:tc>
        <w:tc>
          <w:tcPr>
            <w:tcW w:w="13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1,631.4</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1,621.4</w:t>
            </w:r>
          </w:p>
        </w:tc>
      </w:tr>
      <w:tr>
        <w:trPr>
          <w:trHeight w:val="185"/>
        </w:trPr>
        <w:tc>
          <w:tcPr>
            <w:tcW w:w="7580" w:type="dxa"/>
            <w:vAlign w:val="bottom"/>
          </w:tcPr>
          <w:p>
            <w:pPr>
              <w:ind w:left="100"/>
              <w:spacing w:after="0"/>
              <w:rPr>
                <w:sz w:val="20"/>
                <w:szCs w:val="20"/>
                <w:color w:val="auto"/>
              </w:rPr>
            </w:pPr>
            <w:r>
              <w:rPr>
                <w:rFonts w:ascii="Courier New" w:cs="Courier New" w:eastAsia="Courier New" w:hAnsi="Courier New"/>
                <w:sz w:val="16"/>
                <w:szCs w:val="16"/>
                <w:color w:val="auto"/>
              </w:rPr>
              <w:t>Accumulated deficit</w:t>
            </w:r>
          </w:p>
        </w:tc>
        <w:tc>
          <w:tcPr>
            <w:tcW w:w="13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(496.9)</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(653.0)</w:t>
            </w:r>
          </w:p>
        </w:tc>
      </w:tr>
      <w:tr>
        <w:trPr>
          <w:trHeight w:val="185"/>
        </w:trPr>
        <w:tc>
          <w:tcPr>
            <w:tcW w:w="7580" w:type="dxa"/>
            <w:vAlign w:val="bottom"/>
          </w:tcPr>
          <w:p>
            <w:pPr>
              <w:ind w:left="100"/>
              <w:spacing w:after="0"/>
              <w:rPr>
                <w:sz w:val="20"/>
                <w:szCs w:val="20"/>
                <w:color w:val="auto"/>
              </w:rPr>
            </w:pPr>
            <w:r>
              <w:rPr>
                <w:rFonts w:ascii="Courier New" w:cs="Courier New" w:eastAsia="Courier New" w:hAnsi="Courier New"/>
                <w:sz w:val="16"/>
                <w:szCs w:val="16"/>
                <w:color w:val="auto"/>
              </w:rPr>
              <w:t>Accumulated other comprehensive income (loss)</w:t>
            </w:r>
          </w:p>
        </w:tc>
        <w:tc>
          <w:tcPr>
            <w:tcW w:w="13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(145.1)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(88.8)</w:t>
            </w:r>
          </w:p>
        </w:tc>
      </w:tr>
      <w:tr>
        <w:trPr>
          <w:trHeight w:val="185"/>
        </w:trPr>
        <w:tc>
          <w:tcPr>
            <w:tcW w:w="7580" w:type="dxa"/>
            <w:vAlign w:val="bottom"/>
          </w:tcPr>
          <w:p>
            <w:pPr>
              <w:ind w:left="100"/>
              <w:spacing w:after="0"/>
              <w:rPr>
                <w:sz w:val="20"/>
                <w:szCs w:val="20"/>
                <w:color w:val="auto"/>
              </w:rPr>
            </w:pPr>
            <w:r>
              <w:rPr>
                <w:rFonts w:ascii="Courier New" w:cs="Courier New" w:eastAsia="Courier New" w:hAnsi="Courier New"/>
                <w:sz w:val="16"/>
                <w:szCs w:val="16"/>
                <w:color w:val="auto"/>
              </w:rPr>
              <w:t>Treasury stock at cost, 8,945,200 and 8,286,400 shares, respectively</w:t>
            </w:r>
          </w:p>
        </w:tc>
        <w:tc>
          <w:tcPr>
            <w:tcW w:w="13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(249.8)</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(229.8)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40" w:type="dxa"/>
            <w:vAlign w:val="bottom"/>
          </w:tcPr>
          <w:p>
            <w:pPr>
              <w:spacing w:after="0"/>
              <w:rPr>
                <w:sz w:val="20"/>
                <w:szCs w:val="20"/>
                <w:color w:val="auto"/>
              </w:rPr>
            </w:pPr>
            <w:r>
              <w:rPr>
                <w:rFonts w:ascii="Courier New" w:cs="Courier New" w:eastAsia="Courier New" w:hAnsi="Courier New"/>
                <w:sz w:val="16"/>
                <w:szCs w:val="16"/>
                <w:color w:val="auto"/>
              </w:rPr>
              <w:t>Total shareholders' equity</w:t>
            </w:r>
          </w:p>
        </w:tc>
        <w:tc>
          <w:tcPr>
            <w:tcW w:w="36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740.4</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650.6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960" w:type="dxa"/>
            <w:vAlign w:val="bottom"/>
          </w:tcPr>
          <w:p>
            <w:pPr>
              <w:spacing w:after="0"/>
              <w:rPr>
                <w:sz w:val="20"/>
                <w:szCs w:val="20"/>
                <w:color w:val="auto"/>
              </w:rPr>
            </w:pPr>
            <w:r>
              <w:rPr>
                <w:rFonts w:ascii="Courier New" w:cs="Courier New" w:eastAsia="Courier New" w:hAnsi="Courier New"/>
                <w:sz w:val="16"/>
                <w:szCs w:val="16"/>
                <w:color w:val="auto"/>
              </w:rPr>
              <w:t>Total liabilities and shareholders' equity</w:t>
            </w:r>
          </w:p>
        </w:tc>
        <w:tc>
          <w:tcPr>
            <w:tcW w:w="2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$3,041.6</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$2,718.7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60" w:lineRule="exact"/>
        <w:rPr>
          <w:sz w:val="20"/>
          <w:szCs w:val="20"/>
          <w:color w:val="auto"/>
        </w:rPr>
      </w:pPr>
    </w:p>
    <w:p>
      <w:pPr>
        <w:ind w:right="2539"/>
        <w:spacing w:after="0" w:line="242" w:lineRule="auto"/>
        <w:rPr>
          <w:sz w:val="20"/>
          <w:szCs w:val="20"/>
          <w:color w:val="auto"/>
        </w:rPr>
      </w:pPr>
      <w:r>
        <w:rPr>
          <w:rFonts w:ascii="Courier New" w:cs="Courier New" w:eastAsia="Courier New" w:hAnsi="Courier New"/>
          <w:sz w:val="16"/>
          <w:szCs w:val="16"/>
          <w:color w:val="auto"/>
        </w:rPr>
        <w:t>The accompanying Notes to Consolidated Financial Statements are an integral part of these balance sheets.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80" w:type="dxa"/>
            <w:vAlign w:val="bottom"/>
          </w:tcPr>
          <w:p>
            <w:pPr>
              <w:spacing w:after="0"/>
              <w:rPr>
                <w:sz w:val="20"/>
                <w:szCs w:val="20"/>
                <w:color w:val="auto"/>
              </w:rPr>
            </w:pPr>
            <w:r>
              <w:rPr>
                <w:rFonts w:ascii="Courier New" w:cs="Courier New" w:eastAsia="Courier New" w:hAnsi="Courier New"/>
                <w:sz w:val="16"/>
                <w:szCs w:val="16"/>
                <w:color w:val="auto"/>
              </w:rPr>
              <w:t>Manpower Inc.</w:t>
            </w:r>
          </w:p>
        </w:tc>
        <w:tc>
          <w:tcPr>
            <w:tcW w:w="3300" w:type="dxa"/>
            <w:vAlign w:val="bottom"/>
          </w:tcPr>
          <w:p>
            <w:pPr>
              <w:jc w:val="right"/>
              <w:spacing w:after="0"/>
              <w:rPr>
                <w:sz w:val="20"/>
                <w:szCs w:val="20"/>
                <w:color w:val="auto"/>
              </w:rPr>
            </w:pPr>
            <w:r>
              <w:rPr>
                <w:rFonts w:ascii="Courier New" w:cs="Courier New" w:eastAsia="Courier New" w:hAnsi="Courier New"/>
                <w:sz w:val="16"/>
                <w:szCs w:val="16"/>
                <w:color w:val="auto"/>
              </w:rPr>
              <w:t>77</w:t>
            </w:r>
          </w:p>
        </w:tc>
      </w:tr>
    </w:tbl>
    <w:p>
      <w:pPr>
        <w:sectPr>
          <w:pgSz w:w="11900" w:h="16838" w:orient="portrait"/>
          <w:cols w:equalWidth="0" w:num="1">
            <w:col w:w="10219"/>
          </w:cols>
          <w:pgMar w:left="240" w:top="300"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6"/>
          <w:szCs w:val="16"/>
          <w:color w:val="auto"/>
        </w:rPr>
        <w:t>52</w:t>
      </w:r>
    </w:p>
    <w:p>
      <w:pPr>
        <w:spacing w:after="0" w:line="18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rPr>
              <w:t>YEAR ENDED DECEMBER 31</w:t>
            </w:r>
          </w:p>
        </w:tc>
        <w:tc>
          <w:tcPr>
            <w:tcW w:w="24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2000</w:t>
            </w:r>
          </w:p>
        </w:tc>
        <w:tc>
          <w:tcPr>
            <w:tcW w:w="10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1999</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4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5"/>
        </w:trPr>
        <w:tc>
          <w:tcPr>
            <w:tcW w:w="5040" w:type="dxa"/>
            <w:vAlign w:val="bottom"/>
          </w:tcPr>
          <w:p>
            <w:pPr>
              <w:ind w:left="100"/>
              <w:spacing w:after="0"/>
              <w:rPr>
                <w:sz w:val="20"/>
                <w:szCs w:val="20"/>
                <w:color w:val="auto"/>
              </w:rPr>
            </w:pPr>
            <w:r>
              <w:rPr>
                <w:rFonts w:ascii="Courier New" w:cs="Courier New" w:eastAsia="Courier New" w:hAnsi="Courier New"/>
                <w:sz w:val="16"/>
                <w:szCs w:val="16"/>
                <w:color w:val="auto"/>
              </w:rPr>
              <w:t>Net earnings</w:t>
            </w:r>
          </w:p>
        </w:tc>
        <w:tc>
          <w:tcPr>
            <w:tcW w:w="11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$ 171.2</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$ 150.0</w:t>
            </w: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75.7</w:t>
            </w:r>
          </w:p>
        </w:tc>
      </w:tr>
      <w:tr>
        <w:trPr>
          <w:trHeight w:val="185"/>
        </w:trPr>
        <w:tc>
          <w:tcPr>
            <w:tcW w:w="5040" w:type="dxa"/>
            <w:vAlign w:val="bottom"/>
          </w:tcPr>
          <w:p>
            <w:pPr>
              <w:ind w:left="100"/>
              <w:spacing w:after="0"/>
              <w:rPr>
                <w:sz w:val="20"/>
                <w:szCs w:val="20"/>
                <w:color w:val="auto"/>
              </w:rPr>
            </w:pPr>
            <w:r>
              <w:rPr>
                <w:rFonts w:ascii="Courier New" w:cs="Courier New" w:eastAsia="Courier New" w:hAnsi="Courier New"/>
                <w:sz w:val="16"/>
                <w:szCs w:val="16"/>
                <w:color w:val="auto"/>
              </w:rPr>
              <w:t>Adjustments to reconcile net earnings to net cash</w:t>
            </w: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040" w:type="dxa"/>
            <w:vAlign w:val="bottom"/>
          </w:tcPr>
          <w:p>
            <w:pPr>
              <w:ind w:left="280"/>
              <w:spacing w:after="0"/>
              <w:rPr>
                <w:sz w:val="20"/>
                <w:szCs w:val="20"/>
                <w:color w:val="auto"/>
              </w:rPr>
            </w:pPr>
            <w:r>
              <w:rPr>
                <w:rFonts w:ascii="Courier New" w:cs="Courier New" w:eastAsia="Courier New" w:hAnsi="Courier New"/>
                <w:sz w:val="16"/>
                <w:szCs w:val="16"/>
                <w:color w:val="auto"/>
              </w:rPr>
              <w:t>provided (used) by operating activities:</w:t>
            </w: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040" w:type="dxa"/>
            <w:vAlign w:val="bottom"/>
          </w:tcPr>
          <w:p>
            <w:pPr>
              <w:ind w:left="280"/>
              <w:spacing w:after="0"/>
              <w:rPr>
                <w:sz w:val="20"/>
                <w:szCs w:val="20"/>
                <w:color w:val="auto"/>
              </w:rPr>
            </w:pPr>
            <w:r>
              <w:rPr>
                <w:rFonts w:ascii="Courier New" w:cs="Courier New" w:eastAsia="Courier New" w:hAnsi="Courier New"/>
                <w:sz w:val="16"/>
                <w:szCs w:val="16"/>
                <w:color w:val="auto"/>
              </w:rPr>
              <w:t>Depreciation and amortization</w:t>
            </w:r>
          </w:p>
        </w:tc>
        <w:tc>
          <w:tcPr>
            <w:tcW w:w="11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66.8</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63.7</w:t>
            </w: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55.6</w:t>
            </w:r>
          </w:p>
        </w:tc>
      </w:tr>
      <w:tr>
        <w:trPr>
          <w:trHeight w:val="185"/>
        </w:trPr>
        <w:tc>
          <w:tcPr>
            <w:tcW w:w="5040" w:type="dxa"/>
            <w:vAlign w:val="bottom"/>
          </w:tcPr>
          <w:p>
            <w:pPr>
              <w:ind w:left="280"/>
              <w:spacing w:after="0"/>
              <w:rPr>
                <w:sz w:val="20"/>
                <w:szCs w:val="20"/>
                <w:color w:val="auto"/>
              </w:rPr>
            </w:pPr>
            <w:r>
              <w:rPr>
                <w:rFonts w:ascii="Courier New" w:cs="Courier New" w:eastAsia="Courier New" w:hAnsi="Courier New"/>
                <w:sz w:val="16"/>
                <w:szCs w:val="16"/>
                <w:color w:val="auto"/>
              </w:rPr>
              <w:t>Deferred income taxes</w:t>
            </w: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(15.8)</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15.3</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(37.5)</w:t>
            </w:r>
          </w:p>
        </w:tc>
      </w:tr>
      <w:tr>
        <w:trPr>
          <w:trHeight w:val="185"/>
        </w:trPr>
        <w:tc>
          <w:tcPr>
            <w:tcW w:w="5040" w:type="dxa"/>
            <w:vAlign w:val="bottom"/>
          </w:tcPr>
          <w:p>
            <w:pPr>
              <w:ind w:left="280"/>
              <w:spacing w:after="0"/>
              <w:rPr>
                <w:sz w:val="20"/>
                <w:szCs w:val="20"/>
                <w:color w:val="auto"/>
              </w:rPr>
            </w:pPr>
            <w:r>
              <w:rPr>
                <w:rFonts w:ascii="Courier New" w:cs="Courier New" w:eastAsia="Courier New" w:hAnsi="Courier New"/>
                <w:sz w:val="16"/>
                <w:szCs w:val="16"/>
                <w:color w:val="auto"/>
              </w:rPr>
              <w:t>Provision for doubtful accounts</w:t>
            </w:r>
          </w:p>
        </w:tc>
        <w:tc>
          <w:tcPr>
            <w:tcW w:w="11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21.7</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20.7</w:t>
            </w: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12.0</w:t>
            </w:r>
          </w:p>
        </w:tc>
      </w:tr>
      <w:tr>
        <w:trPr>
          <w:trHeight w:val="185"/>
        </w:trPr>
        <w:tc>
          <w:tcPr>
            <w:tcW w:w="5040" w:type="dxa"/>
            <w:vAlign w:val="bottom"/>
          </w:tcPr>
          <w:p>
            <w:pPr>
              <w:ind w:left="280"/>
              <w:spacing w:after="0"/>
              <w:rPr>
                <w:sz w:val="20"/>
                <w:szCs w:val="20"/>
                <w:color w:val="auto"/>
              </w:rPr>
            </w:pPr>
            <w:r>
              <w:rPr>
                <w:rFonts w:ascii="Courier New" w:cs="Courier New" w:eastAsia="Courier New" w:hAnsi="Courier New"/>
                <w:sz w:val="16"/>
                <w:szCs w:val="16"/>
                <w:color w:val="auto"/>
              </w:rPr>
              <w:t>Write-down of capitalized software</w:t>
            </w:r>
          </w:p>
        </w:tc>
        <w:tc>
          <w:tcPr>
            <w:tcW w:w="11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92.1</w:t>
            </w:r>
          </w:p>
        </w:tc>
      </w:tr>
      <w:tr>
        <w:trPr>
          <w:trHeight w:val="185"/>
        </w:trPr>
        <w:tc>
          <w:tcPr>
            <w:tcW w:w="5040" w:type="dxa"/>
            <w:vAlign w:val="bottom"/>
          </w:tcPr>
          <w:p>
            <w:pPr>
              <w:ind w:left="280"/>
              <w:spacing w:after="0"/>
              <w:rPr>
                <w:sz w:val="20"/>
                <w:szCs w:val="20"/>
                <w:color w:val="auto"/>
              </w:rPr>
            </w:pPr>
            <w:r>
              <w:rPr>
                <w:rFonts w:ascii="Courier New" w:cs="Courier New" w:eastAsia="Courier New" w:hAnsi="Courier New"/>
                <w:sz w:val="16"/>
                <w:szCs w:val="16"/>
                <w:color w:val="auto"/>
              </w:rPr>
              <w:t>Change in operating assets and liabilities:</w:t>
            </w: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040" w:type="dxa"/>
            <w:vAlign w:val="bottom"/>
          </w:tcPr>
          <w:p>
            <w:pPr>
              <w:ind w:left="380"/>
              <w:spacing w:after="0"/>
              <w:rPr>
                <w:sz w:val="20"/>
                <w:szCs w:val="20"/>
                <w:color w:val="auto"/>
              </w:rPr>
            </w:pPr>
            <w:r>
              <w:rPr>
                <w:rFonts w:ascii="Courier New" w:cs="Courier New" w:eastAsia="Courier New" w:hAnsi="Courier New"/>
                <w:sz w:val="16"/>
                <w:szCs w:val="16"/>
                <w:color w:val="auto"/>
              </w:rPr>
              <w:t>Amounts advanced under the Receivable Facility</w:t>
            </w: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(55.0)</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25.0</w:t>
            </w: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175.0</w:t>
            </w:r>
          </w:p>
        </w:tc>
      </w:tr>
      <w:tr>
        <w:trPr>
          <w:trHeight w:val="185"/>
        </w:trPr>
        <w:tc>
          <w:tcPr>
            <w:tcW w:w="5040" w:type="dxa"/>
            <w:vAlign w:val="bottom"/>
          </w:tcPr>
          <w:p>
            <w:pPr>
              <w:ind w:left="380"/>
              <w:spacing w:after="0"/>
              <w:rPr>
                <w:sz w:val="20"/>
                <w:szCs w:val="20"/>
                <w:color w:val="auto"/>
              </w:rPr>
            </w:pPr>
            <w:r>
              <w:rPr>
                <w:rFonts w:ascii="Courier New" w:cs="Courier New" w:eastAsia="Courier New" w:hAnsi="Courier New"/>
                <w:sz w:val="16"/>
                <w:szCs w:val="16"/>
                <w:color w:val="auto"/>
              </w:rPr>
              <w:t>Accounts receivable, net of sale</w:t>
            </w: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(261.2)</w:t>
            </w:r>
          </w:p>
        </w:tc>
        <w:tc>
          <w:tcPr>
            <w:tcW w:w="10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(457.4)</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(353.2)</w:t>
            </w:r>
          </w:p>
        </w:tc>
      </w:tr>
      <w:tr>
        <w:trPr>
          <w:trHeight w:val="185"/>
        </w:trPr>
        <w:tc>
          <w:tcPr>
            <w:tcW w:w="5040" w:type="dxa"/>
            <w:vAlign w:val="bottom"/>
          </w:tcPr>
          <w:p>
            <w:pPr>
              <w:ind w:left="380"/>
              <w:spacing w:after="0"/>
              <w:rPr>
                <w:sz w:val="20"/>
                <w:szCs w:val="20"/>
                <w:color w:val="auto"/>
              </w:rPr>
            </w:pPr>
            <w:r>
              <w:rPr>
                <w:rFonts w:ascii="Courier New" w:cs="Courier New" w:eastAsia="Courier New" w:hAnsi="Courier New"/>
                <w:sz w:val="16"/>
                <w:szCs w:val="16"/>
                <w:color w:val="auto"/>
              </w:rPr>
              <w:t>Other assets</w:t>
            </w: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(32.6)</w:t>
            </w:r>
          </w:p>
        </w:tc>
        <w:tc>
          <w:tcPr>
            <w:tcW w:w="10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(51.7)</w:t>
            </w: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9.5</w:t>
            </w:r>
          </w:p>
        </w:tc>
      </w:tr>
      <w:tr>
        <w:trPr>
          <w:trHeight w:val="185"/>
        </w:trPr>
        <w:tc>
          <w:tcPr>
            <w:tcW w:w="5040" w:type="dxa"/>
            <w:vAlign w:val="bottom"/>
          </w:tcPr>
          <w:p>
            <w:pPr>
              <w:ind w:left="380"/>
              <w:spacing w:after="0"/>
              <w:rPr>
                <w:sz w:val="20"/>
                <w:szCs w:val="20"/>
                <w:color w:val="auto"/>
              </w:rPr>
            </w:pPr>
            <w:r>
              <w:rPr>
                <w:rFonts w:ascii="Courier New" w:cs="Courier New" w:eastAsia="Courier New" w:hAnsi="Courier New"/>
                <w:sz w:val="16"/>
                <w:szCs w:val="16"/>
                <w:color w:val="auto"/>
              </w:rPr>
              <w:t>Other liabilities</w:t>
            </w:r>
          </w:p>
        </w:tc>
        <w:tc>
          <w:tcPr>
            <w:tcW w:w="11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262.8</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233.9</w:t>
            </w: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236.0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60" w:type="dxa"/>
            <w:vAlign w:val="bottom"/>
          </w:tcPr>
          <w:p>
            <w:pPr>
              <w:spacing w:after="0"/>
              <w:rPr>
                <w:sz w:val="20"/>
                <w:szCs w:val="20"/>
                <w:color w:val="auto"/>
              </w:rPr>
            </w:pPr>
            <w:r>
              <w:rPr>
                <w:rFonts w:ascii="Courier New" w:cs="Courier New" w:eastAsia="Courier New" w:hAnsi="Courier New"/>
                <w:sz w:val="16"/>
                <w:szCs w:val="16"/>
                <w:color w:val="auto"/>
              </w:rPr>
              <w:t>Cash provided (used) by operating activities</w:t>
            </w: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157.9</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265.2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4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5"/>
        </w:trPr>
        <w:tc>
          <w:tcPr>
            <w:tcW w:w="5040" w:type="dxa"/>
            <w:vAlign w:val="bottom"/>
          </w:tcPr>
          <w:p>
            <w:pPr>
              <w:ind w:left="100"/>
              <w:spacing w:after="0"/>
              <w:rPr>
                <w:sz w:val="20"/>
                <w:szCs w:val="20"/>
                <w:color w:val="auto"/>
              </w:rPr>
            </w:pPr>
            <w:r>
              <w:rPr>
                <w:rFonts w:ascii="Courier New" w:cs="Courier New" w:eastAsia="Courier New" w:hAnsi="Courier New"/>
                <w:sz w:val="16"/>
                <w:szCs w:val="16"/>
                <w:color w:val="auto"/>
              </w:rPr>
              <w:t>Capital expenditures</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(82.6)</w:t>
            </w:r>
          </w:p>
        </w:tc>
        <w:tc>
          <w:tcPr>
            <w:tcW w:w="10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(74.7)</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(140.8)</w:t>
            </w:r>
          </w:p>
        </w:tc>
      </w:tr>
      <w:tr>
        <w:trPr>
          <w:trHeight w:val="185"/>
        </w:trPr>
        <w:tc>
          <w:tcPr>
            <w:tcW w:w="5040" w:type="dxa"/>
            <w:vAlign w:val="bottom"/>
          </w:tcPr>
          <w:p>
            <w:pPr>
              <w:ind w:left="100"/>
              <w:spacing w:after="0"/>
              <w:rPr>
                <w:sz w:val="20"/>
                <w:szCs w:val="20"/>
                <w:color w:val="auto"/>
              </w:rPr>
            </w:pPr>
            <w:r>
              <w:rPr>
                <w:rFonts w:ascii="Courier New" w:cs="Courier New" w:eastAsia="Courier New" w:hAnsi="Courier New"/>
                <w:sz w:val="16"/>
                <w:szCs w:val="16"/>
                <w:color w:val="auto"/>
              </w:rPr>
              <w:t>Acquisitions of businesses, net of cash acquired</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(172.4)</w:t>
            </w:r>
          </w:p>
        </w:tc>
        <w:tc>
          <w:tcPr>
            <w:tcW w:w="10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(18.8)</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(31.7)</w:t>
            </w:r>
          </w:p>
        </w:tc>
      </w:tr>
      <w:tr>
        <w:trPr>
          <w:trHeight w:val="185"/>
        </w:trPr>
        <w:tc>
          <w:tcPr>
            <w:tcW w:w="5040" w:type="dxa"/>
            <w:vAlign w:val="bottom"/>
          </w:tcPr>
          <w:p>
            <w:pPr>
              <w:ind w:left="100"/>
              <w:spacing w:after="0"/>
              <w:rPr>
                <w:sz w:val="20"/>
                <w:szCs w:val="20"/>
                <w:color w:val="auto"/>
              </w:rPr>
            </w:pPr>
            <w:r>
              <w:rPr>
                <w:rFonts w:ascii="Courier New" w:cs="Courier New" w:eastAsia="Courier New" w:hAnsi="Courier New"/>
                <w:sz w:val="16"/>
                <w:szCs w:val="16"/>
                <w:color w:val="auto"/>
              </w:rPr>
              <w:t>Proceeds from the sale of property and equipment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7.3</w:t>
            </w: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14.9</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80" w:type="dxa"/>
            <w:vAlign w:val="bottom"/>
          </w:tcPr>
          <w:p>
            <w:pPr>
              <w:spacing w:after="0"/>
              <w:rPr>
                <w:sz w:val="20"/>
                <w:szCs w:val="20"/>
                <w:color w:val="auto"/>
              </w:rPr>
            </w:pPr>
            <w:r>
              <w:rPr>
                <w:rFonts w:ascii="Courier New" w:cs="Courier New" w:eastAsia="Courier New" w:hAnsi="Courier New"/>
                <w:sz w:val="16"/>
                <w:szCs w:val="16"/>
                <w:color w:val="auto"/>
              </w:rPr>
              <w:t>Cash used by investing activities</w:t>
            </w:r>
          </w:p>
        </w:tc>
        <w:tc>
          <w:tcPr>
            <w:tcW w:w="2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(247.7)</w:t>
            </w:r>
          </w:p>
        </w:tc>
        <w:tc>
          <w:tcPr>
            <w:tcW w:w="10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(78.6)</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(171.5)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00" w:type="dxa"/>
            <w:vAlign w:val="bottom"/>
            <w:gridSpan w:val="2"/>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5"/>
        </w:trPr>
        <w:tc>
          <w:tcPr>
            <w:tcW w:w="1440" w:type="dxa"/>
            <w:vAlign w:val="bottom"/>
          </w:tcPr>
          <w:p>
            <w:pPr>
              <w:ind w:left="100"/>
              <w:spacing w:after="0"/>
              <w:rPr>
                <w:sz w:val="20"/>
                <w:szCs w:val="20"/>
                <w:color w:val="auto"/>
              </w:rPr>
            </w:pPr>
            <w:r>
              <w:rPr>
                <w:rFonts w:ascii="Courier New" w:cs="Courier New" w:eastAsia="Courier New" w:hAnsi="Courier New"/>
                <w:sz w:val="16"/>
                <w:szCs w:val="16"/>
                <w:color w:val="auto"/>
              </w:rPr>
              <w:t>Net change in</w:t>
            </w:r>
          </w:p>
        </w:tc>
        <w:tc>
          <w:tcPr>
            <w:tcW w:w="3460" w:type="dxa"/>
            <w:vAlign w:val="bottom"/>
          </w:tcPr>
          <w:p>
            <w:pPr>
              <w:spacing w:after="0"/>
              <w:rPr>
                <w:sz w:val="20"/>
                <w:szCs w:val="20"/>
                <w:color w:val="auto"/>
              </w:rPr>
            </w:pPr>
            <w:r>
              <w:rPr>
                <w:rFonts w:ascii="Courier New" w:cs="Courier New" w:eastAsia="Courier New" w:hAnsi="Courier New"/>
                <w:sz w:val="16"/>
                <w:szCs w:val="16"/>
                <w:color w:val="auto"/>
              </w:rPr>
              <w:t>payable to banks</w:t>
            </w:r>
          </w:p>
        </w:tc>
        <w:tc>
          <w:tcPr>
            <w:tcW w:w="13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(76.4)</w:t>
            </w:r>
          </w:p>
        </w:tc>
        <w:tc>
          <w:tcPr>
            <w:tcW w:w="11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45.5</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23.1</w:t>
            </w:r>
          </w:p>
        </w:tc>
      </w:tr>
      <w:tr>
        <w:trPr>
          <w:trHeight w:val="185"/>
        </w:trPr>
        <w:tc>
          <w:tcPr>
            <w:tcW w:w="1440" w:type="dxa"/>
            <w:vAlign w:val="bottom"/>
          </w:tcPr>
          <w:p>
            <w:pPr>
              <w:ind w:left="100"/>
              <w:spacing w:after="0"/>
              <w:rPr>
                <w:sz w:val="20"/>
                <w:szCs w:val="20"/>
                <w:color w:val="auto"/>
              </w:rPr>
            </w:pPr>
            <w:r>
              <w:rPr>
                <w:rFonts w:ascii="Courier New" w:cs="Courier New" w:eastAsia="Courier New" w:hAnsi="Courier New"/>
                <w:sz w:val="16"/>
                <w:szCs w:val="16"/>
                <w:color w:val="auto"/>
              </w:rPr>
              <w:t>Proceeds from</w:t>
            </w:r>
          </w:p>
        </w:tc>
        <w:tc>
          <w:tcPr>
            <w:tcW w:w="346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259.3</w:t>
            </w:r>
          </w:p>
        </w:tc>
        <w:tc>
          <w:tcPr>
            <w:tcW w:w="11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460.4</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22.7</w:t>
            </w:r>
          </w:p>
        </w:tc>
      </w:tr>
      <w:tr>
        <w:trPr>
          <w:trHeight w:val="185"/>
        </w:trPr>
        <w:tc>
          <w:tcPr>
            <w:tcW w:w="49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Repayment of long-term debt</w:t>
            </w:r>
          </w:p>
        </w:tc>
        <w:tc>
          <w:tcPr>
            <w:tcW w:w="13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(111.1)</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(259.3)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(55.6)</w:t>
            </w:r>
          </w:p>
        </w:tc>
      </w:tr>
      <w:tr>
        <w:trPr>
          <w:trHeight w:val="185"/>
        </w:trPr>
        <w:tc>
          <w:tcPr>
            <w:tcW w:w="1440" w:type="dxa"/>
            <w:vAlign w:val="bottom"/>
          </w:tcPr>
          <w:p>
            <w:pPr>
              <w:ind w:left="100"/>
              <w:spacing w:after="0"/>
              <w:rPr>
                <w:sz w:val="20"/>
                <w:szCs w:val="20"/>
                <w:color w:val="auto"/>
              </w:rPr>
            </w:pPr>
            <w:r>
              <w:rPr>
                <w:rFonts w:ascii="Courier New" w:cs="Courier New" w:eastAsia="Courier New" w:hAnsi="Courier New"/>
                <w:sz w:val="16"/>
                <w:szCs w:val="16"/>
                <w:color w:val="auto"/>
              </w:rPr>
              <w:t>Proceeds from</w:t>
            </w:r>
          </w:p>
        </w:tc>
        <w:tc>
          <w:tcPr>
            <w:tcW w:w="3460" w:type="dxa"/>
            <w:vAlign w:val="bottom"/>
          </w:tcPr>
          <w:p>
            <w:pPr>
              <w:spacing w:after="0"/>
              <w:rPr>
                <w:sz w:val="20"/>
                <w:szCs w:val="20"/>
                <w:color w:val="auto"/>
              </w:rPr>
            </w:pPr>
            <w:r>
              <w:rPr>
                <w:rFonts w:ascii="Courier New" w:cs="Courier New" w:eastAsia="Courier New" w:hAnsi="Courier New"/>
                <w:sz w:val="16"/>
                <w:szCs w:val="16"/>
                <w:color w:val="auto"/>
              </w:rPr>
              <w:t>stock option and purchase plans</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10.0</w:t>
            </w:r>
          </w:p>
        </w:tc>
        <w:tc>
          <w:tcPr>
            <w:tcW w:w="11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18.7</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12.0</w:t>
            </w:r>
          </w:p>
        </w:tc>
      </w:tr>
      <w:tr>
        <w:trPr>
          <w:trHeight w:val="185"/>
        </w:trPr>
        <w:tc>
          <w:tcPr>
            <w:tcW w:w="1440" w:type="dxa"/>
            <w:vAlign w:val="bottom"/>
          </w:tcPr>
          <w:p>
            <w:pPr>
              <w:ind w:left="100"/>
              <w:spacing w:after="0"/>
              <w:rPr>
                <w:sz w:val="20"/>
                <w:szCs w:val="20"/>
                <w:color w:val="auto"/>
              </w:rPr>
            </w:pPr>
            <w:r>
              <w:rPr>
                <w:rFonts w:ascii="Courier New" w:cs="Courier New" w:eastAsia="Courier New" w:hAnsi="Courier New"/>
                <w:sz w:val="16"/>
                <w:szCs w:val="16"/>
                <w:color w:val="auto"/>
              </w:rPr>
              <w:t>Repurchase of</w:t>
            </w:r>
          </w:p>
        </w:tc>
        <w:tc>
          <w:tcPr>
            <w:tcW w:w="3460" w:type="dxa"/>
            <w:vAlign w:val="bottom"/>
          </w:tcPr>
          <w:p>
            <w:pPr>
              <w:spacing w:after="0"/>
              <w:rPr>
                <w:sz w:val="20"/>
                <w:szCs w:val="20"/>
                <w:color w:val="auto"/>
              </w:rPr>
            </w:pPr>
            <w:r>
              <w:rPr>
                <w:rFonts w:ascii="Courier New" w:cs="Courier New" w:eastAsia="Courier New" w:hAnsi="Courier New"/>
                <w:sz w:val="16"/>
                <w:szCs w:val="16"/>
                <w:color w:val="auto"/>
              </w:rPr>
              <w:t>common stock</w:t>
            </w:r>
          </w:p>
        </w:tc>
        <w:tc>
          <w:tcPr>
            <w:tcW w:w="13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(20.0)</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(100.8)</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(43.9)</w:t>
            </w:r>
          </w:p>
        </w:tc>
      </w:tr>
      <w:tr>
        <w:trPr>
          <w:trHeight w:val="185"/>
        </w:trPr>
        <w:tc>
          <w:tcPr>
            <w:tcW w:w="1440" w:type="dxa"/>
            <w:vAlign w:val="bottom"/>
          </w:tcPr>
          <w:p>
            <w:pPr>
              <w:ind w:left="100"/>
              <w:spacing w:after="0"/>
              <w:rPr>
                <w:sz w:val="20"/>
                <w:szCs w:val="20"/>
                <w:color w:val="auto"/>
              </w:rPr>
            </w:pPr>
            <w:r>
              <w:rPr>
                <w:rFonts w:ascii="Courier New" w:cs="Courier New" w:eastAsia="Courier New" w:hAnsi="Courier New"/>
                <w:sz w:val="16"/>
                <w:szCs w:val="16"/>
                <w:color w:val="auto"/>
                <w:w w:val="98"/>
              </w:rPr>
              <w:t>Dividends paid</w:t>
            </w:r>
          </w:p>
        </w:tc>
        <w:tc>
          <w:tcPr>
            <w:tcW w:w="3460" w:type="dxa"/>
            <w:vAlign w:val="bottom"/>
          </w:tcPr>
          <w:p>
            <w:pPr>
              <w:spacing w:after="0"/>
              <w:rPr>
                <w:sz w:val="16"/>
                <w:szCs w:val="16"/>
                <w:color w:val="auto"/>
              </w:rPr>
            </w:pPr>
          </w:p>
        </w:tc>
        <w:tc>
          <w:tcPr>
            <w:tcW w:w="13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(15.1)</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(15.2)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00" w:type="dxa"/>
            <w:vAlign w:val="bottom"/>
          </w:tcPr>
          <w:p>
            <w:pPr>
              <w:spacing w:after="0"/>
              <w:rPr>
                <w:sz w:val="20"/>
                <w:szCs w:val="20"/>
                <w:color w:val="auto"/>
              </w:rPr>
            </w:pPr>
            <w:r>
              <w:rPr>
                <w:rFonts w:ascii="Courier New" w:cs="Courier New" w:eastAsia="Courier New" w:hAnsi="Courier New"/>
                <w:sz w:val="16"/>
                <w:szCs w:val="16"/>
                <w:color w:val="auto"/>
              </w:rPr>
              <w:t>Cash provided (used) by financing activities</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46.7</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149.2</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(56.9)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20" w:type="dxa"/>
            <w:vAlign w:val="bottom"/>
          </w:tcPr>
          <w:p>
            <w:pPr>
              <w:spacing w:after="0"/>
              <w:rPr>
                <w:sz w:val="20"/>
                <w:szCs w:val="20"/>
                <w:color w:val="auto"/>
              </w:rPr>
            </w:pPr>
            <w:r>
              <w:rPr>
                <w:rFonts w:ascii="Courier New" w:cs="Courier New" w:eastAsia="Courier New" w:hAnsi="Courier New"/>
                <w:sz w:val="16"/>
                <w:szCs w:val="16"/>
                <w:color w:val="auto"/>
              </w:rPr>
              <w:t>Effect of exchange rate changes on cash</w:t>
            </w:r>
          </w:p>
        </w:tc>
        <w:tc>
          <w:tcPr>
            <w:tcW w:w="1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(16.9)</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(8.9)</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40" w:type="dxa"/>
            <w:vAlign w:val="bottom"/>
          </w:tcPr>
          <w:p>
            <w:pPr>
              <w:spacing w:after="0"/>
              <w:rPr>
                <w:sz w:val="20"/>
                <w:szCs w:val="20"/>
                <w:color w:val="auto"/>
              </w:rPr>
            </w:pPr>
            <w:r>
              <w:rPr>
                <w:rFonts w:ascii="Courier New" w:cs="Courier New" w:eastAsia="Courier New" w:hAnsi="Courier New"/>
                <w:sz w:val="16"/>
                <w:szCs w:val="16"/>
                <w:color w:val="auto"/>
              </w:rPr>
              <w:t>Net (decrease) increase in cash and cash equivalents</w:t>
            </w:r>
          </w:p>
        </w:tc>
        <w:tc>
          <w:tcPr>
            <w:tcW w:w="11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(60.0)</w:t>
            </w:r>
          </w:p>
        </w:tc>
        <w:tc>
          <w:tcPr>
            <w:tcW w:w="10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61.2</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38.2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60" w:type="dxa"/>
            <w:vAlign w:val="bottom"/>
          </w:tcPr>
          <w:p>
            <w:pPr>
              <w:spacing w:after="0"/>
              <w:rPr>
                <w:sz w:val="20"/>
                <w:szCs w:val="20"/>
                <w:color w:val="auto"/>
              </w:rPr>
            </w:pPr>
            <w:r>
              <w:rPr>
                <w:rFonts w:ascii="Courier New" w:cs="Courier New" w:eastAsia="Courier New" w:hAnsi="Courier New"/>
                <w:sz w:val="16"/>
                <w:szCs w:val="16"/>
                <w:color w:val="auto"/>
              </w:rPr>
              <w:t>Cash and cash equivalents, beginning of year</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241.7</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180.5</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142.3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60" w:type="dxa"/>
            <w:vAlign w:val="bottom"/>
          </w:tcPr>
          <w:p>
            <w:pPr>
              <w:spacing w:after="0"/>
              <w:rPr>
                <w:sz w:val="20"/>
                <w:szCs w:val="20"/>
                <w:color w:val="auto"/>
              </w:rPr>
            </w:pPr>
            <w:r>
              <w:rPr>
                <w:rFonts w:ascii="Courier New" w:cs="Courier New" w:eastAsia="Courier New" w:hAnsi="Courier New"/>
                <w:sz w:val="16"/>
                <w:szCs w:val="16"/>
                <w:color w:val="auto"/>
              </w:rPr>
              <w:t>Cash and cash equivalents, end of year</w:t>
            </w:r>
          </w:p>
        </w:tc>
        <w:tc>
          <w:tcPr>
            <w:tcW w:w="16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$ 181.7</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$ 241.7</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$ 180.5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20" w:type="dxa"/>
            <w:vAlign w:val="bottom"/>
          </w:tcPr>
          <w:p>
            <w:pPr>
              <w:spacing w:after="0"/>
              <w:rPr>
                <w:sz w:val="20"/>
                <w:szCs w:val="20"/>
                <w:color w:val="auto"/>
              </w:rPr>
            </w:pPr>
            <w:r>
              <w:rPr>
                <w:rFonts w:ascii="Courier New" w:cs="Courier New" w:eastAsia="Courier New" w:hAnsi="Courier New"/>
                <w:sz w:val="16"/>
                <w:szCs w:val="16"/>
                <w:color w:val="auto"/>
              </w:rPr>
              <w:t>Supplemental Cash Flow Information:</w:t>
            </w:r>
          </w:p>
        </w:tc>
        <w:tc>
          <w:tcPr>
            <w:tcW w:w="1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5"/>
        </w:trPr>
        <w:tc>
          <w:tcPr>
            <w:tcW w:w="4320" w:type="dxa"/>
            <w:vAlign w:val="bottom"/>
          </w:tcPr>
          <w:p>
            <w:pPr>
              <w:ind w:left="100"/>
              <w:spacing w:after="0"/>
              <w:rPr>
                <w:sz w:val="20"/>
                <w:szCs w:val="20"/>
                <w:color w:val="auto"/>
              </w:rPr>
            </w:pPr>
            <w:r>
              <w:rPr>
                <w:rFonts w:ascii="Courier New" w:cs="Courier New" w:eastAsia="Courier New" w:hAnsi="Courier New"/>
                <w:sz w:val="16"/>
                <w:szCs w:val="16"/>
                <w:color w:val="auto"/>
              </w:rPr>
              <w:t>Interest paid</w:t>
            </w:r>
          </w:p>
        </w:tc>
        <w:tc>
          <w:tcPr>
            <w:tcW w:w="18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27.1</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12.4</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  18.9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3400" w:type="dxa"/>
            <w:vAlign w:val="bottom"/>
          </w:tcPr>
          <w:p>
            <w:pPr>
              <w:spacing w:after="0"/>
              <w:rPr>
                <w:sz w:val="20"/>
                <w:szCs w:val="20"/>
                <w:color w:val="auto"/>
              </w:rPr>
            </w:pPr>
            <w:r>
              <w:rPr>
                <w:rFonts w:ascii="Courier New" w:cs="Courier New" w:eastAsia="Courier New" w:hAnsi="Courier New"/>
                <w:sz w:val="16"/>
                <w:szCs w:val="16"/>
                <w:color w:val="auto"/>
              </w:rPr>
              <w:t>Income taxes paid</w:t>
            </w:r>
          </w:p>
        </w:tc>
        <w:tc>
          <w:tcPr>
            <w:tcW w:w="26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83.2</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66.9</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  69.0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60" w:lineRule="exact"/>
        <w:rPr>
          <w:sz w:val="20"/>
          <w:szCs w:val="20"/>
          <w:color w:val="auto"/>
        </w:rPr>
      </w:pPr>
    </w:p>
    <w:p>
      <w:pPr>
        <w:ind w:right="2539"/>
        <w:spacing w:after="0" w:line="242" w:lineRule="auto"/>
        <w:rPr>
          <w:sz w:val="20"/>
          <w:szCs w:val="20"/>
          <w:color w:val="auto"/>
        </w:rPr>
      </w:pPr>
      <w:r>
        <w:rPr>
          <w:rFonts w:ascii="Courier New" w:cs="Courier New" w:eastAsia="Courier New" w:hAnsi="Courier New"/>
          <w:sz w:val="16"/>
          <w:szCs w:val="16"/>
          <w:color w:val="auto"/>
        </w:rPr>
        <w:t>The accompanying Notes to Consolidated Financial Statements are an integral part of these statements.</w:t>
      </w:r>
    </w:p>
    <w:p>
      <w:pPr>
        <w:spacing w:after="0" w:line="187" w:lineRule="exact"/>
        <w:rPr>
          <w:sz w:val="20"/>
          <w:szCs w:val="20"/>
          <w:color w:val="auto"/>
        </w:rPr>
      </w:pPr>
    </w:p>
    <w:p>
      <w:pPr>
        <w:spacing w:after="0"/>
        <w:tabs>
          <w:tab w:leader="none" w:pos="6420" w:val="left"/>
        </w:tabs>
        <w:rPr>
          <w:sz w:val="20"/>
          <w:szCs w:val="20"/>
          <w:color w:val="auto"/>
        </w:rPr>
      </w:pPr>
      <w:r>
        <w:rPr>
          <w:rFonts w:ascii="Courier New" w:cs="Courier New" w:eastAsia="Courier New" w:hAnsi="Courier New"/>
          <w:sz w:val="16"/>
          <w:szCs w:val="16"/>
          <w:color w:val="auto"/>
        </w:rPr>
        <w:t>78</w:t>
      </w:r>
      <w:r>
        <w:rPr>
          <w:sz w:val="20"/>
          <w:szCs w:val="20"/>
          <w:color w:val="auto"/>
        </w:rPr>
        <w:tab/>
      </w:r>
      <w:r>
        <w:rPr>
          <w:rFonts w:ascii="Courier New" w:cs="Courier New" w:eastAsia="Courier New" w:hAnsi="Courier New"/>
          <w:sz w:val="16"/>
          <w:szCs w:val="16"/>
          <w:color w:val="auto"/>
        </w:rPr>
        <w:t>Manpower Inc.</w:t>
      </w:r>
    </w:p>
    <w:p>
      <w:pPr>
        <w:sectPr>
          <w:pgSz w:w="11900" w:h="16838" w:orient="portrait"/>
          <w:cols w:equalWidth="0" w:num="1">
            <w:col w:w="10219"/>
          </w:cols>
          <w:pgMar w:left="240" w:top="300" w:right="1440" w:bottom="1440" w:gutter="0" w:footer="0" w:header="0"/>
        </w:sectPr>
      </w:pPr>
    </w:p>
    <w:bookmarkStart w:id="71" w:name="page72"/>
    <w:bookmarkEnd w:id="71"/>
    <w:p>
      <w:pPr>
        <w:ind w:left="280"/>
        <w:spacing w:after="0"/>
        <w:rPr>
          <w:sz w:val="20"/>
          <w:szCs w:val="20"/>
          <w:color w:val="auto"/>
        </w:rPr>
      </w:pPr>
      <w:r>
        <w:rPr>
          <w:rFonts w:ascii="Courier New" w:cs="Courier New" w:eastAsia="Courier New" w:hAnsi="Courier New"/>
          <w:sz w:val="16"/>
          <w:szCs w:val="16"/>
          <w:color w:val="auto"/>
        </w:rPr>
        <w:t>53</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CONSOLIDATED STATEMENTS OF SHAREHOLDERS' EQUITY</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7780"/>
        <w:spacing w:after="0"/>
        <w:rPr>
          <w:sz w:val="20"/>
          <w:szCs w:val="20"/>
          <w:color w:val="auto"/>
        </w:rPr>
      </w:pPr>
      <w:r>
        <w:rPr>
          <w:rFonts w:ascii="Courier New" w:cs="Courier New" w:eastAsia="Courier New" w:hAnsi="Courier New"/>
          <w:sz w:val="16"/>
          <w:szCs w:val="16"/>
          <w:color w:val="auto"/>
        </w:rPr>
        <w:t>ACCUMULATED</w:t>
      </w:r>
    </w:p>
    <w:p>
      <w:pPr>
        <w:spacing w:after="0" w:line="4" w:lineRule="exact"/>
        <w:rPr>
          <w:sz w:val="20"/>
          <w:szCs w:val="20"/>
          <w:color w:val="auto"/>
        </w:rPr>
      </w:pPr>
    </w:p>
    <w:p>
      <w:pPr>
        <w:ind w:left="4700"/>
        <w:spacing w:after="0"/>
        <w:tabs>
          <w:tab w:leader="none" w:pos="8340" w:val="left"/>
        </w:tabs>
        <w:rPr>
          <w:sz w:val="20"/>
          <w:szCs w:val="20"/>
          <w:color w:val="auto"/>
        </w:rPr>
      </w:pPr>
      <w:r>
        <w:rPr>
          <w:rFonts w:ascii="Courier New" w:cs="Courier New" w:eastAsia="Courier New" w:hAnsi="Courier New"/>
          <w:sz w:val="16"/>
          <w:szCs w:val="16"/>
          <w:color w:val="auto"/>
        </w:rPr>
        <w:t>CAPITAL IN</w:t>
      </w:r>
      <w:r>
        <w:rPr>
          <w:sz w:val="20"/>
          <w:szCs w:val="20"/>
          <w:color w:val="auto"/>
        </w:rPr>
        <w:tab/>
      </w:r>
      <w:r>
        <w:rPr>
          <w:rFonts w:ascii="Courier New" w:cs="Courier New" w:eastAsia="Courier New" w:hAnsi="Courier New"/>
          <w:sz w:val="16"/>
          <w:szCs w:val="16"/>
          <w:color w:val="auto"/>
        </w:rPr>
        <w:t>OTHER</w:t>
      </w:r>
    </w:p>
    <w:p>
      <w:pPr>
        <w:spacing w:after="0" w:line="4" w:lineRule="exact"/>
        <w:rPr>
          <w:sz w:val="20"/>
          <w:szCs w:val="20"/>
          <w:color w:val="auto"/>
        </w:rPr>
      </w:pPr>
    </w:p>
    <w:p>
      <w:pPr>
        <w:ind w:left="3740"/>
        <w:spacing w:after="0"/>
        <w:tabs>
          <w:tab w:leader="none" w:pos="4780" w:val="left"/>
          <w:tab w:leader="none" w:pos="6120" w:val="left"/>
          <w:tab w:leader="none" w:pos="7560" w:val="left"/>
          <w:tab w:leader="none" w:pos="9300" w:val="left"/>
        </w:tabs>
        <w:rPr>
          <w:sz w:val="20"/>
          <w:szCs w:val="20"/>
          <w:color w:val="auto"/>
        </w:rPr>
      </w:pPr>
      <w:r>
        <w:rPr>
          <w:rFonts w:ascii="Courier New" w:cs="Courier New" w:eastAsia="Courier New" w:hAnsi="Courier New"/>
          <w:sz w:val="16"/>
          <w:szCs w:val="16"/>
          <w:color w:val="auto"/>
        </w:rPr>
        <w:t>COMMON</w:t>
      </w:r>
      <w:r>
        <w:rPr>
          <w:sz w:val="20"/>
          <w:szCs w:val="20"/>
          <w:color w:val="auto"/>
        </w:rPr>
        <w:tab/>
      </w:r>
      <w:r>
        <w:rPr>
          <w:rFonts w:ascii="Courier New" w:cs="Courier New" w:eastAsia="Courier New" w:hAnsi="Courier New"/>
          <w:sz w:val="16"/>
          <w:szCs w:val="16"/>
          <w:color w:val="auto"/>
        </w:rPr>
        <w:t>EXCESS OF</w:t>
      </w:r>
      <w:r>
        <w:rPr>
          <w:sz w:val="20"/>
          <w:szCs w:val="20"/>
          <w:color w:val="auto"/>
        </w:rPr>
        <w:tab/>
      </w:r>
      <w:r>
        <w:rPr>
          <w:rFonts w:ascii="Courier New" w:cs="Courier New" w:eastAsia="Courier New" w:hAnsi="Courier New"/>
          <w:sz w:val="16"/>
          <w:szCs w:val="16"/>
          <w:color w:val="auto"/>
        </w:rPr>
        <w:t>ACCUMULATED</w:t>
      </w:r>
      <w:r>
        <w:rPr>
          <w:sz w:val="20"/>
          <w:szCs w:val="20"/>
          <w:color w:val="auto"/>
        </w:rPr>
        <w:tab/>
      </w:r>
      <w:r>
        <w:rPr>
          <w:rFonts w:ascii="Courier New" w:cs="Courier New" w:eastAsia="Courier New" w:hAnsi="Courier New"/>
          <w:sz w:val="16"/>
          <w:szCs w:val="16"/>
          <w:color w:val="auto"/>
        </w:rPr>
        <w:t>COMPREHENSIVE</w:t>
      </w:r>
      <w:r>
        <w:rPr>
          <w:sz w:val="20"/>
          <w:szCs w:val="20"/>
          <w:color w:val="auto"/>
        </w:rPr>
        <w:tab/>
      </w:r>
      <w:r>
        <w:rPr>
          <w:rFonts w:ascii="Courier New" w:cs="Courier New" w:eastAsia="Courier New" w:hAnsi="Courier New"/>
          <w:sz w:val="15"/>
          <w:szCs w:val="15"/>
          <w:color w:val="auto"/>
        </w:rPr>
        <w:t>TREASURY</w:t>
      </w:r>
    </w:p>
    <w:p>
      <w:pPr>
        <w:spacing w:after="0" w:line="4" w:lineRule="exact"/>
        <w:rPr>
          <w:sz w:val="20"/>
          <w:szCs w:val="20"/>
          <w:color w:val="auto"/>
        </w:rPr>
      </w:pPr>
    </w:p>
    <w:p>
      <w:pPr>
        <w:ind w:left="3840"/>
        <w:spacing w:after="0"/>
        <w:tabs>
          <w:tab w:leader="none" w:pos="4780" w:val="left"/>
          <w:tab w:leader="none" w:pos="6520" w:val="left"/>
          <w:tab w:leader="none" w:pos="7660" w:val="left"/>
          <w:tab w:leader="none" w:pos="9580" w:val="left"/>
          <w:tab w:leader="none" w:pos="10640" w:val="left"/>
        </w:tabs>
        <w:rPr>
          <w:sz w:val="20"/>
          <w:szCs w:val="20"/>
          <w:color w:val="auto"/>
        </w:rPr>
      </w:pPr>
      <w:r>
        <w:rPr>
          <w:rFonts w:ascii="Courier New" w:cs="Courier New" w:eastAsia="Courier New" w:hAnsi="Courier New"/>
          <w:sz w:val="16"/>
          <w:szCs w:val="16"/>
          <w:color w:val="auto"/>
        </w:rPr>
        <w:t>STOCK</w:t>
      </w:r>
      <w:r>
        <w:rPr>
          <w:sz w:val="20"/>
          <w:szCs w:val="20"/>
          <w:color w:val="auto"/>
        </w:rPr>
        <w:tab/>
      </w:r>
      <w:r>
        <w:rPr>
          <w:rFonts w:ascii="Courier New" w:cs="Courier New" w:eastAsia="Courier New" w:hAnsi="Courier New"/>
          <w:sz w:val="16"/>
          <w:szCs w:val="16"/>
          <w:color w:val="auto"/>
        </w:rPr>
        <w:t>PAR VALUE</w:t>
      </w:r>
      <w:r>
        <w:rPr>
          <w:sz w:val="20"/>
          <w:szCs w:val="20"/>
          <w:color w:val="auto"/>
        </w:rPr>
        <w:tab/>
      </w:r>
      <w:r>
        <w:rPr>
          <w:rFonts w:ascii="Courier New" w:cs="Courier New" w:eastAsia="Courier New" w:hAnsi="Courier New"/>
          <w:sz w:val="16"/>
          <w:szCs w:val="16"/>
          <w:color w:val="auto"/>
        </w:rPr>
        <w:t>DEFICIT</w:t>
      </w:r>
      <w:r>
        <w:rPr>
          <w:sz w:val="20"/>
          <w:szCs w:val="20"/>
          <w:color w:val="auto"/>
        </w:rPr>
        <w:tab/>
      </w:r>
      <w:r>
        <w:rPr>
          <w:rFonts w:ascii="Courier New" w:cs="Courier New" w:eastAsia="Courier New" w:hAnsi="Courier New"/>
          <w:sz w:val="16"/>
          <w:szCs w:val="16"/>
          <w:color w:val="auto"/>
        </w:rPr>
        <w:t>INCOME (LOSS)</w:t>
      </w:r>
      <w:r>
        <w:rPr>
          <w:sz w:val="20"/>
          <w:szCs w:val="20"/>
          <w:color w:val="auto"/>
        </w:rPr>
        <w:tab/>
      </w:r>
      <w:r>
        <w:rPr>
          <w:rFonts w:ascii="Courier New" w:cs="Courier New" w:eastAsia="Courier New" w:hAnsi="Courier New"/>
          <w:sz w:val="16"/>
          <w:szCs w:val="16"/>
          <w:color w:val="auto"/>
        </w:rPr>
        <w:t>STOCK</w:t>
      </w:r>
      <w:r>
        <w:rPr>
          <w:sz w:val="20"/>
          <w:szCs w:val="20"/>
          <w:color w:val="auto"/>
        </w:rPr>
        <w:tab/>
      </w:r>
      <w:r>
        <w:rPr>
          <w:rFonts w:ascii="Courier New" w:cs="Courier New" w:eastAsia="Courier New" w:hAnsi="Courier New"/>
          <w:sz w:val="16"/>
          <w:szCs w:val="16"/>
          <w:color w:val="auto"/>
        </w:rPr>
        <w:t>TOTAL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60" w:type="dxa"/>
            <w:vAlign w:val="bottom"/>
          </w:tcPr>
          <w:p>
            <w:pPr>
              <w:spacing w:after="0"/>
              <w:rPr>
                <w:sz w:val="20"/>
                <w:szCs w:val="20"/>
                <w:color w:val="auto"/>
              </w:rPr>
            </w:pPr>
            <w:r>
              <w:rPr>
                <w:rFonts w:ascii="Courier New" w:cs="Courier New" w:eastAsia="Courier New" w:hAnsi="Courier New"/>
                <w:sz w:val="16"/>
                <w:szCs w:val="16"/>
                <w:color w:val="auto"/>
              </w:rPr>
              <w:t>Balance, December 31, 1997</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.8</w:t>
            </w:r>
          </w:p>
        </w:tc>
        <w:tc>
          <w:tcPr>
            <w:tcW w:w="16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  1,590.7</w:t>
            </w:r>
          </w:p>
        </w:tc>
        <w:tc>
          <w:tcPr>
            <w:tcW w:w="14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$(848.2)</w:t>
            </w:r>
          </w:p>
        </w:tc>
        <w:tc>
          <w:tcPr>
            <w:tcW w:w="6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(40.7)</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  (85.1)</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$ 617.5</w:t>
            </w:r>
          </w:p>
        </w:tc>
      </w:tr>
      <w:tr>
        <w:trPr>
          <w:trHeight w:val="185"/>
        </w:trPr>
        <w:tc>
          <w:tcPr>
            <w:tcW w:w="3260" w:type="dxa"/>
            <w:vAlign w:val="bottom"/>
          </w:tcPr>
          <w:p>
            <w:pPr>
              <w:spacing w:after="0"/>
              <w:rPr>
                <w:sz w:val="20"/>
                <w:szCs w:val="20"/>
                <w:color w:val="auto"/>
              </w:rPr>
            </w:pPr>
            <w:r>
              <w:rPr>
                <w:rFonts w:ascii="Courier New" w:cs="Courier New" w:eastAsia="Courier New" w:hAnsi="Courier New"/>
                <w:sz w:val="16"/>
                <w:szCs w:val="16"/>
                <w:color w:val="auto"/>
              </w:rPr>
              <w:t>Comprehensive income:</w:t>
            </w:r>
          </w:p>
        </w:tc>
        <w:tc>
          <w:tcPr>
            <w:tcW w:w="1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3260" w:type="dxa"/>
            <w:vAlign w:val="bottom"/>
          </w:tcPr>
          <w:p>
            <w:pPr>
              <w:ind w:left="100"/>
              <w:spacing w:after="0"/>
              <w:rPr>
                <w:sz w:val="20"/>
                <w:szCs w:val="20"/>
                <w:color w:val="auto"/>
              </w:rPr>
            </w:pPr>
            <w:r>
              <w:rPr>
                <w:rFonts w:ascii="Courier New" w:cs="Courier New" w:eastAsia="Courier New" w:hAnsi="Courier New"/>
                <w:sz w:val="16"/>
                <w:szCs w:val="16"/>
                <w:color w:val="auto"/>
              </w:rPr>
              <w:t>Net earnings</w:t>
            </w:r>
          </w:p>
        </w:tc>
        <w:tc>
          <w:tcPr>
            <w:tcW w:w="1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75.7</w:t>
            </w: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3260" w:type="dxa"/>
            <w:vAlign w:val="bottom"/>
          </w:tcPr>
          <w:p>
            <w:pPr>
              <w:ind w:left="100"/>
              <w:spacing w:after="0"/>
              <w:rPr>
                <w:sz w:val="20"/>
                <w:szCs w:val="20"/>
                <w:color w:val="auto"/>
              </w:rPr>
            </w:pPr>
            <w:r>
              <w:rPr>
                <w:rFonts w:ascii="Courier New" w:cs="Courier New" w:eastAsia="Courier New" w:hAnsi="Courier New"/>
                <w:sz w:val="16"/>
                <w:szCs w:val="16"/>
                <w:color w:val="auto"/>
              </w:rPr>
              <w:t>Foreign currency translation</w:t>
            </w:r>
          </w:p>
        </w:tc>
        <w:tc>
          <w:tcPr>
            <w:tcW w:w="1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22.8</w:t>
            </w: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3260" w:type="dxa"/>
            <w:vAlign w:val="bottom"/>
          </w:tcPr>
          <w:p>
            <w:pPr>
              <w:spacing w:after="0"/>
              <w:rPr>
                <w:sz w:val="20"/>
                <w:szCs w:val="20"/>
                <w:color w:val="auto"/>
              </w:rPr>
            </w:pPr>
            <w:r>
              <w:rPr>
                <w:rFonts w:ascii="Courier New" w:cs="Courier New" w:eastAsia="Courier New" w:hAnsi="Courier New"/>
                <w:sz w:val="16"/>
                <w:szCs w:val="16"/>
                <w:color w:val="auto"/>
              </w:rPr>
              <w:t>Total comprehensive income</w:t>
            </w:r>
          </w:p>
        </w:tc>
        <w:tc>
          <w:tcPr>
            <w:tcW w:w="1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98.5</w:t>
            </w:r>
          </w:p>
        </w:tc>
      </w:tr>
      <w:tr>
        <w:trPr>
          <w:trHeight w:val="185"/>
        </w:trPr>
        <w:tc>
          <w:tcPr>
            <w:tcW w:w="3260" w:type="dxa"/>
            <w:vAlign w:val="bottom"/>
          </w:tcPr>
          <w:p>
            <w:pPr>
              <w:spacing w:after="0"/>
              <w:rPr>
                <w:sz w:val="20"/>
                <w:szCs w:val="20"/>
                <w:color w:val="auto"/>
              </w:rPr>
            </w:pPr>
            <w:r>
              <w:rPr>
                <w:rFonts w:ascii="Courier New" w:cs="Courier New" w:eastAsia="Courier New" w:hAnsi="Courier New"/>
                <w:sz w:val="16"/>
                <w:szCs w:val="16"/>
                <w:color w:val="auto"/>
              </w:rPr>
              <w:t>Issuances under option</w:t>
            </w:r>
          </w:p>
        </w:tc>
        <w:tc>
          <w:tcPr>
            <w:tcW w:w="1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3260" w:type="dxa"/>
            <w:vAlign w:val="bottom"/>
          </w:tcPr>
          <w:p>
            <w:pPr>
              <w:ind w:left="100"/>
              <w:spacing w:after="0"/>
              <w:rPr>
                <w:sz w:val="20"/>
                <w:szCs w:val="20"/>
                <w:color w:val="auto"/>
              </w:rPr>
            </w:pPr>
            <w:r>
              <w:rPr>
                <w:rFonts w:ascii="Courier New" w:cs="Courier New" w:eastAsia="Courier New" w:hAnsi="Courier New"/>
                <w:sz w:val="16"/>
                <w:szCs w:val="16"/>
                <w:color w:val="auto"/>
              </w:rPr>
              <w:t>and purchase plans</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12.0</w:t>
            </w:r>
          </w:p>
        </w:tc>
        <w:tc>
          <w:tcPr>
            <w:tcW w:w="1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12.0</w:t>
            </w:r>
          </w:p>
        </w:tc>
      </w:tr>
      <w:tr>
        <w:trPr>
          <w:trHeight w:val="185"/>
        </w:trPr>
        <w:tc>
          <w:tcPr>
            <w:tcW w:w="3260" w:type="dxa"/>
            <w:vAlign w:val="bottom"/>
          </w:tcPr>
          <w:p>
            <w:pPr>
              <w:spacing w:after="0"/>
              <w:rPr>
                <w:sz w:val="20"/>
                <w:szCs w:val="20"/>
                <w:color w:val="auto"/>
              </w:rPr>
            </w:pPr>
            <w:r>
              <w:rPr>
                <w:rFonts w:ascii="Courier New" w:cs="Courier New" w:eastAsia="Courier New" w:hAnsi="Courier New"/>
                <w:sz w:val="16"/>
                <w:szCs w:val="16"/>
                <w:color w:val="auto"/>
              </w:rPr>
              <w:t>Dividends ($.19 per share)</w:t>
            </w:r>
          </w:p>
        </w:tc>
        <w:tc>
          <w:tcPr>
            <w:tcW w:w="1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(15.2)</w:t>
            </w: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(15.2)</w:t>
            </w:r>
          </w:p>
        </w:tc>
      </w:tr>
      <w:tr>
        <w:trPr>
          <w:trHeight w:val="185"/>
        </w:trPr>
        <w:tc>
          <w:tcPr>
            <w:tcW w:w="3260" w:type="dxa"/>
            <w:vAlign w:val="bottom"/>
          </w:tcPr>
          <w:p>
            <w:pPr>
              <w:spacing w:after="0"/>
              <w:rPr>
                <w:sz w:val="20"/>
                <w:szCs w:val="20"/>
                <w:color w:val="auto"/>
              </w:rPr>
            </w:pPr>
            <w:r>
              <w:rPr>
                <w:rFonts w:ascii="Courier New" w:cs="Courier New" w:eastAsia="Courier New" w:hAnsi="Courier New"/>
                <w:sz w:val="16"/>
                <w:szCs w:val="16"/>
                <w:color w:val="auto"/>
              </w:rPr>
              <w:t>Repurchases of common stock</w:t>
            </w:r>
          </w:p>
        </w:tc>
        <w:tc>
          <w:tcPr>
            <w:tcW w:w="1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(43.9)</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(43.9)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00" w:type="dxa"/>
            <w:vAlign w:val="bottom"/>
          </w:tcPr>
          <w:p>
            <w:pPr>
              <w:spacing w:after="0"/>
              <w:rPr>
                <w:sz w:val="20"/>
                <w:szCs w:val="20"/>
                <w:color w:val="auto"/>
              </w:rPr>
            </w:pPr>
            <w:r>
              <w:rPr>
                <w:rFonts w:ascii="Courier New" w:cs="Courier New" w:eastAsia="Courier New" w:hAnsi="Courier New"/>
                <w:sz w:val="16"/>
                <w:szCs w:val="16"/>
                <w:color w:val="auto"/>
              </w:rPr>
              <w:t>Balance, December 31, 1998</w:t>
            </w:r>
          </w:p>
        </w:tc>
        <w:tc>
          <w:tcPr>
            <w:tcW w:w="122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.8</w:t>
            </w:r>
          </w:p>
        </w:tc>
        <w:tc>
          <w:tcPr>
            <w:tcW w:w="14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1,602.7</w:t>
            </w:r>
          </w:p>
        </w:tc>
        <w:tc>
          <w:tcPr>
            <w:tcW w:w="16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(787.7)</w:t>
            </w: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(17.9)</w:t>
            </w:r>
          </w:p>
        </w:tc>
        <w:tc>
          <w:tcPr>
            <w:tcW w:w="11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(129.0)</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668.9</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Comprehensive income:</w:t>
            </w:r>
          </w:p>
        </w:tc>
        <w:tc>
          <w:tcPr>
            <w:tcW w:w="1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3400" w:type="dxa"/>
            <w:vAlign w:val="bottom"/>
          </w:tcPr>
          <w:p>
            <w:pPr>
              <w:ind w:left="100"/>
              <w:spacing w:after="0"/>
              <w:rPr>
                <w:sz w:val="20"/>
                <w:szCs w:val="20"/>
                <w:color w:val="auto"/>
              </w:rPr>
            </w:pPr>
            <w:r>
              <w:rPr>
                <w:rFonts w:ascii="Courier New" w:cs="Courier New" w:eastAsia="Courier New" w:hAnsi="Courier New"/>
                <w:sz w:val="16"/>
                <w:szCs w:val="16"/>
                <w:color w:val="auto"/>
              </w:rPr>
              <w:t>Net earnings</w:t>
            </w:r>
          </w:p>
        </w:tc>
        <w:tc>
          <w:tcPr>
            <w:tcW w:w="1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150.0</w:t>
            </w:r>
          </w:p>
        </w:tc>
        <w:tc>
          <w:tcPr>
            <w:tcW w:w="1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3400" w:type="dxa"/>
            <w:vAlign w:val="bottom"/>
          </w:tcPr>
          <w:p>
            <w:pPr>
              <w:ind w:left="100"/>
              <w:spacing w:after="0"/>
              <w:rPr>
                <w:sz w:val="20"/>
                <w:szCs w:val="20"/>
                <w:color w:val="auto"/>
              </w:rPr>
            </w:pPr>
            <w:r>
              <w:rPr>
                <w:rFonts w:ascii="Courier New" w:cs="Courier New" w:eastAsia="Courier New" w:hAnsi="Courier New"/>
                <w:sz w:val="16"/>
                <w:szCs w:val="16"/>
                <w:color w:val="auto"/>
              </w:rPr>
              <w:t>Foreign currency translation</w:t>
            </w:r>
          </w:p>
        </w:tc>
        <w:tc>
          <w:tcPr>
            <w:tcW w:w="1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(70.9)</w:t>
            </w: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Total comprehensive income</w:t>
            </w:r>
          </w:p>
        </w:tc>
        <w:tc>
          <w:tcPr>
            <w:tcW w:w="1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79.1</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Issuances under option</w:t>
            </w:r>
          </w:p>
        </w:tc>
        <w:tc>
          <w:tcPr>
            <w:tcW w:w="1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3400" w:type="dxa"/>
            <w:vAlign w:val="bottom"/>
          </w:tcPr>
          <w:p>
            <w:pPr>
              <w:ind w:left="100"/>
              <w:spacing w:after="0"/>
              <w:rPr>
                <w:sz w:val="20"/>
                <w:szCs w:val="20"/>
                <w:color w:val="auto"/>
              </w:rPr>
            </w:pPr>
            <w:r>
              <w:rPr>
                <w:rFonts w:ascii="Courier New" w:cs="Courier New" w:eastAsia="Courier New" w:hAnsi="Courier New"/>
                <w:sz w:val="16"/>
                <w:szCs w:val="16"/>
                <w:color w:val="auto"/>
              </w:rPr>
              <w:t>and purchase plans</w:t>
            </w:r>
          </w:p>
        </w:tc>
        <w:tc>
          <w:tcPr>
            <w:tcW w:w="122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18.7</w:t>
            </w:r>
          </w:p>
        </w:tc>
        <w:tc>
          <w:tcPr>
            <w:tcW w:w="16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18.7</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Dividends ($.20 per share)</w:t>
            </w:r>
          </w:p>
        </w:tc>
        <w:tc>
          <w:tcPr>
            <w:tcW w:w="1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(15.3)</w:t>
            </w:r>
          </w:p>
        </w:tc>
        <w:tc>
          <w:tcPr>
            <w:tcW w:w="1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(15.3)</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Repurchases of common stock</w:t>
            </w:r>
          </w:p>
        </w:tc>
        <w:tc>
          <w:tcPr>
            <w:tcW w:w="1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(100.8)</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(100.8)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Balance, December 31, 1999</w:t>
            </w:r>
          </w:p>
        </w:tc>
        <w:tc>
          <w:tcPr>
            <w:tcW w:w="112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.8</w:t>
            </w:r>
          </w:p>
        </w:tc>
        <w:tc>
          <w:tcPr>
            <w:tcW w:w="14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1,621.4</w:t>
            </w:r>
          </w:p>
        </w:tc>
        <w:tc>
          <w:tcPr>
            <w:tcW w:w="16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(653.0)</w:t>
            </w: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(88.8)</w:t>
            </w:r>
          </w:p>
        </w:tc>
        <w:tc>
          <w:tcPr>
            <w:tcW w:w="12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(229.8)</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650.6</w:t>
            </w:r>
          </w:p>
        </w:tc>
      </w:tr>
      <w:tr>
        <w:trPr>
          <w:trHeight w:val="185"/>
        </w:trPr>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Comprehensive income:</w:t>
            </w:r>
          </w:p>
        </w:tc>
        <w:tc>
          <w:tcPr>
            <w:tcW w:w="1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1880" w:type="dxa"/>
            <w:vAlign w:val="bottom"/>
          </w:tcPr>
          <w:p>
            <w:pPr>
              <w:ind w:left="100"/>
              <w:spacing w:after="0"/>
              <w:rPr>
                <w:sz w:val="20"/>
                <w:szCs w:val="20"/>
                <w:color w:val="auto"/>
              </w:rPr>
            </w:pPr>
            <w:r>
              <w:rPr>
                <w:rFonts w:ascii="Courier New" w:cs="Courier New" w:eastAsia="Courier New" w:hAnsi="Courier New"/>
                <w:sz w:val="16"/>
                <w:szCs w:val="16"/>
                <w:color w:val="auto"/>
              </w:rPr>
              <w:t>Net earnings</w:t>
            </w:r>
          </w:p>
        </w:tc>
        <w:tc>
          <w:tcPr>
            <w:tcW w:w="1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171.2</w:t>
            </w:r>
          </w:p>
        </w:tc>
        <w:tc>
          <w:tcPr>
            <w:tcW w:w="1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35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Foreign currency translation</w:t>
            </w:r>
          </w:p>
        </w:tc>
        <w:tc>
          <w:tcPr>
            <w:tcW w:w="1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(50.6)</w:t>
            </w: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1880" w:type="dxa"/>
            <w:vAlign w:val="bottom"/>
          </w:tcPr>
          <w:p>
            <w:pPr>
              <w:ind w:left="100"/>
              <w:spacing w:after="0"/>
              <w:rPr>
                <w:sz w:val="20"/>
                <w:szCs w:val="20"/>
                <w:color w:val="auto"/>
              </w:rPr>
            </w:pPr>
            <w:r>
              <w:rPr>
                <w:rFonts w:ascii="Courier New" w:cs="Courier New" w:eastAsia="Courier New" w:hAnsi="Courier New"/>
                <w:sz w:val="16"/>
                <w:szCs w:val="16"/>
                <w:color w:val="auto"/>
              </w:rPr>
              <w:t>Unrealized loss on</w:t>
            </w:r>
          </w:p>
        </w:tc>
        <w:tc>
          <w:tcPr>
            <w:tcW w:w="1620" w:type="dxa"/>
            <w:vAlign w:val="bottom"/>
          </w:tcPr>
          <w:p>
            <w:pPr>
              <w:ind w:left="40"/>
              <w:spacing w:after="0"/>
              <w:rPr>
                <w:sz w:val="20"/>
                <w:szCs w:val="20"/>
                <w:color w:val="auto"/>
              </w:rPr>
            </w:pPr>
            <w:r>
              <w:rPr>
                <w:rFonts w:ascii="Courier New" w:cs="Courier New" w:eastAsia="Courier New" w:hAnsi="Courier New"/>
                <w:sz w:val="16"/>
                <w:szCs w:val="16"/>
                <w:color w:val="auto"/>
              </w:rPr>
              <w:t>investments</w:t>
            </w:r>
          </w:p>
        </w:tc>
        <w:tc>
          <w:tcPr>
            <w:tcW w:w="1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(5.7)</w:t>
            </w: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Total comprehensive</w:t>
            </w:r>
          </w:p>
        </w:tc>
        <w:tc>
          <w:tcPr>
            <w:tcW w:w="1620" w:type="dxa"/>
            <w:vAlign w:val="bottom"/>
          </w:tcPr>
          <w:p>
            <w:pPr>
              <w:ind w:left="40"/>
              <w:spacing w:after="0"/>
              <w:rPr>
                <w:sz w:val="20"/>
                <w:szCs w:val="20"/>
                <w:color w:val="auto"/>
              </w:rPr>
            </w:pPr>
            <w:r>
              <w:rPr>
                <w:rFonts w:ascii="Courier New" w:cs="Courier New" w:eastAsia="Courier New" w:hAnsi="Courier New"/>
                <w:sz w:val="16"/>
                <w:szCs w:val="16"/>
                <w:color w:val="auto"/>
              </w:rPr>
              <w:t>income</w:t>
            </w:r>
          </w:p>
        </w:tc>
        <w:tc>
          <w:tcPr>
            <w:tcW w:w="1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114.9</w:t>
            </w:r>
          </w:p>
        </w:tc>
      </w:tr>
      <w:tr>
        <w:trPr>
          <w:trHeight w:val="185"/>
        </w:trPr>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Issuances under option</w:t>
            </w:r>
          </w:p>
        </w:tc>
        <w:tc>
          <w:tcPr>
            <w:tcW w:w="1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1880" w:type="dxa"/>
            <w:vAlign w:val="bottom"/>
          </w:tcPr>
          <w:p>
            <w:pPr>
              <w:ind w:left="100"/>
              <w:spacing w:after="0"/>
              <w:rPr>
                <w:sz w:val="20"/>
                <w:szCs w:val="20"/>
                <w:color w:val="auto"/>
              </w:rPr>
            </w:pPr>
            <w:r>
              <w:rPr>
                <w:rFonts w:ascii="Courier New" w:cs="Courier New" w:eastAsia="Courier New" w:hAnsi="Courier New"/>
                <w:sz w:val="16"/>
                <w:szCs w:val="16"/>
                <w:color w:val="auto"/>
              </w:rPr>
              <w:t>and purchase plans</w:t>
            </w:r>
          </w:p>
        </w:tc>
        <w:tc>
          <w:tcPr>
            <w:tcW w:w="1620" w:type="dxa"/>
            <w:vAlign w:val="bottom"/>
          </w:tcPr>
          <w:p>
            <w:pPr>
              <w:spacing w:after="0"/>
              <w:rPr>
                <w:sz w:val="16"/>
                <w:szCs w:val="16"/>
                <w:color w:val="auto"/>
              </w:rPr>
            </w:pPr>
          </w:p>
        </w:tc>
        <w:tc>
          <w:tcPr>
            <w:tcW w:w="112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10.0</w:t>
            </w:r>
          </w:p>
        </w:tc>
        <w:tc>
          <w:tcPr>
            <w:tcW w:w="16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10.0</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Dividends ($.20 per</w:t>
            </w:r>
          </w:p>
        </w:tc>
        <w:tc>
          <w:tcPr>
            <w:tcW w:w="1620" w:type="dxa"/>
            <w:vAlign w:val="bottom"/>
          </w:tcPr>
          <w:p>
            <w:pPr>
              <w:ind w:left="40"/>
              <w:spacing w:after="0"/>
              <w:rPr>
                <w:sz w:val="20"/>
                <w:szCs w:val="20"/>
                <w:color w:val="auto"/>
              </w:rPr>
            </w:pPr>
            <w:r>
              <w:rPr>
                <w:rFonts w:ascii="Courier New" w:cs="Courier New" w:eastAsia="Courier New" w:hAnsi="Courier New"/>
                <w:sz w:val="16"/>
                <w:szCs w:val="16"/>
                <w:color w:val="auto"/>
              </w:rPr>
              <w:t>share)</w:t>
            </w:r>
          </w:p>
        </w:tc>
        <w:tc>
          <w:tcPr>
            <w:tcW w:w="1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(15.1)</w:t>
            </w:r>
          </w:p>
        </w:tc>
        <w:tc>
          <w:tcPr>
            <w:tcW w:w="1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(15.1)</w:t>
            </w:r>
          </w:p>
        </w:tc>
      </w:tr>
      <w:tr>
        <w:trPr>
          <w:trHeight w:val="185"/>
        </w:trPr>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Repurchases of common stock</w:t>
            </w:r>
          </w:p>
        </w:tc>
        <w:tc>
          <w:tcPr>
            <w:tcW w:w="1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(20.0)</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3720" w:val="left"/>
          <w:tab w:leader="none" w:pos="4020" w:val="left"/>
          <w:tab w:leader="none" w:pos="4680" w:val="left"/>
          <w:tab w:leader="none" w:pos="4980" w:val="left"/>
          <w:tab w:leader="none" w:pos="6420" w:val="left"/>
          <w:tab w:leader="none" w:pos="7860" w:val="left"/>
          <w:tab w:leader="none" w:pos="8240" w:val="left"/>
          <w:tab w:leader="none" w:pos="9200" w:val="left"/>
          <w:tab w:leader="none" w:pos="10460" w:val="left"/>
        </w:tabs>
        <w:rPr>
          <w:sz w:val="20"/>
          <w:szCs w:val="20"/>
          <w:color w:val="auto"/>
        </w:rPr>
      </w:pPr>
      <w:r>
        <w:rPr>
          <w:rFonts w:ascii="Courier New" w:cs="Courier New" w:eastAsia="Courier New" w:hAnsi="Courier New"/>
          <w:sz w:val="16"/>
          <w:szCs w:val="16"/>
          <w:color w:val="auto"/>
        </w:rPr>
        <w:t>Balance, December 31, 2000</w:t>
      </w:r>
      <w:r>
        <w:rPr>
          <w:sz w:val="20"/>
          <w:szCs w:val="20"/>
          <w:color w:val="auto"/>
        </w:rPr>
        <w:tab/>
      </w:r>
      <w:r>
        <w:rPr>
          <w:rFonts w:ascii="Courier New" w:cs="Courier New" w:eastAsia="Courier New" w:hAnsi="Courier New"/>
          <w:sz w:val="16"/>
          <w:szCs w:val="16"/>
          <w:color w:val="auto"/>
        </w:rPr>
        <w:t>$</w:t>
        <w:tab/>
        <w:t>.8</w:t>
      </w:r>
      <w:r>
        <w:rPr>
          <w:sz w:val="20"/>
          <w:szCs w:val="20"/>
          <w:color w:val="auto"/>
        </w:rPr>
        <w:tab/>
      </w:r>
      <w:r>
        <w:rPr>
          <w:rFonts w:ascii="Courier New" w:cs="Courier New" w:eastAsia="Courier New" w:hAnsi="Courier New"/>
          <w:sz w:val="16"/>
          <w:szCs w:val="16"/>
          <w:color w:val="auto"/>
        </w:rPr>
        <w:t>$</w:t>
        <w:tab/>
        <w:t>1,631.4</w:t>
      </w:r>
      <w:r>
        <w:rPr>
          <w:sz w:val="20"/>
          <w:szCs w:val="20"/>
          <w:color w:val="auto"/>
        </w:rPr>
        <w:tab/>
      </w:r>
      <w:r>
        <w:rPr>
          <w:rFonts w:ascii="Courier New" w:cs="Courier New" w:eastAsia="Courier New" w:hAnsi="Courier New"/>
          <w:sz w:val="16"/>
          <w:szCs w:val="16"/>
          <w:color w:val="auto"/>
        </w:rPr>
        <w:t>$(496.9)</w:t>
      </w:r>
      <w:r>
        <w:rPr>
          <w:sz w:val="20"/>
          <w:szCs w:val="20"/>
          <w:color w:val="auto"/>
        </w:rPr>
        <w:tab/>
      </w:r>
      <w:r>
        <w:rPr>
          <w:rFonts w:ascii="Courier New" w:cs="Courier New" w:eastAsia="Courier New" w:hAnsi="Courier New"/>
          <w:sz w:val="16"/>
          <w:szCs w:val="16"/>
          <w:color w:val="auto"/>
        </w:rPr>
        <w:t>$</w:t>
        <w:tab/>
        <w:t>(145.1)</w:t>
        <w:tab/>
        <w:t>$ (249.8)</w:t>
      </w:r>
      <w:r>
        <w:rPr>
          <w:sz w:val="20"/>
          <w:szCs w:val="20"/>
          <w:color w:val="auto"/>
        </w:rPr>
        <w:tab/>
      </w:r>
      <w:r>
        <w:rPr>
          <w:rFonts w:ascii="Courier New" w:cs="Courier New" w:eastAsia="Courier New" w:hAnsi="Courier New"/>
          <w:sz w:val="15"/>
          <w:szCs w:val="15"/>
          <w:color w:val="auto"/>
        </w:rPr>
        <w:t>$ 740.4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ind w:right="3760"/>
        <w:spacing w:after="0" w:line="242" w:lineRule="auto"/>
        <w:rPr>
          <w:sz w:val="20"/>
          <w:szCs w:val="20"/>
          <w:color w:val="auto"/>
        </w:rPr>
      </w:pPr>
      <w:r>
        <w:rPr>
          <w:rFonts w:ascii="Courier New" w:cs="Courier New" w:eastAsia="Courier New" w:hAnsi="Courier New"/>
          <w:sz w:val="16"/>
          <w:szCs w:val="16"/>
          <w:color w:val="auto"/>
        </w:rPr>
        <w:t>The accompanying Notes to Consolidated Financial Statements are an integral part of these statements.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80" w:type="dxa"/>
            <w:vAlign w:val="bottom"/>
          </w:tcPr>
          <w:p>
            <w:pPr>
              <w:spacing w:after="0"/>
              <w:rPr>
                <w:sz w:val="20"/>
                <w:szCs w:val="20"/>
                <w:color w:val="auto"/>
              </w:rPr>
            </w:pPr>
            <w:r>
              <w:rPr>
                <w:rFonts w:ascii="Courier New" w:cs="Courier New" w:eastAsia="Courier New" w:hAnsi="Courier New"/>
                <w:sz w:val="16"/>
                <w:szCs w:val="16"/>
                <w:color w:val="auto"/>
              </w:rPr>
              <w:t>Manpower Inc.</w:t>
            </w:r>
          </w:p>
        </w:tc>
        <w:tc>
          <w:tcPr>
            <w:tcW w:w="3300" w:type="dxa"/>
            <w:vAlign w:val="bottom"/>
          </w:tcPr>
          <w:p>
            <w:pPr>
              <w:jc w:val="right"/>
              <w:spacing w:after="0"/>
              <w:rPr>
                <w:sz w:val="20"/>
                <w:szCs w:val="20"/>
                <w:color w:val="auto"/>
              </w:rPr>
            </w:pPr>
            <w:r>
              <w:rPr>
                <w:rFonts w:ascii="Courier New" w:cs="Courier New" w:eastAsia="Courier New" w:hAnsi="Courier New"/>
                <w:sz w:val="16"/>
                <w:szCs w:val="16"/>
                <w:color w:val="auto"/>
              </w:rPr>
              <w:t>79</w:t>
            </w:r>
          </w:p>
        </w:tc>
      </w:tr>
    </w:tbl>
    <w:p>
      <w:pPr>
        <w:sectPr>
          <w:pgSz w:w="11900" w:h="16838" w:orient="portrait"/>
          <w:cols w:equalWidth="0" w:num="1">
            <w:col w:w="11440"/>
          </w:cols>
          <w:pgMar w:left="240" w:top="300" w:right="219" w:bottom="1440" w:gutter="0" w:footer="0" w:header="0"/>
        </w:sectPr>
      </w:pPr>
    </w:p>
    <w:bookmarkStart w:id="72" w:name="page73"/>
    <w:bookmarkEnd w:id="72"/>
    <w:p>
      <w:pPr>
        <w:ind w:left="280"/>
        <w:spacing w:after="0"/>
        <w:rPr>
          <w:sz w:val="20"/>
          <w:szCs w:val="20"/>
          <w:color w:val="auto"/>
        </w:rPr>
      </w:pPr>
      <w:r>
        <w:rPr>
          <w:rFonts w:ascii="Courier New" w:cs="Courier New" w:eastAsia="Courier New" w:hAnsi="Courier New"/>
          <w:sz w:val="16"/>
          <w:szCs w:val="16"/>
          <w:color w:val="auto"/>
        </w:rPr>
        <w:t>54</w:t>
      </w:r>
    </w:p>
    <w:p>
      <w:pPr>
        <w:spacing w:after="0" w:line="4"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(in millions, except share data)</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SUMMARY OF SIGNIFICANT ACCOUNTING POLICIES</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NATURE OF OPERATIONS Manpower Inc. (the "Company") is a global staffing leader with nearly 3,700 systemwide offices in 59 countries. The Company's largest operations, based on revenues, are located in the United States, France and the United Kingdom. The Company provides a wide range of human resource services, including professional, technical, specialized, office and industrial staffing; temporary and permanent employee testing, selection, training and development; and organizational-performance consulting. The Company provides services to a wide variety of customers, none of which individually comprise a significant portion of revenues within a given geographic region or for the Company as a whole.</w:t>
      </w:r>
    </w:p>
    <w:p>
      <w:pPr>
        <w:spacing w:after="0" w:line="190" w:lineRule="exact"/>
        <w:rPr>
          <w:sz w:val="20"/>
          <w:szCs w:val="20"/>
          <w:color w:val="auto"/>
        </w:rPr>
      </w:pPr>
    </w:p>
    <w:p>
      <w:pPr>
        <w:ind w:right="2539"/>
        <w:spacing w:after="0" w:line="262" w:lineRule="auto"/>
        <w:rPr>
          <w:sz w:val="20"/>
          <w:szCs w:val="20"/>
          <w:color w:val="auto"/>
        </w:rPr>
      </w:pPr>
      <w:r>
        <w:rPr>
          <w:rFonts w:ascii="Courier New" w:cs="Courier New" w:eastAsia="Courier New" w:hAnsi="Courier New"/>
          <w:sz w:val="15"/>
          <w:szCs w:val="15"/>
          <w:color w:val="auto"/>
        </w:rPr>
        <w:t>BASIS OF CONSOLIDATION The consolidated financial statements include the accounts of the Company and all subsidiaries. For subsidiaries in which the Company has an ownership interest of 50% or less, but more than 20%, the Consolidated Financial Statements reflect the Company's ownership share of those earnings using the equity method of accounting. These investments are included as Investments in licensees in the Consolidated Balance Sheets. Included in Shareholders' equity at December 31, 2000 are $36.8 of unremitted earnings from investments accounted for using the equity method. All significant intercompany accounts and transactions have been eliminated in consolidation.</w:t>
      </w:r>
    </w:p>
    <w:p>
      <w:pPr>
        <w:spacing w:after="0" w:line="178"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REVENUES The Company generates revenues from sales of services by its own branch operations and from fees earned on sales of services by its franchise operations. Revenues from services are recognized as the services are rendered and revenues from franchise fees are recognized as earned. Franchise fees, which are included in revenues from services, were $37.4, $37.7 and $37.8 for the years ended December 31, 2000, 1999 and 1998, respectively.</w:t>
      </w:r>
    </w:p>
    <w:p>
      <w:pPr>
        <w:spacing w:after="0" w:line="188" w:lineRule="exact"/>
        <w:rPr>
          <w:sz w:val="20"/>
          <w:szCs w:val="20"/>
          <w:color w:val="auto"/>
        </w:rPr>
      </w:pPr>
    </w:p>
    <w:p>
      <w:pPr>
        <w:ind w:right="2539"/>
        <w:spacing w:after="0" w:line="263" w:lineRule="auto"/>
        <w:rPr>
          <w:sz w:val="20"/>
          <w:szCs w:val="20"/>
          <w:color w:val="auto"/>
        </w:rPr>
      </w:pPr>
      <w:r>
        <w:rPr>
          <w:rFonts w:ascii="Courier New" w:cs="Courier New" w:eastAsia="Courier New" w:hAnsi="Courier New"/>
          <w:sz w:val="15"/>
          <w:szCs w:val="15"/>
          <w:color w:val="auto"/>
        </w:rPr>
        <w:t>In December 1999, the Securities and Exchange Commission issued Staff Accounting Bulletin No. 101 ("SAB 101"), "Revenue Recognition in Financial Statements." SAB 101 provides additional guidance in applying generally accepted accounting principles to revenue recognition in financial statements. The revenue recognition criteria prescribed by SAB 101 became effective for the Company in the fourth quarter of 2000. The Company has evaluated SAB 101 and determined that it had no impact on the Company's Consolidated Financial Statements.</w:t>
      </w:r>
    </w:p>
    <w:p>
      <w:pPr>
        <w:spacing w:after="0" w:line="17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DERIVATIVE FINANCIAL INSTRUMENTS Since June 1998, the Financial Accounting Standards Board ("FASB") has issued Statements of Financial Accounting Standards ("SFAS") Nos. 133, 137, and 138 related to "Accounting for Derivative Instruments and Hedging Activities" ("SFAS No. 133, as amended" or "Statements"). These Statements establish accounting and reporting standards requiring that every derivative instrument be recorded on the balance sheet as either an asset or liability measured at its fair value. The Statements require that changes in the derivative's fair value be recognized currently in earnings unless specific hedge accounting criteria are met, in which case the gains or losses would offset the related results of the hedged item. The Company has adopted SFAS No. 133, as amended, on January 1, 2001.</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ACCOUNTS RECEIVABLE SECURITIZATION The Company accounts for the securitization of accounts receivable in accordance with SFAS No. 125, "Accounting for Transfers and Servicing of Financial Assets and Extinguishment of Liabilities." At the time the receivables are sold, the balances are removed from the Consolidated Balance Sheets. Costs associated with the sale of receivables, primarily related to the discount and loss on sale, are included in Other expense in the Consolidated Statements of Operations.</w:t>
      </w:r>
    </w:p>
    <w:p>
      <w:pPr>
        <w:spacing w:after="0" w:line="188"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In October 2000, the FASB issued SFAS No. 140, "Accounting for Transfers and Servicing of Financial Assets and Extinguishments of Liabilities." This statement replaces SFAS No. 125 and revises the accounting and disclosures of such transactions, however, most of SFAS No. 125's provisions will continue to be applicable. This statement will be effective for servicing of financial assets and extinguishments of liabilities occurring after March 31, 2001. The Company does not expect the adoption of SFAS No. 140 to have an impact on the Consolidated Financial Statements.</w:t>
      </w:r>
    </w:p>
    <w:p>
      <w:pPr>
        <w:sectPr>
          <w:pgSz w:w="11900" w:h="16838" w:orient="portrait"/>
          <w:cols w:equalWidth="0" w:num="1">
            <w:col w:w="10219"/>
          </w:cols>
          <w:pgMar w:left="240" w:top="300" w:right="1440" w:bottom="1440" w:gutter="0" w:footer="0" w:header="0"/>
        </w:sectPr>
      </w:pPr>
    </w:p>
    <w:p>
      <w:pPr>
        <w:spacing w:after="0" w:line="372" w:lineRule="exact"/>
        <w:rPr>
          <w:sz w:val="20"/>
          <w:szCs w:val="20"/>
          <w:color w:val="auto"/>
        </w:rPr>
      </w:pPr>
    </w:p>
    <w:p>
      <w:pPr>
        <w:spacing w:after="0"/>
        <w:tabs>
          <w:tab w:leader="none" w:pos="7480" w:val="left"/>
        </w:tabs>
        <w:rPr>
          <w:sz w:val="20"/>
          <w:szCs w:val="20"/>
          <w:color w:val="auto"/>
        </w:rPr>
      </w:pPr>
      <w:r>
        <w:rPr>
          <w:rFonts w:ascii="Courier New" w:cs="Courier New" w:eastAsia="Courier New" w:hAnsi="Courier New"/>
          <w:sz w:val="16"/>
          <w:szCs w:val="16"/>
          <w:color w:val="auto"/>
        </w:rPr>
        <w:t>Manpower, Inc.</w:t>
      </w:r>
      <w:r>
        <w:rPr>
          <w:sz w:val="20"/>
          <w:szCs w:val="20"/>
          <w:color w:val="auto"/>
        </w:rPr>
        <w:tab/>
      </w:r>
      <w:r>
        <w:rPr>
          <w:rFonts w:ascii="Courier New" w:cs="Courier New" w:eastAsia="Courier New" w:hAnsi="Courier New"/>
          <w:sz w:val="15"/>
          <w:szCs w:val="15"/>
          <w:color w:val="auto"/>
        </w:rPr>
        <w:t>79</w:t>
      </w:r>
    </w:p>
    <w:p>
      <w:pPr>
        <w:sectPr>
          <w:pgSz w:w="11900" w:h="16838" w:orient="portrait"/>
          <w:cols w:equalWidth="0" w:num="1">
            <w:col w:w="10219"/>
          </w:cols>
          <w:pgMar w:left="240" w:top="300" w:right="1440" w:bottom="1440" w:gutter="0" w:footer="0" w:header="0"/>
          <w:type w:val="continuous"/>
        </w:sectPr>
      </w:pPr>
    </w:p>
    <w:bookmarkStart w:id="73" w:name="page74"/>
    <w:bookmarkEnd w:id="73"/>
    <w:p>
      <w:pPr>
        <w:ind w:left="280"/>
        <w:spacing w:after="0"/>
        <w:rPr>
          <w:sz w:val="20"/>
          <w:szCs w:val="20"/>
          <w:color w:val="auto"/>
        </w:rPr>
      </w:pPr>
      <w:r>
        <w:rPr>
          <w:rFonts w:ascii="Courier New" w:cs="Courier New" w:eastAsia="Courier New" w:hAnsi="Courier New"/>
          <w:sz w:val="16"/>
          <w:szCs w:val="16"/>
          <w:color w:val="auto"/>
        </w:rPr>
        <w:t>55</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FOREIGN CURRENCY TRANSLATION The financial statements of the Company's non-U.S. subsidiaries have been translated in accordance with SFAS No. 52. Under SFAS No. 52, asset and liability accounts are translated at the current exchange rate and income statement items are translated at the weighted average exchange rate for the year. The resulting translation adjustments are recorded as a component of Accumulated other comprehensive income (loss), which is included in Shareholders' equity. In accordance with SFAS No. 109, no deferred taxes have been recorded related to the cumulative translation adjustments.</w:t>
      </w:r>
    </w:p>
    <w:p>
      <w:pPr>
        <w:spacing w:after="0" w:line="189" w:lineRule="exact"/>
        <w:rPr>
          <w:sz w:val="20"/>
          <w:szCs w:val="20"/>
          <w:color w:val="auto"/>
        </w:rPr>
      </w:pPr>
    </w:p>
    <w:p>
      <w:pPr>
        <w:ind w:right="2639" w:firstLine="961"/>
        <w:spacing w:after="0" w:line="244" w:lineRule="auto"/>
        <w:rPr>
          <w:sz w:val="20"/>
          <w:szCs w:val="20"/>
          <w:color w:val="auto"/>
        </w:rPr>
      </w:pPr>
      <w:r>
        <w:rPr>
          <w:rFonts w:ascii="Courier New" w:cs="Courier New" w:eastAsia="Courier New" w:hAnsi="Courier New"/>
          <w:sz w:val="16"/>
          <w:szCs w:val="16"/>
          <w:color w:val="auto"/>
        </w:rPr>
        <w:t>The Company's various Euro and Yen denominated borrowings are accounted for as a hedge of the Company's net investment in its subsidiaries with the related functional currencies. Since the Company's net investment in these respective subsidiaries exceeds the amount of the related borrowings, all translation gains or losses related to these borrowings are included as a component of Accumulated other comprehensive income (loss).</w:t>
      </w:r>
    </w:p>
    <w:p>
      <w:pPr>
        <w:spacing w:after="0" w:line="188" w:lineRule="exact"/>
        <w:rPr>
          <w:sz w:val="20"/>
          <w:szCs w:val="20"/>
          <w:color w:val="auto"/>
        </w:rPr>
      </w:pPr>
    </w:p>
    <w:p>
      <w:pPr>
        <w:ind w:right="2819" w:firstLine="961"/>
        <w:spacing w:after="0" w:line="243" w:lineRule="auto"/>
        <w:rPr>
          <w:sz w:val="20"/>
          <w:szCs w:val="20"/>
          <w:color w:val="auto"/>
        </w:rPr>
      </w:pPr>
      <w:r>
        <w:rPr>
          <w:rFonts w:ascii="Courier New" w:cs="Courier New" w:eastAsia="Courier New" w:hAnsi="Courier New"/>
          <w:sz w:val="16"/>
          <w:szCs w:val="16"/>
          <w:color w:val="auto"/>
        </w:rPr>
        <w:t>Translation adjustments for those operations in highly inflationary economies and certain other transaction adjustments are included in earnings. Historically these adjustments have been immaterial to the Consolidated Financial Statements.</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CAPITALIZED SOFTWARE The Company capitalizes purchased software as well as internally developed software. Internal software development costs are capitalized from the time the internal use software is considered probable of completion until the software is ready for use. Business analysis, system evaluation, selection and software maintenance costs are expensed as incurred. Capitalized software costs are amortized using the straight-line method over the estimated useful life of the software. The Company regularly reviews the carrying value of all capitalized software and recognizes a loss when the carrying value is considered unrealizable. The net capitalized software balance of $10.8 and $6.3 as of December 31, 2000 and 1999, respectively, is included in Other assets in the Consolidated Balance Sheets.</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INTANGIBLE ASSETS Intangible assets consist primarily of the excess of cost over the fair value of net assets acquired. The excess of cost over the fair value of net assets acquired is amortized on a straight-line basis over its useful life, estimated based on the facts and circumstances surrounding each individual acquisition, not to exceed twenty years. The intangible asset and related accumulated amortization are removed from the Consolidated Balance Sheets when the intangible asset becomes fully amortized. The Company regularly reviews the carrying value of all intangible assets and recognizes a loss when the unamortized balance is considered unrealizable. Amortization expense was $13.3, $6.9 and $5.4 in 2000, 1999 and 1998, respectively.</w:t>
      </w:r>
    </w:p>
    <w:p>
      <w:pPr>
        <w:spacing w:after="0" w:line="190" w:lineRule="exact"/>
        <w:rPr>
          <w:sz w:val="20"/>
          <w:szCs w:val="20"/>
          <w:color w:val="auto"/>
        </w:rPr>
      </w:pPr>
    </w:p>
    <w:p>
      <w:pPr>
        <w:ind w:right="2639"/>
        <w:spacing w:after="0" w:line="242" w:lineRule="auto"/>
        <w:rPr>
          <w:sz w:val="20"/>
          <w:szCs w:val="20"/>
          <w:color w:val="auto"/>
        </w:rPr>
      </w:pPr>
      <w:r>
        <w:rPr>
          <w:rFonts w:ascii="Courier New" w:cs="Courier New" w:eastAsia="Courier New" w:hAnsi="Courier New"/>
          <w:sz w:val="16"/>
          <w:szCs w:val="16"/>
          <w:color w:val="auto"/>
        </w:rPr>
        <w:t>PROPERTY AND EQUIPMENT A summary of property and equipment at December 31 is as follows:</w:t>
      </w:r>
    </w:p>
    <w:p>
      <w:pPr>
        <w:spacing w:after="0" w:line="187" w:lineRule="exact"/>
        <w:rPr>
          <w:sz w:val="20"/>
          <w:szCs w:val="20"/>
          <w:color w:val="auto"/>
        </w:rPr>
      </w:pPr>
    </w:p>
    <w:p>
      <w:pPr>
        <w:ind w:left="5580"/>
        <w:spacing w:after="0"/>
        <w:tabs>
          <w:tab w:leader="none" w:pos="7180"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80" w:type="dxa"/>
            <w:vAlign w:val="bottom"/>
          </w:tcPr>
          <w:p>
            <w:pPr>
              <w:spacing w:after="0"/>
              <w:rPr>
                <w:sz w:val="20"/>
                <w:szCs w:val="20"/>
                <w:color w:val="auto"/>
              </w:rPr>
            </w:pPr>
            <w:r>
              <w:rPr>
                <w:rFonts w:ascii="Courier New" w:cs="Courier New" w:eastAsia="Courier New" w:hAnsi="Courier New"/>
                <w:sz w:val="16"/>
                <w:szCs w:val="16"/>
                <w:color w:val="auto"/>
              </w:rPr>
              <w:t>Land</w:t>
            </w: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1.6</w:t>
            </w:r>
          </w:p>
        </w:tc>
        <w:tc>
          <w:tcPr>
            <w:tcW w:w="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Buildings</w:t>
            </w:r>
          </w:p>
        </w:tc>
        <w:tc>
          <w:tcPr>
            <w:tcW w:w="1400" w:type="dxa"/>
            <w:vAlign w:val="bottom"/>
          </w:tcPr>
          <w:p>
            <w:pPr>
              <w:spacing w:after="0"/>
              <w:rPr>
                <w:sz w:val="16"/>
                <w:szCs w:val="16"/>
                <w:color w:val="auto"/>
              </w:rPr>
            </w:pPr>
          </w:p>
        </w:tc>
        <w:tc>
          <w:tcPr>
            <w:tcW w:w="10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23.2</w:t>
            </w:r>
          </w:p>
        </w:tc>
        <w:tc>
          <w:tcPr>
            <w:tcW w:w="6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20.4</w:t>
            </w: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Furniture, fixtures and autos</w:t>
            </w:r>
          </w:p>
        </w:tc>
        <w:tc>
          <w:tcPr>
            <w:tcW w:w="1400" w:type="dxa"/>
            <w:vAlign w:val="bottom"/>
          </w:tcPr>
          <w:p>
            <w:pPr>
              <w:spacing w:after="0"/>
              <w:rPr>
                <w:sz w:val="16"/>
                <w:szCs w:val="16"/>
                <w:color w:val="auto"/>
              </w:rPr>
            </w:pPr>
          </w:p>
        </w:tc>
        <w:tc>
          <w:tcPr>
            <w:tcW w:w="10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170.5</w:t>
            </w:r>
          </w:p>
        </w:tc>
        <w:tc>
          <w:tcPr>
            <w:tcW w:w="6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175.5</w:t>
            </w: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Computer equipment</w:t>
            </w:r>
          </w:p>
        </w:tc>
        <w:tc>
          <w:tcPr>
            <w:tcW w:w="1400" w:type="dxa"/>
            <w:vAlign w:val="bottom"/>
          </w:tcPr>
          <w:p>
            <w:pPr>
              <w:spacing w:after="0"/>
              <w:rPr>
                <w:sz w:val="16"/>
                <w:szCs w:val="16"/>
                <w:color w:val="auto"/>
              </w:rPr>
            </w:pPr>
          </w:p>
        </w:tc>
        <w:tc>
          <w:tcPr>
            <w:tcW w:w="10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110.3</w:t>
            </w:r>
          </w:p>
        </w:tc>
        <w:tc>
          <w:tcPr>
            <w:tcW w:w="6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90.8</w:t>
            </w: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Leasehold improvements</w:t>
            </w:r>
          </w:p>
        </w:tc>
        <w:tc>
          <w:tcPr>
            <w:tcW w:w="1400" w:type="dxa"/>
            <w:vAlign w:val="bottom"/>
          </w:tcPr>
          <w:p>
            <w:pPr>
              <w:spacing w:after="0"/>
              <w:rPr>
                <w:sz w:val="16"/>
                <w:szCs w:val="16"/>
                <w:color w:val="auto"/>
              </w:rPr>
            </w:pPr>
          </w:p>
        </w:tc>
        <w:tc>
          <w:tcPr>
            <w:tcW w:w="10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135.3</w:t>
            </w:r>
          </w:p>
        </w:tc>
        <w:tc>
          <w:tcPr>
            <w:tcW w:w="6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128.0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5180"/>
        <w:spacing w:after="0"/>
        <w:tabs>
          <w:tab w:leader="none" w:pos="5460" w:val="left"/>
          <w:tab w:leader="none" w:pos="6800" w:val="left"/>
          <w:tab w:leader="none" w:pos="7080" w:val="left"/>
        </w:tabs>
        <w:rPr>
          <w:sz w:val="20"/>
          <w:szCs w:val="20"/>
          <w:color w:val="auto"/>
        </w:rPr>
      </w:pPr>
      <w:r>
        <w:rPr>
          <w:rFonts w:ascii="Courier New" w:cs="Courier New" w:eastAsia="Courier New" w:hAnsi="Courier New"/>
          <w:sz w:val="16"/>
          <w:szCs w:val="16"/>
          <w:color w:val="auto"/>
        </w:rPr>
        <w:t>$</w:t>
        <w:tab/>
        <w:t>440.9</w:t>
      </w:r>
      <w:r>
        <w:rPr>
          <w:sz w:val="20"/>
          <w:szCs w:val="20"/>
          <w:color w:val="auto"/>
        </w:rPr>
        <w:tab/>
      </w:r>
      <w:r>
        <w:rPr>
          <w:rFonts w:ascii="Courier New" w:cs="Courier New" w:eastAsia="Courier New" w:hAnsi="Courier New"/>
          <w:sz w:val="16"/>
          <w:szCs w:val="16"/>
          <w:color w:val="auto"/>
        </w:rPr>
        <w:t>$</w:t>
        <w:tab/>
        <w:t>416.1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color w:val="auto"/>
        </w:rPr>
        <w:t>Property and equipment are stated at cost and depreciated using the straight-line method over the following estimated useful lives: buildings - up to 40 years; leasehold improvements - lesser of life of asset or lease term; furniture and equipment - 3 to 10 years. Expenditures for renewals and betterments are capitalized whereas expenditures for repairs and maintenance are charged to income as incurred. Upon sale or disposition of properties, the difference between unamortized cost and the proceeds is charged or credited to income.</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80" w:type="dxa"/>
            <w:vAlign w:val="bottom"/>
          </w:tcPr>
          <w:p>
            <w:pPr>
              <w:spacing w:after="0"/>
              <w:rPr>
                <w:sz w:val="20"/>
                <w:szCs w:val="20"/>
                <w:color w:val="auto"/>
              </w:rPr>
            </w:pPr>
            <w:r>
              <w:rPr>
                <w:rFonts w:ascii="Courier New" w:cs="Courier New" w:eastAsia="Courier New" w:hAnsi="Courier New"/>
                <w:sz w:val="16"/>
                <w:szCs w:val="16"/>
                <w:color w:val="auto"/>
              </w:rPr>
              <w:t>Manpower Inc.</w:t>
            </w:r>
          </w:p>
        </w:tc>
        <w:tc>
          <w:tcPr>
            <w:tcW w:w="3300" w:type="dxa"/>
            <w:vAlign w:val="bottom"/>
          </w:tcPr>
          <w:p>
            <w:pPr>
              <w:jc w:val="right"/>
              <w:spacing w:after="0"/>
              <w:rPr>
                <w:sz w:val="20"/>
                <w:szCs w:val="20"/>
                <w:color w:val="auto"/>
              </w:rPr>
            </w:pPr>
            <w:r>
              <w:rPr>
                <w:rFonts w:ascii="Courier New" w:cs="Courier New" w:eastAsia="Courier New" w:hAnsi="Courier New"/>
                <w:sz w:val="16"/>
                <w:szCs w:val="16"/>
                <w:color w:val="auto"/>
              </w:rPr>
              <w:t>81</w:t>
            </w:r>
          </w:p>
        </w:tc>
      </w:tr>
    </w:tbl>
    <w:p>
      <w:pPr>
        <w:sectPr>
          <w:pgSz w:w="11900" w:h="16838" w:orient="portrait"/>
          <w:cols w:equalWidth="0" w:num="1">
            <w:col w:w="10219"/>
          </w:cols>
          <w:pgMar w:left="240" w:top="300" w:right="1440" w:bottom="1440" w:gutter="0" w:footer="0" w:header="0"/>
        </w:sectPr>
      </w:pPr>
    </w:p>
    <w:bookmarkStart w:id="74" w:name="page75"/>
    <w:bookmarkEnd w:id="74"/>
    <w:p>
      <w:pPr>
        <w:ind w:left="281"/>
        <w:spacing w:after="0"/>
        <w:rPr>
          <w:sz w:val="20"/>
          <w:szCs w:val="20"/>
          <w:color w:val="auto"/>
        </w:rPr>
      </w:pPr>
      <w:r>
        <w:rPr>
          <w:rFonts w:ascii="Courier New" w:cs="Courier New" w:eastAsia="Courier New" w:hAnsi="Courier New"/>
          <w:sz w:val="16"/>
          <w:szCs w:val="16"/>
          <w:color w:val="auto"/>
        </w:rPr>
        <w:t>56</w:t>
      </w:r>
    </w:p>
    <w:p>
      <w:pPr>
        <w:spacing w:after="0" w:line="188"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(in millions, except share data)</w:t>
      </w:r>
    </w:p>
    <w:p>
      <w:pPr>
        <w:spacing w:after="0" w:line="190" w:lineRule="exact"/>
        <w:rPr>
          <w:sz w:val="20"/>
          <w:szCs w:val="20"/>
          <w:color w:val="auto"/>
        </w:rPr>
      </w:pPr>
    </w:p>
    <w:p>
      <w:pPr>
        <w:ind w:left="1" w:right="2539"/>
        <w:spacing w:after="0" w:line="262" w:lineRule="auto"/>
        <w:rPr>
          <w:sz w:val="20"/>
          <w:szCs w:val="20"/>
          <w:color w:val="auto"/>
        </w:rPr>
      </w:pPr>
      <w:r>
        <w:rPr>
          <w:rFonts w:ascii="Courier New" w:cs="Courier New" w:eastAsia="Courier New" w:hAnsi="Courier New"/>
          <w:sz w:val="15"/>
          <w:szCs w:val="15"/>
          <w:color w:val="auto"/>
        </w:rPr>
        <w:t>SHAREHOLDERS' EQUITY The Board of Directors has authorized the repurchase of up to fifteen million shares of stock under the Company's share repurchase program. Share repurchases may be made from time to time and may be implemented through a variety of methods, including open market purchases, block transactions, privately negotiated transactions, accelerated share repurchase programs, forward repurchase agreements or similar facilities. Total shares repurchased under the program at December 31, 2000 and 1999, were 8.9 million and 8.3 million shares, respectively, at a cost of $249.8 and $229.8, respectively.</w:t>
      </w:r>
    </w:p>
    <w:p>
      <w:pPr>
        <w:spacing w:after="0" w:line="177"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During September 2000, the Company entered into a forward repurchase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agreement to purchase shares of its common stock under its share repurchase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program. Under the agreement, the Company will, from time to time over the next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two years, repurchase a total of one million shares at a forward price of</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$31.70, which approximates the market price at the inception of the agreement,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plus a financing charge. The Company may choose the method by which it settles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agreement (i.e., cash or shares). As of December 31, 2000, no shares have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been purchased under this agreement.</w:t>
      </w:r>
    </w:p>
    <w:p>
      <w:pPr>
        <w:spacing w:after="0" w:line="190" w:lineRule="exact"/>
        <w:rPr>
          <w:sz w:val="20"/>
          <w:szCs w:val="20"/>
          <w:color w:val="auto"/>
        </w:rPr>
      </w:pPr>
    </w:p>
    <w:p>
      <w:pPr>
        <w:ind w:left="1" w:right="2919"/>
        <w:spacing w:after="0" w:line="243" w:lineRule="auto"/>
        <w:rPr>
          <w:sz w:val="20"/>
          <w:szCs w:val="20"/>
          <w:color w:val="auto"/>
        </w:rPr>
      </w:pPr>
      <w:r>
        <w:rPr>
          <w:rFonts w:ascii="Courier New" w:cs="Courier New" w:eastAsia="Courier New" w:hAnsi="Courier New"/>
          <w:sz w:val="16"/>
          <w:szCs w:val="16"/>
          <w:color w:val="auto"/>
        </w:rPr>
        <w:t>ADVERTISING COSTS The Company generally expenses production costs of media advertising as they are incurred. Advertising expenses were $44.0, $39.6 and $41.7 in 2000, 1999, and 1998, respectively.</w:t>
      </w:r>
    </w:p>
    <w:p>
      <w:pPr>
        <w:spacing w:after="0" w:line="189" w:lineRule="exact"/>
        <w:rPr>
          <w:sz w:val="20"/>
          <w:szCs w:val="20"/>
          <w:color w:val="auto"/>
        </w:rPr>
      </w:pPr>
    </w:p>
    <w:p>
      <w:pPr>
        <w:ind w:left="1" w:right="2539"/>
        <w:spacing w:after="0" w:line="242" w:lineRule="auto"/>
        <w:rPr>
          <w:sz w:val="20"/>
          <w:szCs w:val="20"/>
          <w:color w:val="auto"/>
        </w:rPr>
      </w:pPr>
      <w:r>
        <w:rPr>
          <w:rFonts w:ascii="Courier New" w:cs="Courier New" w:eastAsia="Courier New" w:hAnsi="Courier New"/>
          <w:sz w:val="16"/>
          <w:szCs w:val="16"/>
          <w:color w:val="auto"/>
        </w:rPr>
        <w:t>STATEMENT OF CASH FLOWS The Company considers all highly liquid investments with a maturity of three months or less when purchased to be cash equivalents.</w:t>
      </w:r>
    </w:p>
    <w:p>
      <w:pPr>
        <w:spacing w:after="0" w:line="189" w:lineRule="exact"/>
        <w:rPr>
          <w:sz w:val="20"/>
          <w:szCs w:val="20"/>
          <w:color w:val="auto"/>
        </w:rPr>
      </w:pPr>
    </w:p>
    <w:p>
      <w:pPr>
        <w:ind w:left="1" w:right="2719"/>
        <w:spacing w:after="0" w:line="244" w:lineRule="auto"/>
        <w:rPr>
          <w:sz w:val="20"/>
          <w:szCs w:val="20"/>
          <w:color w:val="auto"/>
        </w:rPr>
      </w:pPr>
      <w:r>
        <w:rPr>
          <w:rFonts w:ascii="Courier New" w:cs="Courier New" w:eastAsia="Courier New" w:hAnsi="Courier New"/>
          <w:sz w:val="16"/>
          <w:szCs w:val="16"/>
          <w:color w:val="auto"/>
        </w:rPr>
        <w:t>USE OF ESTIMATES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these estimates.</w:t>
      </w:r>
    </w:p>
    <w:p>
      <w:pPr>
        <w:spacing w:after="0" w:line="188" w:lineRule="exact"/>
        <w:rPr>
          <w:sz w:val="20"/>
          <w:szCs w:val="20"/>
          <w:color w:val="auto"/>
        </w:rPr>
      </w:pPr>
    </w:p>
    <w:p>
      <w:pPr>
        <w:ind w:left="1" w:right="2539"/>
        <w:spacing w:after="0" w:line="242" w:lineRule="auto"/>
        <w:rPr>
          <w:sz w:val="20"/>
          <w:szCs w:val="20"/>
          <w:color w:val="auto"/>
        </w:rPr>
      </w:pPr>
      <w:r>
        <w:rPr>
          <w:rFonts w:ascii="Courier New" w:cs="Courier New" w:eastAsia="Courier New" w:hAnsi="Courier New"/>
          <w:sz w:val="16"/>
          <w:szCs w:val="16"/>
          <w:color w:val="auto"/>
        </w:rPr>
        <w:t>RECLASSIFICATIONS Certain amounts in the 1999 and 1998 financial statements have been reclassified to be consistent with the current year presentation.</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2. EARNINGS PER SHARE</w:t>
      </w:r>
    </w:p>
    <w:p>
      <w:pPr>
        <w:spacing w:after="0" w:line="190" w:lineRule="exact"/>
        <w:rPr>
          <w:sz w:val="20"/>
          <w:szCs w:val="20"/>
          <w:color w:val="auto"/>
        </w:rPr>
      </w:pPr>
    </w:p>
    <w:p>
      <w:pPr>
        <w:ind w:left="1" w:right="2539"/>
        <w:spacing w:after="0" w:line="242" w:lineRule="auto"/>
        <w:rPr>
          <w:sz w:val="20"/>
          <w:szCs w:val="20"/>
          <w:color w:val="auto"/>
        </w:rPr>
      </w:pPr>
      <w:r>
        <w:rPr>
          <w:rFonts w:ascii="Courier New" w:cs="Courier New" w:eastAsia="Courier New" w:hAnsi="Courier New"/>
          <w:sz w:val="16"/>
          <w:szCs w:val="16"/>
          <w:color w:val="auto"/>
        </w:rPr>
        <w:t>The calculation of net earnings per share for the years ended December 31, 2000, 1999 and 1998, is as follows:</w:t>
      </w:r>
    </w:p>
    <w:p>
      <w:pPr>
        <w:spacing w:after="0" w:line="372" w:lineRule="exact"/>
        <w:rPr>
          <w:sz w:val="20"/>
          <w:szCs w:val="20"/>
          <w:color w:val="auto"/>
        </w:rPr>
      </w:pPr>
    </w:p>
    <w:p>
      <w:pPr>
        <w:ind w:left="5861"/>
        <w:spacing w:after="0"/>
        <w:tabs>
          <w:tab w:leader="none" w:pos="6601" w:val="left"/>
          <w:tab w:leader="none" w:pos="7281"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5"/>
          <w:szCs w:val="15"/>
          <w:color w:val="auto"/>
        </w:rPr>
        <w:t>1998</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5520" w:type="dxa"/>
            <w:vAlign w:val="bottom"/>
          </w:tcPr>
          <w:p>
            <w:pPr>
              <w:spacing w:after="0"/>
              <w:rPr>
                <w:sz w:val="20"/>
                <w:szCs w:val="20"/>
                <w:color w:val="auto"/>
              </w:rPr>
            </w:pPr>
            <w:r>
              <w:rPr>
                <w:rFonts w:ascii="Courier New" w:cs="Courier New" w:eastAsia="Courier New" w:hAnsi="Courier New"/>
                <w:sz w:val="16"/>
                <w:szCs w:val="16"/>
                <w:color w:val="auto"/>
              </w:rPr>
              <w:t>Net earnings available to common shareholders</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$171.2</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$150.0</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$75.7</w:t>
            </w:r>
          </w:p>
        </w:tc>
      </w:tr>
      <w:tr>
        <w:trPr>
          <w:trHeight w:val="185"/>
        </w:trPr>
        <w:tc>
          <w:tcPr>
            <w:tcW w:w="5520" w:type="dxa"/>
            <w:vAlign w:val="bottom"/>
          </w:tcPr>
          <w:p>
            <w:pPr>
              <w:spacing w:after="0"/>
              <w:rPr>
                <w:sz w:val="20"/>
                <w:szCs w:val="20"/>
                <w:color w:val="auto"/>
              </w:rPr>
            </w:pPr>
            <w:r>
              <w:rPr>
                <w:rFonts w:ascii="Courier New" w:cs="Courier New" w:eastAsia="Courier New" w:hAnsi="Courier New"/>
                <w:sz w:val="16"/>
                <w:szCs w:val="16"/>
                <w:color w:val="auto"/>
              </w:rPr>
              <w:t>Weighted average common shares outstanding (in millions)</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75.9</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77.3</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80.1</w:t>
            </w:r>
          </w:p>
        </w:tc>
      </w:tr>
    </w:tbl>
    <w:p>
      <w:pPr>
        <w:spacing w:after="0" w:line="5" w:lineRule="exact"/>
        <w:rPr>
          <w:sz w:val="20"/>
          <w:szCs w:val="20"/>
          <w:color w:val="auto"/>
        </w:rPr>
      </w:pPr>
    </w:p>
    <w:p>
      <w:pPr>
        <w:ind w:left="201" w:hanging="201"/>
        <w:spacing w:after="0"/>
        <w:tabs>
          <w:tab w:leader="none" w:pos="201"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566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$ 2.26  $ 1.94  $ .94</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right="3019" w:firstLine="961"/>
        <w:spacing w:after="0" w:line="242" w:lineRule="auto"/>
        <w:rPr>
          <w:sz w:val="20"/>
          <w:szCs w:val="20"/>
          <w:color w:val="auto"/>
        </w:rPr>
      </w:pPr>
      <w:r>
        <w:rPr>
          <w:rFonts w:ascii="Courier New" w:cs="Courier New" w:eastAsia="Courier New" w:hAnsi="Courier New"/>
          <w:sz w:val="16"/>
          <w:szCs w:val="16"/>
          <w:color w:val="auto"/>
        </w:rPr>
        <w:t>The calculation of net earnings per share - diluted for the years ended December 31, 2000, 1999 and 1998, is as follows:</w:t>
      </w:r>
    </w:p>
    <w:p>
      <w:pPr>
        <w:spacing w:after="0" w:line="187" w:lineRule="exact"/>
        <w:rPr>
          <w:sz w:val="20"/>
          <w:szCs w:val="20"/>
          <w:color w:val="auto"/>
        </w:rPr>
      </w:pPr>
    </w:p>
    <w:p>
      <w:pPr>
        <w:ind w:left="5861"/>
        <w:spacing w:after="0"/>
        <w:tabs>
          <w:tab w:leader="none" w:pos="6601" w:val="left"/>
          <w:tab w:leader="none" w:pos="7281"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5"/>
          <w:szCs w:val="15"/>
          <w:color w:val="auto"/>
        </w:rPr>
        <w:t>1998</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5660" w:type="dxa"/>
            <w:vAlign w:val="bottom"/>
          </w:tcPr>
          <w:p>
            <w:pPr>
              <w:spacing w:after="0"/>
              <w:rPr>
                <w:sz w:val="20"/>
                <w:szCs w:val="20"/>
                <w:color w:val="auto"/>
              </w:rPr>
            </w:pPr>
            <w:r>
              <w:rPr>
                <w:rFonts w:ascii="Courier New" w:cs="Courier New" w:eastAsia="Courier New" w:hAnsi="Courier New"/>
                <w:sz w:val="16"/>
                <w:szCs w:val="16"/>
                <w:color w:val="auto"/>
              </w:rPr>
              <w:t>Net earnings available to  common shareholders</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$171.2</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$150.0</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$75.7</w:t>
            </w:r>
          </w:p>
        </w:tc>
      </w:tr>
      <w:tr>
        <w:trPr>
          <w:trHeight w:val="185"/>
        </w:trPr>
        <w:tc>
          <w:tcPr>
            <w:tcW w:w="5660" w:type="dxa"/>
            <w:vAlign w:val="bottom"/>
          </w:tcPr>
          <w:p>
            <w:pPr>
              <w:spacing w:after="0"/>
              <w:rPr>
                <w:sz w:val="20"/>
                <w:szCs w:val="20"/>
                <w:color w:val="auto"/>
              </w:rPr>
            </w:pPr>
            <w:r>
              <w:rPr>
                <w:rFonts w:ascii="Courier New" w:cs="Courier New" w:eastAsia="Courier New" w:hAnsi="Courier New"/>
                <w:sz w:val="16"/>
                <w:szCs w:val="16"/>
                <w:color w:val="auto"/>
              </w:rPr>
              <w:t>Weighted average common shares outstanding (in millions)</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75.9</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77.3</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80.1</w:t>
            </w:r>
          </w:p>
        </w:tc>
      </w:tr>
      <w:tr>
        <w:trPr>
          <w:trHeight w:val="185"/>
        </w:trPr>
        <w:tc>
          <w:tcPr>
            <w:tcW w:w="5660" w:type="dxa"/>
            <w:vAlign w:val="bottom"/>
          </w:tcPr>
          <w:p>
            <w:pPr>
              <w:spacing w:after="0"/>
              <w:rPr>
                <w:sz w:val="20"/>
                <w:szCs w:val="20"/>
                <w:color w:val="auto"/>
              </w:rPr>
            </w:pPr>
            <w:r>
              <w:rPr>
                <w:rFonts w:ascii="Courier New" w:cs="Courier New" w:eastAsia="Courier New" w:hAnsi="Courier New"/>
                <w:sz w:val="16"/>
                <w:szCs w:val="16"/>
                <w:color w:val="auto"/>
                <w:w w:val="99"/>
              </w:rPr>
              <w:t>Effect of dilutive securities - Stock options (in millions)</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5861"/>
        <w:spacing w:after="0"/>
        <w:tabs>
          <w:tab w:leader="none" w:pos="6601" w:val="left"/>
          <w:tab w:leader="none" w:pos="7281" w:val="left"/>
        </w:tabs>
        <w:rPr>
          <w:sz w:val="20"/>
          <w:szCs w:val="20"/>
          <w:color w:val="auto"/>
        </w:rPr>
      </w:pPr>
      <w:r>
        <w:rPr>
          <w:rFonts w:ascii="Courier New" w:cs="Courier New" w:eastAsia="Courier New" w:hAnsi="Courier New"/>
          <w:sz w:val="16"/>
          <w:szCs w:val="16"/>
          <w:color w:val="auto"/>
        </w:rPr>
        <w:t>77.1</w:t>
      </w:r>
      <w:r>
        <w:rPr>
          <w:sz w:val="20"/>
          <w:szCs w:val="20"/>
          <w:color w:val="auto"/>
        </w:rPr>
        <w:tab/>
      </w:r>
      <w:r>
        <w:rPr>
          <w:rFonts w:ascii="Courier New" w:cs="Courier New" w:eastAsia="Courier New" w:hAnsi="Courier New"/>
          <w:sz w:val="16"/>
          <w:szCs w:val="16"/>
          <w:color w:val="auto"/>
        </w:rPr>
        <w:t>78.7</w:t>
      </w:r>
      <w:r>
        <w:rPr>
          <w:sz w:val="20"/>
          <w:szCs w:val="20"/>
          <w:color w:val="auto"/>
        </w:rPr>
        <w:tab/>
      </w:r>
      <w:r>
        <w:rPr>
          <w:rFonts w:ascii="Courier New" w:cs="Courier New" w:eastAsia="Courier New" w:hAnsi="Courier New"/>
          <w:sz w:val="15"/>
          <w:szCs w:val="15"/>
          <w:color w:val="auto"/>
        </w:rPr>
        <w:t>81.2</w:t>
      </w:r>
    </w:p>
    <w:p>
      <w:pPr>
        <w:spacing w:after="0" w:line="5" w:lineRule="exact"/>
        <w:rPr>
          <w:sz w:val="20"/>
          <w:szCs w:val="20"/>
          <w:color w:val="auto"/>
        </w:rPr>
      </w:pPr>
    </w:p>
    <w:p>
      <w:pPr>
        <w:ind w:left="201" w:hanging="201"/>
        <w:spacing w:after="0"/>
        <w:tabs>
          <w:tab w:leader="none" w:pos="201"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566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$ 2.22  $ 1.91  $ .93</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ind w:left="1"/>
        <w:spacing w:after="0"/>
        <w:tabs>
          <w:tab w:leader="none" w:pos="6421" w:val="left"/>
        </w:tabs>
        <w:rPr>
          <w:sz w:val="20"/>
          <w:szCs w:val="20"/>
          <w:color w:val="auto"/>
        </w:rPr>
      </w:pPr>
      <w:r>
        <w:rPr>
          <w:rFonts w:ascii="Courier New" w:cs="Courier New" w:eastAsia="Courier New" w:hAnsi="Courier New"/>
          <w:sz w:val="16"/>
          <w:szCs w:val="16"/>
          <w:color w:val="auto"/>
        </w:rPr>
        <w:t>82</w:t>
      </w:r>
      <w:r>
        <w:rPr>
          <w:sz w:val="20"/>
          <w:szCs w:val="20"/>
          <w:color w:val="auto"/>
        </w:rPr>
        <w:tab/>
      </w:r>
      <w:r>
        <w:rPr>
          <w:rFonts w:ascii="Courier New" w:cs="Courier New" w:eastAsia="Courier New" w:hAnsi="Courier New"/>
          <w:sz w:val="16"/>
          <w:szCs w:val="16"/>
          <w:color w:val="auto"/>
        </w:rPr>
        <w:t>Manpower Inc.</w:t>
      </w:r>
    </w:p>
    <w:p>
      <w:pPr>
        <w:sectPr>
          <w:pgSz w:w="11900" w:h="16838" w:orient="portrait"/>
          <w:cols w:equalWidth="0" w:num="1">
            <w:col w:w="10221"/>
          </w:cols>
          <w:pgMar w:left="239" w:top="300" w:right="1440" w:bottom="1440" w:gutter="0" w:footer="0" w:header="0"/>
        </w:sectPr>
      </w:pPr>
    </w:p>
    <w:bookmarkStart w:id="75" w:name="page76"/>
    <w:bookmarkEnd w:id="75"/>
    <w:p>
      <w:pPr>
        <w:ind w:left="281"/>
        <w:spacing w:after="0"/>
        <w:rPr>
          <w:sz w:val="20"/>
          <w:szCs w:val="20"/>
          <w:color w:val="auto"/>
        </w:rPr>
      </w:pPr>
      <w:r>
        <w:rPr>
          <w:rFonts w:ascii="Courier New" w:cs="Courier New" w:eastAsia="Courier New" w:hAnsi="Courier New"/>
          <w:sz w:val="16"/>
          <w:szCs w:val="16"/>
          <w:color w:val="auto"/>
        </w:rPr>
        <w:t>57</w:t>
      </w:r>
    </w:p>
    <w:p>
      <w:pPr>
        <w:spacing w:after="0" w:line="190" w:lineRule="exact"/>
        <w:rPr>
          <w:sz w:val="20"/>
          <w:szCs w:val="20"/>
          <w:color w:val="auto"/>
        </w:rPr>
      </w:pPr>
    </w:p>
    <w:p>
      <w:pPr>
        <w:ind w:left="1" w:right="2539" w:firstLine="961"/>
        <w:spacing w:after="0" w:line="264" w:lineRule="auto"/>
        <w:rPr>
          <w:sz w:val="20"/>
          <w:szCs w:val="20"/>
          <w:color w:val="auto"/>
        </w:rPr>
      </w:pPr>
      <w:r>
        <w:rPr>
          <w:rFonts w:ascii="Courier New" w:cs="Courier New" w:eastAsia="Courier New" w:hAnsi="Courier New"/>
          <w:sz w:val="15"/>
          <w:szCs w:val="15"/>
          <w:color w:val="auto"/>
        </w:rPr>
        <w:t>The calculation of net earnings per share - diluted for the years ended December 31, 2000, 1999 and 1998 does not include certain stock option grants because the exercise price for these options is greater than the average market price of the common shares during that year. The number, exercise prices and weighted average remaining life of these antidilutive options is as follows:</w:t>
      </w:r>
    </w:p>
    <w:p>
      <w:pPr>
        <w:spacing w:after="0" w:line="357" w:lineRule="exact"/>
        <w:rPr>
          <w:sz w:val="20"/>
          <w:szCs w:val="20"/>
          <w:color w:val="auto"/>
        </w:rPr>
      </w:pPr>
    </w:p>
    <w:p>
      <w:pPr>
        <w:ind w:left="4221"/>
        <w:spacing w:after="0"/>
        <w:tabs>
          <w:tab w:leader="none" w:pos="5741" w:val="left"/>
          <w:tab w:leader="none" w:pos="7181"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5"/>
          <w:szCs w:val="15"/>
          <w:color w:val="auto"/>
        </w:rPr>
        <w:t>1998</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360" w:type="dxa"/>
            <w:vAlign w:val="bottom"/>
          </w:tcPr>
          <w:p>
            <w:pPr>
              <w:spacing w:after="0"/>
              <w:rPr>
                <w:sz w:val="20"/>
                <w:szCs w:val="20"/>
                <w:color w:val="auto"/>
              </w:rPr>
            </w:pPr>
            <w:r>
              <w:rPr>
                <w:rFonts w:ascii="Courier New" w:cs="Courier New" w:eastAsia="Courier New" w:hAnsi="Courier New"/>
                <w:sz w:val="16"/>
                <w:szCs w:val="16"/>
                <w:color w:val="auto"/>
              </w:rPr>
              <w:t>Shares (000)</w:t>
            </w:r>
          </w:p>
        </w:tc>
        <w:tc>
          <w:tcPr>
            <w:tcW w:w="158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535</w:t>
            </w:r>
          </w:p>
        </w:tc>
        <w:tc>
          <w:tcPr>
            <w:tcW w:w="15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1,146</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625</w:t>
            </w:r>
          </w:p>
        </w:tc>
      </w:tr>
      <w:tr>
        <w:trPr>
          <w:trHeight w:val="185"/>
        </w:trPr>
        <w:tc>
          <w:tcPr>
            <w:tcW w:w="3360" w:type="dxa"/>
            <w:vAlign w:val="bottom"/>
          </w:tcPr>
          <w:p>
            <w:pPr>
              <w:spacing w:after="0"/>
              <w:rPr>
                <w:sz w:val="20"/>
                <w:szCs w:val="20"/>
                <w:color w:val="auto"/>
              </w:rPr>
            </w:pPr>
            <w:r>
              <w:rPr>
                <w:rFonts w:ascii="Courier New" w:cs="Courier New" w:eastAsia="Courier New" w:hAnsi="Courier New"/>
                <w:sz w:val="16"/>
                <w:szCs w:val="16"/>
                <w:color w:val="auto"/>
              </w:rPr>
              <w:t>Exercise prices</w:t>
            </w:r>
          </w:p>
        </w:tc>
        <w:tc>
          <w:tcPr>
            <w:tcW w:w="158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$35-$41</w:t>
            </w:r>
          </w:p>
        </w:tc>
        <w:tc>
          <w:tcPr>
            <w:tcW w:w="15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$27-$49</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$32-$49</w:t>
            </w:r>
          </w:p>
        </w:tc>
      </w:tr>
      <w:tr>
        <w:trPr>
          <w:trHeight w:val="185"/>
        </w:trPr>
        <w:tc>
          <w:tcPr>
            <w:tcW w:w="3360" w:type="dxa"/>
            <w:vAlign w:val="bottom"/>
          </w:tcPr>
          <w:p>
            <w:pPr>
              <w:spacing w:after="0"/>
              <w:rPr>
                <w:sz w:val="20"/>
                <w:szCs w:val="20"/>
                <w:color w:val="auto"/>
              </w:rPr>
            </w:pPr>
            <w:r>
              <w:rPr>
                <w:rFonts w:ascii="Courier New" w:cs="Courier New" w:eastAsia="Courier New" w:hAnsi="Courier New"/>
                <w:sz w:val="16"/>
                <w:szCs w:val="16"/>
                <w:color w:val="auto"/>
              </w:rPr>
              <w:t>Weighted average remaining life</w:t>
            </w:r>
          </w:p>
        </w:tc>
        <w:tc>
          <w:tcPr>
            <w:tcW w:w="158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8.0 years</w:t>
            </w:r>
          </w:p>
        </w:tc>
        <w:tc>
          <w:tcPr>
            <w:tcW w:w="15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7.9 years</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8.1 years</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3. INCOME TAXES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provision for income taxes consists of:</w:t>
      </w:r>
    </w:p>
    <w:p>
      <w:pPr>
        <w:spacing w:after="0" w:line="188" w:lineRule="exact"/>
        <w:rPr>
          <w:sz w:val="20"/>
          <w:szCs w:val="20"/>
          <w:color w:val="auto"/>
        </w:rPr>
      </w:pPr>
    </w:p>
    <w:p>
      <w:pPr>
        <w:ind w:left="4141"/>
        <w:spacing w:after="0"/>
        <w:tabs>
          <w:tab w:leader="none" w:pos="5641" w:val="left"/>
          <w:tab w:leader="none" w:pos="7181"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5"/>
          <w:szCs w:val="15"/>
          <w:color w:val="auto"/>
        </w:rPr>
        <w:t>1998</w:t>
      </w:r>
    </w:p>
    <w:p>
      <w:pPr>
        <w:spacing w:after="0" w:line="5" w:lineRule="exact"/>
        <w:rPr>
          <w:sz w:val="20"/>
          <w:szCs w:val="20"/>
          <w:color w:val="auto"/>
        </w:rPr>
      </w:pPr>
    </w:p>
    <w:p>
      <w:pPr>
        <w:ind w:left="201" w:hanging="201"/>
        <w:spacing w:after="0"/>
        <w:tabs>
          <w:tab w:leader="none" w:pos="201"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Current:</w:t>
      </w:r>
    </w:p>
    <w:p>
      <w:pPr>
        <w:spacing w:after="0" w:line="3" w:lineRule="exact"/>
        <w:rPr>
          <w:rFonts w:ascii="Courier New" w:cs="Courier New" w:eastAsia="Courier New" w:hAnsi="Courier New"/>
          <w:sz w:val="15"/>
          <w:szCs w:val="15"/>
          <w:color w:val="auto"/>
        </w:rPr>
      </w:pPr>
    </w:p>
    <w:p>
      <w:pPr>
        <w:ind w:left="10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United States:</w:t>
      </w:r>
    </w:p>
    <w:p>
      <w:pPr>
        <w:spacing w:after="0" w:line="4" w:lineRule="exact"/>
        <w:rPr>
          <w:sz w:val="20"/>
          <w:szCs w:val="20"/>
          <w:color w:val="auto"/>
        </w:rPr>
      </w:pPr>
    </w:p>
    <w:tbl>
      <w:tblPr>
        <w:tblLayout w:type="fixed"/>
        <w:tblInd w:w="101" w:type="dxa"/>
        <w:tblCellMar>
          <w:top w:w="0" w:type="dxa"/>
          <w:left w:w="0" w:type="dxa"/>
          <w:bottom w:w="0" w:type="dxa"/>
          <w:right w:w="0" w:type="dxa"/>
        </w:tblCellMar>
      </w:tblPr>
      <w:tr>
        <w:trPr>
          <w:trHeight w:val="181"/>
        </w:trPr>
        <w:tc>
          <w:tcPr>
            <w:tcW w:w="2340" w:type="dxa"/>
            <w:vAlign w:val="bottom"/>
          </w:tcPr>
          <w:p>
            <w:pPr>
              <w:jc w:val="right"/>
              <w:ind w:right="1400"/>
              <w:spacing w:after="0"/>
              <w:rPr>
                <w:sz w:val="20"/>
                <w:szCs w:val="20"/>
                <w:color w:val="auto"/>
              </w:rPr>
            </w:pPr>
            <w:r>
              <w:rPr>
                <w:rFonts w:ascii="Courier New" w:cs="Courier New" w:eastAsia="Courier New" w:hAnsi="Courier New"/>
                <w:sz w:val="16"/>
                <w:szCs w:val="16"/>
                <w:color w:val="auto"/>
              </w:rPr>
              <w:t>Federal</w:t>
            </w:r>
          </w:p>
        </w:tc>
        <w:tc>
          <w:tcPr>
            <w:tcW w:w="26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$ 13.1</w:t>
            </w:r>
          </w:p>
        </w:tc>
        <w:tc>
          <w:tcPr>
            <w:tcW w:w="15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$(4.0)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$ 9.9</w:t>
            </w:r>
          </w:p>
        </w:tc>
      </w:tr>
      <w:tr>
        <w:trPr>
          <w:trHeight w:val="185"/>
        </w:trPr>
        <w:tc>
          <w:tcPr>
            <w:tcW w:w="2340" w:type="dxa"/>
            <w:vAlign w:val="bottom"/>
          </w:tcPr>
          <w:p>
            <w:pPr>
              <w:jc w:val="right"/>
              <w:ind w:right="1600"/>
              <w:spacing w:after="0"/>
              <w:rPr>
                <w:sz w:val="20"/>
                <w:szCs w:val="20"/>
                <w:color w:val="auto"/>
              </w:rPr>
            </w:pPr>
            <w:r>
              <w:rPr>
                <w:rFonts w:ascii="Courier New" w:cs="Courier New" w:eastAsia="Courier New" w:hAnsi="Courier New"/>
                <w:sz w:val="16"/>
                <w:szCs w:val="16"/>
                <w:color w:val="auto"/>
              </w:rPr>
              <w:t>State</w:t>
            </w:r>
          </w:p>
        </w:tc>
        <w:tc>
          <w:tcPr>
            <w:tcW w:w="26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1.8</w:t>
            </w:r>
          </w:p>
        </w:tc>
        <w:tc>
          <w:tcPr>
            <w:tcW w:w="158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5.6</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185"/>
        </w:trPr>
        <w:tc>
          <w:tcPr>
            <w:tcW w:w="2340" w:type="dxa"/>
            <w:vAlign w:val="bottom"/>
          </w:tcPr>
          <w:p>
            <w:pPr>
              <w:jc w:val="right"/>
              <w:ind w:right="1600"/>
              <w:spacing w:after="0"/>
              <w:rPr>
                <w:sz w:val="20"/>
                <w:szCs w:val="20"/>
                <w:color w:val="auto"/>
              </w:rPr>
            </w:pPr>
            <w:r>
              <w:rPr>
                <w:rFonts w:ascii="Courier New" w:cs="Courier New" w:eastAsia="Courier New" w:hAnsi="Courier New"/>
                <w:sz w:val="16"/>
                <w:szCs w:val="16"/>
                <w:color w:val="auto"/>
                <w:w w:val="95"/>
              </w:rPr>
              <w:t>Foreign</w:t>
            </w:r>
          </w:p>
        </w:tc>
        <w:tc>
          <w:tcPr>
            <w:tcW w:w="26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97.3</w:t>
            </w:r>
          </w:p>
        </w:tc>
        <w:tc>
          <w:tcPr>
            <w:tcW w:w="158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38.9</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62.4</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640" w:type="dxa"/>
            <w:vAlign w:val="bottom"/>
          </w:tcPr>
          <w:p>
            <w:pPr>
              <w:spacing w:after="0"/>
              <w:rPr>
                <w:sz w:val="20"/>
                <w:szCs w:val="20"/>
                <w:color w:val="auto"/>
              </w:rPr>
            </w:pPr>
            <w:r>
              <w:rPr>
                <w:rFonts w:ascii="Courier New" w:cs="Courier New" w:eastAsia="Courier New" w:hAnsi="Courier New"/>
                <w:sz w:val="16"/>
                <w:szCs w:val="16"/>
                <w:color w:val="auto"/>
              </w:rPr>
              <w:t>Total current</w:t>
            </w:r>
          </w:p>
        </w:tc>
        <w:tc>
          <w:tcPr>
            <w:tcW w:w="24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112.2</w:t>
            </w:r>
          </w:p>
        </w:tc>
        <w:tc>
          <w:tcPr>
            <w:tcW w:w="15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40.5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75.6</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740" w:type="dxa"/>
            <w:vAlign w:val="bottom"/>
          </w:tcPr>
          <w:p>
            <w:pPr>
              <w:jc w:val="right"/>
              <w:ind w:right="1800"/>
              <w:spacing w:after="0"/>
              <w:rPr>
                <w:sz w:val="20"/>
                <w:szCs w:val="20"/>
                <w:color w:val="auto"/>
              </w:rPr>
            </w:pPr>
            <w:r>
              <w:rPr>
                <w:rFonts w:ascii="Courier New" w:cs="Courier New" w:eastAsia="Courier New" w:hAnsi="Courier New"/>
                <w:sz w:val="16"/>
                <w:szCs w:val="16"/>
                <w:color w:val="auto"/>
                <w:w w:val="97"/>
              </w:rPr>
              <w:t>Deferred:</w:t>
            </w:r>
          </w:p>
        </w:tc>
        <w:tc>
          <w:tcPr>
            <w:tcW w:w="24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5"/>
        </w:trPr>
        <w:tc>
          <w:tcPr>
            <w:tcW w:w="2740" w:type="dxa"/>
            <w:vAlign w:val="bottom"/>
          </w:tcPr>
          <w:p>
            <w:pPr>
              <w:jc w:val="right"/>
              <w:ind w:right="1220"/>
              <w:spacing w:after="0"/>
              <w:rPr>
                <w:sz w:val="20"/>
                <w:szCs w:val="20"/>
                <w:color w:val="auto"/>
              </w:rPr>
            </w:pPr>
            <w:r>
              <w:rPr>
                <w:rFonts w:ascii="Courier New" w:cs="Courier New" w:eastAsia="Courier New" w:hAnsi="Courier New"/>
                <w:sz w:val="16"/>
                <w:szCs w:val="16"/>
                <w:color w:val="auto"/>
              </w:rPr>
              <w:t>United States:</w:t>
            </w:r>
          </w:p>
        </w:tc>
        <w:tc>
          <w:tcPr>
            <w:tcW w:w="2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2740" w:type="dxa"/>
            <w:vAlign w:val="bottom"/>
          </w:tcPr>
          <w:p>
            <w:pPr>
              <w:jc w:val="right"/>
              <w:ind w:right="1700"/>
              <w:spacing w:after="0"/>
              <w:rPr>
                <w:sz w:val="20"/>
                <w:szCs w:val="20"/>
                <w:color w:val="auto"/>
              </w:rPr>
            </w:pPr>
            <w:r>
              <w:rPr>
                <w:rFonts w:ascii="Courier New" w:cs="Courier New" w:eastAsia="Courier New" w:hAnsi="Courier New"/>
                <w:sz w:val="16"/>
                <w:szCs w:val="16"/>
                <w:color w:val="auto"/>
              </w:rPr>
              <w:t>Federal</w:t>
            </w:r>
          </w:p>
        </w:tc>
        <w:tc>
          <w:tcPr>
            <w:tcW w:w="24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1.3</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(4.2)</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(21.3)</w:t>
            </w:r>
          </w:p>
        </w:tc>
      </w:tr>
      <w:tr>
        <w:trPr>
          <w:trHeight w:val="185"/>
        </w:trPr>
        <w:tc>
          <w:tcPr>
            <w:tcW w:w="2740" w:type="dxa"/>
            <w:vAlign w:val="bottom"/>
          </w:tcPr>
          <w:p>
            <w:pPr>
              <w:jc w:val="right"/>
              <w:ind w:right="1900"/>
              <w:spacing w:after="0"/>
              <w:rPr>
                <w:sz w:val="20"/>
                <w:szCs w:val="20"/>
                <w:color w:val="auto"/>
              </w:rPr>
            </w:pPr>
            <w:r>
              <w:rPr>
                <w:rFonts w:ascii="Courier New" w:cs="Courier New" w:eastAsia="Courier New" w:hAnsi="Courier New"/>
                <w:sz w:val="16"/>
                <w:szCs w:val="16"/>
                <w:color w:val="auto"/>
              </w:rPr>
              <w:t>State</w:t>
            </w:r>
          </w:p>
        </w:tc>
        <w:tc>
          <w:tcPr>
            <w:tcW w:w="24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r>
      <w:tr>
        <w:trPr>
          <w:trHeight w:val="185"/>
        </w:trPr>
        <w:tc>
          <w:tcPr>
            <w:tcW w:w="2740" w:type="dxa"/>
            <w:vAlign w:val="bottom"/>
          </w:tcPr>
          <w:p>
            <w:pPr>
              <w:jc w:val="right"/>
              <w:ind w:right="1900"/>
              <w:spacing w:after="0"/>
              <w:rPr>
                <w:sz w:val="20"/>
                <w:szCs w:val="20"/>
                <w:color w:val="auto"/>
              </w:rPr>
            </w:pPr>
            <w:r>
              <w:rPr>
                <w:rFonts w:ascii="Courier New" w:cs="Courier New" w:eastAsia="Courier New" w:hAnsi="Courier New"/>
                <w:sz w:val="16"/>
                <w:szCs w:val="16"/>
                <w:color w:val="auto"/>
              </w:rPr>
              <w:t>Foreign</w:t>
            </w:r>
          </w:p>
        </w:tc>
        <w:tc>
          <w:tcPr>
            <w:tcW w:w="24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(19.5)</w:t>
            </w:r>
          </w:p>
        </w:tc>
        <w:tc>
          <w:tcPr>
            <w:tcW w:w="148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20.1</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(12.5)</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680" w:type="dxa"/>
            <w:vAlign w:val="bottom"/>
          </w:tcPr>
          <w:p>
            <w:pPr>
              <w:spacing w:after="0"/>
              <w:rPr>
                <w:sz w:val="20"/>
                <w:szCs w:val="20"/>
                <w:color w:val="auto"/>
              </w:rPr>
            </w:pPr>
            <w:r>
              <w:rPr>
                <w:rFonts w:ascii="Courier New" w:cs="Courier New" w:eastAsia="Courier New" w:hAnsi="Courier New"/>
                <w:sz w:val="16"/>
                <w:szCs w:val="16"/>
                <w:color w:val="auto"/>
              </w:rPr>
              <w:t>Total deferred</w:t>
            </w:r>
          </w:p>
        </w:tc>
        <w:tc>
          <w:tcPr>
            <w:tcW w:w="246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(18.2)</w:t>
            </w:r>
          </w:p>
        </w:tc>
        <w:tc>
          <w:tcPr>
            <w:tcW w:w="14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15.3</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(37.5)</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680" w:type="dxa"/>
            <w:vAlign w:val="bottom"/>
          </w:tcPr>
          <w:p>
            <w:pPr>
              <w:spacing w:after="0"/>
              <w:rPr>
                <w:sz w:val="20"/>
                <w:szCs w:val="20"/>
                <w:color w:val="auto"/>
              </w:rPr>
            </w:pPr>
            <w:r>
              <w:rPr>
                <w:rFonts w:ascii="Courier New" w:cs="Courier New" w:eastAsia="Courier New" w:hAnsi="Courier New"/>
                <w:sz w:val="16"/>
                <w:szCs w:val="16"/>
                <w:color w:val="auto"/>
              </w:rPr>
              <w:t>Total provision</w:t>
            </w:r>
          </w:p>
        </w:tc>
        <w:tc>
          <w:tcPr>
            <w:tcW w:w="236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$ 94.0</w:t>
            </w:r>
          </w:p>
        </w:tc>
        <w:tc>
          <w:tcPr>
            <w:tcW w:w="15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$55.8</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$38.1</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right="2539" w:firstLine="961"/>
        <w:spacing w:after="0" w:line="274" w:lineRule="auto"/>
        <w:rPr>
          <w:sz w:val="20"/>
          <w:szCs w:val="20"/>
          <w:color w:val="auto"/>
        </w:rPr>
      </w:pPr>
      <w:r>
        <w:rPr>
          <w:rFonts w:ascii="Courier New" w:cs="Courier New" w:eastAsia="Courier New" w:hAnsi="Courier New"/>
          <w:sz w:val="15"/>
          <w:szCs w:val="15"/>
          <w:color w:val="auto"/>
        </w:rPr>
        <w:t>A reconciliation between taxes computed at the United States Federal statutory tax rate of 35% and the consolidated effective tax rate is as follows:</w:t>
      </w:r>
    </w:p>
    <w:p>
      <w:pPr>
        <w:spacing w:after="0" w:line="164" w:lineRule="exact"/>
        <w:rPr>
          <w:sz w:val="20"/>
          <w:szCs w:val="20"/>
          <w:color w:val="auto"/>
        </w:rPr>
      </w:pPr>
    </w:p>
    <w:p>
      <w:pPr>
        <w:ind w:left="4901"/>
        <w:spacing w:after="0"/>
        <w:tabs>
          <w:tab w:leader="none" w:pos="6041" w:val="left"/>
          <w:tab w:leader="none" w:pos="7181"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5"/>
          <w:szCs w:val="15"/>
          <w:color w:val="auto"/>
        </w:rPr>
        <w:t>1998</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120" w:type="dxa"/>
            <w:vAlign w:val="bottom"/>
          </w:tcPr>
          <w:p>
            <w:pPr>
              <w:spacing w:after="0"/>
              <w:rPr>
                <w:sz w:val="20"/>
                <w:szCs w:val="20"/>
                <w:color w:val="auto"/>
              </w:rPr>
            </w:pPr>
            <w:r>
              <w:rPr>
                <w:rFonts w:ascii="Courier New" w:cs="Courier New" w:eastAsia="Courier New" w:hAnsi="Courier New"/>
                <w:sz w:val="16"/>
                <w:szCs w:val="16"/>
                <w:color w:val="auto"/>
              </w:rPr>
              <w:t>Income tax based on statutory rate</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$92.8</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$72.0</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$39.8</w:t>
            </w:r>
          </w:p>
        </w:tc>
      </w:tr>
      <w:tr>
        <w:trPr>
          <w:trHeight w:val="185"/>
        </w:trPr>
        <w:tc>
          <w:tcPr>
            <w:tcW w:w="4120" w:type="dxa"/>
            <w:vAlign w:val="bottom"/>
          </w:tcPr>
          <w:p>
            <w:pPr>
              <w:spacing w:after="0"/>
              <w:rPr>
                <w:sz w:val="20"/>
                <w:szCs w:val="20"/>
                <w:color w:val="auto"/>
              </w:rPr>
            </w:pPr>
            <w:r>
              <w:rPr>
                <w:rFonts w:ascii="Courier New" w:cs="Courier New" w:eastAsia="Courier New" w:hAnsi="Courier New"/>
                <w:sz w:val="16"/>
                <w:szCs w:val="16"/>
                <w:color w:val="auto"/>
              </w:rPr>
              <w:t>Increase (decrease) resulting from:</w:t>
            </w:r>
          </w:p>
        </w:tc>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4120" w:type="dxa"/>
            <w:vAlign w:val="bottom"/>
          </w:tcPr>
          <w:p>
            <w:pPr>
              <w:ind w:left="100"/>
              <w:spacing w:after="0"/>
              <w:rPr>
                <w:sz w:val="20"/>
                <w:szCs w:val="20"/>
                <w:color w:val="auto"/>
              </w:rPr>
            </w:pPr>
            <w:r>
              <w:rPr>
                <w:rFonts w:ascii="Courier New" w:cs="Courier New" w:eastAsia="Courier New" w:hAnsi="Courier New"/>
                <w:sz w:val="16"/>
                <w:szCs w:val="16"/>
                <w:color w:val="auto"/>
              </w:rPr>
              <w:t>Foreign tax rate differences</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5.0</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3.9</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3.2</w:t>
            </w:r>
          </w:p>
        </w:tc>
      </w:tr>
      <w:tr>
        <w:trPr>
          <w:trHeight w:val="185"/>
        </w:trPr>
        <w:tc>
          <w:tcPr>
            <w:tcW w:w="4120" w:type="dxa"/>
            <w:vAlign w:val="bottom"/>
          </w:tcPr>
          <w:p>
            <w:pPr>
              <w:ind w:left="100"/>
              <w:spacing w:after="0"/>
              <w:rPr>
                <w:sz w:val="20"/>
                <w:szCs w:val="20"/>
                <w:color w:val="auto"/>
              </w:rPr>
            </w:pPr>
            <w:r>
              <w:rPr>
                <w:rFonts w:ascii="Courier New" w:cs="Courier New" w:eastAsia="Courier New" w:hAnsi="Courier New"/>
                <w:sz w:val="16"/>
                <w:szCs w:val="16"/>
                <w:color w:val="auto"/>
              </w:rPr>
              <w:t>State income taxes</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1.2</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2.6</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5"/>
        </w:trPr>
        <w:tc>
          <w:tcPr>
            <w:tcW w:w="4120" w:type="dxa"/>
            <w:vAlign w:val="bottom"/>
          </w:tcPr>
          <w:p>
            <w:pPr>
              <w:ind w:left="100"/>
              <w:spacing w:after="0"/>
              <w:rPr>
                <w:sz w:val="20"/>
                <w:szCs w:val="20"/>
                <w:color w:val="auto"/>
              </w:rPr>
            </w:pPr>
            <w:r>
              <w:rPr>
                <w:rFonts w:ascii="Courier New" w:cs="Courier New" w:eastAsia="Courier New" w:hAnsi="Courier New"/>
                <w:sz w:val="16"/>
                <w:szCs w:val="16"/>
                <w:color w:val="auto"/>
              </w:rPr>
              <w:t>Benefit on dissolution(a)</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(15.7)</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120" w:type="dxa"/>
            <w:vAlign w:val="bottom"/>
          </w:tcPr>
          <w:p>
            <w:pPr>
              <w:ind w:left="100"/>
              <w:spacing w:after="0"/>
              <w:rPr>
                <w:sz w:val="20"/>
                <w:szCs w:val="20"/>
                <w:color w:val="auto"/>
              </w:rPr>
            </w:pPr>
            <w:r>
              <w:rPr>
                <w:rFonts w:ascii="Courier New" w:cs="Courier New" w:eastAsia="Courier New" w:hAnsi="Courier New"/>
                <w:sz w:val="16"/>
                <w:szCs w:val="16"/>
                <w:color w:val="auto"/>
              </w:rPr>
              <w:t>Tax effect of foreign repatriations</w:t>
            </w:r>
          </w:p>
        </w:tc>
        <w:tc>
          <w:tcPr>
            <w:tcW w:w="15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(1.6)</w:t>
            </w:r>
          </w:p>
        </w:tc>
        <w:tc>
          <w:tcPr>
            <w:tcW w:w="11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(11.3)</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2.8</w:t>
            </w:r>
          </w:p>
        </w:tc>
      </w:tr>
      <w:tr>
        <w:trPr>
          <w:trHeight w:val="185"/>
        </w:trPr>
        <w:tc>
          <w:tcPr>
            <w:tcW w:w="4120" w:type="dxa"/>
            <w:vAlign w:val="bottom"/>
          </w:tcPr>
          <w:p>
            <w:pPr>
              <w:ind w:left="100"/>
              <w:spacing w:after="0"/>
              <w:rPr>
                <w:sz w:val="20"/>
                <w:szCs w:val="20"/>
                <w:color w:val="auto"/>
              </w:rPr>
            </w:pPr>
            <w:r>
              <w:rPr>
                <w:rFonts w:ascii="Courier New" w:cs="Courier New" w:eastAsia="Courier New" w:hAnsi="Courier New"/>
                <w:sz w:val="16"/>
                <w:szCs w:val="16"/>
                <w:color w:val="auto"/>
              </w:rPr>
              <w:t>Change in valuation reserve</w:t>
            </w:r>
          </w:p>
        </w:tc>
        <w:tc>
          <w:tcPr>
            <w:tcW w:w="15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(4.0)</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5.0</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(7.6)</w:t>
            </w:r>
          </w:p>
        </w:tc>
      </w:tr>
      <w:tr>
        <w:trPr>
          <w:trHeight w:val="185"/>
        </w:trPr>
        <w:tc>
          <w:tcPr>
            <w:tcW w:w="4120" w:type="dxa"/>
            <w:vAlign w:val="bottom"/>
          </w:tcPr>
          <w:p>
            <w:pPr>
              <w:ind w:left="100"/>
              <w:spacing w:after="0"/>
              <w:rPr>
                <w:sz w:val="20"/>
                <w:szCs w:val="20"/>
                <w:color w:val="auto"/>
              </w:rPr>
            </w:pPr>
            <w:r>
              <w:rPr>
                <w:rFonts w:ascii="Courier New" w:cs="Courier New" w:eastAsia="Courier New" w:hAnsi="Courier New"/>
                <w:sz w:val="16"/>
                <w:szCs w:val="16"/>
                <w:color w:val="auto"/>
              </w:rPr>
              <w:t>Other, net</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w:t>
            </w:r>
          </w:p>
        </w:tc>
        <w:tc>
          <w:tcPr>
            <w:tcW w:w="11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120" w:type="dxa"/>
            <w:vAlign w:val="bottom"/>
          </w:tcPr>
          <w:p>
            <w:pPr>
              <w:spacing w:after="0"/>
              <w:rPr>
                <w:sz w:val="20"/>
                <w:szCs w:val="20"/>
                <w:color w:val="auto"/>
              </w:rPr>
            </w:pPr>
            <w:r>
              <w:rPr>
                <w:rFonts w:ascii="Courier New" w:cs="Courier New" w:eastAsia="Courier New" w:hAnsi="Courier New"/>
                <w:sz w:val="16"/>
                <w:szCs w:val="16"/>
                <w:color w:val="auto"/>
              </w:rPr>
              <w:t>Total provision</w:t>
            </w:r>
          </w:p>
        </w:tc>
        <w:tc>
          <w:tcPr>
            <w:tcW w:w="2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$94.0</w:t>
            </w:r>
          </w:p>
        </w:tc>
        <w:tc>
          <w:tcPr>
            <w:tcW w:w="11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$55.8</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$38.1</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right="2719" w:hanging="1"/>
        <w:spacing w:after="0" w:line="242" w:lineRule="auto"/>
        <w:tabs>
          <w:tab w:leader="none" w:pos="386"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Benefit on dissolution of $15.7 represents the one-time tax benefit realized during 1999 related to the dissolution of a non-operating subsidiary.</w:t>
      </w:r>
    </w:p>
    <w:p>
      <w:pPr>
        <w:spacing w:after="0" w:line="372"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380" w:type="dxa"/>
            <w:vAlign w:val="bottom"/>
          </w:tcPr>
          <w:p>
            <w:pPr>
              <w:spacing w:after="0"/>
              <w:rPr>
                <w:sz w:val="20"/>
                <w:szCs w:val="20"/>
                <w:color w:val="auto"/>
              </w:rPr>
            </w:pPr>
            <w:r>
              <w:rPr>
                <w:rFonts w:ascii="Courier New" w:cs="Courier New" w:eastAsia="Courier New" w:hAnsi="Courier New"/>
                <w:sz w:val="16"/>
                <w:szCs w:val="16"/>
                <w:color w:val="auto"/>
              </w:rPr>
              <w:t>Manpower Inc.</w:t>
            </w:r>
          </w:p>
        </w:tc>
        <w:tc>
          <w:tcPr>
            <w:tcW w:w="3300" w:type="dxa"/>
            <w:vAlign w:val="bottom"/>
          </w:tcPr>
          <w:p>
            <w:pPr>
              <w:jc w:val="right"/>
              <w:spacing w:after="0"/>
              <w:rPr>
                <w:sz w:val="20"/>
                <w:szCs w:val="20"/>
                <w:color w:val="auto"/>
              </w:rPr>
            </w:pPr>
            <w:r>
              <w:rPr>
                <w:rFonts w:ascii="Courier New" w:cs="Courier New" w:eastAsia="Courier New" w:hAnsi="Courier New"/>
                <w:sz w:val="16"/>
                <w:szCs w:val="16"/>
                <w:color w:val="auto"/>
              </w:rPr>
              <w:t>83</w:t>
            </w:r>
          </w:p>
        </w:tc>
      </w:tr>
    </w:tbl>
    <w:p>
      <w:pPr>
        <w:sectPr>
          <w:pgSz w:w="11900" w:h="16838" w:orient="portrait"/>
          <w:cols w:equalWidth="0" w:num="1">
            <w:col w:w="10221"/>
          </w:cols>
          <w:pgMar w:left="239" w:top="300" w:right="1440" w:bottom="1440" w:gutter="0" w:footer="0" w:header="0"/>
        </w:sectPr>
      </w:pPr>
    </w:p>
    <w:bookmarkStart w:id="76" w:name="page77"/>
    <w:bookmarkEnd w:id="76"/>
    <w:p>
      <w:pPr>
        <w:ind w:left="281"/>
        <w:spacing w:after="0"/>
        <w:rPr>
          <w:sz w:val="20"/>
          <w:szCs w:val="20"/>
          <w:color w:val="auto"/>
        </w:rPr>
      </w:pPr>
      <w:r>
        <w:rPr>
          <w:rFonts w:ascii="Courier New" w:cs="Courier New" w:eastAsia="Courier New" w:hAnsi="Courier New"/>
          <w:sz w:val="16"/>
          <w:szCs w:val="16"/>
          <w:color w:val="auto"/>
        </w:rPr>
        <w:t>58</w:t>
      </w:r>
    </w:p>
    <w:p>
      <w:pPr>
        <w:spacing w:after="0" w:line="188"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(in millions, except share data)</w:t>
      </w:r>
    </w:p>
    <w:p>
      <w:pPr>
        <w:spacing w:after="0" w:line="190" w:lineRule="exact"/>
        <w:rPr>
          <w:sz w:val="20"/>
          <w:szCs w:val="20"/>
          <w:color w:val="auto"/>
        </w:rPr>
      </w:pPr>
    </w:p>
    <w:p>
      <w:pPr>
        <w:ind w:left="1" w:right="2539" w:firstLine="961"/>
        <w:spacing w:after="0" w:line="243" w:lineRule="auto"/>
        <w:rPr>
          <w:sz w:val="20"/>
          <w:szCs w:val="20"/>
          <w:color w:val="auto"/>
        </w:rPr>
      </w:pPr>
      <w:r>
        <w:rPr>
          <w:rFonts w:ascii="Courier New" w:cs="Courier New" w:eastAsia="Courier New" w:hAnsi="Courier New"/>
          <w:sz w:val="16"/>
          <w:szCs w:val="16"/>
          <w:color w:val="auto"/>
        </w:rPr>
        <w:t>Deferred income taxes are recorded on temporary differences at the tax rate expected to be in effect when the temporary differences reverse. Temporary differences, which gave rise to the deferred tax assets at December 31, are as follows:</w:t>
      </w:r>
    </w:p>
    <w:p>
      <w:pPr>
        <w:spacing w:after="0" w:line="188" w:lineRule="exact"/>
        <w:rPr>
          <w:sz w:val="20"/>
          <w:szCs w:val="20"/>
          <w:color w:val="auto"/>
        </w:rPr>
      </w:pPr>
    </w:p>
    <w:p>
      <w:pPr>
        <w:ind w:left="5761"/>
        <w:spacing w:after="0"/>
        <w:tabs>
          <w:tab w:leader="none" w:pos="7181"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p>
    <w:p>
      <w:pPr>
        <w:spacing w:after="0" w:line="5" w:lineRule="exact"/>
        <w:rPr>
          <w:sz w:val="20"/>
          <w:szCs w:val="20"/>
          <w:color w:val="auto"/>
        </w:rPr>
      </w:pPr>
    </w:p>
    <w:p>
      <w:pPr>
        <w:ind w:left="201" w:hanging="201"/>
        <w:spacing w:after="0"/>
        <w:tabs>
          <w:tab w:leader="none" w:pos="20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Current future income tax benefits:</w:t>
      </w:r>
    </w:p>
    <w:p>
      <w:pPr>
        <w:spacing w:after="0" w:line="4" w:lineRule="exact"/>
        <w:rPr>
          <w:sz w:val="20"/>
          <w:szCs w:val="20"/>
          <w:color w:val="auto"/>
        </w:rPr>
      </w:pPr>
    </w:p>
    <w:tbl>
      <w:tblPr>
        <w:tblLayout w:type="fixed"/>
        <w:tblInd w:w="101" w:type="dxa"/>
        <w:tblCellMar>
          <w:top w:w="0" w:type="dxa"/>
          <w:left w:w="0" w:type="dxa"/>
          <w:bottom w:w="0" w:type="dxa"/>
          <w:right w:w="0" w:type="dxa"/>
        </w:tblCellMar>
      </w:tblPr>
      <w:tr>
        <w:trPr>
          <w:trHeight w:val="181"/>
        </w:trPr>
        <w:tc>
          <w:tcPr>
            <w:tcW w:w="2060" w:type="dxa"/>
            <w:vAlign w:val="bottom"/>
          </w:tcPr>
          <w:p>
            <w:pPr>
              <w:spacing w:after="0"/>
              <w:rPr>
                <w:sz w:val="20"/>
                <w:szCs w:val="20"/>
                <w:color w:val="auto"/>
              </w:rPr>
            </w:pPr>
            <w:r>
              <w:rPr>
                <w:rFonts w:ascii="Courier New" w:cs="Courier New" w:eastAsia="Courier New" w:hAnsi="Courier New"/>
                <w:sz w:val="16"/>
                <w:szCs w:val="16"/>
                <w:color w:val="auto"/>
              </w:rPr>
              <w:t>Accrued payroll taxes</w:t>
            </w:r>
          </w:p>
        </w:tc>
        <w:tc>
          <w:tcPr>
            <w:tcW w:w="2360" w:type="dxa"/>
            <w:vAlign w:val="bottom"/>
          </w:tcPr>
          <w:p>
            <w:pPr>
              <w:ind w:left="40"/>
              <w:spacing w:after="0"/>
              <w:rPr>
                <w:sz w:val="20"/>
                <w:szCs w:val="20"/>
                <w:color w:val="auto"/>
              </w:rPr>
            </w:pPr>
            <w:r>
              <w:rPr>
                <w:rFonts w:ascii="Courier New" w:cs="Courier New" w:eastAsia="Courier New" w:hAnsi="Courier New"/>
                <w:sz w:val="16"/>
                <w:szCs w:val="16"/>
                <w:color w:val="auto"/>
              </w:rPr>
              <w:t>and insurance</w:t>
            </w:r>
          </w:p>
        </w:tc>
        <w:tc>
          <w:tcPr>
            <w:tcW w:w="216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$ 22.4</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$18.6</w:t>
            </w:r>
          </w:p>
        </w:tc>
      </w:tr>
      <w:tr>
        <w:trPr>
          <w:trHeight w:val="185"/>
        </w:trPr>
        <w:tc>
          <w:tcPr>
            <w:tcW w:w="2060" w:type="dxa"/>
            <w:vAlign w:val="bottom"/>
          </w:tcPr>
          <w:p>
            <w:pPr>
              <w:spacing w:after="0"/>
              <w:rPr>
                <w:sz w:val="20"/>
                <w:szCs w:val="20"/>
                <w:color w:val="auto"/>
              </w:rPr>
            </w:pPr>
            <w:r>
              <w:rPr>
                <w:rFonts w:ascii="Courier New" w:cs="Courier New" w:eastAsia="Courier New" w:hAnsi="Courier New"/>
                <w:sz w:val="16"/>
                <w:szCs w:val="16"/>
                <w:color w:val="auto"/>
              </w:rPr>
              <w:t>Employee compensation</w:t>
            </w:r>
          </w:p>
        </w:tc>
        <w:tc>
          <w:tcPr>
            <w:tcW w:w="2360" w:type="dxa"/>
            <w:vAlign w:val="bottom"/>
          </w:tcPr>
          <w:p>
            <w:pPr>
              <w:ind w:left="40"/>
              <w:spacing w:after="0"/>
              <w:rPr>
                <w:sz w:val="20"/>
                <w:szCs w:val="20"/>
                <w:color w:val="auto"/>
              </w:rPr>
            </w:pPr>
            <w:r>
              <w:rPr>
                <w:rFonts w:ascii="Courier New" w:cs="Courier New" w:eastAsia="Courier New" w:hAnsi="Courier New"/>
                <w:sz w:val="16"/>
                <w:szCs w:val="16"/>
                <w:color w:val="auto"/>
              </w:rPr>
              <w:t>payable</w:t>
            </w:r>
          </w:p>
        </w:tc>
        <w:tc>
          <w:tcPr>
            <w:tcW w:w="216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13.7</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12.9</w:t>
            </w:r>
          </w:p>
        </w:tc>
      </w:tr>
      <w:tr>
        <w:trPr>
          <w:trHeight w:val="185"/>
        </w:trPr>
        <w:tc>
          <w:tcPr>
            <w:tcW w:w="4420" w:type="dxa"/>
            <w:vAlign w:val="bottom"/>
            <w:gridSpan w:val="2"/>
          </w:tcPr>
          <w:p>
            <w:pPr>
              <w:spacing w:after="0"/>
              <w:rPr>
                <w:sz w:val="20"/>
                <w:szCs w:val="20"/>
                <w:color w:val="auto"/>
              </w:rPr>
            </w:pPr>
            <w:r>
              <w:rPr>
                <w:rFonts w:ascii="Courier New" w:cs="Courier New" w:eastAsia="Courier New" w:hAnsi="Courier New"/>
                <w:sz w:val="16"/>
                <w:szCs w:val="16"/>
                <w:color w:val="auto"/>
              </w:rPr>
              <w:t>Pension and postretirement benefits</w:t>
            </w:r>
          </w:p>
        </w:tc>
        <w:tc>
          <w:tcPr>
            <w:tcW w:w="216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4.5</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206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2360" w:type="dxa"/>
            <w:vAlign w:val="bottom"/>
          </w:tcPr>
          <w:p>
            <w:pPr>
              <w:spacing w:after="0"/>
              <w:rPr>
                <w:sz w:val="16"/>
                <w:szCs w:val="16"/>
                <w:color w:val="auto"/>
              </w:rPr>
            </w:pPr>
          </w:p>
        </w:tc>
        <w:tc>
          <w:tcPr>
            <w:tcW w:w="216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30.0</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21.8</w:t>
            </w:r>
          </w:p>
        </w:tc>
      </w:tr>
      <w:tr>
        <w:trPr>
          <w:trHeight w:val="185"/>
        </w:trPr>
        <w:tc>
          <w:tcPr>
            <w:tcW w:w="2060" w:type="dxa"/>
            <w:vAlign w:val="bottom"/>
          </w:tcPr>
          <w:p>
            <w:pPr>
              <w:spacing w:after="0"/>
              <w:rPr>
                <w:sz w:val="20"/>
                <w:szCs w:val="20"/>
                <w:color w:val="auto"/>
              </w:rPr>
            </w:pPr>
            <w:r>
              <w:rPr>
                <w:rFonts w:ascii="Courier New" w:cs="Courier New" w:eastAsia="Courier New" w:hAnsi="Courier New"/>
                <w:sz w:val="16"/>
                <w:szCs w:val="16"/>
                <w:color w:val="auto"/>
              </w:rPr>
              <w:t>Valuation allowance</w:t>
            </w:r>
          </w:p>
        </w:tc>
        <w:tc>
          <w:tcPr>
            <w:tcW w:w="2360" w:type="dxa"/>
            <w:vAlign w:val="bottom"/>
          </w:tcPr>
          <w:p>
            <w:pPr>
              <w:spacing w:after="0"/>
              <w:rPr>
                <w:sz w:val="16"/>
                <w:szCs w:val="16"/>
                <w:color w:val="auto"/>
              </w:rPr>
            </w:pPr>
          </w:p>
        </w:tc>
        <w:tc>
          <w:tcPr>
            <w:tcW w:w="21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(1.8)</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5761"/>
        <w:spacing w:after="0"/>
        <w:tabs>
          <w:tab w:leader="none" w:pos="7181" w:val="left"/>
        </w:tabs>
        <w:rPr>
          <w:sz w:val="20"/>
          <w:szCs w:val="20"/>
          <w:color w:val="auto"/>
        </w:rPr>
      </w:pPr>
      <w:r>
        <w:rPr>
          <w:rFonts w:ascii="Courier New" w:cs="Courier New" w:eastAsia="Courier New" w:hAnsi="Courier New"/>
          <w:sz w:val="16"/>
          <w:szCs w:val="16"/>
          <w:color w:val="auto"/>
        </w:rPr>
        <w:t>68.8</w:t>
      </w:r>
      <w:r>
        <w:rPr>
          <w:sz w:val="20"/>
          <w:szCs w:val="20"/>
          <w:color w:val="auto"/>
        </w:rPr>
        <w:tab/>
      </w:r>
      <w:r>
        <w:rPr>
          <w:rFonts w:ascii="Courier New" w:cs="Courier New" w:eastAsia="Courier New" w:hAnsi="Courier New"/>
          <w:sz w:val="15"/>
          <w:szCs w:val="15"/>
          <w:color w:val="auto"/>
        </w:rPr>
        <w:t>52.0</w:t>
      </w:r>
    </w:p>
    <w:p>
      <w:pPr>
        <w:spacing w:after="0" w:line="5" w:lineRule="exact"/>
        <w:rPr>
          <w:sz w:val="20"/>
          <w:szCs w:val="20"/>
          <w:color w:val="auto"/>
        </w:rPr>
      </w:pPr>
    </w:p>
    <w:p>
      <w:pPr>
        <w:ind w:left="201" w:hanging="201"/>
        <w:spacing w:after="0"/>
        <w:tabs>
          <w:tab w:leader="none" w:pos="20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Noncurrent future income tax benefits:</w:t>
      </w:r>
    </w:p>
    <w:p>
      <w:pPr>
        <w:spacing w:after="0" w:line="4" w:lineRule="exact"/>
        <w:rPr>
          <w:sz w:val="20"/>
          <w:szCs w:val="20"/>
          <w:color w:val="auto"/>
        </w:rPr>
      </w:pPr>
    </w:p>
    <w:tbl>
      <w:tblPr>
        <w:tblLayout w:type="fixed"/>
        <w:tblInd w:w="101" w:type="dxa"/>
        <w:tblCellMar>
          <w:top w:w="0" w:type="dxa"/>
          <w:left w:w="0" w:type="dxa"/>
          <w:bottom w:w="0" w:type="dxa"/>
          <w:right w:w="0" w:type="dxa"/>
        </w:tblCellMar>
      </w:tblPr>
      <w:tr>
        <w:trPr>
          <w:trHeight w:val="181"/>
        </w:trPr>
        <w:tc>
          <w:tcPr>
            <w:tcW w:w="4460" w:type="dxa"/>
            <w:vAlign w:val="bottom"/>
          </w:tcPr>
          <w:p>
            <w:pPr>
              <w:spacing w:after="0"/>
              <w:rPr>
                <w:sz w:val="20"/>
                <w:szCs w:val="20"/>
                <w:color w:val="auto"/>
              </w:rPr>
            </w:pPr>
            <w:r>
              <w:rPr>
                <w:rFonts w:ascii="Courier New" w:cs="Courier New" w:eastAsia="Courier New" w:hAnsi="Courier New"/>
                <w:sz w:val="16"/>
                <w:szCs w:val="16"/>
                <w:color w:val="auto"/>
              </w:rPr>
              <w:t>Accrued payroll taxes and insurance</w:t>
            </w:r>
          </w:p>
        </w:tc>
        <w:tc>
          <w:tcPr>
            <w:tcW w:w="212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24.3</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29.6</w:t>
            </w:r>
          </w:p>
        </w:tc>
      </w:tr>
      <w:tr>
        <w:trPr>
          <w:trHeight w:val="185"/>
        </w:trPr>
        <w:tc>
          <w:tcPr>
            <w:tcW w:w="4460" w:type="dxa"/>
            <w:vAlign w:val="bottom"/>
          </w:tcPr>
          <w:p>
            <w:pPr>
              <w:spacing w:after="0"/>
              <w:rPr>
                <w:sz w:val="20"/>
                <w:szCs w:val="20"/>
                <w:color w:val="auto"/>
              </w:rPr>
            </w:pPr>
            <w:r>
              <w:rPr>
                <w:rFonts w:ascii="Courier New" w:cs="Courier New" w:eastAsia="Courier New" w:hAnsi="Courier New"/>
                <w:sz w:val="16"/>
                <w:szCs w:val="16"/>
                <w:color w:val="auto"/>
              </w:rPr>
              <w:t>Pension and postretirement benefits</w:t>
            </w:r>
          </w:p>
        </w:tc>
        <w:tc>
          <w:tcPr>
            <w:tcW w:w="212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23.0</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20.7</w:t>
            </w:r>
          </w:p>
        </w:tc>
      </w:tr>
      <w:tr>
        <w:trPr>
          <w:trHeight w:val="185"/>
        </w:trPr>
        <w:tc>
          <w:tcPr>
            <w:tcW w:w="4460" w:type="dxa"/>
            <w:vAlign w:val="bottom"/>
          </w:tcPr>
          <w:p>
            <w:pPr>
              <w:spacing w:after="0"/>
              <w:rPr>
                <w:sz w:val="20"/>
                <w:szCs w:val="20"/>
                <w:color w:val="auto"/>
              </w:rPr>
            </w:pPr>
            <w:r>
              <w:rPr>
                <w:rFonts w:ascii="Courier New" w:cs="Courier New" w:eastAsia="Courier New" w:hAnsi="Courier New"/>
                <w:sz w:val="16"/>
                <w:szCs w:val="16"/>
                <w:color w:val="auto"/>
              </w:rPr>
              <w:t>Net operating losses and other</w:t>
            </w:r>
          </w:p>
        </w:tc>
        <w:tc>
          <w:tcPr>
            <w:tcW w:w="212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23.7</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14.7</w:t>
            </w:r>
          </w:p>
        </w:tc>
      </w:tr>
      <w:tr>
        <w:trPr>
          <w:trHeight w:val="185"/>
        </w:trPr>
        <w:tc>
          <w:tcPr>
            <w:tcW w:w="4460" w:type="dxa"/>
            <w:vAlign w:val="bottom"/>
          </w:tcPr>
          <w:p>
            <w:pPr>
              <w:spacing w:after="0"/>
              <w:rPr>
                <w:sz w:val="20"/>
                <w:szCs w:val="20"/>
                <w:color w:val="auto"/>
              </w:rPr>
            </w:pPr>
            <w:r>
              <w:rPr>
                <w:rFonts w:ascii="Courier New" w:cs="Courier New" w:eastAsia="Courier New" w:hAnsi="Courier New"/>
                <w:sz w:val="16"/>
                <w:szCs w:val="16"/>
                <w:color w:val="auto"/>
              </w:rPr>
              <w:t>Valuation allowance</w:t>
            </w:r>
          </w:p>
        </w:tc>
        <w:tc>
          <w:tcPr>
            <w:tcW w:w="21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(25.3)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(24.6)</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5761"/>
        <w:spacing w:after="0"/>
        <w:tabs>
          <w:tab w:leader="none" w:pos="7181" w:val="left"/>
        </w:tabs>
        <w:rPr>
          <w:sz w:val="20"/>
          <w:szCs w:val="20"/>
          <w:color w:val="auto"/>
        </w:rPr>
      </w:pPr>
      <w:r>
        <w:rPr>
          <w:rFonts w:ascii="Courier New" w:cs="Courier New" w:eastAsia="Courier New" w:hAnsi="Courier New"/>
          <w:sz w:val="16"/>
          <w:szCs w:val="16"/>
          <w:color w:val="auto"/>
        </w:rPr>
        <w:t>45.7</w:t>
      </w:r>
      <w:r>
        <w:rPr>
          <w:sz w:val="20"/>
          <w:szCs w:val="20"/>
          <w:color w:val="auto"/>
        </w:rPr>
        <w:tab/>
      </w:r>
      <w:r>
        <w:rPr>
          <w:rFonts w:ascii="Courier New" w:cs="Courier New" w:eastAsia="Courier New" w:hAnsi="Courier New"/>
          <w:sz w:val="15"/>
          <w:szCs w:val="15"/>
          <w:color w:val="auto"/>
        </w:rPr>
        <w:t>40.4</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980" w:type="dxa"/>
            <w:vAlign w:val="bottom"/>
          </w:tcPr>
          <w:p>
            <w:pPr>
              <w:spacing w:after="0"/>
              <w:rPr>
                <w:sz w:val="20"/>
                <w:szCs w:val="20"/>
                <w:color w:val="auto"/>
              </w:rPr>
            </w:pPr>
            <w:r>
              <w:rPr>
                <w:rFonts w:ascii="Courier New" w:cs="Courier New" w:eastAsia="Courier New" w:hAnsi="Courier New"/>
                <w:sz w:val="16"/>
                <w:szCs w:val="16"/>
                <w:color w:val="auto"/>
              </w:rPr>
              <w:t>Total future tax benefits</w:t>
            </w:r>
          </w:p>
        </w:tc>
        <w:tc>
          <w:tcPr>
            <w:tcW w:w="26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$114.5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$92.4</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right="3019" w:firstLine="961"/>
        <w:spacing w:after="0" w:line="242" w:lineRule="auto"/>
        <w:rPr>
          <w:sz w:val="20"/>
          <w:szCs w:val="20"/>
          <w:color w:val="auto"/>
        </w:rPr>
      </w:pPr>
      <w:r>
        <w:rPr>
          <w:rFonts w:ascii="Courier New" w:cs="Courier New" w:eastAsia="Courier New" w:hAnsi="Courier New"/>
          <w:sz w:val="16"/>
          <w:szCs w:val="16"/>
          <w:color w:val="auto"/>
        </w:rPr>
        <w:t>The noncurrent future income tax benefits have been classified as Other assets in the Consolidated Balance Sheets.</w:t>
      </w:r>
    </w:p>
    <w:p>
      <w:pPr>
        <w:spacing w:after="0" w:line="189" w:lineRule="exact"/>
        <w:rPr>
          <w:sz w:val="20"/>
          <w:szCs w:val="20"/>
          <w:color w:val="auto"/>
        </w:rPr>
      </w:pPr>
    </w:p>
    <w:p>
      <w:pPr>
        <w:ind w:left="1" w:right="2539" w:firstLine="961"/>
        <w:spacing w:after="0" w:line="244" w:lineRule="auto"/>
        <w:rPr>
          <w:sz w:val="20"/>
          <w:szCs w:val="20"/>
          <w:color w:val="auto"/>
        </w:rPr>
      </w:pPr>
      <w:r>
        <w:rPr>
          <w:rFonts w:ascii="Courier New" w:cs="Courier New" w:eastAsia="Courier New" w:hAnsi="Courier New"/>
          <w:sz w:val="16"/>
          <w:szCs w:val="16"/>
          <w:color w:val="auto"/>
        </w:rPr>
        <w:t>The Company has U.S. Federal and foreign net operating loss carryforwards totaling $77.2 that expire as follows: 2001 - $.3, 2002 - $.2, 2003 - $.8, 2004 - $3.1, 2005 - $15.0, 2006 and thereafter - $23.0 and $34.8 with no expiration. The Company has U.S. State net operating loss carryforwards totaling $180.2 that expire as follows:2004 - $71.2, 2005 - $68.2, 2006 and thereafter - $40.8. The Company has recorded a deferred tax asset of $37.8 at December 31, 2000, for the benefit of these net operating losses. Realization of this asset is dependent on generating sufficient taxable income prior to the expiration of the loss carryforwards. A valuation allowance of $22.1 has been recorded at December 31, 2000, as management believes that realization of certain loss carryforwards is unlikely.</w:t>
      </w:r>
    </w:p>
    <w:p>
      <w:pPr>
        <w:spacing w:after="0" w:line="190" w:lineRule="exact"/>
        <w:rPr>
          <w:sz w:val="20"/>
          <w:szCs w:val="20"/>
          <w:color w:val="auto"/>
        </w:rPr>
      </w:pPr>
    </w:p>
    <w:p>
      <w:pPr>
        <w:ind w:left="1" w:right="2719" w:firstLine="961"/>
        <w:spacing w:after="0" w:line="244" w:lineRule="auto"/>
        <w:rPr>
          <w:sz w:val="20"/>
          <w:szCs w:val="20"/>
          <w:color w:val="auto"/>
        </w:rPr>
      </w:pPr>
      <w:r>
        <w:rPr>
          <w:rFonts w:ascii="Courier New" w:cs="Courier New" w:eastAsia="Courier New" w:hAnsi="Courier New"/>
          <w:sz w:val="16"/>
          <w:szCs w:val="16"/>
          <w:color w:val="auto"/>
        </w:rPr>
        <w:t>Pretax income of foreign operations was $222.9, $169.1 and $145.2 in 2000, 1999 and 1998, respectively. United States income taxes have not been provided on unremitted earnings of foreign subsidiaries that are considered to be permanently invested. If such earnings were remitted, foreign tax credits would substantially offset any resulting United States income tax. At December 31, 2000, the estimated amount of unremitted earnings of the foreign subsidiaries totaled $644.6.</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4. ACCOUNTS RECEIVABLE SECURITIZATION</w:t>
      </w:r>
    </w:p>
    <w:p>
      <w:pPr>
        <w:spacing w:after="0" w:line="190"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The Company and certain of its U.S. subsidiaries entered into an agreement (the "Receivables Facility") in December 1998 with a financial institution whereby it sells on a continuous basis an undivided interest in all eligible trade accounts receivable. In December 2000, the Company extended the agreement to expire in December 2001 and the agreement may be extended further with the financial institution's consent. Pursuant to</w:t>
      </w:r>
    </w:p>
    <w:p>
      <w:pPr>
        <w:spacing w:after="0" w:line="186" w:lineRule="exact"/>
        <w:rPr>
          <w:sz w:val="20"/>
          <w:szCs w:val="20"/>
          <w:color w:val="auto"/>
        </w:rPr>
      </w:pPr>
    </w:p>
    <w:p>
      <w:pPr>
        <w:ind w:left="1"/>
        <w:spacing w:after="0"/>
        <w:tabs>
          <w:tab w:leader="none" w:pos="6421" w:val="left"/>
        </w:tabs>
        <w:rPr>
          <w:sz w:val="20"/>
          <w:szCs w:val="20"/>
          <w:color w:val="auto"/>
        </w:rPr>
      </w:pPr>
      <w:r>
        <w:rPr>
          <w:rFonts w:ascii="Courier New" w:cs="Courier New" w:eastAsia="Courier New" w:hAnsi="Courier New"/>
          <w:sz w:val="16"/>
          <w:szCs w:val="16"/>
          <w:color w:val="auto"/>
        </w:rPr>
        <w:t>84</w:t>
      </w:r>
      <w:r>
        <w:rPr>
          <w:sz w:val="20"/>
          <w:szCs w:val="20"/>
          <w:color w:val="auto"/>
        </w:rPr>
        <w:tab/>
      </w:r>
      <w:r>
        <w:rPr>
          <w:rFonts w:ascii="Courier New" w:cs="Courier New" w:eastAsia="Courier New" w:hAnsi="Courier New"/>
          <w:sz w:val="16"/>
          <w:szCs w:val="16"/>
          <w:color w:val="auto"/>
        </w:rPr>
        <w:t>Manpower Inc.</w:t>
      </w:r>
    </w:p>
    <w:p>
      <w:pPr>
        <w:sectPr>
          <w:pgSz w:w="11900" w:h="16838" w:orient="portrait"/>
          <w:cols w:equalWidth="0" w:num="1">
            <w:col w:w="10221"/>
          </w:cols>
          <w:pgMar w:left="239" w:top="300" w:right="1440" w:bottom="1440" w:gutter="0" w:footer="0" w:header="0"/>
        </w:sectPr>
      </w:pPr>
    </w:p>
    <w:bookmarkStart w:id="77" w:name="page78"/>
    <w:bookmarkEnd w:id="77"/>
    <w:p>
      <w:pPr>
        <w:ind w:left="280"/>
        <w:spacing w:after="0"/>
        <w:rPr>
          <w:sz w:val="20"/>
          <w:szCs w:val="20"/>
          <w:color w:val="auto"/>
        </w:rPr>
      </w:pPr>
      <w:r>
        <w:rPr>
          <w:rFonts w:ascii="Courier New" w:cs="Courier New" w:eastAsia="Courier New" w:hAnsi="Courier New"/>
          <w:sz w:val="16"/>
          <w:szCs w:val="16"/>
          <w:color w:val="auto"/>
        </w:rPr>
        <w:t>59</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Receivables Facility, the Company formed Ironwood Capital Corporation, a wholly owned, special purpose, bankruptcy-remote subsidiary ("ICC"). ICC was formed for the sole purpose of buying and selling receivables generated by the Company and certain subsidiaries of the Company. Under the Receivables Facility, the Company and certain subsidiaries, irrevocably and without recourse, transfer all of their accounts receivable to ICC. ICC, in turn, has sold and, subject to certain conditions, may from time to time sell an undivided interest in these receivables and is permitted to receive advances of up to $200.0 for the sale of such undivided interest.</w:t>
      </w:r>
    </w:p>
    <w:p>
      <w:pPr>
        <w:spacing w:after="0" w:line="189"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color w:val="auto"/>
        </w:rPr>
        <w:t>This two-step transaction is accounted for as a sale of receivables under the provisions of SFAS No. 125, "Accounting for Transfers and Servicing of Financial Assets and Extinguishment of Liabilities." There was $145.0 and $200.0 advanced under the Receivables Facility at December 31, 2000 and 1999, respectively, and accordingly, that amount of accounts receivable has been removed from the Consolidated Balance Sheets. Costs associated with the sale of receivables, primarily related to the discount and loss on sale, were $9.8, $9.8 and $.7 in 2000, 1999 and 1998, respectively, and are included in Other expenses in the Consolidated Statements of Operations.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WRITE-DOWN OF CAPITALIZED SOFTWARE</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In December 1998, in accordance with its ongoing review of capitalized software, the Company recorded a $92.1 ($57.1 after tax, or $.70 per share on a diluted basis) non-cash charge to write off the carrying value of software costs and certain hardware and network infrastructure costs related to the development of a complex and proprietary information system for its North American branch office administration, invoicing and payroll processing. This comprehensive information system had been under development for several years and portions of the system were in field-testing and deployment.</w:t>
      </w:r>
    </w:p>
    <w:p>
      <w:pPr>
        <w:spacing w:after="0" w:line="189"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color w:val="auto"/>
        </w:rPr>
        <w:t>After a period of field testing, management and the Board of Directors decided in December 1998 that it was necessary to significantly alter the technological architecture of the system in order to reduce ongoing support, maintenance and communications costs. This decision required the application software under development to be abandoned and a new application to be purchased or developed for the new architecture. In addition to the developed software, certain hardware, network infrastructure and software licenses were also abandoned as a result of the change in system architecture. The non-cash charge included the costs of abandoning all of these assets.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DEBT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Information concerning short-term borrowings at December 31 is as follows:</w:t>
      </w:r>
    </w:p>
    <w:p>
      <w:pPr>
        <w:spacing w:after="0" w:line="188" w:lineRule="exact"/>
        <w:rPr>
          <w:sz w:val="20"/>
          <w:szCs w:val="20"/>
          <w:color w:val="auto"/>
        </w:rPr>
      </w:pPr>
    </w:p>
    <w:p>
      <w:pPr>
        <w:ind w:left="5380"/>
        <w:spacing w:after="0"/>
        <w:tabs>
          <w:tab w:leader="none" w:pos="7180"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20" w:type="dxa"/>
            <w:vAlign w:val="bottom"/>
          </w:tcPr>
          <w:p>
            <w:pPr>
              <w:spacing w:after="0"/>
              <w:rPr>
                <w:sz w:val="20"/>
                <w:szCs w:val="20"/>
                <w:color w:val="auto"/>
              </w:rPr>
            </w:pPr>
            <w:r>
              <w:rPr>
                <w:rFonts w:ascii="Courier New" w:cs="Courier New" w:eastAsia="Courier New" w:hAnsi="Courier New"/>
                <w:sz w:val="16"/>
                <w:szCs w:val="16"/>
                <w:color w:val="auto"/>
              </w:rPr>
              <w:t>Payable</w:t>
            </w:r>
          </w:p>
        </w:tc>
        <w:tc>
          <w:tcPr>
            <w:tcW w:w="2880" w:type="dxa"/>
            <w:vAlign w:val="bottom"/>
          </w:tcPr>
          <w:p>
            <w:pPr>
              <w:ind w:left="40"/>
              <w:spacing w:after="0"/>
              <w:rPr>
                <w:sz w:val="20"/>
                <w:szCs w:val="20"/>
                <w:color w:val="auto"/>
              </w:rPr>
            </w:pPr>
            <w:r>
              <w:rPr>
                <w:rFonts w:ascii="Courier New" w:cs="Courier New" w:eastAsia="Courier New" w:hAnsi="Courier New"/>
                <w:sz w:val="16"/>
                <w:szCs w:val="16"/>
                <w:color w:val="auto"/>
              </w:rPr>
              <w:t>to banks</w:t>
            </w:r>
          </w:p>
        </w:tc>
        <w:tc>
          <w:tcPr>
            <w:tcW w:w="27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  60.7</w:t>
            </w: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127.9</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Average</w:t>
            </w:r>
          </w:p>
        </w:tc>
        <w:tc>
          <w:tcPr>
            <w:tcW w:w="2880" w:type="dxa"/>
            <w:vAlign w:val="bottom"/>
          </w:tcPr>
          <w:p>
            <w:pPr>
              <w:ind w:left="40"/>
              <w:spacing w:after="0"/>
              <w:rPr>
                <w:sz w:val="20"/>
                <w:szCs w:val="20"/>
                <w:color w:val="auto"/>
              </w:rPr>
            </w:pPr>
            <w:r>
              <w:rPr>
                <w:rFonts w:ascii="Courier New" w:cs="Courier New" w:eastAsia="Courier New" w:hAnsi="Courier New"/>
                <w:sz w:val="16"/>
                <w:szCs w:val="16"/>
                <w:color w:val="auto"/>
              </w:rPr>
              <w:t>interest rates</w:t>
            </w:r>
          </w:p>
        </w:tc>
        <w:tc>
          <w:tcPr>
            <w:tcW w:w="27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6.6%</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right="2819" w:firstLine="961"/>
        <w:spacing w:after="0" w:line="244" w:lineRule="auto"/>
        <w:rPr>
          <w:sz w:val="20"/>
          <w:szCs w:val="20"/>
          <w:color w:val="auto"/>
        </w:rPr>
      </w:pPr>
      <w:r>
        <w:rPr>
          <w:rFonts w:ascii="Courier New" w:cs="Courier New" w:eastAsia="Courier New" w:hAnsi="Courier New"/>
          <w:sz w:val="16"/>
          <w:szCs w:val="16"/>
          <w:color w:val="auto"/>
        </w:rPr>
        <w:t>The Company and some of its foreign subsidiaries maintain lines of credit with foreign financial institutions to meet short-term working capital needs. Such lines totaled $205.1 at December 31, 2000, of which $144.4 was unused. The Company has no significant compensating balance requirements or commitment fees related to these lines.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80" w:type="dxa"/>
            <w:vAlign w:val="bottom"/>
          </w:tcPr>
          <w:p>
            <w:pPr>
              <w:spacing w:after="0"/>
              <w:rPr>
                <w:sz w:val="20"/>
                <w:szCs w:val="20"/>
                <w:color w:val="auto"/>
              </w:rPr>
            </w:pPr>
            <w:r>
              <w:rPr>
                <w:rFonts w:ascii="Courier New" w:cs="Courier New" w:eastAsia="Courier New" w:hAnsi="Courier New"/>
                <w:sz w:val="16"/>
                <w:szCs w:val="16"/>
                <w:color w:val="auto"/>
              </w:rPr>
              <w:t>Manpower Inc.</w:t>
            </w:r>
          </w:p>
        </w:tc>
        <w:tc>
          <w:tcPr>
            <w:tcW w:w="3300" w:type="dxa"/>
            <w:vAlign w:val="bottom"/>
          </w:tcPr>
          <w:p>
            <w:pPr>
              <w:jc w:val="right"/>
              <w:spacing w:after="0"/>
              <w:rPr>
                <w:sz w:val="20"/>
                <w:szCs w:val="20"/>
                <w:color w:val="auto"/>
              </w:rPr>
            </w:pPr>
            <w:r>
              <w:rPr>
                <w:rFonts w:ascii="Courier New" w:cs="Courier New" w:eastAsia="Courier New" w:hAnsi="Courier New"/>
                <w:sz w:val="16"/>
                <w:szCs w:val="16"/>
                <w:color w:val="auto"/>
              </w:rPr>
              <w:t>85</w:t>
            </w:r>
          </w:p>
        </w:tc>
      </w:tr>
    </w:tbl>
    <w:p>
      <w:pPr>
        <w:sectPr>
          <w:pgSz w:w="11900" w:h="16838" w:orient="portrait"/>
          <w:cols w:equalWidth="0" w:num="1">
            <w:col w:w="10219"/>
          </w:cols>
          <w:pgMar w:left="240" w:top="300" w:right="1440" w:bottom="1440" w:gutter="0" w:footer="0" w:header="0"/>
        </w:sectPr>
      </w:pPr>
    </w:p>
    <w:bookmarkStart w:id="78" w:name="page79"/>
    <w:bookmarkEnd w:id="78"/>
    <w:p>
      <w:pPr>
        <w:ind w:left="281"/>
        <w:spacing w:after="0"/>
        <w:rPr>
          <w:sz w:val="20"/>
          <w:szCs w:val="20"/>
          <w:color w:val="auto"/>
        </w:rPr>
      </w:pPr>
      <w:r>
        <w:rPr>
          <w:rFonts w:ascii="Courier New" w:cs="Courier New" w:eastAsia="Courier New" w:hAnsi="Courier New"/>
          <w:sz w:val="16"/>
          <w:szCs w:val="16"/>
          <w:color w:val="auto"/>
        </w:rPr>
        <w:t>60</w:t>
      </w:r>
    </w:p>
    <w:p>
      <w:pPr>
        <w:spacing w:after="0" w:line="188"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(in millions, except share data)</w:t>
      </w:r>
    </w:p>
    <w:p>
      <w:pPr>
        <w:spacing w:after="0" w:line="188"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A summary of Long-term debt at December 31 is as follows:</w:t>
      </w:r>
    </w:p>
    <w:p>
      <w:pPr>
        <w:spacing w:after="0" w:line="200" w:lineRule="exact"/>
        <w:rPr>
          <w:sz w:val="20"/>
          <w:szCs w:val="20"/>
          <w:color w:val="auto"/>
        </w:rPr>
      </w:pPr>
    </w:p>
    <w:p>
      <w:pPr>
        <w:spacing w:after="0" w:line="358" w:lineRule="exact"/>
        <w:rPr>
          <w:sz w:val="20"/>
          <w:szCs w:val="20"/>
          <w:color w:val="auto"/>
        </w:rPr>
      </w:pPr>
    </w:p>
    <w:p>
      <w:pPr>
        <w:ind w:left="7401"/>
        <w:spacing w:after="0"/>
        <w:tabs>
          <w:tab w:leader="none" w:pos="8441"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 ---------------------------------------------------------------------------------------------</w:t>
      </w:r>
    </w:p>
    <w:p>
      <w:pPr>
        <w:spacing w:after="0" w:line="19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220" w:type="dxa"/>
            <w:vAlign w:val="bottom"/>
          </w:tcPr>
          <w:p>
            <w:pPr>
              <w:spacing w:after="0"/>
              <w:rPr>
                <w:sz w:val="20"/>
                <w:szCs w:val="20"/>
                <w:color w:val="auto"/>
              </w:rPr>
            </w:pPr>
            <w:r>
              <w:rPr>
                <w:rFonts w:ascii="Courier New" w:cs="Courier New" w:eastAsia="Courier New" w:hAnsi="Courier New"/>
                <w:sz w:val="16"/>
                <w:szCs w:val="16"/>
                <w:color w:val="auto"/>
              </w:rPr>
              <w:t>Euro denominated notes, at a rate</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3280" w:type="dxa"/>
            <w:vAlign w:val="bottom"/>
          </w:tcPr>
          <w:p>
            <w:pPr>
              <w:ind w:left="60"/>
              <w:spacing w:after="0"/>
              <w:rPr>
                <w:sz w:val="20"/>
                <w:szCs w:val="20"/>
                <w:color w:val="auto"/>
              </w:rPr>
            </w:pPr>
            <w:r>
              <w:rPr>
                <w:rFonts w:ascii="Courier New" w:cs="Courier New" w:eastAsia="Courier New" w:hAnsi="Courier New"/>
                <w:sz w:val="16"/>
                <w:szCs w:val="16"/>
                <w:color w:val="auto"/>
              </w:rPr>
              <w:t>5.7%</w:t>
            </w:r>
          </w:p>
        </w:tc>
        <w:tc>
          <w:tcPr>
            <w:tcW w:w="1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  188.0</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  201.2</w:t>
            </w: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Euro denominated notes, at a rate</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3280" w:type="dxa"/>
            <w:vAlign w:val="bottom"/>
          </w:tcPr>
          <w:p>
            <w:pPr>
              <w:ind w:left="60"/>
              <w:spacing w:after="0"/>
              <w:rPr>
                <w:sz w:val="20"/>
                <w:szCs w:val="20"/>
                <w:color w:val="auto"/>
              </w:rPr>
            </w:pPr>
            <w:r>
              <w:rPr>
                <w:rFonts w:ascii="Courier New" w:cs="Courier New" w:eastAsia="Courier New" w:hAnsi="Courier New"/>
                <w:sz w:val="16"/>
                <w:szCs w:val="16"/>
                <w:color w:val="auto"/>
              </w:rPr>
              <w:t>6.3%</w:t>
            </w:r>
          </w:p>
        </w:tc>
        <w:tc>
          <w:tcPr>
            <w:tcW w:w="1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141.0</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Commercial paper, maturing within</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90</w:t>
            </w:r>
          </w:p>
        </w:tc>
        <w:tc>
          <w:tcPr>
            <w:tcW w:w="3280" w:type="dxa"/>
            <w:vAlign w:val="bottom"/>
          </w:tcPr>
          <w:p>
            <w:pPr>
              <w:ind w:left="60"/>
              <w:spacing w:after="0"/>
              <w:rPr>
                <w:sz w:val="20"/>
                <w:szCs w:val="20"/>
                <w:color w:val="auto"/>
              </w:rPr>
            </w:pPr>
            <w:r>
              <w:rPr>
                <w:rFonts w:ascii="Courier New" w:cs="Courier New" w:eastAsia="Courier New" w:hAnsi="Courier New"/>
                <w:sz w:val="16"/>
                <w:szCs w:val="16"/>
                <w:color w:val="auto"/>
              </w:rPr>
              <w:t>days, at average</w:t>
            </w: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678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interest rates of 7.0% and 6.3%, respectively</w:t>
            </w:r>
          </w:p>
        </w:tc>
        <w:tc>
          <w:tcPr>
            <w:tcW w:w="1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4.6</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14.8</w:t>
            </w: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Revolving credit agreement:</w:t>
            </w:r>
          </w:p>
        </w:tc>
        <w:tc>
          <w:tcPr>
            <w:tcW w:w="2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678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Euro denominated borrowings, at a rate of 5.4%</w:t>
            </w:r>
          </w:p>
        </w:tc>
        <w:tc>
          <w:tcPr>
            <w:tcW w:w="1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83.7</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78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Yen denominated borrowings, at a rate of 1.4% and .5%, respectively</w:t>
            </w:r>
          </w:p>
        </w:tc>
        <w:tc>
          <w:tcPr>
            <w:tcW w:w="1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54.7</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38.7</w:t>
            </w:r>
          </w:p>
        </w:tc>
      </w:tr>
      <w:tr>
        <w:trPr>
          <w:trHeight w:val="185"/>
        </w:trPr>
        <w:tc>
          <w:tcPr>
            <w:tcW w:w="678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U.S. dollar denominated borrowings, at a rate of 6.4%</w:t>
            </w:r>
          </w:p>
        </w:tc>
        <w:tc>
          <w:tcPr>
            <w:tcW w:w="1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95.0</w:t>
            </w: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2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24.8</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11.4</w:t>
            </w:r>
          </w:p>
        </w:tc>
      </w:tr>
    </w:tbl>
    <w:p>
      <w:pPr>
        <w:spacing w:after="0" w:line="5" w:lineRule="exact"/>
        <w:rPr>
          <w:sz w:val="20"/>
          <w:szCs w:val="20"/>
          <w:color w:val="auto"/>
        </w:rPr>
      </w:pPr>
    </w:p>
    <w:p>
      <w:pPr>
        <w:ind w:left="201" w:hanging="201"/>
        <w:spacing w:after="0"/>
        <w:tabs>
          <w:tab w:leader="none" w:pos="201"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730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496.8361.1</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900" w:type="dxa"/>
            <w:vAlign w:val="bottom"/>
          </w:tcPr>
          <w:p>
            <w:pPr>
              <w:spacing w:after="0"/>
              <w:rPr>
                <w:sz w:val="20"/>
                <w:szCs w:val="20"/>
                <w:color w:val="auto"/>
              </w:rPr>
            </w:pPr>
            <w:r>
              <w:rPr>
                <w:rFonts w:ascii="Courier New" w:cs="Courier New" w:eastAsia="Courier New" w:hAnsi="Courier New"/>
                <w:sz w:val="16"/>
                <w:szCs w:val="16"/>
                <w:color w:val="auto"/>
              </w:rPr>
              <w:t>Less--Current maturities</w:t>
            </w:r>
          </w:p>
        </w:tc>
        <w:tc>
          <w:tcPr>
            <w:tcW w:w="3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5.2</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r>
    </w:tbl>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 ---------------------------------------------------------------------------------------------</w:t>
      </w:r>
    </w:p>
    <w:p>
      <w:pPr>
        <w:spacing w:after="0" w:line="13"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18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37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  491.6</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  357.5</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ind w:left="1" w:right="2639"/>
        <w:spacing w:after="0" w:line="243" w:lineRule="auto"/>
        <w:rPr>
          <w:sz w:val="20"/>
          <w:szCs w:val="20"/>
          <w:color w:val="auto"/>
        </w:rPr>
      </w:pPr>
      <w:r>
        <w:rPr>
          <w:rFonts w:ascii="Courier New" w:cs="Courier New" w:eastAsia="Courier New" w:hAnsi="Courier New"/>
          <w:sz w:val="16"/>
          <w:szCs w:val="16"/>
          <w:color w:val="auto"/>
        </w:rPr>
        <w:t>EURO NOTES In March 2000, the Company issued Euro 150.0 in unsecured notes due March 2005. Net proceeds of $143.1 from the issuance were used to repay amounts under the Company's unsecured revolving credit agreement.</w:t>
      </w:r>
    </w:p>
    <w:p>
      <w:pPr>
        <w:spacing w:after="0" w:line="189" w:lineRule="exact"/>
        <w:rPr>
          <w:sz w:val="20"/>
          <w:szCs w:val="20"/>
          <w:color w:val="auto"/>
        </w:rPr>
      </w:pPr>
    </w:p>
    <w:p>
      <w:pPr>
        <w:ind w:left="1" w:right="2639" w:firstLine="961"/>
        <w:spacing w:after="0" w:line="243" w:lineRule="auto"/>
        <w:rPr>
          <w:sz w:val="20"/>
          <w:szCs w:val="20"/>
          <w:color w:val="auto"/>
        </w:rPr>
      </w:pPr>
      <w:r>
        <w:rPr>
          <w:rFonts w:ascii="Courier New" w:cs="Courier New" w:eastAsia="Courier New" w:hAnsi="Courier New"/>
          <w:sz w:val="16"/>
          <w:szCs w:val="16"/>
          <w:color w:val="auto"/>
        </w:rPr>
        <w:t>In July 1999, the Company issued Euro 200.0 in unsecured notes due July 2006. Net proceeds of $200.9 from the issuance of these notes were used to repay amounts under the Company's unsecured revolving credit agreement and commercial paper program.</w:t>
      </w:r>
    </w:p>
    <w:p>
      <w:pPr>
        <w:spacing w:after="0" w:line="190"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REVOLVING CREDIT AGREEMENTS The Company has a $415.0 unsecured revolving credit agreement that allows for borrowings in various currencies and includes a $90.0 commitment to be used exclusively for standby letters of credit. Outstanding letters of credit totaled $62.1 and $57.9 as of December 31, 2000 and 1999, respectively. Additional borrowings of $182.0 were available to the Company under this agreement at December 31, 2000.</w:t>
      </w:r>
    </w:p>
    <w:p>
      <w:pPr>
        <w:spacing w:after="0" w:line="188" w:lineRule="exact"/>
        <w:rPr>
          <w:sz w:val="20"/>
          <w:szCs w:val="20"/>
          <w:color w:val="auto"/>
        </w:rPr>
      </w:pPr>
    </w:p>
    <w:p>
      <w:pPr>
        <w:ind w:left="1" w:right="2539" w:firstLine="961"/>
        <w:spacing w:after="0" w:line="244" w:lineRule="auto"/>
        <w:rPr>
          <w:sz w:val="20"/>
          <w:szCs w:val="20"/>
          <w:color w:val="auto"/>
        </w:rPr>
      </w:pPr>
      <w:r>
        <w:rPr>
          <w:rFonts w:ascii="Courier New" w:cs="Courier New" w:eastAsia="Courier New" w:hAnsi="Courier New"/>
          <w:sz w:val="16"/>
          <w:szCs w:val="16"/>
          <w:color w:val="auto"/>
        </w:rPr>
        <w:t>The interest rate and facility fee on the entire line and the issuance fee on the letter of credit commitment related to this agreement vary based on the Company's debt rating and borrowing level. Currently, the interest rate is LIBOR plus .215%, and the fees are .14% and .215%, respectively. The facility matures in November 2002, and may be increased to a maximum of $500.0 or extended for an additional year with the lenders' consent. The agreement requires, among other things, that the Company comply with minimum interest coverage and debt-to-capitalization ratios and a maximum subsidiary debt level.</w:t>
      </w:r>
    </w:p>
    <w:p>
      <w:pPr>
        <w:spacing w:after="0" w:line="189" w:lineRule="exact"/>
        <w:rPr>
          <w:sz w:val="20"/>
          <w:szCs w:val="20"/>
          <w:color w:val="auto"/>
        </w:rPr>
      </w:pPr>
    </w:p>
    <w:p>
      <w:pPr>
        <w:ind w:left="1" w:right="2539" w:firstLine="961"/>
        <w:spacing w:after="0" w:line="244" w:lineRule="auto"/>
        <w:rPr>
          <w:sz w:val="20"/>
          <w:szCs w:val="20"/>
          <w:color w:val="auto"/>
        </w:rPr>
      </w:pPr>
      <w:r>
        <w:rPr>
          <w:rFonts w:ascii="Courier New" w:cs="Courier New" w:eastAsia="Courier New" w:hAnsi="Courier New"/>
          <w:sz w:val="16"/>
          <w:szCs w:val="16"/>
          <w:color w:val="auto"/>
        </w:rPr>
        <w:t>The Company also has a $300.0 unsecured revolving credit agreement. The interest rate and facility fee on the entire line and the participation fee vary based on the Company's debt rating and borrowing level. Currently, the fees are .10% and .25%, respectively. The facility was extended in November 2000 to expire in November 2001, and may be extended for an additional year with the lenders' consent. This agreement has similar restrictive covenants to the Company's $415.0 revolving credit agreement. As of December 31, 2000, the Company had no borrowings under this agreement.</w:t>
      </w:r>
    </w:p>
    <w:p>
      <w:pPr>
        <w:spacing w:after="0" w:line="189"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INTEREST RATE SWAPS In June 2000, the Company entered into various interest rate swap agreements in order to fix its interest costs on a portion of its Euro and Yen denominated variable rate borrowings. The Euro interest rate swap agreements have a notional value of Euro 100.0 ($94.0) and expire in 2010. The Yen interest rate swap agreement has a notional value of (Y)4,000.0 ($35.0) and expires in 2003. These swap agreements have had an immaterial impact on the recorded interest expense during 2000.</w:t>
      </w:r>
    </w:p>
    <w:p>
      <w:pPr>
        <w:spacing w:after="0" w:line="188" w:lineRule="exact"/>
        <w:rPr>
          <w:sz w:val="20"/>
          <w:szCs w:val="20"/>
          <w:color w:val="auto"/>
        </w:rPr>
      </w:pPr>
    </w:p>
    <w:p>
      <w:pPr>
        <w:ind w:left="1" w:right="2539" w:firstLine="961"/>
        <w:spacing w:after="0" w:line="243" w:lineRule="auto"/>
        <w:rPr>
          <w:sz w:val="20"/>
          <w:szCs w:val="20"/>
          <w:color w:val="auto"/>
        </w:rPr>
      </w:pPr>
      <w:r>
        <w:rPr>
          <w:rFonts w:ascii="Courier New" w:cs="Courier New" w:eastAsia="Courier New" w:hAnsi="Courier New"/>
          <w:sz w:val="16"/>
          <w:szCs w:val="16"/>
          <w:color w:val="auto"/>
        </w:rPr>
        <w:t>The Company also had an interest rate swap agreement that expired in January 2001. Throughout 2000, this agreement fixed the interest rate at 6.0% on $50.0 of the Company's U.S. dollar-based borrowings. This swap agreement had an immaterial impact on the recorded interest expense during 2000 and 1999.</w:t>
      </w:r>
    </w:p>
    <w:p>
      <w:pPr>
        <w:spacing w:after="0" w:line="188" w:lineRule="exact"/>
        <w:rPr>
          <w:sz w:val="20"/>
          <w:szCs w:val="20"/>
          <w:color w:val="auto"/>
        </w:rPr>
      </w:pPr>
    </w:p>
    <w:p>
      <w:pPr>
        <w:ind w:left="1"/>
        <w:spacing w:after="0"/>
        <w:tabs>
          <w:tab w:leader="none" w:pos="6421" w:val="left"/>
        </w:tabs>
        <w:rPr>
          <w:sz w:val="20"/>
          <w:szCs w:val="20"/>
          <w:color w:val="auto"/>
        </w:rPr>
      </w:pPr>
      <w:r>
        <w:rPr>
          <w:rFonts w:ascii="Courier New" w:cs="Courier New" w:eastAsia="Courier New" w:hAnsi="Courier New"/>
          <w:sz w:val="16"/>
          <w:szCs w:val="16"/>
          <w:color w:val="auto"/>
        </w:rPr>
        <w:t>86</w:t>
      </w:r>
      <w:r>
        <w:rPr>
          <w:sz w:val="20"/>
          <w:szCs w:val="20"/>
          <w:color w:val="auto"/>
        </w:rPr>
        <w:tab/>
      </w:r>
      <w:r>
        <w:rPr>
          <w:rFonts w:ascii="Courier New" w:cs="Courier New" w:eastAsia="Courier New" w:hAnsi="Courier New"/>
          <w:sz w:val="16"/>
          <w:szCs w:val="16"/>
          <w:color w:val="auto"/>
        </w:rPr>
        <w:t>Manpower Inc.</w:t>
      </w:r>
    </w:p>
    <w:p>
      <w:pPr>
        <w:sectPr>
          <w:pgSz w:w="11900" w:h="16838" w:orient="portrait"/>
          <w:cols w:equalWidth="0" w:num="1">
            <w:col w:w="10221"/>
          </w:cols>
          <w:pgMar w:left="239" w:top="300" w:right="1440" w:bottom="1440" w:gutter="0" w:footer="0" w:header="0"/>
        </w:sectPr>
      </w:pPr>
    </w:p>
    <w:bookmarkStart w:id="79" w:name="page80"/>
    <w:bookmarkEnd w:id="79"/>
    <w:p>
      <w:pPr>
        <w:ind w:left="281"/>
        <w:spacing w:after="0"/>
        <w:rPr>
          <w:sz w:val="20"/>
          <w:szCs w:val="20"/>
          <w:color w:val="auto"/>
        </w:rPr>
      </w:pPr>
      <w:r>
        <w:rPr>
          <w:rFonts w:ascii="Courier New" w:cs="Courier New" w:eastAsia="Courier New" w:hAnsi="Courier New"/>
          <w:sz w:val="16"/>
          <w:szCs w:val="16"/>
          <w:color w:val="auto"/>
        </w:rPr>
        <w:t>61</w:t>
      </w:r>
    </w:p>
    <w:p>
      <w:pPr>
        <w:spacing w:after="0" w:line="190" w:lineRule="exact"/>
        <w:rPr>
          <w:sz w:val="20"/>
          <w:szCs w:val="20"/>
          <w:color w:val="auto"/>
        </w:rPr>
      </w:pPr>
    </w:p>
    <w:p>
      <w:pPr>
        <w:ind w:left="1" w:right="2719"/>
        <w:spacing w:after="0" w:line="244" w:lineRule="auto"/>
        <w:rPr>
          <w:sz w:val="20"/>
          <w:szCs w:val="20"/>
          <w:color w:val="auto"/>
        </w:rPr>
      </w:pPr>
      <w:r>
        <w:rPr>
          <w:rFonts w:ascii="Courier New" w:cs="Courier New" w:eastAsia="Courier New" w:hAnsi="Courier New"/>
          <w:sz w:val="16"/>
          <w:szCs w:val="16"/>
          <w:color w:val="auto"/>
        </w:rPr>
        <w:t>OTHER Due to the availability of long-term financing, commercial paper borrowings have been classified as Long-term debt. The carrying value of Long-term debt approximates fair value, except for the Euro denominated notes, which had a fair value of $327.6 and $191.6 at December 31, 2000 and 1999, respectively.</w:t>
      </w:r>
    </w:p>
    <w:p>
      <w:pPr>
        <w:spacing w:after="0" w:line="187" w:lineRule="exact"/>
        <w:rPr>
          <w:sz w:val="20"/>
          <w:szCs w:val="20"/>
          <w:color w:val="auto"/>
        </w:rPr>
      </w:pPr>
    </w:p>
    <w:p>
      <w:pPr>
        <w:ind w:left="1" w:right="2539" w:firstLine="961"/>
        <w:spacing w:after="0" w:line="260" w:lineRule="auto"/>
        <w:rPr>
          <w:sz w:val="20"/>
          <w:szCs w:val="20"/>
          <w:color w:val="auto"/>
        </w:rPr>
      </w:pPr>
      <w:r>
        <w:rPr>
          <w:rFonts w:ascii="Courier New" w:cs="Courier New" w:eastAsia="Courier New" w:hAnsi="Courier New"/>
          <w:sz w:val="15"/>
          <w:szCs w:val="15"/>
          <w:color w:val="auto"/>
        </w:rPr>
        <w:t>The maturities of long-term debt payable within each of the four years subsequent to December 31, 2001 are as follows: 2002 - $151.6, 2003 - $2.6, 2004</w:t>
      </w:r>
    </w:p>
    <w:p>
      <w:pPr>
        <w:ind w:left="201" w:hanging="201"/>
        <w:spacing w:after="0"/>
        <w:tabs>
          <w:tab w:leader="none" w:pos="20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$7.5 and 2005 - $141.9 and thereafter - $188.0.</w:t>
      </w:r>
    </w:p>
    <w:p>
      <w:pPr>
        <w:spacing w:after="0" w:line="187"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 STOCK COMPENSATION PLANS</w:t>
      </w:r>
    </w:p>
    <w:p>
      <w:pPr>
        <w:spacing w:after="0" w:line="190"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The Company accounts for all of its fixed stock option plans and the 1990 Employee Stock Purchase Plan in accordance with APB Opinion No. 25 and related Interpretations. Accordingly, no compensation cost related to these plans was charged against earnings in 2000, 1999 and 1998. Had the Company determined compensation cost consistent with the method of SFAS No. 123, the Company's Net earnings and Net earnings per share would have been reduced to the pro forma amounts indicated as follows:</w:t>
      </w:r>
    </w:p>
    <w:p>
      <w:pPr>
        <w:spacing w:after="0" w:line="371" w:lineRule="exact"/>
        <w:rPr>
          <w:sz w:val="20"/>
          <w:szCs w:val="20"/>
          <w:color w:val="auto"/>
        </w:rPr>
      </w:pPr>
    </w:p>
    <w:p>
      <w:pPr>
        <w:ind w:left="4701"/>
        <w:spacing w:after="0"/>
        <w:tabs>
          <w:tab w:leader="none" w:pos="6041" w:val="left"/>
          <w:tab w:leader="none" w:pos="7281"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5"/>
          <w:szCs w:val="15"/>
          <w:color w:val="auto"/>
        </w:rPr>
        <w:t>1998</w:t>
      </w:r>
    </w:p>
    <w:p>
      <w:pPr>
        <w:spacing w:after="0" w:line="5" w:lineRule="exact"/>
        <w:rPr>
          <w:sz w:val="20"/>
          <w:szCs w:val="20"/>
          <w:color w:val="auto"/>
        </w:rPr>
      </w:pPr>
    </w:p>
    <w:p>
      <w:pPr>
        <w:ind w:left="201" w:hanging="201"/>
        <w:spacing w:after="0"/>
        <w:tabs>
          <w:tab w:leader="none" w:pos="201"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Net earnings:</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200" w:type="dxa"/>
            <w:vAlign w:val="bottom"/>
          </w:tcPr>
          <w:p>
            <w:pPr>
              <w:ind w:left="100"/>
              <w:spacing w:after="0"/>
              <w:rPr>
                <w:sz w:val="20"/>
                <w:szCs w:val="20"/>
                <w:color w:val="auto"/>
              </w:rPr>
            </w:pPr>
            <w:r>
              <w:rPr>
                <w:rFonts w:ascii="Courier New" w:cs="Courier New" w:eastAsia="Courier New" w:hAnsi="Courier New"/>
                <w:sz w:val="16"/>
                <w:szCs w:val="16"/>
                <w:color w:val="auto"/>
              </w:rPr>
              <w:t>as reported</w:t>
            </w:r>
          </w:p>
        </w:tc>
        <w:tc>
          <w:tcPr>
            <w:tcW w:w="3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171.2</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150.0</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75.7</w:t>
            </w:r>
          </w:p>
        </w:tc>
      </w:tr>
      <w:tr>
        <w:trPr>
          <w:trHeight w:val="185"/>
        </w:trPr>
        <w:tc>
          <w:tcPr>
            <w:tcW w:w="1200" w:type="dxa"/>
            <w:vAlign w:val="bottom"/>
          </w:tcPr>
          <w:p>
            <w:pPr>
              <w:ind w:left="100"/>
              <w:spacing w:after="0"/>
              <w:rPr>
                <w:sz w:val="20"/>
                <w:szCs w:val="20"/>
                <w:color w:val="auto"/>
              </w:rPr>
            </w:pPr>
            <w:r>
              <w:rPr>
                <w:rFonts w:ascii="Courier New" w:cs="Courier New" w:eastAsia="Courier New" w:hAnsi="Courier New"/>
                <w:sz w:val="16"/>
                <w:szCs w:val="16"/>
                <w:color w:val="auto"/>
              </w:rPr>
              <w:t>pro forma</w:t>
            </w:r>
          </w:p>
        </w:tc>
        <w:tc>
          <w:tcPr>
            <w:tcW w:w="3360" w:type="dxa"/>
            <w:vAlign w:val="bottom"/>
          </w:tcPr>
          <w:p>
            <w:pPr>
              <w:spacing w:after="0"/>
              <w:rPr>
                <w:sz w:val="16"/>
                <w:szCs w:val="16"/>
                <w:color w:val="auto"/>
              </w:rPr>
            </w:pPr>
          </w:p>
        </w:tc>
        <w:tc>
          <w:tcPr>
            <w:tcW w:w="86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167.9</w:t>
            </w:r>
          </w:p>
        </w:tc>
        <w:tc>
          <w:tcPr>
            <w:tcW w:w="480" w:type="dxa"/>
            <w:vAlign w:val="bottom"/>
          </w:tcPr>
          <w:p>
            <w:pPr>
              <w:spacing w:after="0"/>
              <w:rPr>
                <w:sz w:val="16"/>
                <w:szCs w:val="16"/>
                <w:color w:val="auto"/>
              </w:rPr>
            </w:pPr>
          </w:p>
        </w:tc>
        <w:tc>
          <w:tcPr>
            <w:tcW w:w="8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146.4</w:t>
            </w:r>
          </w:p>
        </w:tc>
        <w:tc>
          <w:tcPr>
            <w:tcW w:w="4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74.4</w:t>
            </w:r>
          </w:p>
        </w:tc>
      </w:tr>
      <w:tr>
        <w:trPr>
          <w:trHeight w:val="185"/>
        </w:trPr>
        <w:tc>
          <w:tcPr>
            <w:tcW w:w="1200" w:type="dxa"/>
            <w:vAlign w:val="bottom"/>
          </w:tcPr>
          <w:p>
            <w:pPr>
              <w:spacing w:after="0"/>
              <w:rPr>
                <w:sz w:val="20"/>
                <w:szCs w:val="20"/>
                <w:color w:val="auto"/>
              </w:rPr>
            </w:pPr>
            <w:r>
              <w:rPr>
                <w:rFonts w:ascii="Courier New" w:cs="Courier New" w:eastAsia="Courier New" w:hAnsi="Courier New"/>
                <w:sz w:val="16"/>
                <w:szCs w:val="16"/>
                <w:color w:val="auto"/>
              </w:rPr>
              <w:t>Net earnings</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per share:</w:t>
            </w: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185"/>
        </w:trPr>
        <w:tc>
          <w:tcPr>
            <w:tcW w:w="1200" w:type="dxa"/>
            <w:vAlign w:val="bottom"/>
          </w:tcPr>
          <w:p>
            <w:pPr>
              <w:ind w:left="100"/>
              <w:spacing w:after="0"/>
              <w:rPr>
                <w:sz w:val="20"/>
                <w:szCs w:val="20"/>
                <w:color w:val="auto"/>
              </w:rPr>
            </w:pPr>
            <w:r>
              <w:rPr>
                <w:rFonts w:ascii="Courier New" w:cs="Courier New" w:eastAsia="Courier New" w:hAnsi="Courier New"/>
                <w:sz w:val="16"/>
                <w:szCs w:val="16"/>
                <w:color w:val="auto"/>
              </w:rPr>
              <w:t>as reported</w:t>
            </w:r>
          </w:p>
        </w:tc>
        <w:tc>
          <w:tcPr>
            <w:tcW w:w="3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2.26</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1.94</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.94</w:t>
            </w:r>
          </w:p>
        </w:tc>
      </w:tr>
      <w:tr>
        <w:trPr>
          <w:trHeight w:val="185"/>
        </w:trPr>
        <w:tc>
          <w:tcPr>
            <w:tcW w:w="1200" w:type="dxa"/>
            <w:vAlign w:val="bottom"/>
          </w:tcPr>
          <w:p>
            <w:pPr>
              <w:ind w:left="100"/>
              <w:spacing w:after="0"/>
              <w:rPr>
                <w:sz w:val="20"/>
                <w:szCs w:val="20"/>
                <w:color w:val="auto"/>
              </w:rPr>
            </w:pPr>
            <w:r>
              <w:rPr>
                <w:rFonts w:ascii="Courier New" w:cs="Courier New" w:eastAsia="Courier New" w:hAnsi="Courier New"/>
                <w:sz w:val="16"/>
                <w:szCs w:val="16"/>
                <w:color w:val="auto"/>
              </w:rPr>
              <w:t>pro forma</w:t>
            </w:r>
          </w:p>
        </w:tc>
        <w:tc>
          <w:tcPr>
            <w:tcW w:w="3360" w:type="dxa"/>
            <w:vAlign w:val="bottom"/>
          </w:tcPr>
          <w:p>
            <w:pPr>
              <w:spacing w:after="0"/>
              <w:rPr>
                <w:sz w:val="16"/>
                <w:szCs w:val="16"/>
                <w:color w:val="auto"/>
              </w:rPr>
            </w:pPr>
          </w:p>
        </w:tc>
        <w:tc>
          <w:tcPr>
            <w:tcW w:w="86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2.22</w:t>
            </w:r>
          </w:p>
        </w:tc>
        <w:tc>
          <w:tcPr>
            <w:tcW w:w="480" w:type="dxa"/>
            <w:vAlign w:val="bottom"/>
          </w:tcPr>
          <w:p>
            <w:pPr>
              <w:spacing w:after="0"/>
              <w:rPr>
                <w:sz w:val="16"/>
                <w:szCs w:val="16"/>
                <w:color w:val="auto"/>
              </w:rPr>
            </w:pPr>
          </w:p>
        </w:tc>
        <w:tc>
          <w:tcPr>
            <w:tcW w:w="8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1.90</w:t>
            </w:r>
          </w:p>
        </w:tc>
        <w:tc>
          <w:tcPr>
            <w:tcW w:w="4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.93</w:t>
            </w:r>
          </w:p>
        </w:tc>
      </w:tr>
      <w:tr>
        <w:trPr>
          <w:trHeight w:val="185"/>
        </w:trPr>
        <w:tc>
          <w:tcPr>
            <w:tcW w:w="1200" w:type="dxa"/>
            <w:vAlign w:val="bottom"/>
          </w:tcPr>
          <w:p>
            <w:pPr>
              <w:spacing w:after="0"/>
              <w:rPr>
                <w:sz w:val="20"/>
                <w:szCs w:val="20"/>
                <w:color w:val="auto"/>
              </w:rPr>
            </w:pPr>
            <w:r>
              <w:rPr>
                <w:rFonts w:ascii="Courier New" w:cs="Courier New" w:eastAsia="Courier New" w:hAnsi="Courier New"/>
                <w:sz w:val="16"/>
                <w:szCs w:val="16"/>
                <w:color w:val="auto"/>
              </w:rPr>
              <w:t>Net earnings</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per share - diluted:</w:t>
            </w: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185"/>
        </w:trPr>
        <w:tc>
          <w:tcPr>
            <w:tcW w:w="1200" w:type="dxa"/>
            <w:vAlign w:val="bottom"/>
          </w:tcPr>
          <w:p>
            <w:pPr>
              <w:ind w:left="100"/>
              <w:spacing w:after="0"/>
              <w:rPr>
                <w:sz w:val="20"/>
                <w:szCs w:val="20"/>
                <w:color w:val="auto"/>
              </w:rPr>
            </w:pPr>
            <w:r>
              <w:rPr>
                <w:rFonts w:ascii="Courier New" w:cs="Courier New" w:eastAsia="Courier New" w:hAnsi="Courier New"/>
                <w:sz w:val="16"/>
                <w:szCs w:val="16"/>
                <w:color w:val="auto"/>
              </w:rPr>
              <w:t>as reported</w:t>
            </w:r>
          </w:p>
        </w:tc>
        <w:tc>
          <w:tcPr>
            <w:tcW w:w="3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2.22</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1.91</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.93</w:t>
            </w:r>
          </w:p>
        </w:tc>
      </w:tr>
      <w:tr>
        <w:trPr>
          <w:trHeight w:val="185"/>
        </w:trPr>
        <w:tc>
          <w:tcPr>
            <w:tcW w:w="1200" w:type="dxa"/>
            <w:vAlign w:val="bottom"/>
          </w:tcPr>
          <w:p>
            <w:pPr>
              <w:ind w:left="100"/>
              <w:spacing w:after="0"/>
              <w:rPr>
                <w:sz w:val="20"/>
                <w:szCs w:val="20"/>
                <w:color w:val="auto"/>
              </w:rPr>
            </w:pPr>
            <w:r>
              <w:rPr>
                <w:rFonts w:ascii="Courier New" w:cs="Courier New" w:eastAsia="Courier New" w:hAnsi="Courier New"/>
                <w:sz w:val="16"/>
                <w:szCs w:val="16"/>
                <w:color w:val="auto"/>
              </w:rPr>
              <w:t>pro forma</w:t>
            </w:r>
          </w:p>
        </w:tc>
        <w:tc>
          <w:tcPr>
            <w:tcW w:w="3360" w:type="dxa"/>
            <w:vAlign w:val="bottom"/>
          </w:tcPr>
          <w:p>
            <w:pPr>
              <w:spacing w:after="0"/>
              <w:rPr>
                <w:sz w:val="16"/>
                <w:szCs w:val="16"/>
                <w:color w:val="auto"/>
              </w:rPr>
            </w:pPr>
          </w:p>
        </w:tc>
        <w:tc>
          <w:tcPr>
            <w:tcW w:w="86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2.18</w:t>
            </w:r>
          </w:p>
        </w:tc>
        <w:tc>
          <w:tcPr>
            <w:tcW w:w="480" w:type="dxa"/>
            <w:vAlign w:val="bottom"/>
          </w:tcPr>
          <w:p>
            <w:pPr>
              <w:spacing w:after="0"/>
              <w:rPr>
                <w:sz w:val="16"/>
                <w:szCs w:val="16"/>
                <w:color w:val="auto"/>
              </w:rPr>
            </w:pPr>
          </w:p>
        </w:tc>
        <w:tc>
          <w:tcPr>
            <w:tcW w:w="8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1.86</w:t>
            </w:r>
          </w:p>
        </w:tc>
        <w:tc>
          <w:tcPr>
            <w:tcW w:w="4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.92</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right="2539" w:firstLine="961"/>
        <w:spacing w:after="0" w:line="244" w:lineRule="auto"/>
        <w:rPr>
          <w:sz w:val="20"/>
          <w:szCs w:val="20"/>
          <w:color w:val="auto"/>
        </w:rPr>
      </w:pPr>
      <w:r>
        <w:rPr>
          <w:rFonts w:ascii="Courier New" w:cs="Courier New" w:eastAsia="Courier New" w:hAnsi="Courier New"/>
          <w:sz w:val="16"/>
          <w:szCs w:val="16"/>
          <w:color w:val="auto"/>
        </w:rPr>
        <w:t>The fair value of each option grant is estimated on the date of grant using the Black-Scholes option-pricing model with the following weighted-average assumptions used for grants in 2000, 1999 and 1998, respectively: risk-free interest rates of 5.8%, 5.6% and 4.5%; expected volatility of 19.2%, 17.2% and 24.4%; dividend yield of .5% in all years; and expected lives of 5.8 years, 7.6 years and 5.7 years. The weighted-average fair value of options granted was $6.46, $6.16 and $4.36 in 2000, 1999 and 1998, respectively.</w:t>
      </w:r>
    </w:p>
    <w:p>
      <w:pPr>
        <w:spacing w:after="0" w:line="188"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FIXED STOCK OPTION PLANS The Company has reserved 7,625,000 shares of common stock for issuance under the Executive Stock Option and Restricted Stock Plans. Under the plans, all full-time employees of the Company are eligible to receive stock options, purchase rights and restricted stock. The options, rights and stock are granted to eligible employees at the discretion of a committee appointed by the Board of Directors.</w:t>
      </w:r>
    </w:p>
    <w:p>
      <w:pPr>
        <w:spacing w:after="0" w:line="188" w:lineRule="exact"/>
        <w:rPr>
          <w:sz w:val="20"/>
          <w:szCs w:val="20"/>
          <w:color w:val="auto"/>
        </w:rPr>
      </w:pPr>
    </w:p>
    <w:p>
      <w:pPr>
        <w:ind w:left="1" w:right="2639" w:firstLine="961"/>
        <w:spacing w:after="0" w:line="244" w:lineRule="auto"/>
        <w:rPr>
          <w:sz w:val="20"/>
          <w:szCs w:val="20"/>
          <w:color w:val="auto"/>
        </w:rPr>
      </w:pPr>
      <w:r>
        <w:rPr>
          <w:rFonts w:ascii="Courier New" w:cs="Courier New" w:eastAsia="Courier New" w:hAnsi="Courier New"/>
          <w:sz w:val="16"/>
          <w:szCs w:val="16"/>
          <w:color w:val="auto"/>
        </w:rPr>
        <w:t>All options have generally been granted at a price equal to the fair market value of the Company's common stock at the date of grant. The purchase price per share pursuant to a purchase right is determined by the Board of Directors. The committee also determines the period during which options and rights are exercisable. Generally, options are granted with a vesting period of up to five years and expire ten years from the date of grant. Rights may generally be exercised for up to sixty days from the date of grant. Under the plans, the committee may also authorize the granting of stock appreciation rights and cash equivalent rights in conjunction with the stock options and purchase rights, respectively. As of December 31, 2000, no purchase rights, stock appreciation rights or cash equivalent rights had been granted.</w:t>
      </w:r>
    </w:p>
    <w:p>
      <w:pPr>
        <w:spacing w:after="0" w:line="190" w:lineRule="exact"/>
        <w:rPr>
          <w:sz w:val="20"/>
          <w:szCs w:val="20"/>
          <w:color w:val="auto"/>
        </w:rPr>
      </w:pPr>
    </w:p>
    <w:p>
      <w:pPr>
        <w:ind w:left="1" w:right="2539" w:firstLine="961"/>
        <w:spacing w:after="0" w:line="244" w:lineRule="auto"/>
        <w:rPr>
          <w:sz w:val="20"/>
          <w:szCs w:val="20"/>
          <w:color w:val="auto"/>
        </w:rPr>
      </w:pPr>
      <w:r>
        <w:rPr>
          <w:rFonts w:ascii="Courier New" w:cs="Courier New" w:eastAsia="Courier New" w:hAnsi="Courier New"/>
          <w:sz w:val="16"/>
          <w:szCs w:val="16"/>
          <w:color w:val="auto"/>
        </w:rPr>
        <w:t>The Company has reserved 800,000 shares of common stock for issuance under the 1991 Directors Stock Option Plan. Under the plan, each non-employee director of the Company may receive an option to purchase shares of the Company's common stock in lieu of cash compensation. The number of shares covered by the option is determined pursuant to a formula set forth in the plan. The per share purchase price for each option awarded is equal to the fair market value of the Company's common stock at the date of grant. Options are exercisable for the vested portion during the director's tenure and a limited period thereafter.</w:t>
      </w:r>
    </w:p>
    <w:p>
      <w:pPr>
        <w:spacing w:after="0" w:line="187"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380" w:type="dxa"/>
            <w:vAlign w:val="bottom"/>
          </w:tcPr>
          <w:p>
            <w:pPr>
              <w:spacing w:after="0"/>
              <w:rPr>
                <w:sz w:val="20"/>
                <w:szCs w:val="20"/>
                <w:color w:val="auto"/>
              </w:rPr>
            </w:pPr>
            <w:r>
              <w:rPr>
                <w:rFonts w:ascii="Courier New" w:cs="Courier New" w:eastAsia="Courier New" w:hAnsi="Courier New"/>
                <w:sz w:val="16"/>
                <w:szCs w:val="16"/>
                <w:color w:val="auto"/>
              </w:rPr>
              <w:t>Manpower Inc.</w:t>
            </w:r>
          </w:p>
        </w:tc>
        <w:tc>
          <w:tcPr>
            <w:tcW w:w="3300" w:type="dxa"/>
            <w:vAlign w:val="bottom"/>
          </w:tcPr>
          <w:p>
            <w:pPr>
              <w:jc w:val="right"/>
              <w:spacing w:after="0"/>
              <w:rPr>
                <w:sz w:val="20"/>
                <w:szCs w:val="20"/>
                <w:color w:val="auto"/>
              </w:rPr>
            </w:pPr>
            <w:r>
              <w:rPr>
                <w:rFonts w:ascii="Courier New" w:cs="Courier New" w:eastAsia="Courier New" w:hAnsi="Courier New"/>
                <w:sz w:val="16"/>
                <w:szCs w:val="16"/>
                <w:color w:val="auto"/>
              </w:rPr>
              <w:t>87</w:t>
            </w:r>
          </w:p>
        </w:tc>
      </w:tr>
    </w:tbl>
    <w:p>
      <w:pPr>
        <w:sectPr>
          <w:pgSz w:w="11900" w:h="16838" w:orient="portrait"/>
          <w:cols w:equalWidth="0" w:num="1">
            <w:col w:w="10221"/>
          </w:cols>
          <w:pgMar w:left="239" w:top="300" w:right="1440" w:bottom="1440" w:gutter="0" w:footer="0" w:header="0"/>
        </w:sectPr>
      </w:pPr>
    </w:p>
    <w:bookmarkStart w:id="80" w:name="page81"/>
    <w:bookmarkEnd w:id="80"/>
    <w:p>
      <w:pPr>
        <w:ind w:left="281"/>
        <w:spacing w:after="0"/>
        <w:rPr>
          <w:sz w:val="20"/>
          <w:szCs w:val="20"/>
          <w:color w:val="auto"/>
        </w:rPr>
      </w:pPr>
      <w:r>
        <w:rPr>
          <w:rFonts w:ascii="Courier New" w:cs="Courier New" w:eastAsia="Courier New" w:hAnsi="Courier New"/>
          <w:sz w:val="16"/>
          <w:szCs w:val="16"/>
          <w:color w:val="auto"/>
        </w:rPr>
        <w:t>62</w:t>
      </w:r>
    </w:p>
    <w:p>
      <w:pPr>
        <w:spacing w:after="0" w:line="188"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(in millions, except share data)</w:t>
      </w:r>
    </w:p>
    <w:p>
      <w:pPr>
        <w:spacing w:after="0" w:line="190" w:lineRule="exact"/>
        <w:rPr>
          <w:sz w:val="20"/>
          <w:szCs w:val="20"/>
          <w:color w:val="auto"/>
        </w:rPr>
      </w:pPr>
    </w:p>
    <w:p>
      <w:pPr>
        <w:ind w:left="1" w:right="2539" w:firstLine="961"/>
        <w:spacing w:after="0" w:line="244" w:lineRule="auto"/>
        <w:rPr>
          <w:sz w:val="20"/>
          <w:szCs w:val="20"/>
          <w:color w:val="auto"/>
        </w:rPr>
      </w:pPr>
      <w:r>
        <w:rPr>
          <w:rFonts w:ascii="Courier New" w:cs="Courier New" w:eastAsia="Courier New" w:hAnsi="Courier New"/>
          <w:sz w:val="16"/>
          <w:szCs w:val="16"/>
          <w:color w:val="auto"/>
        </w:rPr>
        <w:t>The Company also has the Savings Related Share Option Scheme for United Kingdom employees with at least one year of service. These employees are offered the opportunity to obtain an option for a specified number of shares of common stock at not less than 85% of their market value on the day prior to the offer to participate in the plan. Options vest after either 3, 5, or 7 years, but may lapse earlier. Funds used to purchase the shares are accumulated through specified payroll deductions over a 60-month period.</w:t>
      </w:r>
    </w:p>
    <w:p>
      <w:pPr>
        <w:spacing w:after="0" w:line="188" w:lineRule="exact"/>
        <w:rPr>
          <w:sz w:val="20"/>
          <w:szCs w:val="20"/>
          <w:color w:val="auto"/>
        </w:rPr>
      </w:pPr>
    </w:p>
    <w:p>
      <w:pPr>
        <w:ind w:left="1" w:right="2819" w:firstLine="961"/>
        <w:spacing w:after="0" w:line="242" w:lineRule="auto"/>
        <w:rPr>
          <w:sz w:val="20"/>
          <w:szCs w:val="20"/>
          <w:color w:val="auto"/>
        </w:rPr>
      </w:pPr>
      <w:r>
        <w:rPr>
          <w:rFonts w:ascii="Courier New" w:cs="Courier New" w:eastAsia="Courier New" w:hAnsi="Courier New"/>
          <w:sz w:val="16"/>
          <w:szCs w:val="16"/>
          <w:color w:val="auto"/>
        </w:rPr>
        <w:t>Information related to options outstanding under the plans, and the related weighted-average exercise prices, is as follows:</w:t>
      </w:r>
    </w:p>
    <w:p>
      <w:pPr>
        <w:spacing w:after="0" w:line="200" w:lineRule="exact"/>
        <w:rPr>
          <w:sz w:val="20"/>
          <w:szCs w:val="20"/>
          <w:color w:val="auto"/>
        </w:rPr>
      </w:pPr>
    </w:p>
    <w:p>
      <w:pPr>
        <w:spacing w:after="0" w:line="356" w:lineRule="exact"/>
        <w:rPr>
          <w:sz w:val="20"/>
          <w:szCs w:val="20"/>
          <w:color w:val="auto"/>
        </w:rPr>
      </w:pPr>
    </w:p>
    <w:p>
      <w:pPr>
        <w:ind w:left="3361"/>
        <w:spacing w:after="0"/>
        <w:tabs>
          <w:tab w:leader="none" w:pos="5641" w:val="left"/>
          <w:tab w:leader="none" w:pos="7961"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5"/>
          <w:szCs w:val="15"/>
          <w:color w:val="auto"/>
        </w:rPr>
        <w:t>1998</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2401"/>
        <w:spacing w:after="0"/>
        <w:tabs>
          <w:tab w:leader="none" w:pos="3921" w:val="left"/>
          <w:tab w:leader="none" w:pos="4681" w:val="left"/>
          <w:tab w:leader="none" w:pos="6221" w:val="left"/>
          <w:tab w:leader="none" w:pos="7001" w:val="left"/>
          <w:tab w:leader="none" w:pos="8521" w:val="left"/>
        </w:tabs>
        <w:rPr>
          <w:sz w:val="20"/>
          <w:szCs w:val="20"/>
          <w:color w:val="auto"/>
        </w:rPr>
      </w:pPr>
      <w:r>
        <w:rPr>
          <w:rFonts w:ascii="Courier New" w:cs="Courier New" w:eastAsia="Courier New" w:hAnsi="Courier New"/>
          <w:sz w:val="16"/>
          <w:szCs w:val="16"/>
          <w:color w:val="auto"/>
        </w:rPr>
        <w:t>Shares (000)</w:t>
      </w:r>
      <w:r>
        <w:rPr>
          <w:sz w:val="20"/>
          <w:szCs w:val="20"/>
          <w:color w:val="auto"/>
        </w:rPr>
        <w:tab/>
      </w:r>
      <w:r>
        <w:rPr>
          <w:rFonts w:ascii="Courier New" w:cs="Courier New" w:eastAsia="Courier New" w:hAnsi="Courier New"/>
          <w:sz w:val="16"/>
          <w:szCs w:val="16"/>
          <w:color w:val="auto"/>
        </w:rPr>
        <w:t>Price</w:t>
        <w:tab/>
        <w:t>Shares (000)</w:t>
      </w:r>
      <w:r>
        <w:rPr>
          <w:sz w:val="20"/>
          <w:szCs w:val="20"/>
          <w:color w:val="auto"/>
        </w:rPr>
        <w:tab/>
      </w:r>
      <w:r>
        <w:rPr>
          <w:rFonts w:ascii="Courier New" w:cs="Courier New" w:eastAsia="Courier New" w:hAnsi="Courier New"/>
          <w:sz w:val="16"/>
          <w:szCs w:val="16"/>
          <w:color w:val="auto"/>
        </w:rPr>
        <w:t>Price</w:t>
      </w:r>
      <w:r>
        <w:rPr>
          <w:sz w:val="20"/>
          <w:szCs w:val="20"/>
          <w:color w:val="auto"/>
        </w:rPr>
        <w:tab/>
      </w:r>
      <w:r>
        <w:rPr>
          <w:rFonts w:ascii="Courier New" w:cs="Courier New" w:eastAsia="Courier New" w:hAnsi="Courier New"/>
          <w:sz w:val="16"/>
          <w:szCs w:val="16"/>
          <w:color w:val="auto"/>
        </w:rPr>
        <w:t>Shares (000)</w:t>
      </w:r>
      <w:r>
        <w:rPr>
          <w:sz w:val="20"/>
          <w:szCs w:val="20"/>
          <w:color w:val="auto"/>
        </w:rPr>
        <w:tab/>
      </w:r>
      <w:r>
        <w:rPr>
          <w:rFonts w:ascii="Courier New" w:cs="Courier New" w:eastAsia="Courier New" w:hAnsi="Courier New"/>
          <w:sz w:val="16"/>
          <w:szCs w:val="16"/>
          <w:color w:val="auto"/>
        </w:rPr>
        <w:t>Price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500" w:type="dxa"/>
            <w:vAlign w:val="bottom"/>
          </w:tcPr>
          <w:p>
            <w:pPr>
              <w:spacing w:after="0"/>
              <w:rPr>
                <w:sz w:val="20"/>
                <w:szCs w:val="20"/>
                <w:color w:val="auto"/>
              </w:rPr>
            </w:pPr>
            <w:r>
              <w:rPr>
                <w:rFonts w:ascii="Courier New" w:cs="Courier New" w:eastAsia="Courier New" w:hAnsi="Courier New"/>
                <w:sz w:val="16"/>
                <w:szCs w:val="16"/>
                <w:color w:val="auto"/>
              </w:rPr>
              <w:t>Options outstanding,</w:t>
            </w:r>
          </w:p>
        </w:tc>
        <w:tc>
          <w:tcPr>
            <w:tcW w:w="1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5"/>
        </w:trPr>
        <w:tc>
          <w:tcPr>
            <w:tcW w:w="2500" w:type="dxa"/>
            <w:vAlign w:val="bottom"/>
          </w:tcPr>
          <w:p>
            <w:pPr>
              <w:ind w:left="100"/>
              <w:spacing w:after="0"/>
              <w:rPr>
                <w:sz w:val="20"/>
                <w:szCs w:val="20"/>
                <w:color w:val="auto"/>
              </w:rPr>
            </w:pPr>
            <w:r>
              <w:rPr>
                <w:rFonts w:ascii="Courier New" w:cs="Courier New" w:eastAsia="Courier New" w:hAnsi="Courier New"/>
                <w:sz w:val="16"/>
                <w:szCs w:val="16"/>
                <w:color w:val="auto"/>
              </w:rPr>
              <w:t>beginning of period</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4,371</w:t>
            </w:r>
          </w:p>
        </w:tc>
        <w:tc>
          <w:tcPr>
            <w:tcW w:w="11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   20</w:t>
            </w:r>
          </w:p>
        </w:tc>
        <w:tc>
          <w:tcPr>
            <w:tcW w:w="11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3,840</w:t>
            </w:r>
          </w:p>
        </w:tc>
        <w:tc>
          <w:tcPr>
            <w:tcW w:w="3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21</w:t>
            </w:r>
          </w:p>
        </w:tc>
        <w:tc>
          <w:tcPr>
            <w:tcW w:w="11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3,362</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   21</w:t>
            </w:r>
          </w:p>
        </w:tc>
      </w:tr>
      <w:tr>
        <w:trPr>
          <w:trHeight w:val="185"/>
        </w:trPr>
        <w:tc>
          <w:tcPr>
            <w:tcW w:w="2500" w:type="dxa"/>
            <w:vAlign w:val="bottom"/>
          </w:tcPr>
          <w:p>
            <w:pPr>
              <w:ind w:left="100"/>
              <w:spacing w:after="0"/>
              <w:rPr>
                <w:sz w:val="20"/>
                <w:szCs w:val="20"/>
                <w:color w:val="auto"/>
              </w:rPr>
            </w:pPr>
            <w:r>
              <w:rPr>
                <w:rFonts w:ascii="Courier New" w:cs="Courier New" w:eastAsia="Courier New" w:hAnsi="Courier New"/>
                <w:sz w:val="16"/>
                <w:szCs w:val="16"/>
                <w:color w:val="auto"/>
              </w:rPr>
              <w:t>Granted</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1,385</w:t>
            </w:r>
          </w:p>
        </w:tc>
        <w:tc>
          <w:tcPr>
            <w:tcW w:w="11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30</w:t>
            </w:r>
          </w:p>
        </w:tc>
        <w:tc>
          <w:tcPr>
            <w:tcW w:w="11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1,119</w:t>
            </w:r>
          </w:p>
        </w:tc>
        <w:tc>
          <w:tcPr>
            <w:tcW w:w="380" w:type="dxa"/>
            <w:vAlign w:val="bottom"/>
          </w:tcPr>
          <w:p>
            <w:pPr>
              <w:spacing w:after="0"/>
              <w:rPr>
                <w:sz w:val="16"/>
                <w:szCs w:val="16"/>
                <w:color w:val="auto"/>
              </w:rPr>
            </w:pPr>
          </w:p>
        </w:tc>
        <w:tc>
          <w:tcPr>
            <w:tcW w:w="7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26</w:t>
            </w:r>
          </w:p>
        </w:tc>
        <w:tc>
          <w:tcPr>
            <w:tcW w:w="11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930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5"/>
        </w:trPr>
        <w:tc>
          <w:tcPr>
            <w:tcW w:w="2500" w:type="dxa"/>
            <w:vAlign w:val="bottom"/>
          </w:tcPr>
          <w:p>
            <w:pPr>
              <w:ind w:left="100"/>
              <w:spacing w:after="0"/>
              <w:rPr>
                <w:sz w:val="20"/>
                <w:szCs w:val="20"/>
                <w:color w:val="auto"/>
              </w:rPr>
            </w:pPr>
            <w:r>
              <w:rPr>
                <w:rFonts w:ascii="Courier New" w:cs="Courier New" w:eastAsia="Courier New" w:hAnsi="Courier New"/>
                <w:sz w:val="16"/>
                <w:szCs w:val="16"/>
                <w:color w:val="auto"/>
              </w:rPr>
              <w:t>Exercised</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(279)</w:t>
            </w:r>
          </w:p>
        </w:tc>
        <w:tc>
          <w:tcPr>
            <w:tcW w:w="11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19</w:t>
            </w:r>
          </w:p>
        </w:tc>
        <w:tc>
          <w:tcPr>
            <w:tcW w:w="1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(496)</w:t>
            </w:r>
          </w:p>
        </w:tc>
        <w:tc>
          <w:tcPr>
            <w:tcW w:w="380" w:type="dxa"/>
            <w:vAlign w:val="bottom"/>
          </w:tcPr>
          <w:p>
            <w:pPr>
              <w:spacing w:after="0"/>
              <w:rPr>
                <w:sz w:val="16"/>
                <w:szCs w:val="16"/>
                <w:color w:val="auto"/>
              </w:rPr>
            </w:pPr>
          </w:p>
        </w:tc>
        <w:tc>
          <w:tcPr>
            <w:tcW w:w="7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17</w:t>
            </w:r>
          </w:p>
        </w:tc>
        <w:tc>
          <w:tcPr>
            <w:tcW w:w="1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(237)</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5"/>
        </w:trPr>
        <w:tc>
          <w:tcPr>
            <w:tcW w:w="2500" w:type="dxa"/>
            <w:vAlign w:val="bottom"/>
          </w:tcPr>
          <w:p>
            <w:pPr>
              <w:ind w:left="100"/>
              <w:spacing w:after="0"/>
              <w:rPr>
                <w:sz w:val="20"/>
                <w:szCs w:val="20"/>
                <w:color w:val="auto"/>
              </w:rPr>
            </w:pPr>
            <w:r>
              <w:rPr>
                <w:rFonts w:ascii="Courier New" w:cs="Courier New" w:eastAsia="Courier New" w:hAnsi="Courier New"/>
                <w:sz w:val="16"/>
                <w:szCs w:val="16"/>
                <w:color w:val="auto"/>
              </w:rPr>
              <w:t>Expired or cancelled</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(136)</w:t>
            </w:r>
          </w:p>
        </w:tc>
        <w:tc>
          <w:tcPr>
            <w:tcW w:w="11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32</w:t>
            </w:r>
          </w:p>
        </w:tc>
        <w:tc>
          <w:tcPr>
            <w:tcW w:w="1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(92)</w:t>
            </w:r>
          </w:p>
        </w:tc>
        <w:tc>
          <w:tcPr>
            <w:tcW w:w="380" w:type="dxa"/>
            <w:vAlign w:val="bottom"/>
          </w:tcPr>
          <w:p>
            <w:pPr>
              <w:spacing w:after="0"/>
              <w:rPr>
                <w:sz w:val="16"/>
                <w:szCs w:val="16"/>
                <w:color w:val="auto"/>
              </w:rPr>
            </w:pPr>
          </w:p>
        </w:tc>
        <w:tc>
          <w:tcPr>
            <w:tcW w:w="7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25</w:t>
            </w:r>
          </w:p>
        </w:tc>
        <w:tc>
          <w:tcPr>
            <w:tcW w:w="1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(215)</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r>
    </w:tbl>
    <w:p>
      <w:pPr>
        <w:spacing w:after="0" w:line="4" w:lineRule="exact"/>
        <w:rPr>
          <w:sz w:val="20"/>
          <w:szCs w:val="20"/>
          <w:color w:val="auto"/>
        </w:rPr>
      </w:pPr>
    </w:p>
    <w:p>
      <w:pPr>
        <w:ind w:left="201" w:hanging="201"/>
        <w:spacing w:after="0"/>
        <w:tabs>
          <w:tab w:leader="none" w:pos="20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Options outstanding,</w:t>
      </w:r>
    </w:p>
    <w:p>
      <w:pPr>
        <w:spacing w:after="0" w:line="4" w:lineRule="exact"/>
        <w:rPr>
          <w:sz w:val="20"/>
          <w:szCs w:val="20"/>
          <w:color w:val="auto"/>
        </w:rPr>
      </w:pPr>
    </w:p>
    <w:p>
      <w:pPr>
        <w:ind w:left="101"/>
        <w:spacing w:after="0"/>
        <w:tabs>
          <w:tab w:leader="none" w:pos="2961" w:val="left"/>
          <w:tab w:leader="none" w:pos="3821" w:val="left"/>
          <w:tab w:leader="none" w:pos="4201" w:val="left"/>
          <w:tab w:leader="none" w:pos="5261" w:val="left"/>
          <w:tab w:leader="none" w:pos="6121" w:val="left"/>
          <w:tab w:leader="none" w:pos="6521" w:val="left"/>
          <w:tab w:leader="none" w:pos="7561" w:val="left"/>
          <w:tab w:leader="none" w:pos="8441" w:val="left"/>
          <w:tab w:leader="none" w:pos="8821" w:val="left"/>
        </w:tabs>
        <w:rPr>
          <w:sz w:val="20"/>
          <w:szCs w:val="20"/>
          <w:color w:val="auto"/>
        </w:rPr>
      </w:pPr>
      <w:r>
        <w:rPr>
          <w:rFonts w:ascii="Courier New" w:cs="Courier New" w:eastAsia="Courier New" w:hAnsi="Courier New"/>
          <w:sz w:val="16"/>
          <w:szCs w:val="16"/>
          <w:color w:val="auto"/>
        </w:rPr>
        <w:t>end of period</w:t>
      </w:r>
      <w:r>
        <w:rPr>
          <w:sz w:val="20"/>
          <w:szCs w:val="20"/>
          <w:color w:val="auto"/>
        </w:rPr>
        <w:tab/>
      </w:r>
      <w:r>
        <w:rPr>
          <w:rFonts w:ascii="Courier New" w:cs="Courier New" w:eastAsia="Courier New" w:hAnsi="Courier New"/>
          <w:sz w:val="16"/>
          <w:szCs w:val="16"/>
          <w:color w:val="auto"/>
        </w:rPr>
        <w:t>5,341</w:t>
      </w:r>
      <w:r>
        <w:rPr>
          <w:sz w:val="20"/>
          <w:szCs w:val="20"/>
          <w:color w:val="auto"/>
        </w:rPr>
        <w:tab/>
      </w:r>
      <w:r>
        <w:rPr>
          <w:rFonts w:ascii="Courier New" w:cs="Courier New" w:eastAsia="Courier New" w:hAnsi="Courier New"/>
          <w:sz w:val="16"/>
          <w:szCs w:val="16"/>
          <w:color w:val="auto"/>
        </w:rPr>
        <w:t>$</w:t>
        <w:tab/>
        <w:t>25</w:t>
      </w:r>
      <w:r>
        <w:rPr>
          <w:sz w:val="20"/>
          <w:szCs w:val="20"/>
          <w:color w:val="auto"/>
        </w:rPr>
        <w:tab/>
      </w:r>
      <w:r>
        <w:rPr>
          <w:rFonts w:ascii="Courier New" w:cs="Courier New" w:eastAsia="Courier New" w:hAnsi="Courier New"/>
          <w:sz w:val="16"/>
          <w:szCs w:val="16"/>
          <w:color w:val="auto"/>
        </w:rPr>
        <w:t>4,371</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23</w:t>
      </w:r>
      <w:r>
        <w:rPr>
          <w:sz w:val="20"/>
          <w:szCs w:val="20"/>
          <w:color w:val="auto"/>
        </w:rPr>
        <w:tab/>
      </w:r>
      <w:r>
        <w:rPr>
          <w:rFonts w:ascii="Courier New" w:cs="Courier New" w:eastAsia="Courier New" w:hAnsi="Courier New"/>
          <w:sz w:val="16"/>
          <w:szCs w:val="16"/>
          <w:color w:val="auto"/>
        </w:rPr>
        <w:t>3,840</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21</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Options</w:t>
            </w:r>
          </w:p>
        </w:tc>
        <w:tc>
          <w:tcPr>
            <w:tcW w:w="1720" w:type="dxa"/>
            <w:vAlign w:val="bottom"/>
          </w:tcPr>
          <w:p>
            <w:pPr>
              <w:ind w:left="40"/>
              <w:spacing w:after="0"/>
              <w:rPr>
                <w:sz w:val="20"/>
                <w:szCs w:val="20"/>
                <w:color w:val="auto"/>
              </w:rPr>
            </w:pPr>
            <w:r>
              <w:rPr>
                <w:rFonts w:ascii="Courier New" w:cs="Courier New" w:eastAsia="Courier New" w:hAnsi="Courier New"/>
                <w:sz w:val="16"/>
                <w:szCs w:val="16"/>
                <w:color w:val="auto"/>
              </w:rPr>
              <w:t>exercisable,</w:t>
            </w: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5"/>
        </w:trPr>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end of</w:t>
            </w:r>
          </w:p>
        </w:tc>
        <w:tc>
          <w:tcPr>
            <w:tcW w:w="1720" w:type="dxa"/>
            <w:vAlign w:val="bottom"/>
          </w:tcPr>
          <w:p>
            <w:pPr>
              <w:ind w:left="40"/>
              <w:spacing w:after="0"/>
              <w:rPr>
                <w:sz w:val="20"/>
                <w:szCs w:val="20"/>
                <w:color w:val="auto"/>
              </w:rPr>
            </w:pPr>
            <w:r>
              <w:rPr>
                <w:rFonts w:ascii="Courier New" w:cs="Courier New" w:eastAsia="Courier New" w:hAnsi="Courier New"/>
                <w:sz w:val="16"/>
                <w:szCs w:val="16"/>
                <w:color w:val="auto"/>
              </w:rPr>
              <w:t>period</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2,268</w:t>
            </w:r>
          </w:p>
        </w:tc>
        <w:tc>
          <w:tcPr>
            <w:tcW w:w="12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   21</w:t>
            </w: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2,055</w:t>
            </w:r>
          </w:p>
        </w:tc>
        <w:tc>
          <w:tcPr>
            <w:tcW w:w="4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20</w:t>
            </w: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2,354</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   17</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Options outstanding as of December 31, 2000 are as follows:</w:t>
      </w:r>
    </w:p>
    <w:p>
      <w:pPr>
        <w:spacing w:after="0" w:line="200" w:lineRule="exact"/>
        <w:rPr>
          <w:sz w:val="20"/>
          <w:szCs w:val="20"/>
          <w:color w:val="auto"/>
        </w:rPr>
      </w:pPr>
    </w:p>
    <w:p>
      <w:pPr>
        <w:spacing w:after="0" w:line="358" w:lineRule="exact"/>
        <w:rPr>
          <w:sz w:val="20"/>
          <w:szCs w:val="20"/>
          <w:color w:val="auto"/>
        </w:rPr>
      </w:pPr>
    </w:p>
    <w:p>
      <w:pPr>
        <w:ind w:left="3161"/>
        <w:spacing w:after="0"/>
        <w:tabs>
          <w:tab w:leader="none" w:pos="7001" w:val="left"/>
        </w:tabs>
        <w:rPr>
          <w:sz w:val="20"/>
          <w:szCs w:val="20"/>
          <w:color w:val="auto"/>
        </w:rPr>
      </w:pPr>
      <w:r>
        <w:rPr>
          <w:rFonts w:ascii="Courier New" w:cs="Courier New" w:eastAsia="Courier New" w:hAnsi="Courier New"/>
          <w:sz w:val="16"/>
          <w:szCs w:val="16"/>
          <w:color w:val="auto"/>
        </w:rPr>
        <w:t>Options outstanding</w:t>
      </w:r>
      <w:r>
        <w:rPr>
          <w:sz w:val="20"/>
          <w:szCs w:val="20"/>
          <w:color w:val="auto"/>
        </w:rPr>
        <w:tab/>
      </w:r>
      <w:r>
        <w:rPr>
          <w:rFonts w:ascii="Courier New" w:cs="Courier New" w:eastAsia="Courier New" w:hAnsi="Courier New"/>
          <w:sz w:val="15"/>
          <w:szCs w:val="15"/>
          <w:color w:val="auto"/>
        </w:rPr>
        <w:t>Options exercisable</w:t>
      </w:r>
    </w:p>
    <w:p>
      <w:pPr>
        <w:spacing w:after="0" w:line="5" w:lineRule="exact"/>
        <w:rPr>
          <w:sz w:val="20"/>
          <w:szCs w:val="20"/>
          <w:color w:val="auto"/>
        </w:rPr>
      </w:pPr>
    </w:p>
    <w:p>
      <w:pPr>
        <w:ind w:left="201" w:hanging="201"/>
        <w:spacing w:after="0"/>
        <w:tabs>
          <w:tab w:leader="none" w:pos="201"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364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Weighted-</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200" w:type="dxa"/>
            <w:vAlign w:val="bottom"/>
          </w:tcPr>
          <w:p>
            <w:pPr>
              <w:spacing w:after="0"/>
              <w:rPr>
                <w:sz w:val="15"/>
                <w:szCs w:val="15"/>
                <w:color w:val="auto"/>
              </w:rPr>
            </w:pPr>
          </w:p>
        </w:tc>
        <w:tc>
          <w:tcPr>
            <w:tcW w:w="35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average</w:t>
            </w:r>
          </w:p>
        </w:tc>
        <w:tc>
          <w:tcPr>
            <w:tcW w:w="1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Weighted-</w:t>
            </w:r>
          </w:p>
        </w:tc>
        <w:tc>
          <w:tcPr>
            <w:tcW w:w="15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Weighted-</w:t>
            </w:r>
          </w:p>
        </w:tc>
      </w:tr>
      <w:tr>
        <w:trPr>
          <w:trHeight w:val="185"/>
        </w:trPr>
        <w:tc>
          <w:tcPr>
            <w:tcW w:w="1200" w:type="dxa"/>
            <w:vAlign w:val="bottom"/>
          </w:tcPr>
          <w:p>
            <w:pPr>
              <w:spacing w:after="0"/>
              <w:rPr>
                <w:sz w:val="20"/>
                <w:szCs w:val="20"/>
                <w:color w:val="auto"/>
              </w:rPr>
            </w:pPr>
            <w:r>
              <w:rPr>
                <w:rFonts w:ascii="Courier New" w:cs="Courier New" w:eastAsia="Courier New" w:hAnsi="Courier New"/>
                <w:sz w:val="16"/>
                <w:szCs w:val="16"/>
                <w:color w:val="auto"/>
              </w:rPr>
              <w:t>Exercise</w:t>
            </w:r>
          </w:p>
        </w:tc>
        <w:tc>
          <w:tcPr>
            <w:tcW w:w="35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remaining</w:t>
            </w:r>
          </w:p>
        </w:tc>
        <w:tc>
          <w:tcPr>
            <w:tcW w:w="1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average</w:t>
            </w:r>
          </w:p>
        </w:tc>
        <w:tc>
          <w:tcPr>
            <w:tcW w:w="15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average</w:t>
            </w:r>
          </w:p>
        </w:tc>
      </w:tr>
      <w:tr>
        <w:trPr>
          <w:trHeight w:val="185"/>
        </w:trPr>
        <w:tc>
          <w:tcPr>
            <w:tcW w:w="1200" w:type="dxa"/>
            <w:vAlign w:val="bottom"/>
          </w:tcPr>
          <w:p>
            <w:pPr>
              <w:spacing w:after="0"/>
              <w:rPr>
                <w:sz w:val="20"/>
                <w:szCs w:val="20"/>
                <w:color w:val="auto"/>
              </w:rPr>
            </w:pPr>
            <w:r>
              <w:rPr>
                <w:rFonts w:ascii="Courier New" w:cs="Courier New" w:eastAsia="Courier New" w:hAnsi="Courier New"/>
                <w:sz w:val="16"/>
                <w:szCs w:val="16"/>
                <w:color w:val="auto"/>
              </w:rPr>
              <w:t>prices</w:t>
            </w:r>
          </w:p>
        </w:tc>
        <w:tc>
          <w:tcPr>
            <w:tcW w:w="35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Shares (000)  contractual life</w:t>
            </w:r>
          </w:p>
        </w:tc>
        <w:tc>
          <w:tcPr>
            <w:tcW w:w="1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exercise price</w:t>
            </w:r>
          </w:p>
        </w:tc>
        <w:tc>
          <w:tcPr>
            <w:tcW w:w="1500" w:type="dxa"/>
            <w:vAlign w:val="bottom"/>
          </w:tcPr>
          <w:p>
            <w:pPr>
              <w:ind w:left="160"/>
              <w:spacing w:after="0"/>
              <w:rPr>
                <w:sz w:val="20"/>
                <w:szCs w:val="20"/>
                <w:color w:val="auto"/>
              </w:rPr>
            </w:pPr>
            <w:r>
              <w:rPr>
                <w:rFonts w:ascii="Courier New" w:cs="Courier New" w:eastAsia="Courier New" w:hAnsi="Courier New"/>
                <w:sz w:val="16"/>
                <w:szCs w:val="16"/>
                <w:color w:val="auto"/>
              </w:rPr>
              <w:t>Shares (000)</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exercise price</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$10</w:t>
            </w:r>
          </w:p>
        </w:tc>
        <w:tc>
          <w:tcPr>
            <w:tcW w:w="1200" w:type="dxa"/>
            <w:vAlign w:val="bottom"/>
            <w:gridSpan w:val="2"/>
          </w:tcPr>
          <w:p>
            <w:pPr>
              <w:jc w:val="right"/>
              <w:ind w:right="600"/>
              <w:spacing w:after="0"/>
              <w:rPr>
                <w:sz w:val="20"/>
                <w:szCs w:val="20"/>
                <w:color w:val="auto"/>
              </w:rPr>
            </w:pPr>
            <w:r>
              <w:rPr>
                <w:rFonts w:ascii="Courier New" w:cs="Courier New" w:eastAsia="Courier New" w:hAnsi="Courier New"/>
                <w:sz w:val="16"/>
                <w:szCs w:val="16"/>
                <w:color w:val="auto"/>
              </w:rPr>
              <w:t>- $20</w:t>
            </w:r>
          </w:p>
        </w:tc>
        <w:tc>
          <w:tcPr>
            <w:tcW w:w="192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1,425</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w:t>
            </w:r>
          </w:p>
        </w:tc>
        <w:tc>
          <w:tcPr>
            <w:tcW w:w="7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15</w:t>
            </w: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1,329</w:t>
            </w:r>
          </w:p>
        </w:tc>
        <w:tc>
          <w:tcPr>
            <w:tcW w:w="8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5"/>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c>
          <w:tcPr>
            <w:tcW w:w="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25</w:t>
            </w:r>
          </w:p>
        </w:tc>
        <w:tc>
          <w:tcPr>
            <w:tcW w:w="192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1,448</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7.9</w:t>
            </w:r>
          </w:p>
        </w:tc>
        <w:tc>
          <w:tcPr>
            <w:tcW w:w="760" w:type="dxa"/>
            <w:vAlign w:val="bottom"/>
          </w:tcPr>
          <w:p>
            <w:pPr>
              <w:spacing w:after="0"/>
              <w:rPr>
                <w:sz w:val="16"/>
                <w:szCs w:val="16"/>
                <w:color w:val="auto"/>
              </w:rPr>
            </w:pPr>
          </w:p>
        </w:tc>
        <w:tc>
          <w:tcPr>
            <w:tcW w:w="9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23</w:t>
            </w: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225</w:t>
            </w:r>
          </w:p>
        </w:tc>
        <w:tc>
          <w:tcPr>
            <w:tcW w:w="8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185"/>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c>
          <w:tcPr>
            <w:tcW w:w="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30</w:t>
            </w:r>
          </w:p>
        </w:tc>
        <w:tc>
          <w:tcPr>
            <w:tcW w:w="192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1,543</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9.0</w:t>
            </w:r>
          </w:p>
        </w:tc>
        <w:tc>
          <w:tcPr>
            <w:tcW w:w="760" w:type="dxa"/>
            <w:vAlign w:val="bottom"/>
          </w:tcPr>
          <w:p>
            <w:pPr>
              <w:spacing w:after="0"/>
              <w:rPr>
                <w:sz w:val="16"/>
                <w:szCs w:val="16"/>
                <w:color w:val="auto"/>
              </w:rPr>
            </w:pPr>
          </w:p>
        </w:tc>
        <w:tc>
          <w:tcPr>
            <w:tcW w:w="9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29</w:t>
            </w: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284</w:t>
            </w:r>
          </w:p>
        </w:tc>
        <w:tc>
          <w:tcPr>
            <w:tcW w:w="8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r>
        <w:trPr>
          <w:trHeight w:val="185"/>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41</w:t>
            </w:r>
          </w:p>
        </w:tc>
        <w:tc>
          <w:tcPr>
            <w:tcW w:w="192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925</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7.6</w:t>
            </w:r>
          </w:p>
        </w:tc>
        <w:tc>
          <w:tcPr>
            <w:tcW w:w="760" w:type="dxa"/>
            <w:vAlign w:val="bottom"/>
          </w:tcPr>
          <w:p>
            <w:pPr>
              <w:spacing w:after="0"/>
              <w:rPr>
                <w:sz w:val="16"/>
                <w:szCs w:val="16"/>
                <w:color w:val="auto"/>
              </w:rPr>
            </w:pPr>
          </w:p>
        </w:tc>
        <w:tc>
          <w:tcPr>
            <w:tcW w:w="9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35</w:t>
            </w: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430</w:t>
            </w:r>
          </w:p>
        </w:tc>
        <w:tc>
          <w:tcPr>
            <w:tcW w:w="8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2201"/>
        <w:spacing w:after="0"/>
        <w:tabs>
          <w:tab w:leader="none" w:pos="4201" w:val="left"/>
          <w:tab w:leader="none" w:pos="5261" w:val="left"/>
          <w:tab w:leader="none" w:pos="5941" w:val="left"/>
          <w:tab w:leader="none" w:pos="7081" w:val="left"/>
          <w:tab w:leader="none" w:pos="8521" w:val="left"/>
          <w:tab w:leader="none" w:pos="9201" w:val="left"/>
        </w:tabs>
        <w:rPr>
          <w:sz w:val="20"/>
          <w:szCs w:val="20"/>
          <w:color w:val="auto"/>
        </w:rPr>
      </w:pPr>
      <w:r>
        <w:rPr>
          <w:rFonts w:ascii="Courier New" w:cs="Courier New" w:eastAsia="Courier New" w:hAnsi="Courier New"/>
          <w:sz w:val="16"/>
          <w:szCs w:val="16"/>
          <w:color w:val="auto"/>
        </w:rPr>
        <w:t>5,341</w:t>
      </w:r>
      <w:r>
        <w:rPr>
          <w:sz w:val="20"/>
          <w:szCs w:val="20"/>
          <w:color w:val="auto"/>
        </w:rPr>
        <w:tab/>
      </w:r>
      <w:r>
        <w:rPr>
          <w:rFonts w:ascii="Courier New" w:cs="Courier New" w:eastAsia="Courier New" w:hAnsi="Courier New"/>
          <w:sz w:val="16"/>
          <w:szCs w:val="16"/>
          <w:color w:val="auto"/>
        </w:rPr>
        <w:t>6.6</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25</w:t>
      </w:r>
      <w:r>
        <w:rPr>
          <w:sz w:val="20"/>
          <w:szCs w:val="20"/>
          <w:color w:val="auto"/>
        </w:rPr>
        <w:tab/>
      </w:r>
      <w:r>
        <w:rPr>
          <w:rFonts w:ascii="Courier New" w:cs="Courier New" w:eastAsia="Courier New" w:hAnsi="Courier New"/>
          <w:sz w:val="16"/>
          <w:szCs w:val="16"/>
          <w:color w:val="auto"/>
        </w:rPr>
        <w:t>2,268</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21</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OTHER STOCK PLANS The Company has reserved 2,250,000 shares of common stock for issuance under the 1990 Employee Stock Purchase Plan. Under the plan, designated Manpower employees meeting certain service requirements may purchase shares of the Company's common stock through payroll deductions. These shares may be purchased at the lesser of 85% of their fair market value at the beginning or end of each year. During 2000, 1999 and 1998, 80,000, 138,500 and 155,500 shares, respectively, were purchased under the plan.</w:t>
      </w:r>
    </w:p>
    <w:p>
      <w:pPr>
        <w:spacing w:after="0" w:line="186" w:lineRule="exact"/>
        <w:rPr>
          <w:sz w:val="20"/>
          <w:szCs w:val="20"/>
          <w:color w:val="auto"/>
        </w:rPr>
      </w:pPr>
    </w:p>
    <w:p>
      <w:pPr>
        <w:ind w:left="1"/>
        <w:spacing w:after="0"/>
        <w:tabs>
          <w:tab w:leader="none" w:pos="6421" w:val="left"/>
        </w:tabs>
        <w:rPr>
          <w:sz w:val="20"/>
          <w:szCs w:val="20"/>
          <w:color w:val="auto"/>
        </w:rPr>
      </w:pPr>
      <w:r>
        <w:rPr>
          <w:rFonts w:ascii="Courier New" w:cs="Courier New" w:eastAsia="Courier New" w:hAnsi="Courier New"/>
          <w:sz w:val="16"/>
          <w:szCs w:val="16"/>
          <w:color w:val="auto"/>
        </w:rPr>
        <w:t>88</w:t>
      </w:r>
      <w:r>
        <w:rPr>
          <w:sz w:val="20"/>
          <w:szCs w:val="20"/>
          <w:color w:val="auto"/>
        </w:rPr>
        <w:tab/>
      </w:r>
      <w:r>
        <w:rPr>
          <w:rFonts w:ascii="Courier New" w:cs="Courier New" w:eastAsia="Courier New" w:hAnsi="Courier New"/>
          <w:sz w:val="16"/>
          <w:szCs w:val="16"/>
          <w:color w:val="auto"/>
        </w:rPr>
        <w:t>Manpower Inc.</w:t>
      </w:r>
    </w:p>
    <w:p>
      <w:pPr>
        <w:sectPr>
          <w:pgSz w:w="11900" w:h="16838" w:orient="portrait"/>
          <w:cols w:equalWidth="0" w:num="1">
            <w:col w:w="10221"/>
          </w:cols>
          <w:pgMar w:left="239" w:top="300"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6"/>
          <w:szCs w:val="16"/>
          <w:color w:val="auto"/>
        </w:rPr>
        <w:t>63</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 RETIREMENT PLANS</w:t>
      </w:r>
    </w:p>
    <w:p>
      <w:pPr>
        <w:spacing w:after="0" w:line="190" w:lineRule="exact"/>
        <w:rPr>
          <w:sz w:val="20"/>
          <w:szCs w:val="20"/>
          <w:color w:val="auto"/>
        </w:rPr>
      </w:pPr>
    </w:p>
    <w:p>
      <w:pPr>
        <w:ind w:right="2539"/>
        <w:spacing w:after="0" w:line="265" w:lineRule="auto"/>
        <w:rPr>
          <w:sz w:val="20"/>
          <w:szCs w:val="20"/>
          <w:color w:val="auto"/>
        </w:rPr>
      </w:pPr>
      <w:r>
        <w:rPr>
          <w:rFonts w:ascii="Courier New" w:cs="Courier New" w:eastAsia="Courier New" w:hAnsi="Courier New"/>
          <w:sz w:val="15"/>
          <w:szCs w:val="15"/>
          <w:color w:val="auto"/>
        </w:rPr>
        <w:t>DEFINED BENEFIT PLANS The Company sponsors several qualified and nonqualified pension plans covering substantially all permanent employees. The reconciliation of the changes in the plans' benefit obligations and the fair value of plan assets and the statement of the funded status of the plans are as follows:</w:t>
      </w:r>
    </w:p>
    <w:p>
      <w:pPr>
        <w:spacing w:after="0" w:line="200" w:lineRule="exact"/>
        <w:rPr>
          <w:sz w:val="20"/>
          <w:szCs w:val="20"/>
          <w:color w:val="auto"/>
        </w:rPr>
      </w:pPr>
    </w:p>
    <w:p>
      <w:pPr>
        <w:spacing w:after="0" w:line="341" w:lineRule="exact"/>
        <w:rPr>
          <w:sz w:val="20"/>
          <w:szCs w:val="20"/>
          <w:color w:val="auto"/>
        </w:rPr>
      </w:pPr>
    </w:p>
    <w:p>
      <w:pPr>
        <w:ind w:left="5100"/>
        <w:spacing w:after="0"/>
        <w:tabs>
          <w:tab w:leader="none" w:pos="7000" w:val="left"/>
        </w:tabs>
        <w:rPr>
          <w:sz w:val="20"/>
          <w:szCs w:val="20"/>
          <w:color w:val="auto"/>
        </w:rPr>
      </w:pPr>
      <w:r>
        <w:rPr>
          <w:rFonts w:ascii="Courier New" w:cs="Courier New" w:eastAsia="Courier New" w:hAnsi="Courier New"/>
          <w:sz w:val="16"/>
          <w:szCs w:val="16"/>
          <w:color w:val="auto"/>
        </w:rPr>
        <w:t>U.S. Plans</w:t>
      </w:r>
      <w:r>
        <w:rPr>
          <w:sz w:val="20"/>
          <w:szCs w:val="20"/>
          <w:color w:val="auto"/>
        </w:rPr>
        <w:tab/>
      </w:r>
      <w:r>
        <w:rPr>
          <w:rFonts w:ascii="Courier New" w:cs="Courier New" w:eastAsia="Courier New" w:hAnsi="Courier New"/>
          <w:sz w:val="15"/>
          <w:szCs w:val="15"/>
          <w:color w:val="auto"/>
        </w:rPr>
        <w:t>Non-U.S. Plans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4900"/>
        <w:spacing w:after="0"/>
        <w:tabs>
          <w:tab w:leader="none" w:pos="5940" w:val="left"/>
          <w:tab w:leader="none" w:pos="7000" w:val="left"/>
          <w:tab w:leader="none" w:pos="8040"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80" w:type="dxa"/>
            <w:vAlign w:val="bottom"/>
          </w:tcPr>
          <w:p>
            <w:pPr>
              <w:spacing w:after="0"/>
              <w:rPr>
                <w:sz w:val="20"/>
                <w:szCs w:val="20"/>
                <w:color w:val="auto"/>
              </w:rPr>
            </w:pPr>
            <w:r>
              <w:rPr>
                <w:rFonts w:ascii="Courier New" w:cs="Courier New" w:eastAsia="Courier New" w:hAnsi="Courier New"/>
                <w:sz w:val="16"/>
                <w:szCs w:val="16"/>
                <w:color w:val="auto"/>
              </w:rPr>
              <w:t>Change in benefit obligation:</w:t>
            </w:r>
          </w:p>
        </w:tc>
        <w:tc>
          <w:tcPr>
            <w:tcW w:w="1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5"/>
        </w:trPr>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Benefit obligation, beginning of year</w:t>
            </w:r>
          </w:p>
        </w:tc>
        <w:tc>
          <w:tcPr>
            <w:tcW w:w="14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$ 38.2</w:t>
            </w:r>
          </w:p>
        </w:tc>
        <w:tc>
          <w:tcPr>
            <w:tcW w:w="10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$ 31.1</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$ 58.2</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$ 49.9</w:t>
            </w:r>
          </w:p>
        </w:tc>
      </w:tr>
      <w:tr>
        <w:trPr>
          <w:trHeight w:val="185"/>
        </w:trPr>
        <w:tc>
          <w:tcPr>
            <w:tcW w:w="4180" w:type="dxa"/>
            <w:vAlign w:val="bottom"/>
          </w:tcPr>
          <w:p>
            <w:pPr>
              <w:ind w:left="280"/>
              <w:spacing w:after="0"/>
              <w:rPr>
                <w:sz w:val="20"/>
                <w:szCs w:val="20"/>
                <w:color w:val="auto"/>
              </w:rPr>
            </w:pPr>
            <w:r>
              <w:rPr>
                <w:rFonts w:ascii="Courier New" w:cs="Courier New" w:eastAsia="Courier New" w:hAnsi="Courier New"/>
                <w:sz w:val="16"/>
                <w:szCs w:val="16"/>
                <w:color w:val="auto"/>
              </w:rPr>
              <w:t>Service cost</w:t>
            </w:r>
          </w:p>
        </w:tc>
        <w:tc>
          <w:tcPr>
            <w:tcW w:w="14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w:t>
            </w:r>
          </w:p>
        </w:tc>
        <w:tc>
          <w:tcPr>
            <w:tcW w:w="10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1.6</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185"/>
        </w:trPr>
        <w:tc>
          <w:tcPr>
            <w:tcW w:w="4180" w:type="dxa"/>
            <w:vAlign w:val="bottom"/>
          </w:tcPr>
          <w:p>
            <w:pPr>
              <w:ind w:left="280"/>
              <w:spacing w:after="0"/>
              <w:rPr>
                <w:sz w:val="20"/>
                <w:szCs w:val="20"/>
                <w:color w:val="auto"/>
              </w:rPr>
            </w:pPr>
            <w:r>
              <w:rPr>
                <w:rFonts w:ascii="Courier New" w:cs="Courier New" w:eastAsia="Courier New" w:hAnsi="Courier New"/>
                <w:sz w:val="16"/>
                <w:szCs w:val="16"/>
                <w:color w:val="auto"/>
              </w:rPr>
              <w:t>Interest cost</w:t>
            </w:r>
          </w:p>
        </w:tc>
        <w:tc>
          <w:tcPr>
            <w:tcW w:w="14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3.0</w:t>
            </w:r>
          </w:p>
        </w:tc>
        <w:tc>
          <w:tcPr>
            <w:tcW w:w="10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2.4</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3.0</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r>
      <w:tr>
        <w:trPr>
          <w:trHeight w:val="185"/>
        </w:trPr>
        <w:tc>
          <w:tcPr>
            <w:tcW w:w="4180" w:type="dxa"/>
            <w:vAlign w:val="bottom"/>
          </w:tcPr>
          <w:p>
            <w:pPr>
              <w:ind w:left="280"/>
              <w:spacing w:after="0"/>
              <w:rPr>
                <w:sz w:val="20"/>
                <w:szCs w:val="20"/>
                <w:color w:val="auto"/>
              </w:rPr>
            </w:pPr>
            <w:r>
              <w:rPr>
                <w:rFonts w:ascii="Courier New" w:cs="Courier New" w:eastAsia="Courier New" w:hAnsi="Courier New"/>
                <w:sz w:val="16"/>
                <w:szCs w:val="16"/>
                <w:color w:val="auto"/>
              </w:rPr>
              <w:t>Curtailment loss</w:t>
            </w:r>
          </w:p>
        </w:tc>
        <w:tc>
          <w:tcPr>
            <w:tcW w:w="14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3.7</w:t>
            </w:r>
          </w:p>
        </w:tc>
        <w:tc>
          <w:tcPr>
            <w:tcW w:w="10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180" w:type="dxa"/>
            <w:vAlign w:val="bottom"/>
          </w:tcPr>
          <w:p>
            <w:pPr>
              <w:ind w:left="280"/>
              <w:spacing w:after="0"/>
              <w:rPr>
                <w:sz w:val="20"/>
                <w:szCs w:val="20"/>
                <w:color w:val="auto"/>
              </w:rPr>
            </w:pPr>
            <w:r>
              <w:rPr>
                <w:rFonts w:ascii="Courier New" w:cs="Courier New" w:eastAsia="Courier New" w:hAnsi="Courier New"/>
                <w:sz w:val="16"/>
                <w:szCs w:val="16"/>
                <w:color w:val="auto"/>
              </w:rPr>
              <w:t>Special termination benefits</w:t>
            </w:r>
          </w:p>
        </w:tc>
        <w:tc>
          <w:tcPr>
            <w:tcW w:w="14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8.0</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180" w:type="dxa"/>
            <w:vAlign w:val="bottom"/>
          </w:tcPr>
          <w:p>
            <w:pPr>
              <w:ind w:left="280"/>
              <w:spacing w:after="0"/>
              <w:rPr>
                <w:sz w:val="20"/>
                <w:szCs w:val="20"/>
                <w:color w:val="auto"/>
              </w:rPr>
            </w:pPr>
            <w:r>
              <w:rPr>
                <w:rFonts w:ascii="Courier New" w:cs="Courier New" w:eastAsia="Courier New" w:hAnsi="Courier New"/>
                <w:sz w:val="16"/>
                <w:szCs w:val="16"/>
                <w:color w:val="auto"/>
              </w:rPr>
              <w:t>Actuarial  loss (gain)</w:t>
            </w:r>
          </w:p>
        </w:tc>
        <w:tc>
          <w:tcPr>
            <w:tcW w:w="14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.8</w:t>
            </w: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(3.2)</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185"/>
        </w:trPr>
        <w:tc>
          <w:tcPr>
            <w:tcW w:w="4180" w:type="dxa"/>
            <w:vAlign w:val="bottom"/>
          </w:tcPr>
          <w:p>
            <w:pPr>
              <w:ind w:left="280"/>
              <w:spacing w:after="0"/>
              <w:rPr>
                <w:sz w:val="20"/>
                <w:szCs w:val="20"/>
                <w:color w:val="auto"/>
              </w:rPr>
            </w:pPr>
            <w:r>
              <w:rPr>
                <w:rFonts w:ascii="Courier New" w:cs="Courier New" w:eastAsia="Courier New" w:hAnsi="Courier New"/>
                <w:sz w:val="16"/>
                <w:szCs w:val="16"/>
                <w:color w:val="auto"/>
              </w:rPr>
              <w:t>Plan participant contributions</w:t>
            </w:r>
          </w:p>
        </w:tc>
        <w:tc>
          <w:tcPr>
            <w:tcW w:w="14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5"/>
        </w:trPr>
        <w:tc>
          <w:tcPr>
            <w:tcW w:w="4180" w:type="dxa"/>
            <w:vAlign w:val="bottom"/>
          </w:tcPr>
          <w:p>
            <w:pPr>
              <w:ind w:left="280"/>
              <w:spacing w:after="0"/>
              <w:rPr>
                <w:sz w:val="20"/>
                <w:szCs w:val="20"/>
                <w:color w:val="auto"/>
              </w:rPr>
            </w:pPr>
            <w:r>
              <w:rPr>
                <w:rFonts w:ascii="Courier New" w:cs="Courier New" w:eastAsia="Courier New" w:hAnsi="Courier New"/>
                <w:sz w:val="16"/>
                <w:szCs w:val="16"/>
                <w:color w:val="auto"/>
              </w:rPr>
              <w:t>Benefits paid</w:t>
            </w:r>
          </w:p>
        </w:tc>
        <w:tc>
          <w:tcPr>
            <w:tcW w:w="14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(2.8)</w:t>
            </w: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(1.7)</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(1.9)</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5"/>
        </w:trPr>
        <w:tc>
          <w:tcPr>
            <w:tcW w:w="4180" w:type="dxa"/>
            <w:vAlign w:val="bottom"/>
          </w:tcPr>
          <w:p>
            <w:pPr>
              <w:ind w:left="280"/>
              <w:spacing w:after="0"/>
              <w:rPr>
                <w:sz w:val="20"/>
                <w:szCs w:val="20"/>
                <w:color w:val="auto"/>
              </w:rPr>
            </w:pPr>
            <w:r>
              <w:rPr>
                <w:rFonts w:ascii="Courier New" w:cs="Courier New" w:eastAsia="Courier New" w:hAnsi="Courier New"/>
                <w:sz w:val="16"/>
                <w:szCs w:val="16"/>
                <w:color w:val="auto"/>
              </w:rPr>
              <w:t>Currency exchange rate changes</w:t>
            </w:r>
          </w:p>
        </w:tc>
        <w:tc>
          <w:tcPr>
            <w:tcW w:w="14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(4.8)</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rPr>
              <w:t>Benefit obligation, end of year</w:t>
            </w:r>
          </w:p>
        </w:tc>
        <w:tc>
          <w:tcPr>
            <w:tcW w:w="16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$ 43.3</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$ 38.2</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$ 60.1</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$ 58.2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20" w:type="dxa"/>
            <w:vAlign w:val="bottom"/>
            <w:gridSpan w:val="2"/>
          </w:tcPr>
          <w:p>
            <w:pPr>
              <w:spacing w:after="0"/>
              <w:rPr>
                <w:sz w:val="20"/>
                <w:szCs w:val="20"/>
                <w:color w:val="auto"/>
              </w:rPr>
            </w:pPr>
            <w:r>
              <w:rPr>
                <w:rFonts w:ascii="Courier New" w:cs="Courier New" w:eastAsia="Courier New" w:hAnsi="Courier New"/>
                <w:sz w:val="16"/>
                <w:szCs w:val="16"/>
                <w:color w:val="auto"/>
              </w:rPr>
              <w:t>Change in plan assets:</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5"/>
        </w:trPr>
        <w:tc>
          <w:tcPr>
            <w:tcW w:w="1880" w:type="dxa"/>
            <w:vAlign w:val="bottom"/>
          </w:tcPr>
          <w:p>
            <w:pPr>
              <w:ind w:left="100"/>
              <w:spacing w:after="0"/>
              <w:rPr>
                <w:sz w:val="20"/>
                <w:szCs w:val="20"/>
                <w:color w:val="auto"/>
              </w:rPr>
            </w:pPr>
            <w:r>
              <w:rPr>
                <w:rFonts w:ascii="Courier New" w:cs="Courier New" w:eastAsia="Courier New" w:hAnsi="Courier New"/>
                <w:sz w:val="16"/>
                <w:szCs w:val="16"/>
                <w:color w:val="auto"/>
              </w:rPr>
              <w:t>Fair value of plan</w:t>
            </w:r>
          </w:p>
        </w:tc>
        <w:tc>
          <w:tcPr>
            <w:tcW w:w="2640" w:type="dxa"/>
            <w:vAlign w:val="bottom"/>
          </w:tcPr>
          <w:p>
            <w:pPr>
              <w:ind w:left="40"/>
              <w:spacing w:after="0"/>
              <w:rPr>
                <w:sz w:val="20"/>
                <w:szCs w:val="20"/>
                <w:color w:val="auto"/>
              </w:rPr>
            </w:pPr>
            <w:r>
              <w:rPr>
                <w:rFonts w:ascii="Courier New" w:cs="Courier New" w:eastAsia="Courier New" w:hAnsi="Courier New"/>
                <w:sz w:val="16"/>
                <w:szCs w:val="16"/>
                <w:color w:val="auto"/>
              </w:rPr>
              <w:t>assets, beginning of year</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$ 30.9</w:t>
            </w:r>
          </w:p>
        </w:tc>
        <w:tc>
          <w:tcPr>
            <w:tcW w:w="10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$ 25.7</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$ 53.4</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$ 44.2</w:t>
            </w:r>
          </w:p>
        </w:tc>
      </w:tr>
      <w:tr>
        <w:trPr>
          <w:trHeight w:val="185"/>
        </w:trPr>
        <w:tc>
          <w:tcPr>
            <w:tcW w:w="1880" w:type="dxa"/>
            <w:vAlign w:val="bottom"/>
          </w:tcPr>
          <w:p>
            <w:pPr>
              <w:ind w:left="280"/>
              <w:spacing w:after="0"/>
              <w:rPr>
                <w:sz w:val="20"/>
                <w:szCs w:val="20"/>
                <w:color w:val="auto"/>
              </w:rPr>
            </w:pPr>
            <w:r>
              <w:rPr>
                <w:rFonts w:ascii="Courier New" w:cs="Courier New" w:eastAsia="Courier New" w:hAnsi="Courier New"/>
                <w:sz w:val="16"/>
                <w:szCs w:val="16"/>
                <w:color w:val="auto"/>
              </w:rPr>
              <w:t>Actual return on</w:t>
            </w:r>
          </w:p>
        </w:tc>
        <w:tc>
          <w:tcPr>
            <w:tcW w:w="2640" w:type="dxa"/>
            <w:vAlign w:val="bottom"/>
          </w:tcPr>
          <w:p>
            <w:pPr>
              <w:ind w:left="40"/>
              <w:spacing w:after="0"/>
              <w:rPr>
                <w:sz w:val="20"/>
                <w:szCs w:val="20"/>
                <w:color w:val="auto"/>
              </w:rPr>
            </w:pPr>
            <w:r>
              <w:rPr>
                <w:rFonts w:ascii="Courier New" w:cs="Courier New" w:eastAsia="Courier New" w:hAnsi="Courier New"/>
                <w:sz w:val="16"/>
                <w:szCs w:val="16"/>
                <w:color w:val="auto"/>
              </w:rPr>
              <w:t>plan assets</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.7</w:t>
            </w:r>
          </w:p>
        </w:tc>
        <w:tc>
          <w:tcPr>
            <w:tcW w:w="10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5.8</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7.3</w:t>
            </w:r>
          </w:p>
        </w:tc>
      </w:tr>
      <w:tr>
        <w:trPr>
          <w:trHeight w:val="185"/>
        </w:trPr>
        <w:tc>
          <w:tcPr>
            <w:tcW w:w="1880" w:type="dxa"/>
            <w:vAlign w:val="bottom"/>
          </w:tcPr>
          <w:p>
            <w:pPr>
              <w:ind w:left="280"/>
              <w:spacing w:after="0"/>
              <w:rPr>
                <w:sz w:val="20"/>
                <w:szCs w:val="20"/>
                <w:color w:val="auto"/>
              </w:rPr>
            </w:pPr>
            <w:r>
              <w:rPr>
                <w:rFonts w:ascii="Courier New" w:cs="Courier New" w:eastAsia="Courier New" w:hAnsi="Courier New"/>
                <w:sz w:val="16"/>
                <w:szCs w:val="16"/>
                <w:color w:val="auto"/>
              </w:rPr>
              <w:t>Plan participant</w:t>
            </w:r>
          </w:p>
        </w:tc>
        <w:tc>
          <w:tcPr>
            <w:tcW w:w="2640" w:type="dxa"/>
            <w:vAlign w:val="bottom"/>
          </w:tcPr>
          <w:p>
            <w:pPr>
              <w:ind w:left="40"/>
              <w:spacing w:after="0"/>
              <w:rPr>
                <w:sz w:val="20"/>
                <w:szCs w:val="20"/>
                <w:color w:val="auto"/>
              </w:rPr>
            </w:pPr>
            <w:r>
              <w:rPr>
                <w:rFonts w:ascii="Courier New" w:cs="Courier New" w:eastAsia="Courier New" w:hAnsi="Courier New"/>
                <w:sz w:val="16"/>
                <w:szCs w:val="16"/>
                <w:color w:val="auto"/>
              </w:rPr>
              <w:t>contributions</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.9</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5"/>
        </w:trPr>
        <w:tc>
          <w:tcPr>
            <w:tcW w:w="45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Company contributions</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1.6</w:t>
            </w:r>
          </w:p>
        </w:tc>
        <w:tc>
          <w:tcPr>
            <w:tcW w:w="10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1.1</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3.0</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r>
        <w:trPr>
          <w:trHeight w:val="185"/>
        </w:trPr>
        <w:tc>
          <w:tcPr>
            <w:tcW w:w="1880" w:type="dxa"/>
            <w:vAlign w:val="bottom"/>
          </w:tcPr>
          <w:p>
            <w:pPr>
              <w:ind w:left="280"/>
              <w:spacing w:after="0"/>
              <w:rPr>
                <w:sz w:val="20"/>
                <w:szCs w:val="20"/>
                <w:color w:val="auto"/>
              </w:rPr>
            </w:pPr>
            <w:r>
              <w:rPr>
                <w:rFonts w:ascii="Courier New" w:cs="Courier New" w:eastAsia="Courier New" w:hAnsi="Courier New"/>
                <w:sz w:val="16"/>
                <w:szCs w:val="16"/>
                <w:color w:val="auto"/>
              </w:rPr>
              <w:t>Benefits paid</w:t>
            </w:r>
          </w:p>
        </w:tc>
        <w:tc>
          <w:tcPr>
            <w:tcW w:w="264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(2.8)</w:t>
            </w: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(1.7)</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(1.9)</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5"/>
        </w:trPr>
        <w:tc>
          <w:tcPr>
            <w:tcW w:w="45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Currency exchange rate changes</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(4.3)</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80" w:type="dxa"/>
            <w:vAlign w:val="bottom"/>
          </w:tcPr>
          <w:p>
            <w:pPr>
              <w:spacing w:after="0"/>
              <w:rPr>
                <w:sz w:val="20"/>
                <w:szCs w:val="20"/>
                <w:color w:val="auto"/>
              </w:rPr>
            </w:pPr>
            <w:r>
              <w:rPr>
                <w:rFonts w:ascii="Courier New" w:cs="Courier New" w:eastAsia="Courier New" w:hAnsi="Courier New"/>
                <w:sz w:val="16"/>
                <w:szCs w:val="16"/>
                <w:color w:val="auto"/>
              </w:rPr>
              <w:t>Fair value of plan assets, end of year</w:t>
            </w:r>
          </w:p>
        </w:tc>
        <w:tc>
          <w:tcPr>
            <w:tcW w:w="13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$ 30.4</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$ 30.9</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$ 51.0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$ 53.4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680" w:type="dxa"/>
            <w:vAlign w:val="bottom"/>
          </w:tcPr>
          <w:p>
            <w:pPr>
              <w:spacing w:after="0"/>
              <w:rPr>
                <w:sz w:val="20"/>
                <w:szCs w:val="20"/>
                <w:color w:val="auto"/>
              </w:rPr>
            </w:pPr>
            <w:r>
              <w:rPr>
                <w:rFonts w:ascii="Courier New" w:cs="Courier New" w:eastAsia="Courier New" w:hAnsi="Courier New"/>
                <w:sz w:val="16"/>
                <w:szCs w:val="16"/>
                <w:color w:val="auto"/>
              </w:rPr>
              <w:t>Funded status:</w:t>
            </w:r>
          </w:p>
        </w:tc>
        <w:tc>
          <w:tcPr>
            <w:tcW w:w="2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5"/>
        </w:trPr>
        <w:tc>
          <w:tcPr>
            <w:tcW w:w="1680" w:type="dxa"/>
            <w:vAlign w:val="bottom"/>
          </w:tcPr>
          <w:p>
            <w:pPr>
              <w:ind w:left="100"/>
              <w:spacing w:after="0"/>
              <w:rPr>
                <w:sz w:val="20"/>
                <w:szCs w:val="20"/>
                <w:color w:val="auto"/>
              </w:rPr>
            </w:pPr>
            <w:r>
              <w:rPr>
                <w:rFonts w:ascii="Courier New" w:cs="Courier New" w:eastAsia="Courier New" w:hAnsi="Courier New"/>
                <w:sz w:val="16"/>
                <w:szCs w:val="16"/>
                <w:color w:val="auto"/>
              </w:rPr>
              <w:t>Funded status of</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plan</w:t>
            </w:r>
          </w:p>
        </w:tc>
        <w:tc>
          <w:tcPr>
            <w:tcW w:w="17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$(12.9)</w:t>
            </w: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(7.3)</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(9.1)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 (4.8)</w:t>
            </w:r>
          </w:p>
        </w:tc>
      </w:tr>
      <w:tr>
        <w:trPr>
          <w:trHeight w:val="185"/>
        </w:trPr>
        <w:tc>
          <w:tcPr>
            <w:tcW w:w="1680" w:type="dxa"/>
            <w:vAlign w:val="bottom"/>
          </w:tcPr>
          <w:p>
            <w:pPr>
              <w:ind w:left="100"/>
              <w:spacing w:after="0"/>
              <w:rPr>
                <w:sz w:val="20"/>
                <w:szCs w:val="20"/>
                <w:color w:val="auto"/>
              </w:rPr>
            </w:pPr>
            <w:r>
              <w:rPr>
                <w:rFonts w:ascii="Courier New" w:cs="Courier New" w:eastAsia="Courier New" w:hAnsi="Courier New"/>
                <w:sz w:val="16"/>
                <w:szCs w:val="16"/>
                <w:color w:val="auto"/>
              </w:rPr>
              <w:t>Unrecognized net</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(gain) loss</w:t>
            </w:r>
          </w:p>
        </w:tc>
        <w:tc>
          <w:tcPr>
            <w:tcW w:w="17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(8.2)</w:t>
            </w: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(10.6)</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8.9</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r>
      <w:tr>
        <w:trPr>
          <w:trHeight w:val="185"/>
        </w:trPr>
        <w:tc>
          <w:tcPr>
            <w:tcW w:w="38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Unrecognized prior service cost</w:t>
            </w:r>
          </w:p>
        </w:tc>
        <w:tc>
          <w:tcPr>
            <w:tcW w:w="17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5"/>
        </w:trPr>
        <w:tc>
          <w:tcPr>
            <w:tcW w:w="38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Unrecognized transitional asset</w:t>
            </w:r>
          </w:p>
        </w:tc>
        <w:tc>
          <w:tcPr>
            <w:tcW w:w="17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w:t>
            </w: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4680" w:val="left"/>
          <w:tab w:leader="none" w:pos="5740" w:val="left"/>
          <w:tab w:leader="none" w:pos="6800" w:val="left"/>
          <w:tab w:leader="none" w:pos="7180" w:val="left"/>
          <w:tab w:leader="none" w:pos="7860" w:val="left"/>
          <w:tab w:leader="none" w:pos="8240" w:val="left"/>
        </w:tabs>
        <w:rPr>
          <w:sz w:val="20"/>
          <w:szCs w:val="20"/>
          <w:color w:val="auto"/>
        </w:rPr>
      </w:pPr>
      <w:r>
        <w:rPr>
          <w:rFonts w:ascii="Courier New" w:cs="Courier New" w:eastAsia="Courier New" w:hAnsi="Courier New"/>
          <w:sz w:val="16"/>
          <w:szCs w:val="16"/>
          <w:color w:val="auto"/>
        </w:rPr>
        <w:t>Net amount recognized</w:t>
      </w:r>
      <w:r>
        <w:rPr>
          <w:sz w:val="20"/>
          <w:szCs w:val="20"/>
          <w:color w:val="auto"/>
        </w:rPr>
        <w:tab/>
      </w:r>
      <w:r>
        <w:rPr>
          <w:rFonts w:ascii="Courier New" w:cs="Courier New" w:eastAsia="Courier New" w:hAnsi="Courier New"/>
          <w:sz w:val="16"/>
          <w:szCs w:val="16"/>
          <w:color w:val="auto"/>
        </w:rPr>
        <w:t>$(21.5)</w:t>
      </w:r>
      <w:r>
        <w:rPr>
          <w:sz w:val="20"/>
          <w:szCs w:val="20"/>
          <w:color w:val="auto"/>
        </w:rPr>
        <w:tab/>
      </w:r>
      <w:r>
        <w:rPr>
          <w:rFonts w:ascii="Courier New" w:cs="Courier New" w:eastAsia="Courier New" w:hAnsi="Courier New"/>
          <w:sz w:val="16"/>
          <w:szCs w:val="16"/>
          <w:color w:val="auto"/>
        </w:rPr>
        <w:t>$(18.5)</w:t>
      </w:r>
      <w:r>
        <w:rPr>
          <w:sz w:val="20"/>
          <w:szCs w:val="20"/>
          <w:color w:val="auto"/>
        </w:rPr>
        <w:tab/>
      </w:r>
      <w:r>
        <w:rPr>
          <w:rFonts w:ascii="Courier New" w:cs="Courier New" w:eastAsia="Courier New" w:hAnsi="Courier New"/>
          <w:sz w:val="16"/>
          <w:szCs w:val="16"/>
          <w:color w:val="auto"/>
        </w:rPr>
        <w:t>$</w:t>
        <w:tab/>
        <w:t>.2</w:t>
      </w:r>
      <w:r>
        <w:rPr>
          <w:sz w:val="20"/>
          <w:szCs w:val="20"/>
          <w:color w:val="auto"/>
        </w:rPr>
        <w:tab/>
      </w:r>
      <w:r>
        <w:rPr>
          <w:rFonts w:ascii="Courier New" w:cs="Courier New" w:eastAsia="Courier New" w:hAnsi="Courier New"/>
          <w:sz w:val="16"/>
          <w:szCs w:val="16"/>
          <w:color w:val="auto"/>
        </w:rPr>
        <w:t>$</w:t>
        <w:tab/>
        <w:t>.9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00" w:type="dxa"/>
            <w:vAlign w:val="bottom"/>
          </w:tcPr>
          <w:p>
            <w:pPr>
              <w:spacing w:after="0"/>
              <w:rPr>
                <w:sz w:val="20"/>
                <w:szCs w:val="20"/>
                <w:color w:val="auto"/>
              </w:rPr>
            </w:pPr>
            <w:r>
              <w:rPr>
                <w:rFonts w:ascii="Courier New" w:cs="Courier New" w:eastAsia="Courier New" w:hAnsi="Courier New"/>
                <w:sz w:val="16"/>
                <w:szCs w:val="16"/>
                <w:color w:val="auto"/>
              </w:rPr>
              <w:t>Amounts recognized:</w:t>
            </w: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5"/>
        </w:trPr>
        <w:tc>
          <w:tcPr>
            <w:tcW w:w="3600" w:type="dxa"/>
            <w:vAlign w:val="bottom"/>
          </w:tcPr>
          <w:p>
            <w:pPr>
              <w:ind w:left="100"/>
              <w:spacing w:after="0"/>
              <w:rPr>
                <w:sz w:val="20"/>
                <w:szCs w:val="20"/>
                <w:color w:val="auto"/>
              </w:rPr>
            </w:pPr>
            <w:r>
              <w:rPr>
                <w:rFonts w:ascii="Courier New" w:cs="Courier New" w:eastAsia="Courier New" w:hAnsi="Courier New"/>
                <w:sz w:val="16"/>
                <w:szCs w:val="16"/>
                <w:color w:val="auto"/>
              </w:rPr>
              <w:t>Prepaid benefit cost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  3.5</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  3.8</w:t>
            </w:r>
          </w:p>
        </w:tc>
      </w:tr>
      <w:tr>
        <w:trPr>
          <w:trHeight w:val="185"/>
        </w:trPr>
        <w:tc>
          <w:tcPr>
            <w:tcW w:w="3600" w:type="dxa"/>
            <w:vAlign w:val="bottom"/>
          </w:tcPr>
          <w:p>
            <w:pPr>
              <w:ind w:left="100"/>
              <w:spacing w:after="0"/>
              <w:rPr>
                <w:sz w:val="20"/>
                <w:szCs w:val="20"/>
                <w:color w:val="auto"/>
              </w:rPr>
            </w:pPr>
            <w:r>
              <w:rPr>
                <w:rFonts w:ascii="Courier New" w:cs="Courier New" w:eastAsia="Courier New" w:hAnsi="Courier New"/>
                <w:sz w:val="16"/>
                <w:szCs w:val="16"/>
                <w:color w:val="auto"/>
              </w:rPr>
              <w:t>Accrued benefit liability</w:t>
            </w:r>
          </w:p>
        </w:tc>
        <w:tc>
          <w:tcPr>
            <w:tcW w:w="120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(21.5)</w:t>
            </w:r>
          </w:p>
        </w:tc>
        <w:tc>
          <w:tcPr>
            <w:tcW w:w="28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7"/>
              </w:rPr>
              <w:t>(18.5)</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(3.3)</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4680" w:val="left"/>
          <w:tab w:leader="none" w:pos="5740" w:val="left"/>
          <w:tab w:leader="none" w:pos="6800" w:val="left"/>
          <w:tab w:leader="none" w:pos="7180" w:val="left"/>
          <w:tab w:leader="none" w:pos="7860" w:val="left"/>
          <w:tab w:leader="none" w:pos="8240" w:val="left"/>
        </w:tabs>
        <w:rPr>
          <w:sz w:val="20"/>
          <w:szCs w:val="20"/>
          <w:color w:val="auto"/>
        </w:rPr>
      </w:pPr>
      <w:r>
        <w:rPr>
          <w:rFonts w:ascii="Courier New" w:cs="Courier New" w:eastAsia="Courier New" w:hAnsi="Courier New"/>
          <w:sz w:val="16"/>
          <w:szCs w:val="16"/>
          <w:color w:val="auto"/>
        </w:rPr>
        <w:t>Net amount recognized</w:t>
      </w:r>
      <w:r>
        <w:rPr>
          <w:sz w:val="20"/>
          <w:szCs w:val="20"/>
          <w:color w:val="auto"/>
        </w:rPr>
        <w:tab/>
      </w:r>
      <w:r>
        <w:rPr>
          <w:rFonts w:ascii="Courier New" w:cs="Courier New" w:eastAsia="Courier New" w:hAnsi="Courier New"/>
          <w:sz w:val="16"/>
          <w:szCs w:val="16"/>
          <w:color w:val="auto"/>
        </w:rPr>
        <w:t>$(21.5)</w:t>
      </w:r>
      <w:r>
        <w:rPr>
          <w:sz w:val="20"/>
          <w:szCs w:val="20"/>
          <w:color w:val="auto"/>
        </w:rPr>
        <w:tab/>
      </w:r>
      <w:r>
        <w:rPr>
          <w:rFonts w:ascii="Courier New" w:cs="Courier New" w:eastAsia="Courier New" w:hAnsi="Courier New"/>
          <w:sz w:val="16"/>
          <w:szCs w:val="16"/>
          <w:color w:val="auto"/>
        </w:rPr>
        <w:t>$(18.5)</w:t>
      </w:r>
      <w:r>
        <w:rPr>
          <w:sz w:val="20"/>
          <w:szCs w:val="20"/>
          <w:color w:val="auto"/>
        </w:rPr>
        <w:tab/>
      </w:r>
      <w:r>
        <w:rPr>
          <w:rFonts w:ascii="Courier New" w:cs="Courier New" w:eastAsia="Courier New" w:hAnsi="Courier New"/>
          <w:sz w:val="16"/>
          <w:szCs w:val="16"/>
          <w:color w:val="auto"/>
        </w:rPr>
        <w:t>$</w:t>
        <w:tab/>
        <w:t>.2</w:t>
      </w:r>
      <w:r>
        <w:rPr>
          <w:sz w:val="20"/>
          <w:szCs w:val="20"/>
          <w:color w:val="auto"/>
        </w:rPr>
        <w:tab/>
      </w:r>
      <w:r>
        <w:rPr>
          <w:rFonts w:ascii="Courier New" w:cs="Courier New" w:eastAsia="Courier New" w:hAnsi="Courier New"/>
          <w:sz w:val="16"/>
          <w:szCs w:val="16"/>
          <w:color w:val="auto"/>
        </w:rPr>
        <w:t>$</w:t>
        <w:tab/>
        <w:t>.9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The components of the net periodic benefit cost for all plans are as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480" w:type="dxa"/>
            <w:vAlign w:val="bottom"/>
          </w:tcPr>
          <w:p>
            <w:pPr>
              <w:jc w:val="right"/>
              <w:ind w:right="4640"/>
              <w:spacing w:after="0"/>
              <w:rPr>
                <w:sz w:val="20"/>
                <w:szCs w:val="20"/>
                <w:color w:val="auto"/>
              </w:rPr>
            </w:pPr>
            <w:r>
              <w:rPr>
                <w:rFonts w:ascii="Courier New" w:cs="Courier New" w:eastAsia="Courier New" w:hAnsi="Courier New"/>
                <w:sz w:val="16"/>
                <w:szCs w:val="16"/>
                <w:color w:val="auto"/>
                <w:w w:val="96"/>
              </w:rPr>
              <w:t>follows:</w:t>
            </w:r>
          </w:p>
        </w:tc>
        <w:tc>
          <w:tcPr>
            <w:tcW w:w="13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554"/>
        </w:trPr>
        <w:tc>
          <w:tcPr>
            <w:tcW w:w="5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2000</w:t>
            </w:r>
          </w:p>
        </w:tc>
        <w:tc>
          <w:tcPr>
            <w:tcW w:w="13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1999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rPr>
              <w:t>Service cost</w:t>
            </w:r>
          </w:p>
        </w:tc>
        <w:tc>
          <w:tcPr>
            <w:tcW w:w="16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$4.5</w:t>
            </w:r>
          </w:p>
        </w:tc>
        <w:tc>
          <w:tcPr>
            <w:tcW w:w="13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$ 5.6</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$4.2</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Interest cost</w:t>
            </w:r>
          </w:p>
        </w:tc>
        <w:tc>
          <w:tcPr>
            <w:tcW w:w="16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6.0</w:t>
            </w:r>
          </w:p>
        </w:tc>
        <w:tc>
          <w:tcPr>
            <w:tcW w:w="13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5.1</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4.3</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Expected return on assets</w:t>
            </w:r>
          </w:p>
        </w:tc>
        <w:tc>
          <w:tcPr>
            <w:tcW w:w="16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(5.7)</w:t>
            </w:r>
          </w:p>
        </w:tc>
        <w:tc>
          <w:tcPr>
            <w:tcW w:w="13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(5.0)</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Amortization of:</w:t>
            </w:r>
          </w:p>
        </w:tc>
        <w:tc>
          <w:tcPr>
            <w:tcW w:w="16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3840" w:type="dxa"/>
            <w:vAlign w:val="bottom"/>
          </w:tcPr>
          <w:p>
            <w:pPr>
              <w:ind w:left="100"/>
              <w:spacing w:after="0"/>
              <w:rPr>
                <w:sz w:val="20"/>
                <w:szCs w:val="20"/>
                <w:color w:val="auto"/>
              </w:rPr>
            </w:pPr>
            <w:r>
              <w:rPr>
                <w:rFonts w:ascii="Courier New" w:cs="Courier New" w:eastAsia="Courier New" w:hAnsi="Courier New"/>
                <w:sz w:val="16"/>
                <w:szCs w:val="16"/>
                <w:color w:val="auto"/>
              </w:rPr>
              <w:t>unrecognized (gain) loss</w:t>
            </w:r>
          </w:p>
        </w:tc>
        <w:tc>
          <w:tcPr>
            <w:tcW w:w="16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w:t>
            </w:r>
          </w:p>
        </w:tc>
        <w:tc>
          <w:tcPr>
            <w:tcW w:w="13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3840" w:type="dxa"/>
            <w:vAlign w:val="bottom"/>
          </w:tcPr>
          <w:p>
            <w:pPr>
              <w:ind w:left="100"/>
              <w:spacing w:after="0"/>
              <w:rPr>
                <w:sz w:val="20"/>
                <w:szCs w:val="20"/>
                <w:color w:val="auto"/>
              </w:rPr>
            </w:pPr>
            <w:r>
              <w:rPr>
                <w:rFonts w:ascii="Courier New" w:cs="Courier New" w:eastAsia="Courier New" w:hAnsi="Courier New"/>
                <w:sz w:val="16"/>
                <w:szCs w:val="16"/>
                <w:color w:val="auto"/>
              </w:rPr>
              <w:t>unrecognized transitional asset</w:t>
            </w:r>
          </w:p>
        </w:tc>
        <w:tc>
          <w:tcPr>
            <w:tcW w:w="16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w:t>
            </w:r>
          </w:p>
        </w:tc>
        <w:tc>
          <w:tcPr>
            <w:tcW w:w="13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Curtailment loss</w:t>
            </w:r>
          </w:p>
        </w:tc>
        <w:tc>
          <w:tcPr>
            <w:tcW w:w="16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3.7</w:t>
            </w:r>
          </w:p>
        </w:tc>
        <w:tc>
          <w:tcPr>
            <w:tcW w:w="13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Special termination benefits</w:t>
            </w:r>
          </w:p>
        </w:tc>
        <w:tc>
          <w:tcPr>
            <w:tcW w:w="16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8.0</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160" w:type="dxa"/>
            <w:vAlign w:val="bottom"/>
          </w:tcPr>
          <w:p>
            <w:pPr>
              <w:spacing w:after="0"/>
              <w:rPr>
                <w:sz w:val="20"/>
                <w:szCs w:val="20"/>
                <w:color w:val="auto"/>
              </w:rPr>
            </w:pPr>
            <w:r>
              <w:rPr>
                <w:rFonts w:ascii="Courier New" w:cs="Courier New" w:eastAsia="Courier New" w:hAnsi="Courier New"/>
                <w:sz w:val="16"/>
                <w:szCs w:val="16"/>
                <w:color w:val="auto"/>
              </w:rPr>
              <w:t>Total benefit cost</w:t>
            </w:r>
          </w:p>
        </w:tc>
        <w:tc>
          <w:tcPr>
            <w:tcW w:w="226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$8.2</w:t>
            </w:r>
          </w:p>
        </w:tc>
        <w:tc>
          <w:tcPr>
            <w:tcW w:w="13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$13.6</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00" w:right="1440" w:bottom="1440" w:gutter="0" w:footer="0" w:header="0"/>
        </w:sectPr>
      </w:pPr>
    </w:p>
    <w:p>
      <w:pPr>
        <w:spacing w:after="0" w:line="373" w:lineRule="exact"/>
        <w:rPr>
          <w:sz w:val="20"/>
          <w:szCs w:val="20"/>
          <w:color w:val="auto"/>
        </w:rPr>
      </w:pPr>
    </w:p>
    <w:p>
      <w:pPr>
        <w:spacing w:after="0"/>
        <w:tabs>
          <w:tab w:leader="none" w:pos="7480" w:val="left"/>
        </w:tabs>
        <w:rPr>
          <w:sz w:val="20"/>
          <w:szCs w:val="20"/>
          <w:color w:val="auto"/>
        </w:rPr>
      </w:pPr>
      <w:r>
        <w:rPr>
          <w:rFonts w:ascii="Courier New" w:cs="Courier New" w:eastAsia="Courier New" w:hAnsi="Courier New"/>
          <w:sz w:val="16"/>
          <w:szCs w:val="16"/>
          <w:color w:val="auto"/>
        </w:rPr>
        <w:t>Manpower Inc.</w:t>
      </w:r>
      <w:r>
        <w:rPr>
          <w:sz w:val="20"/>
          <w:szCs w:val="20"/>
          <w:color w:val="auto"/>
        </w:rPr>
        <w:tab/>
      </w:r>
      <w:r>
        <w:rPr>
          <w:rFonts w:ascii="Courier New" w:cs="Courier New" w:eastAsia="Courier New" w:hAnsi="Courier New"/>
          <w:sz w:val="15"/>
          <w:szCs w:val="15"/>
          <w:color w:val="auto"/>
        </w:rPr>
        <w:t>89</w:t>
      </w:r>
    </w:p>
    <w:p>
      <w:pPr>
        <w:sectPr>
          <w:pgSz w:w="11900" w:h="16838" w:orient="portrait"/>
          <w:cols w:equalWidth="0" w:num="1">
            <w:col w:w="10219"/>
          </w:cols>
          <w:pgMar w:left="240" w:top="300" w:right="1440" w:bottom="1440" w:gutter="0" w:footer="0" w:header="0"/>
          <w:type w:val="continuous"/>
        </w:sectPr>
      </w:pPr>
    </w:p>
    <w:bookmarkStart w:id="82" w:name="page83"/>
    <w:bookmarkEnd w:id="82"/>
    <w:p>
      <w:pPr>
        <w:ind w:left="280"/>
        <w:spacing w:after="0"/>
        <w:rPr>
          <w:sz w:val="20"/>
          <w:szCs w:val="20"/>
          <w:color w:val="auto"/>
        </w:rPr>
      </w:pPr>
      <w:r>
        <w:rPr>
          <w:rFonts w:ascii="Courier New" w:cs="Courier New" w:eastAsia="Courier New" w:hAnsi="Courier New"/>
          <w:sz w:val="16"/>
          <w:szCs w:val="16"/>
          <w:color w:val="auto"/>
        </w:rPr>
        <w:t>64</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(in millions, except share data)</w:t>
      </w:r>
    </w:p>
    <w:p>
      <w:pPr>
        <w:spacing w:after="0" w:line="190" w:lineRule="exact"/>
        <w:rPr>
          <w:sz w:val="20"/>
          <w:szCs w:val="20"/>
          <w:color w:val="auto"/>
        </w:rPr>
      </w:pPr>
    </w:p>
    <w:p>
      <w:pPr>
        <w:ind w:right="3199" w:firstLine="961"/>
        <w:spacing w:after="0" w:line="242" w:lineRule="auto"/>
        <w:rPr>
          <w:sz w:val="20"/>
          <w:szCs w:val="20"/>
          <w:color w:val="auto"/>
        </w:rPr>
      </w:pPr>
      <w:r>
        <w:rPr>
          <w:rFonts w:ascii="Courier New" w:cs="Courier New" w:eastAsia="Courier New" w:hAnsi="Courier New"/>
          <w:sz w:val="16"/>
          <w:szCs w:val="16"/>
          <w:color w:val="auto"/>
        </w:rPr>
        <w:t>The weighted-average assumptions used in the measurement of the benefit obligation are as follows:</w:t>
      </w:r>
    </w:p>
    <w:p>
      <w:pPr>
        <w:spacing w:after="0" w:line="187" w:lineRule="exact"/>
        <w:rPr>
          <w:sz w:val="20"/>
          <w:szCs w:val="20"/>
          <w:color w:val="auto"/>
        </w:rPr>
      </w:pPr>
    </w:p>
    <w:p>
      <w:pPr>
        <w:ind w:left="4140"/>
        <w:spacing w:after="0"/>
        <w:tabs>
          <w:tab w:leader="none" w:pos="6120" w:val="left"/>
        </w:tabs>
        <w:rPr>
          <w:sz w:val="20"/>
          <w:szCs w:val="20"/>
          <w:color w:val="auto"/>
        </w:rPr>
      </w:pPr>
      <w:r>
        <w:rPr>
          <w:rFonts w:ascii="Courier New" w:cs="Courier New" w:eastAsia="Courier New" w:hAnsi="Courier New"/>
          <w:sz w:val="16"/>
          <w:szCs w:val="16"/>
          <w:color w:val="auto"/>
        </w:rPr>
        <w:t>U.S. PLANS</w:t>
      </w:r>
      <w:r>
        <w:rPr>
          <w:sz w:val="20"/>
          <w:szCs w:val="20"/>
          <w:color w:val="auto"/>
        </w:rPr>
        <w:tab/>
      </w:r>
      <w:r>
        <w:rPr>
          <w:rFonts w:ascii="Courier New" w:cs="Courier New" w:eastAsia="Courier New" w:hAnsi="Courier New"/>
          <w:sz w:val="16"/>
          <w:szCs w:val="16"/>
          <w:color w:val="auto"/>
        </w:rPr>
        <w:t>NON-U.S. PLANS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940"/>
        <w:spacing w:after="0"/>
        <w:tabs>
          <w:tab w:leader="none" w:pos="4980" w:val="left"/>
          <w:tab w:leader="none" w:pos="6040" w:val="left"/>
          <w:tab w:leader="none" w:pos="7080"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360" w:type="dxa"/>
            <w:vAlign w:val="bottom"/>
          </w:tcPr>
          <w:p>
            <w:pPr>
              <w:spacing w:after="0"/>
              <w:rPr>
                <w:sz w:val="20"/>
                <w:szCs w:val="20"/>
                <w:color w:val="auto"/>
              </w:rPr>
            </w:pPr>
            <w:r>
              <w:rPr>
                <w:rFonts w:ascii="Courier New" w:cs="Courier New" w:eastAsia="Courier New" w:hAnsi="Courier New"/>
                <w:sz w:val="16"/>
                <w:szCs w:val="16"/>
                <w:color w:val="auto"/>
              </w:rPr>
              <w:t>Discount rate</w:t>
            </w: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7.5%</w:t>
            </w:r>
          </w:p>
        </w:tc>
        <w:tc>
          <w:tcPr>
            <w:tcW w:w="10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7.5%</w:t>
            </w:r>
          </w:p>
        </w:tc>
        <w:tc>
          <w:tcPr>
            <w:tcW w:w="10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5.6%</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r>
      <w:tr>
        <w:trPr>
          <w:trHeight w:val="185"/>
        </w:trPr>
        <w:tc>
          <w:tcPr>
            <w:tcW w:w="3360" w:type="dxa"/>
            <w:vAlign w:val="bottom"/>
          </w:tcPr>
          <w:p>
            <w:pPr>
              <w:spacing w:after="0"/>
              <w:rPr>
                <w:sz w:val="20"/>
                <w:szCs w:val="20"/>
                <w:color w:val="auto"/>
              </w:rPr>
            </w:pPr>
            <w:r>
              <w:rPr>
                <w:rFonts w:ascii="Courier New" w:cs="Courier New" w:eastAsia="Courier New" w:hAnsi="Courier New"/>
                <w:sz w:val="16"/>
                <w:szCs w:val="16"/>
                <w:color w:val="auto"/>
              </w:rPr>
              <w:t>Expected return on assets</w:t>
            </w: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8.5%</w:t>
            </w:r>
          </w:p>
        </w:tc>
        <w:tc>
          <w:tcPr>
            <w:tcW w:w="10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8.5%</w:t>
            </w:r>
          </w:p>
        </w:tc>
        <w:tc>
          <w:tcPr>
            <w:tcW w:w="10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6.7%</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6.8%</w:t>
            </w:r>
          </w:p>
        </w:tc>
      </w:tr>
      <w:tr>
        <w:trPr>
          <w:trHeight w:val="185"/>
        </w:trPr>
        <w:tc>
          <w:tcPr>
            <w:tcW w:w="3360" w:type="dxa"/>
            <w:vAlign w:val="bottom"/>
          </w:tcPr>
          <w:p>
            <w:pPr>
              <w:spacing w:after="0"/>
              <w:rPr>
                <w:sz w:val="20"/>
                <w:szCs w:val="20"/>
                <w:color w:val="auto"/>
              </w:rPr>
            </w:pPr>
            <w:r>
              <w:rPr>
                <w:rFonts w:ascii="Courier New" w:cs="Courier New" w:eastAsia="Courier New" w:hAnsi="Courier New"/>
                <w:sz w:val="16"/>
                <w:szCs w:val="16"/>
                <w:color w:val="auto"/>
              </w:rPr>
              <w:t>Rate of compensation increase</w:t>
            </w: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6.0%</w:t>
            </w:r>
          </w:p>
        </w:tc>
        <w:tc>
          <w:tcPr>
            <w:tcW w:w="10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6.0%</w:t>
            </w:r>
          </w:p>
        </w:tc>
        <w:tc>
          <w:tcPr>
            <w:tcW w:w="10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4.2%</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color w:val="auto"/>
        </w:rPr>
        <w:t>Projected salary levels utilized in the determination of the projected benefit obligation for the pension plans are based upon historical experience. The unrecognized transitional asset is being amortized over the estimated remaining service lives of the employees. Plan assets are primarily comprised of common stocks and U.S. government and agency securities.</w:t>
      </w:r>
    </w:p>
    <w:p>
      <w:pPr>
        <w:spacing w:after="0" w:line="187" w:lineRule="exact"/>
        <w:rPr>
          <w:sz w:val="20"/>
          <w:szCs w:val="20"/>
          <w:color w:val="auto"/>
        </w:rPr>
      </w:pPr>
    </w:p>
    <w:p>
      <w:pPr>
        <w:ind w:right="2639" w:firstLine="961"/>
        <w:spacing w:after="0" w:line="243" w:lineRule="auto"/>
        <w:rPr>
          <w:sz w:val="20"/>
          <w:szCs w:val="20"/>
          <w:color w:val="auto"/>
        </w:rPr>
      </w:pPr>
      <w:r>
        <w:rPr>
          <w:rFonts w:ascii="Courier New" w:cs="Courier New" w:eastAsia="Courier New" w:hAnsi="Courier New"/>
          <w:sz w:val="16"/>
          <w:szCs w:val="16"/>
          <w:color w:val="auto"/>
        </w:rPr>
        <w:t>In April 1999, the Company amended a U.S. plan to allow for special termination benefits related to senior executives. This amendment resulted in a one-time expense of $8.0 in 1999.</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RETIREE HEALTH CARE PLAN The Company provides medical and dental benefits to certain eligible retired employees in the United States. Due to the nature of the plan, there are no plan assets. The reconciliation of the changes in the plan's benefit obligation and the statement of the funded status of the plan are as follows:</w:t>
      </w:r>
    </w:p>
    <w:p>
      <w:pPr>
        <w:spacing w:after="0" w:line="370" w:lineRule="exact"/>
        <w:rPr>
          <w:sz w:val="20"/>
          <w:szCs w:val="20"/>
          <w:color w:val="auto"/>
        </w:rPr>
      </w:pPr>
    </w:p>
    <w:p>
      <w:pPr>
        <w:ind w:left="5760"/>
        <w:spacing w:after="0"/>
        <w:tabs>
          <w:tab w:leader="none" w:pos="7180"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20" w:type="dxa"/>
            <w:vAlign w:val="bottom"/>
          </w:tcPr>
          <w:p>
            <w:pPr>
              <w:spacing w:after="0"/>
              <w:rPr>
                <w:sz w:val="20"/>
                <w:szCs w:val="20"/>
                <w:color w:val="auto"/>
              </w:rPr>
            </w:pPr>
            <w:r>
              <w:rPr>
                <w:rFonts w:ascii="Courier New" w:cs="Courier New" w:eastAsia="Courier New" w:hAnsi="Courier New"/>
                <w:sz w:val="16"/>
                <w:szCs w:val="16"/>
                <w:color w:val="auto"/>
              </w:rPr>
              <w:t>Benefit obligation, beginning of year</w:t>
            </w:r>
          </w:p>
        </w:tc>
        <w:tc>
          <w:tcPr>
            <w:tcW w:w="206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$26.6</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$28.8</w:t>
            </w:r>
          </w:p>
        </w:tc>
      </w:tr>
      <w:tr>
        <w:trPr>
          <w:trHeight w:val="185"/>
        </w:trPr>
        <w:tc>
          <w:tcPr>
            <w:tcW w:w="4620" w:type="dxa"/>
            <w:vAlign w:val="bottom"/>
          </w:tcPr>
          <w:p>
            <w:pPr>
              <w:ind w:left="100"/>
              <w:spacing w:after="0"/>
              <w:rPr>
                <w:sz w:val="20"/>
                <w:szCs w:val="20"/>
                <w:color w:val="auto"/>
              </w:rPr>
            </w:pPr>
            <w:r>
              <w:rPr>
                <w:rFonts w:ascii="Courier New" w:cs="Courier New" w:eastAsia="Courier New" w:hAnsi="Courier New"/>
                <w:sz w:val="16"/>
                <w:szCs w:val="16"/>
                <w:color w:val="auto"/>
              </w:rPr>
              <w:t>Service cost</w:t>
            </w:r>
          </w:p>
        </w:tc>
        <w:tc>
          <w:tcPr>
            <w:tcW w:w="206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.7</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2.4</w:t>
            </w:r>
          </w:p>
        </w:tc>
      </w:tr>
      <w:tr>
        <w:trPr>
          <w:trHeight w:val="185"/>
        </w:trPr>
        <w:tc>
          <w:tcPr>
            <w:tcW w:w="4620" w:type="dxa"/>
            <w:vAlign w:val="bottom"/>
          </w:tcPr>
          <w:p>
            <w:pPr>
              <w:ind w:left="100"/>
              <w:spacing w:after="0"/>
              <w:rPr>
                <w:sz w:val="20"/>
                <w:szCs w:val="20"/>
                <w:color w:val="auto"/>
              </w:rPr>
            </w:pPr>
            <w:r>
              <w:rPr>
                <w:rFonts w:ascii="Courier New" w:cs="Courier New" w:eastAsia="Courier New" w:hAnsi="Courier New"/>
                <w:sz w:val="16"/>
                <w:szCs w:val="16"/>
                <w:color w:val="auto"/>
              </w:rPr>
              <w:t>Interest cost</w:t>
            </w:r>
          </w:p>
        </w:tc>
        <w:tc>
          <w:tcPr>
            <w:tcW w:w="206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1.7</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w:t>
            </w:r>
          </w:p>
        </w:tc>
      </w:tr>
      <w:tr>
        <w:trPr>
          <w:trHeight w:val="185"/>
        </w:trPr>
        <w:tc>
          <w:tcPr>
            <w:tcW w:w="4620" w:type="dxa"/>
            <w:vAlign w:val="bottom"/>
          </w:tcPr>
          <w:p>
            <w:pPr>
              <w:ind w:left="100"/>
              <w:spacing w:after="0"/>
              <w:rPr>
                <w:sz w:val="20"/>
                <w:szCs w:val="20"/>
                <w:color w:val="auto"/>
              </w:rPr>
            </w:pPr>
            <w:r>
              <w:rPr>
                <w:rFonts w:ascii="Courier New" w:cs="Courier New" w:eastAsia="Courier New" w:hAnsi="Courier New"/>
                <w:sz w:val="16"/>
                <w:szCs w:val="16"/>
                <w:color w:val="auto"/>
              </w:rPr>
              <w:t>Actuarial gain</w:t>
            </w:r>
          </w:p>
        </w:tc>
        <w:tc>
          <w:tcPr>
            <w:tcW w:w="20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(6.2)</w:t>
            </w:r>
          </w:p>
        </w:tc>
      </w:tr>
      <w:tr>
        <w:trPr>
          <w:trHeight w:val="185"/>
        </w:trPr>
        <w:tc>
          <w:tcPr>
            <w:tcW w:w="4620" w:type="dxa"/>
            <w:vAlign w:val="bottom"/>
          </w:tcPr>
          <w:p>
            <w:pPr>
              <w:ind w:left="100"/>
              <w:spacing w:after="0"/>
              <w:rPr>
                <w:sz w:val="20"/>
                <w:szCs w:val="20"/>
                <w:color w:val="auto"/>
              </w:rPr>
            </w:pPr>
            <w:r>
              <w:rPr>
                <w:rFonts w:ascii="Courier New" w:cs="Courier New" w:eastAsia="Courier New" w:hAnsi="Courier New"/>
                <w:sz w:val="16"/>
                <w:szCs w:val="16"/>
                <w:color w:val="auto"/>
              </w:rPr>
              <w:t>Benefits paid</w:t>
            </w:r>
          </w:p>
        </w:tc>
        <w:tc>
          <w:tcPr>
            <w:tcW w:w="20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5"/>
        </w:trPr>
        <w:tc>
          <w:tcPr>
            <w:tcW w:w="4620" w:type="dxa"/>
            <w:vAlign w:val="bottom"/>
          </w:tcPr>
          <w:p>
            <w:pPr>
              <w:ind w:left="100"/>
              <w:spacing w:after="0"/>
              <w:rPr>
                <w:sz w:val="20"/>
                <w:szCs w:val="20"/>
                <w:color w:val="auto"/>
              </w:rPr>
            </w:pPr>
            <w:r>
              <w:rPr>
                <w:rFonts w:ascii="Courier New" w:cs="Courier New" w:eastAsia="Courier New" w:hAnsi="Courier New"/>
                <w:sz w:val="16"/>
                <w:szCs w:val="16"/>
                <w:color w:val="auto"/>
              </w:rPr>
              <w:t>Curtailment gain</w:t>
            </w:r>
          </w:p>
        </w:tc>
        <w:tc>
          <w:tcPr>
            <w:tcW w:w="20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(4.1)</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80" w:type="dxa"/>
            <w:vAlign w:val="bottom"/>
          </w:tcPr>
          <w:p>
            <w:pPr>
              <w:spacing w:after="0"/>
              <w:rPr>
                <w:sz w:val="20"/>
                <w:szCs w:val="20"/>
                <w:color w:val="auto"/>
              </w:rPr>
            </w:pPr>
            <w:r>
              <w:rPr>
                <w:rFonts w:ascii="Courier New" w:cs="Courier New" w:eastAsia="Courier New" w:hAnsi="Courier New"/>
                <w:sz w:val="16"/>
                <w:szCs w:val="16"/>
                <w:color w:val="auto"/>
              </w:rPr>
              <w:t>Benefit obligation, end of year</w:t>
            </w:r>
          </w:p>
        </w:tc>
        <w:tc>
          <w:tcPr>
            <w:tcW w:w="23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22.5</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26.6</w:t>
            </w:r>
          </w:p>
        </w:tc>
      </w:tr>
      <w:tr>
        <w:trPr>
          <w:trHeight w:val="185"/>
        </w:trPr>
        <w:tc>
          <w:tcPr>
            <w:tcW w:w="4380" w:type="dxa"/>
            <w:vAlign w:val="bottom"/>
          </w:tcPr>
          <w:p>
            <w:pPr>
              <w:spacing w:after="0"/>
              <w:rPr>
                <w:sz w:val="20"/>
                <w:szCs w:val="20"/>
                <w:color w:val="auto"/>
              </w:rPr>
            </w:pPr>
            <w:r>
              <w:rPr>
                <w:rFonts w:ascii="Courier New" w:cs="Courier New" w:eastAsia="Courier New" w:hAnsi="Courier New"/>
                <w:sz w:val="16"/>
                <w:szCs w:val="16"/>
                <w:color w:val="auto"/>
              </w:rPr>
              <w:t>Unrecognized net gain</w:t>
            </w:r>
          </w:p>
        </w:tc>
        <w:tc>
          <w:tcPr>
            <w:tcW w:w="23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5.9</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6.1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80" w:type="dxa"/>
            <w:vAlign w:val="bottom"/>
          </w:tcPr>
          <w:p>
            <w:pPr>
              <w:spacing w:after="0"/>
              <w:rPr>
                <w:sz w:val="20"/>
                <w:szCs w:val="20"/>
                <w:color w:val="auto"/>
              </w:rPr>
            </w:pPr>
            <w:r>
              <w:rPr>
                <w:rFonts w:ascii="Courier New" w:cs="Courier New" w:eastAsia="Courier New" w:hAnsi="Courier New"/>
                <w:sz w:val="16"/>
                <w:szCs w:val="16"/>
                <w:color w:val="auto"/>
              </w:rPr>
              <w:t>Accrued liability recognized</w:t>
            </w:r>
          </w:p>
        </w:tc>
        <w:tc>
          <w:tcPr>
            <w:tcW w:w="2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$28.4</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jc w:val="both"/>
        <w:ind w:right="2819" w:firstLine="961"/>
        <w:spacing w:after="0" w:line="243" w:lineRule="auto"/>
        <w:rPr>
          <w:sz w:val="20"/>
          <w:szCs w:val="20"/>
          <w:color w:val="auto"/>
        </w:rPr>
      </w:pPr>
      <w:r>
        <w:rPr>
          <w:rFonts w:ascii="Courier New" w:cs="Courier New" w:eastAsia="Courier New" w:hAnsi="Courier New"/>
          <w:sz w:val="16"/>
          <w:szCs w:val="16"/>
          <w:color w:val="auto"/>
        </w:rPr>
        <w:t>The discount rate used in the measurement of the benefit obligation was 7.5% in both 2000 and 1999. The components of net periodic benefit (gain) cost for this plan are as follows:</w:t>
      </w:r>
    </w:p>
    <w:p>
      <w:pPr>
        <w:spacing w:after="0" w:line="371" w:lineRule="exact"/>
        <w:rPr>
          <w:sz w:val="20"/>
          <w:szCs w:val="20"/>
          <w:color w:val="auto"/>
        </w:rPr>
      </w:pPr>
    </w:p>
    <w:p>
      <w:pPr>
        <w:ind w:left="4900"/>
        <w:spacing w:after="0"/>
        <w:tabs>
          <w:tab w:leader="none" w:pos="6120" w:val="left"/>
          <w:tab w:leader="none" w:pos="7280"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5"/>
          <w:szCs w:val="15"/>
          <w:color w:val="auto"/>
        </w:rPr>
        <w:t>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80" w:type="dxa"/>
            <w:vAlign w:val="bottom"/>
          </w:tcPr>
          <w:p>
            <w:pPr>
              <w:spacing w:after="0"/>
              <w:rPr>
                <w:sz w:val="20"/>
                <w:szCs w:val="20"/>
                <w:color w:val="auto"/>
              </w:rPr>
            </w:pPr>
            <w:r>
              <w:rPr>
                <w:rFonts w:ascii="Courier New" w:cs="Courier New" w:eastAsia="Courier New" w:hAnsi="Courier New"/>
                <w:sz w:val="16"/>
                <w:szCs w:val="16"/>
                <w:color w:val="auto"/>
              </w:rPr>
              <w:t>Service cost</w:t>
            </w:r>
          </w:p>
        </w:tc>
        <w:tc>
          <w:tcPr>
            <w:tcW w:w="17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  .7</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$2.4</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Interest cost</w:t>
            </w:r>
          </w:p>
        </w:tc>
        <w:tc>
          <w:tcPr>
            <w:tcW w:w="17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1.7</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Amortization of unrecognized gain</w:t>
            </w:r>
          </w:p>
        </w:tc>
        <w:tc>
          <w:tcPr>
            <w:tcW w:w="17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Curtailment gain</w:t>
            </w:r>
          </w:p>
        </w:tc>
        <w:tc>
          <w:tcPr>
            <w:tcW w:w="17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(4.1)</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4800"/>
        <w:spacing w:after="0"/>
        <w:tabs>
          <w:tab w:leader="none" w:pos="6120" w:val="left"/>
          <w:tab w:leader="none" w:pos="7280" w:val="left"/>
        </w:tabs>
        <w:rPr>
          <w:sz w:val="20"/>
          <w:szCs w:val="20"/>
          <w:color w:val="auto"/>
        </w:rPr>
      </w:pPr>
      <w:r>
        <w:rPr>
          <w:rFonts w:ascii="Courier New" w:cs="Courier New" w:eastAsia="Courier New" w:hAnsi="Courier New"/>
          <w:sz w:val="16"/>
          <w:szCs w:val="16"/>
          <w:color w:val="auto"/>
        </w:rPr>
        <w:t>$(2.0)</w:t>
      </w:r>
      <w:r>
        <w:rPr>
          <w:sz w:val="20"/>
          <w:szCs w:val="20"/>
          <w:color w:val="auto"/>
        </w:rPr>
        <w:tab/>
      </w:r>
      <w:r>
        <w:rPr>
          <w:rFonts w:ascii="Courier New" w:cs="Courier New" w:eastAsia="Courier New" w:hAnsi="Courier New"/>
          <w:sz w:val="16"/>
          <w:szCs w:val="16"/>
          <w:color w:val="auto"/>
        </w:rPr>
        <w:t>$4.3</w:t>
      </w:r>
      <w:r>
        <w:rPr>
          <w:sz w:val="20"/>
          <w:szCs w:val="20"/>
          <w:color w:val="auto"/>
        </w:rPr>
        <w:tab/>
      </w:r>
      <w:r>
        <w:rPr>
          <w:rFonts w:ascii="Courier New" w:cs="Courier New" w:eastAsia="Courier New" w:hAnsi="Courier New"/>
          <w:sz w:val="15"/>
          <w:szCs w:val="15"/>
          <w:color w:val="auto"/>
        </w:rPr>
        <w:t>$3.6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right="2719" w:firstLine="961"/>
        <w:spacing w:after="0" w:line="244" w:lineRule="auto"/>
        <w:rPr>
          <w:sz w:val="20"/>
          <w:szCs w:val="20"/>
          <w:color w:val="auto"/>
        </w:rPr>
      </w:pPr>
      <w:r>
        <w:rPr>
          <w:rFonts w:ascii="Courier New" w:cs="Courier New" w:eastAsia="Courier New" w:hAnsi="Courier New"/>
          <w:sz w:val="16"/>
          <w:szCs w:val="16"/>
          <w:color w:val="auto"/>
        </w:rPr>
        <w:t>The health care cost trend rate was assumed to be 7.0% for 2000 and decreases gradually to 6.5% for the years 2001 and beyond. Assumed health care cost trend rates have a significant effect on the amounts reported. A one-percentage point change in the assumed health care cost trend rate would have the following effects:</w:t>
      </w:r>
    </w:p>
    <w:p>
      <w:pPr>
        <w:spacing w:after="0" w:line="200" w:lineRule="exact"/>
        <w:rPr>
          <w:sz w:val="20"/>
          <w:szCs w:val="20"/>
          <w:color w:val="auto"/>
        </w:rPr>
      </w:pPr>
    </w:p>
    <w:p>
      <w:pPr>
        <w:spacing w:after="0" w:line="355" w:lineRule="exact"/>
        <w:rPr>
          <w:sz w:val="20"/>
          <w:szCs w:val="20"/>
          <w:color w:val="auto"/>
        </w:rPr>
      </w:pPr>
    </w:p>
    <w:p>
      <w:pPr>
        <w:ind w:left="5860"/>
        <w:spacing w:after="0"/>
        <w:tabs>
          <w:tab w:leader="none" w:pos="7480" w:val="left"/>
        </w:tabs>
        <w:rPr>
          <w:sz w:val="20"/>
          <w:szCs w:val="20"/>
          <w:color w:val="auto"/>
        </w:rPr>
      </w:pPr>
      <w:r>
        <w:rPr>
          <w:rFonts w:ascii="Courier New" w:cs="Courier New" w:eastAsia="Courier New" w:hAnsi="Courier New"/>
          <w:sz w:val="16"/>
          <w:szCs w:val="16"/>
          <w:color w:val="auto"/>
        </w:rPr>
        <w:t>1% INCREASE</w:t>
      </w:r>
      <w:r>
        <w:rPr>
          <w:sz w:val="20"/>
          <w:szCs w:val="20"/>
          <w:color w:val="auto"/>
        </w:rPr>
        <w:tab/>
      </w:r>
      <w:r>
        <w:rPr>
          <w:rFonts w:ascii="Courier New" w:cs="Courier New" w:eastAsia="Courier New" w:hAnsi="Courier New"/>
          <w:sz w:val="15"/>
          <w:szCs w:val="15"/>
          <w:color w:val="auto"/>
        </w:rPr>
        <w:t>1% DECREASE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20" w:type="dxa"/>
            <w:vAlign w:val="bottom"/>
          </w:tcPr>
          <w:p>
            <w:pPr>
              <w:spacing w:after="0"/>
              <w:rPr>
                <w:sz w:val="20"/>
                <w:szCs w:val="20"/>
                <w:color w:val="auto"/>
              </w:rPr>
            </w:pPr>
            <w:r>
              <w:rPr>
                <w:rFonts w:ascii="Courier New" w:cs="Courier New" w:eastAsia="Courier New" w:hAnsi="Courier New"/>
                <w:sz w:val="16"/>
                <w:szCs w:val="16"/>
                <w:color w:val="auto"/>
              </w:rPr>
              <w:t>Effect</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on</w:t>
            </w:r>
          </w:p>
        </w:tc>
        <w:tc>
          <w:tcPr>
            <w:tcW w:w="4900" w:type="dxa"/>
            <w:vAlign w:val="bottom"/>
          </w:tcPr>
          <w:p>
            <w:pPr>
              <w:ind w:left="40"/>
              <w:spacing w:after="0"/>
              <w:rPr>
                <w:sz w:val="20"/>
                <w:szCs w:val="20"/>
                <w:color w:val="auto"/>
              </w:rPr>
            </w:pPr>
            <w:r>
              <w:rPr>
                <w:rFonts w:ascii="Courier New" w:cs="Courier New" w:eastAsia="Courier New" w:hAnsi="Courier New"/>
                <w:sz w:val="16"/>
                <w:szCs w:val="16"/>
                <w:color w:val="auto"/>
              </w:rPr>
              <w:t>total of service and interest cost components</w:t>
            </w:r>
          </w:p>
        </w:tc>
        <w:tc>
          <w:tcPr>
            <w:tcW w:w="16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   .4</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  (.4)</w:t>
            </w:r>
          </w:p>
        </w:tc>
      </w:tr>
      <w:tr>
        <w:trPr>
          <w:trHeight w:val="185"/>
        </w:trPr>
        <w:tc>
          <w:tcPr>
            <w:tcW w:w="620" w:type="dxa"/>
            <w:vAlign w:val="bottom"/>
          </w:tcPr>
          <w:p>
            <w:pPr>
              <w:spacing w:after="0"/>
              <w:rPr>
                <w:sz w:val="20"/>
                <w:szCs w:val="20"/>
                <w:color w:val="auto"/>
              </w:rPr>
            </w:pPr>
            <w:r>
              <w:rPr>
                <w:rFonts w:ascii="Courier New" w:cs="Courier New" w:eastAsia="Courier New" w:hAnsi="Courier New"/>
                <w:sz w:val="16"/>
                <w:szCs w:val="16"/>
                <w:color w:val="auto"/>
              </w:rPr>
              <w:t>Effect</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on</w:t>
            </w:r>
          </w:p>
        </w:tc>
        <w:tc>
          <w:tcPr>
            <w:tcW w:w="4900" w:type="dxa"/>
            <w:vAlign w:val="bottom"/>
          </w:tcPr>
          <w:p>
            <w:pPr>
              <w:ind w:left="40"/>
              <w:spacing w:after="0"/>
              <w:rPr>
                <w:sz w:val="20"/>
                <w:szCs w:val="20"/>
                <w:color w:val="auto"/>
              </w:rPr>
            </w:pPr>
            <w:r>
              <w:rPr>
                <w:rFonts w:ascii="Courier New" w:cs="Courier New" w:eastAsia="Courier New" w:hAnsi="Courier New"/>
                <w:sz w:val="16"/>
                <w:szCs w:val="16"/>
                <w:color w:val="auto"/>
              </w:rPr>
              <w:t>postretirement benefit obligation</w:t>
            </w:r>
          </w:p>
        </w:tc>
        <w:tc>
          <w:tcPr>
            <w:tcW w:w="16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3.1</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spacing w:after="0"/>
        <w:tabs>
          <w:tab w:leader="none" w:pos="6420" w:val="left"/>
        </w:tabs>
        <w:rPr>
          <w:sz w:val="20"/>
          <w:szCs w:val="20"/>
          <w:color w:val="auto"/>
        </w:rPr>
      </w:pPr>
      <w:r>
        <w:rPr>
          <w:rFonts w:ascii="Courier New" w:cs="Courier New" w:eastAsia="Courier New" w:hAnsi="Courier New"/>
          <w:sz w:val="16"/>
          <w:szCs w:val="16"/>
          <w:color w:val="auto"/>
        </w:rPr>
        <w:t>90</w:t>
      </w:r>
      <w:r>
        <w:rPr>
          <w:sz w:val="20"/>
          <w:szCs w:val="20"/>
          <w:color w:val="auto"/>
        </w:rPr>
        <w:tab/>
      </w:r>
      <w:r>
        <w:rPr>
          <w:rFonts w:ascii="Courier New" w:cs="Courier New" w:eastAsia="Courier New" w:hAnsi="Courier New"/>
          <w:sz w:val="16"/>
          <w:szCs w:val="16"/>
          <w:color w:val="auto"/>
        </w:rPr>
        <w:t>Manpower Inc.</w:t>
      </w:r>
    </w:p>
    <w:p>
      <w:pPr>
        <w:sectPr>
          <w:pgSz w:w="11900" w:h="16838" w:orient="portrait"/>
          <w:cols w:equalWidth="0" w:num="1">
            <w:col w:w="10219"/>
          </w:cols>
          <w:pgMar w:left="240" w:top="300" w:right="1440" w:bottom="1011" w:gutter="0" w:footer="0" w:header="0"/>
        </w:sectPr>
      </w:pPr>
    </w:p>
    <w:bookmarkStart w:id="83" w:name="page84"/>
    <w:bookmarkEnd w:id="83"/>
    <w:p>
      <w:pPr>
        <w:ind w:left="280"/>
        <w:spacing w:after="0"/>
        <w:rPr>
          <w:sz w:val="20"/>
          <w:szCs w:val="20"/>
          <w:color w:val="auto"/>
        </w:rPr>
      </w:pPr>
      <w:r>
        <w:rPr>
          <w:rFonts w:ascii="Courier New" w:cs="Courier New" w:eastAsia="Courier New" w:hAnsi="Courier New"/>
          <w:sz w:val="16"/>
          <w:szCs w:val="16"/>
          <w:color w:val="auto"/>
        </w:rPr>
        <w:t>65</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CURTAILMENTS On February 29, 2000, the Company froze all benefits in each of its U.S. defined benefit pension plans. The Company also offered a voluntary early retirement package and certain other benefits to eligible employees. These benefits are expected to be paid from the respective defined benefit pension plans. In addition, the Company will no longer provide medical and dental benefits under its U.S. retiree health care plan to certain employees retiring on or after March 1, 2000. The net impact of these plan changes was not material to the Consolidated Financial Statements.</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DEFINED CONTRIBUTION PLANS The Company has defined contribution plans covering substantially all permanent U.S. employees. Under the plans, employees may elect to contribute a portion of their salary to the plans. Effective January 1, 2000, the Company amended its defined contribution plans to include a mandatory matching contribution. In addition, profit sharing contributions are made if a targeted earnings level is reached in the U.S. The total expense was $3.2, $.4 and $.4 for 2000, 1999 and 1998 respectively.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 LEASES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leases property and equipment primarily under operating leases.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Renewal options exist for substantially all leases.</w:t>
      </w:r>
    </w:p>
    <w:p>
      <w:pPr>
        <w:spacing w:after="0" w:line="190"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Future minimum payments, by year and in the aggregate, under noncancelable operating leases with initial or remaining terms of one year or more consist of the following at December 31, 2000:</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0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36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120.3</w:t>
            </w:r>
          </w:p>
        </w:tc>
      </w:tr>
      <w:tr>
        <w:trPr>
          <w:trHeight w:val="185"/>
        </w:trPr>
        <w:tc>
          <w:tcPr>
            <w:tcW w:w="3600" w:type="dxa"/>
            <w:vAlign w:val="bottom"/>
          </w:tcPr>
          <w:p>
            <w:pPr>
              <w:spacing w:after="0"/>
              <w:rPr>
                <w:sz w:val="20"/>
                <w:szCs w:val="20"/>
                <w:color w:val="auto"/>
              </w:rPr>
            </w:pPr>
            <w:r>
              <w:rPr>
                <w:rFonts w:ascii="Courier New" w:cs="Courier New" w:eastAsia="Courier New" w:hAnsi="Courier New"/>
                <w:sz w:val="16"/>
                <w:szCs w:val="16"/>
                <w:color w:val="auto"/>
              </w:rPr>
              <w:t>2002</w:t>
            </w:r>
          </w:p>
        </w:tc>
        <w:tc>
          <w:tcPr>
            <w:tcW w:w="36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64.0</w:t>
            </w:r>
          </w:p>
        </w:tc>
      </w:tr>
      <w:tr>
        <w:trPr>
          <w:trHeight w:val="185"/>
        </w:trPr>
        <w:tc>
          <w:tcPr>
            <w:tcW w:w="3600" w:type="dxa"/>
            <w:vAlign w:val="bottom"/>
          </w:tcPr>
          <w:p>
            <w:pPr>
              <w:spacing w:after="0"/>
              <w:rPr>
                <w:sz w:val="20"/>
                <w:szCs w:val="20"/>
                <w:color w:val="auto"/>
              </w:rPr>
            </w:pPr>
            <w:r>
              <w:rPr>
                <w:rFonts w:ascii="Courier New" w:cs="Courier New" w:eastAsia="Courier New" w:hAnsi="Courier New"/>
                <w:sz w:val="16"/>
                <w:szCs w:val="16"/>
                <w:color w:val="auto"/>
              </w:rPr>
              <w:t>2003</w:t>
            </w:r>
          </w:p>
        </w:tc>
        <w:tc>
          <w:tcPr>
            <w:tcW w:w="36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41.8</w:t>
            </w:r>
          </w:p>
        </w:tc>
      </w:tr>
      <w:tr>
        <w:trPr>
          <w:trHeight w:val="185"/>
        </w:trPr>
        <w:tc>
          <w:tcPr>
            <w:tcW w:w="3600" w:type="dxa"/>
            <w:vAlign w:val="bottom"/>
          </w:tcPr>
          <w:p>
            <w:pPr>
              <w:spacing w:after="0"/>
              <w:rPr>
                <w:sz w:val="20"/>
                <w:szCs w:val="20"/>
                <w:color w:val="auto"/>
              </w:rPr>
            </w:pPr>
            <w:r>
              <w:rPr>
                <w:rFonts w:ascii="Courier New" w:cs="Courier New" w:eastAsia="Courier New" w:hAnsi="Courier New"/>
                <w:sz w:val="16"/>
                <w:szCs w:val="16"/>
                <w:color w:val="auto"/>
              </w:rPr>
              <w:t>2004</w:t>
            </w:r>
          </w:p>
        </w:tc>
        <w:tc>
          <w:tcPr>
            <w:tcW w:w="36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30.2</w:t>
            </w:r>
          </w:p>
        </w:tc>
      </w:tr>
      <w:tr>
        <w:trPr>
          <w:trHeight w:val="185"/>
        </w:trPr>
        <w:tc>
          <w:tcPr>
            <w:tcW w:w="3600" w:type="dxa"/>
            <w:vAlign w:val="bottom"/>
          </w:tcPr>
          <w:p>
            <w:pPr>
              <w:spacing w:after="0"/>
              <w:rPr>
                <w:sz w:val="20"/>
                <w:szCs w:val="20"/>
                <w:color w:val="auto"/>
              </w:rPr>
            </w:pPr>
            <w:r>
              <w:rPr>
                <w:rFonts w:ascii="Courier New" w:cs="Courier New" w:eastAsia="Courier New" w:hAnsi="Courier New"/>
                <w:sz w:val="16"/>
                <w:szCs w:val="16"/>
                <w:color w:val="auto"/>
              </w:rPr>
              <w:t>2005</w:t>
            </w:r>
          </w:p>
        </w:tc>
        <w:tc>
          <w:tcPr>
            <w:tcW w:w="36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22.7</w:t>
            </w:r>
          </w:p>
        </w:tc>
      </w:tr>
      <w:tr>
        <w:trPr>
          <w:trHeight w:val="185"/>
        </w:trPr>
        <w:tc>
          <w:tcPr>
            <w:tcW w:w="3600" w:type="dxa"/>
            <w:vAlign w:val="bottom"/>
          </w:tcPr>
          <w:p>
            <w:pPr>
              <w:spacing w:after="0"/>
              <w:rPr>
                <w:sz w:val="20"/>
                <w:szCs w:val="20"/>
                <w:color w:val="auto"/>
              </w:rPr>
            </w:pPr>
            <w:r>
              <w:rPr>
                <w:rFonts w:ascii="Courier New" w:cs="Courier New" w:eastAsia="Courier New" w:hAnsi="Courier New"/>
                <w:sz w:val="16"/>
                <w:szCs w:val="16"/>
                <w:color w:val="auto"/>
              </w:rPr>
              <w:t>Thereafter</w:t>
            </w:r>
          </w:p>
        </w:tc>
        <w:tc>
          <w:tcPr>
            <w:tcW w:w="3600" w:type="dxa"/>
            <w:vAlign w:val="bottom"/>
          </w:tcPr>
          <w:p>
            <w:pPr>
              <w:jc w:val="right"/>
              <w:spacing w:after="0"/>
              <w:rPr>
                <w:sz w:val="20"/>
                <w:szCs w:val="20"/>
                <w:color w:val="auto"/>
              </w:rPr>
            </w:pPr>
            <w:r>
              <w:rPr>
                <w:rFonts w:ascii="Courier New" w:cs="Courier New" w:eastAsia="Courier New" w:hAnsi="Courier New"/>
                <w:sz w:val="16"/>
                <w:szCs w:val="16"/>
                <w:color w:val="auto"/>
              </w:rPr>
              <w:t>61.3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6220" w:val="left"/>
          <w:tab w:leader="none" w:pos="6700" w:val="left"/>
        </w:tabs>
        <w:rPr>
          <w:sz w:val="20"/>
          <w:szCs w:val="20"/>
          <w:color w:val="auto"/>
        </w:rPr>
      </w:pPr>
      <w:r>
        <w:rPr>
          <w:rFonts w:ascii="Courier New" w:cs="Courier New" w:eastAsia="Courier New" w:hAnsi="Courier New"/>
          <w:sz w:val="16"/>
          <w:szCs w:val="16"/>
          <w:color w:val="auto"/>
        </w:rPr>
        <w:t>Total minimum lease payments</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340.3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Rental expense for all operating leases was $118.0, $108.5 and $91.8 for the years ended December 31, 2000, 1999, and 1998, respectively.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 INTEREST AND OTHER EXPENSE (INCOME)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and other expense (income) consists of the following:</w:t>
      </w:r>
    </w:p>
    <w:p>
      <w:pPr>
        <w:spacing w:after="0" w:line="373" w:lineRule="exact"/>
        <w:rPr>
          <w:sz w:val="20"/>
          <w:szCs w:val="20"/>
          <w:color w:val="auto"/>
        </w:rPr>
      </w:pPr>
    </w:p>
    <w:p>
      <w:pPr>
        <w:ind w:left="3740"/>
        <w:spacing w:after="0"/>
        <w:tabs>
          <w:tab w:leader="none" w:pos="4600" w:val="left"/>
          <w:tab w:leader="none" w:pos="5460"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5"/>
          <w:szCs w:val="15"/>
          <w:color w:val="auto"/>
        </w:rPr>
        <w:t>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Interest expense</w:t>
            </w:r>
          </w:p>
        </w:tc>
        <w:tc>
          <w:tcPr>
            <w:tcW w:w="8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$35.0</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$17.3</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$19.2</w:t>
            </w:r>
          </w:p>
        </w:tc>
      </w:tr>
      <w:tr>
        <w:trPr>
          <w:trHeight w:val="185"/>
        </w:trPr>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Interest income</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(7.3)</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(8.0)</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(8.4)</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Foreign</w:t>
            </w:r>
          </w:p>
        </w:tc>
        <w:tc>
          <w:tcPr>
            <w:tcW w:w="2780" w:type="dxa"/>
            <w:vAlign w:val="bottom"/>
          </w:tcPr>
          <w:p>
            <w:pPr>
              <w:ind w:left="40"/>
              <w:spacing w:after="0"/>
              <w:rPr>
                <w:sz w:val="20"/>
                <w:szCs w:val="20"/>
                <w:color w:val="auto"/>
              </w:rPr>
            </w:pPr>
            <w:r>
              <w:rPr>
                <w:rFonts w:ascii="Courier New" w:cs="Courier New" w:eastAsia="Courier New" w:hAnsi="Courier New"/>
                <w:sz w:val="16"/>
                <w:szCs w:val="16"/>
                <w:color w:val="auto"/>
              </w:rPr>
              <w:t>exchange losses</w:t>
            </w:r>
          </w:p>
        </w:tc>
        <w:tc>
          <w:tcPr>
            <w:tcW w:w="8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2.3</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1.9</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2.4</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Loss on</w:t>
            </w:r>
          </w:p>
        </w:tc>
        <w:tc>
          <w:tcPr>
            <w:tcW w:w="2780" w:type="dxa"/>
            <w:vAlign w:val="bottom"/>
          </w:tcPr>
          <w:p>
            <w:pPr>
              <w:ind w:left="40"/>
              <w:spacing w:after="0"/>
              <w:rPr>
                <w:sz w:val="20"/>
                <w:szCs w:val="20"/>
                <w:color w:val="auto"/>
              </w:rPr>
            </w:pPr>
            <w:r>
              <w:rPr>
                <w:rFonts w:ascii="Courier New" w:cs="Courier New" w:eastAsia="Courier New" w:hAnsi="Courier New"/>
                <w:sz w:val="16"/>
                <w:szCs w:val="16"/>
                <w:color w:val="auto"/>
              </w:rPr>
              <w:t>sale of accounts receivable</w:t>
            </w:r>
          </w:p>
        </w:tc>
        <w:tc>
          <w:tcPr>
            <w:tcW w:w="8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9.8</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9.8</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w:t>
            </w:r>
          </w:p>
        </w:tc>
      </w:tr>
      <w:tr>
        <w:trPr>
          <w:trHeight w:val="185"/>
        </w:trPr>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Miscellaneous, net</w:t>
            </w:r>
          </w:p>
        </w:tc>
        <w:tc>
          <w:tcPr>
            <w:tcW w:w="8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6.0</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3.8</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80" w:type="dxa"/>
            <w:vAlign w:val="bottom"/>
          </w:tcPr>
          <w:p>
            <w:pPr>
              <w:spacing w:after="0"/>
              <w:rPr>
                <w:sz w:val="20"/>
                <w:szCs w:val="20"/>
                <w:color w:val="auto"/>
              </w:rPr>
            </w:pPr>
            <w:r>
              <w:rPr>
                <w:rFonts w:ascii="Courier New" w:cs="Courier New" w:eastAsia="Courier New" w:hAnsi="Courier New"/>
                <w:sz w:val="16"/>
                <w:szCs w:val="16"/>
                <w:color w:val="auto"/>
              </w:rPr>
              <w:t>Interest and other expense</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$45.8</w:t>
            </w: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$24.8</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$16.6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80" w:type="dxa"/>
            <w:vAlign w:val="bottom"/>
          </w:tcPr>
          <w:p>
            <w:pPr>
              <w:spacing w:after="0"/>
              <w:rPr>
                <w:sz w:val="20"/>
                <w:szCs w:val="20"/>
                <w:color w:val="auto"/>
              </w:rPr>
            </w:pPr>
            <w:r>
              <w:rPr>
                <w:rFonts w:ascii="Courier New" w:cs="Courier New" w:eastAsia="Courier New" w:hAnsi="Courier New"/>
                <w:sz w:val="16"/>
                <w:szCs w:val="16"/>
                <w:color w:val="auto"/>
              </w:rPr>
              <w:t>Manpower Inc.</w:t>
            </w:r>
          </w:p>
        </w:tc>
        <w:tc>
          <w:tcPr>
            <w:tcW w:w="3300" w:type="dxa"/>
            <w:vAlign w:val="bottom"/>
          </w:tcPr>
          <w:p>
            <w:pPr>
              <w:jc w:val="right"/>
              <w:spacing w:after="0"/>
              <w:rPr>
                <w:sz w:val="20"/>
                <w:szCs w:val="20"/>
                <w:color w:val="auto"/>
              </w:rPr>
            </w:pPr>
            <w:r>
              <w:rPr>
                <w:rFonts w:ascii="Courier New" w:cs="Courier New" w:eastAsia="Courier New" w:hAnsi="Courier New"/>
                <w:sz w:val="16"/>
                <w:szCs w:val="16"/>
                <w:color w:val="auto"/>
              </w:rPr>
              <w:t>91</w:t>
            </w:r>
          </w:p>
        </w:tc>
      </w:tr>
    </w:tbl>
    <w:p>
      <w:pPr>
        <w:sectPr>
          <w:pgSz w:w="11900" w:h="16838" w:orient="portrait"/>
          <w:cols w:equalWidth="0" w:num="1">
            <w:col w:w="10219"/>
          </w:cols>
          <w:pgMar w:left="240" w:top="300" w:right="1440" w:bottom="1440" w:gutter="0" w:footer="0" w:header="0"/>
        </w:sectPr>
      </w:pPr>
    </w:p>
    <w:bookmarkStart w:id="84" w:name="page85"/>
    <w:bookmarkEnd w:id="84"/>
    <w:p>
      <w:pPr>
        <w:ind w:left="280"/>
        <w:spacing w:after="0"/>
        <w:rPr>
          <w:sz w:val="20"/>
          <w:szCs w:val="20"/>
          <w:color w:val="auto"/>
        </w:rPr>
      </w:pPr>
      <w:r>
        <w:rPr>
          <w:rFonts w:ascii="Courier New" w:cs="Courier New" w:eastAsia="Courier New" w:hAnsi="Courier New"/>
          <w:sz w:val="16"/>
          <w:szCs w:val="16"/>
          <w:color w:val="auto"/>
        </w:rPr>
        <w:t>66</w:t>
      </w:r>
    </w:p>
    <w:p>
      <w:pPr>
        <w:spacing w:after="0" w:line="188"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(in millions, except share data)</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 ACQUISITIONS OF BUSINESSES</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In January 2000, the Company acquired Elan Group Limited ("Elan"), a European specialty IT staffing company with significant operations in the U.K. and several other countries throughout the world. As of December 31, 2000, the total consideration paid for Elan was approximately $116.2. In addition, there is approximately $30.0 in deferred consideration expected to be paid during March 2001. This transaction was accounted for as a purchase and the excess of the purchase price over the fair value of net assets acquired was recorded as intangible assets.</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From time to time, the Company acquires and invests in companies throughout the world. The total consideration paid for such transactions, excluding the acquisition of Elan in 2000, was $60.2, $18.8 and $32.5 in 2000, 1999 and 1998, respectively, the majority of which was recorded as intangible assets.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 DERIVATIVE FINANCIAL INSTRUMENTS</w:t>
      </w:r>
    </w:p>
    <w:p>
      <w:pPr>
        <w:spacing w:after="0" w:line="190" w:lineRule="exact"/>
        <w:rPr>
          <w:sz w:val="20"/>
          <w:szCs w:val="20"/>
          <w:color w:val="auto"/>
        </w:rPr>
      </w:pPr>
    </w:p>
    <w:p>
      <w:pPr>
        <w:ind w:right="2639"/>
        <w:spacing w:after="0" w:line="274" w:lineRule="auto"/>
        <w:rPr>
          <w:sz w:val="20"/>
          <w:szCs w:val="20"/>
          <w:color w:val="auto"/>
        </w:rPr>
      </w:pPr>
      <w:r>
        <w:rPr>
          <w:rFonts w:ascii="Courier New" w:cs="Courier New" w:eastAsia="Courier New" w:hAnsi="Courier New"/>
          <w:sz w:val="15"/>
          <w:szCs w:val="15"/>
          <w:color w:val="auto"/>
        </w:rPr>
        <w:t>The Company has entered into certain derivative financial instruments to manage risks, including interest rate swap agreements and foreign currency contracts.</w:t>
      </w:r>
    </w:p>
    <w:p>
      <w:pPr>
        <w:spacing w:after="0" w:line="166"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On January 1, 2001, the Company adopted SFAS No. 133, as amended. As a result of adopting this standard, the Company recognized the fair value of all derivative contracts as a net liability of $3.4 on the Consolidated Balance Sheets at January 1, 2001. This amount was recorded as an adjustment to Shareholders' equity through Accumulated other comprehensive income (loss). There was no impact on Net earnings.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 CONTINGENCIES</w:t>
      </w:r>
    </w:p>
    <w:p>
      <w:pPr>
        <w:spacing w:after="0" w:line="190" w:lineRule="exact"/>
        <w:rPr>
          <w:sz w:val="20"/>
          <w:szCs w:val="20"/>
          <w:color w:val="auto"/>
        </w:rPr>
      </w:pPr>
    </w:p>
    <w:p>
      <w:pPr>
        <w:ind w:right="2539"/>
        <w:spacing w:after="0" w:line="267" w:lineRule="auto"/>
        <w:rPr>
          <w:sz w:val="20"/>
          <w:szCs w:val="20"/>
          <w:color w:val="auto"/>
        </w:rPr>
      </w:pPr>
      <w:r>
        <w:rPr>
          <w:rFonts w:ascii="Courier New" w:cs="Courier New" w:eastAsia="Courier New" w:hAnsi="Courier New"/>
          <w:sz w:val="15"/>
          <w:szCs w:val="15"/>
          <w:color w:val="auto"/>
        </w:rPr>
        <w:t>The Company is involved in a number of lawsuits arising in the ordinary course of business which will not, in the opinion of management, have a material effect on the Company's results of operations, financial position or cash flows.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 BUSINESS SEGMENT DATA BY GEOGRAPHICAL AREA</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The Company is organized and managed on a geographical basis. Each country has its own distinct operations, is managed locally by its own management team, and maintains its own financial reports. Under SFAS No. 131, "Disclosures about Segments of an Enterprise and Related Information," the Company has four reportable segments - the United States, France, the United Kingdom and Other Europe. All remaining countries have never met the quantitative thresholds for determining reportable segments.</w:t>
      </w:r>
    </w:p>
    <w:p>
      <w:pPr>
        <w:spacing w:after="0" w:line="188" w:lineRule="exact"/>
        <w:rPr>
          <w:sz w:val="20"/>
          <w:szCs w:val="20"/>
          <w:color w:val="auto"/>
        </w:rPr>
      </w:pPr>
    </w:p>
    <w:p>
      <w:pPr>
        <w:ind w:right="2539" w:firstLine="865"/>
        <w:spacing w:after="0" w:line="262" w:lineRule="auto"/>
        <w:rPr>
          <w:sz w:val="20"/>
          <w:szCs w:val="20"/>
          <w:color w:val="auto"/>
        </w:rPr>
      </w:pPr>
      <w:r>
        <w:rPr>
          <w:rFonts w:ascii="Courier New" w:cs="Courier New" w:eastAsia="Courier New" w:hAnsi="Courier New"/>
          <w:sz w:val="15"/>
          <w:szCs w:val="15"/>
          <w:color w:val="auto"/>
        </w:rPr>
        <w:t>Each reportable segment derives at least 96% of its revenues from the placement of temporary help. The remaining revenues are derived from other human resource services, including temporary and permanent employee testing, selection, training and development; and organizational-performance consulting. Segment revenues represent sales to external customers within a single segment. Due to the nature of its business, the Company does not have export or intersegment sales. The Company provides services to a wide variety of customers, none of which individually comprise a significant portion of revenues within a reporting segment, geographic region or for the Company as a whole.</w:t>
      </w:r>
    </w:p>
    <w:p>
      <w:pPr>
        <w:spacing w:after="0" w:line="17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The accounting policies of the segments are the same as those described in the summary of significant accounting policies. The Company evaluates performance based on Operating Unit Profit, which is equal to segment revenues less direct costs and branch and national head office operating costs. This profit measure does not include nonrecurring items, goodwill amortization, interest and other income and expense amounts or income taxes. Total assets for the segments are reported after the elimination of investments in subsidiaries and intercompany accounts.</w:t>
      </w:r>
    </w:p>
    <w:p>
      <w:pPr>
        <w:sectPr>
          <w:pgSz w:w="11900" w:h="16838" w:orient="portrait"/>
          <w:cols w:equalWidth="0" w:num="1">
            <w:col w:w="10219"/>
          </w:cols>
          <w:pgMar w:left="240" w:top="300" w:right="1440" w:bottom="1440" w:gutter="0" w:footer="0" w:header="0"/>
        </w:sectPr>
      </w:pPr>
    </w:p>
    <w:p>
      <w:pPr>
        <w:spacing w:after="0" w:line="374" w:lineRule="exact"/>
        <w:rPr>
          <w:sz w:val="20"/>
          <w:szCs w:val="20"/>
          <w:color w:val="auto"/>
        </w:rPr>
      </w:pPr>
    </w:p>
    <w:p>
      <w:pPr>
        <w:spacing w:after="0"/>
        <w:tabs>
          <w:tab w:leader="none" w:pos="6420" w:val="left"/>
        </w:tabs>
        <w:rPr>
          <w:sz w:val="20"/>
          <w:szCs w:val="20"/>
          <w:color w:val="auto"/>
        </w:rPr>
      </w:pP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5"/>
          <w:szCs w:val="15"/>
          <w:color w:val="auto"/>
        </w:rPr>
        <w:t>Manpower Inc.</w:t>
      </w:r>
    </w:p>
    <w:p>
      <w:pPr>
        <w:sectPr>
          <w:pgSz w:w="11900" w:h="16838" w:orient="portrait"/>
          <w:cols w:equalWidth="0" w:num="1">
            <w:col w:w="10219"/>
          </w:cols>
          <w:pgMar w:left="240" w:top="300" w:right="1440" w:bottom="1440" w:gutter="0" w:footer="0" w:header="0"/>
          <w:type w:val="continuous"/>
        </w:sectPr>
      </w:pPr>
    </w:p>
    <w:bookmarkStart w:id="85" w:name="page86"/>
    <w:bookmarkEnd w:id="85"/>
    <w:p>
      <w:pPr>
        <w:ind w:left="281"/>
        <w:spacing w:after="0"/>
        <w:rPr>
          <w:sz w:val="20"/>
          <w:szCs w:val="20"/>
          <w:color w:val="auto"/>
        </w:rPr>
      </w:pPr>
      <w:r>
        <w:rPr>
          <w:rFonts w:ascii="Courier New" w:cs="Courier New" w:eastAsia="Courier New" w:hAnsi="Courier New"/>
          <w:sz w:val="16"/>
          <w:szCs w:val="16"/>
          <w:color w:val="auto"/>
        </w:rPr>
        <w:t>67</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4521"/>
        <w:spacing w:after="0"/>
        <w:tabs>
          <w:tab w:leader="none" w:pos="5741" w:val="left"/>
          <w:tab w:leader="none" w:pos="6801"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5"/>
          <w:szCs w:val="15"/>
          <w:color w:val="auto"/>
        </w:rPr>
        <w:t>1998</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220" w:type="dxa"/>
            <w:vAlign w:val="bottom"/>
          </w:tcPr>
          <w:p>
            <w:pPr>
              <w:spacing w:after="0"/>
              <w:rPr>
                <w:sz w:val="20"/>
                <w:szCs w:val="20"/>
                <w:color w:val="auto"/>
              </w:rPr>
            </w:pPr>
            <w:r>
              <w:rPr>
                <w:rFonts w:ascii="Courier New" w:cs="Courier New" w:eastAsia="Courier New" w:hAnsi="Courier New"/>
                <w:sz w:val="16"/>
                <w:szCs w:val="16"/>
                <w:color w:val="auto"/>
              </w:rPr>
              <w:t>Revenues from services:</w:t>
            </w:r>
          </w:p>
        </w:tc>
        <w:tc>
          <w:tcPr>
            <w:tcW w:w="1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5"/>
        </w:trPr>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United States(a)</w:t>
            </w:r>
          </w:p>
        </w:tc>
        <w:tc>
          <w:tcPr>
            <w:tcW w:w="1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2,413.5</w:t>
            </w: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$ 2,250.5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$ 2,152.8</w:t>
            </w:r>
          </w:p>
        </w:tc>
      </w:tr>
      <w:tr>
        <w:trPr>
          <w:trHeight w:val="185"/>
        </w:trPr>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Foreign:</w:t>
            </w:r>
          </w:p>
        </w:tc>
        <w:tc>
          <w:tcPr>
            <w:tcW w:w="1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3220" w:type="dxa"/>
            <w:vAlign w:val="bottom"/>
          </w:tcPr>
          <w:p>
            <w:pPr>
              <w:ind w:left="280"/>
              <w:spacing w:after="0"/>
              <w:rPr>
                <w:sz w:val="20"/>
                <w:szCs w:val="20"/>
                <w:color w:val="auto"/>
              </w:rPr>
            </w:pPr>
            <w:r>
              <w:rPr>
                <w:rFonts w:ascii="Courier New" w:cs="Courier New" w:eastAsia="Courier New" w:hAnsi="Courier New"/>
                <w:sz w:val="16"/>
                <w:szCs w:val="16"/>
                <w:color w:val="auto"/>
              </w:rPr>
              <w:t>France</w:t>
            </w:r>
          </w:p>
        </w:tc>
        <w:tc>
          <w:tcPr>
            <w:tcW w:w="1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3,939.2</w:t>
            </w: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3,775.1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3,639.5</w:t>
            </w:r>
          </w:p>
        </w:tc>
      </w:tr>
      <w:tr>
        <w:trPr>
          <w:trHeight w:val="185"/>
        </w:trPr>
        <w:tc>
          <w:tcPr>
            <w:tcW w:w="3220" w:type="dxa"/>
            <w:vAlign w:val="bottom"/>
          </w:tcPr>
          <w:p>
            <w:pPr>
              <w:ind w:left="280"/>
              <w:spacing w:after="0"/>
              <w:rPr>
                <w:sz w:val="20"/>
                <w:szCs w:val="20"/>
                <w:color w:val="auto"/>
              </w:rPr>
            </w:pPr>
            <w:r>
              <w:rPr>
                <w:rFonts w:ascii="Courier New" w:cs="Courier New" w:eastAsia="Courier New" w:hAnsi="Courier New"/>
                <w:sz w:val="16"/>
                <w:szCs w:val="16"/>
                <w:color w:val="auto"/>
              </w:rPr>
              <w:t>United Kingdom</w:t>
            </w:r>
          </w:p>
        </w:tc>
        <w:tc>
          <w:tcPr>
            <w:tcW w:w="1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1,453.1</w:t>
            </w: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1,170.3</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1,088.2</w:t>
            </w:r>
          </w:p>
        </w:tc>
      </w:tr>
      <w:tr>
        <w:trPr>
          <w:trHeight w:val="185"/>
        </w:trPr>
        <w:tc>
          <w:tcPr>
            <w:tcW w:w="3220" w:type="dxa"/>
            <w:vAlign w:val="bottom"/>
          </w:tcPr>
          <w:p>
            <w:pPr>
              <w:ind w:left="280"/>
              <w:spacing w:after="0"/>
              <w:rPr>
                <w:sz w:val="20"/>
                <w:szCs w:val="20"/>
                <w:color w:val="auto"/>
              </w:rPr>
            </w:pPr>
            <w:r>
              <w:rPr>
                <w:rFonts w:ascii="Courier New" w:cs="Courier New" w:eastAsia="Courier New" w:hAnsi="Courier New"/>
                <w:sz w:val="16"/>
                <w:szCs w:val="16"/>
                <w:color w:val="auto"/>
              </w:rPr>
              <w:t>Other Europe</w:t>
            </w:r>
          </w:p>
        </w:tc>
        <w:tc>
          <w:tcPr>
            <w:tcW w:w="1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1,896.3</w:t>
            </w: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1,665.5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1,286.3</w:t>
            </w:r>
          </w:p>
        </w:tc>
      </w:tr>
      <w:tr>
        <w:trPr>
          <w:trHeight w:val="185"/>
        </w:trPr>
        <w:tc>
          <w:tcPr>
            <w:tcW w:w="3220" w:type="dxa"/>
            <w:vAlign w:val="bottom"/>
          </w:tcPr>
          <w:p>
            <w:pPr>
              <w:ind w:left="280"/>
              <w:spacing w:after="0"/>
              <w:rPr>
                <w:sz w:val="20"/>
                <w:szCs w:val="20"/>
                <w:color w:val="auto"/>
              </w:rPr>
            </w:pPr>
            <w:r>
              <w:rPr>
                <w:rFonts w:ascii="Courier New" w:cs="Courier New" w:eastAsia="Courier New" w:hAnsi="Courier New"/>
                <w:sz w:val="16"/>
                <w:szCs w:val="16"/>
                <w:color w:val="auto"/>
              </w:rPr>
              <w:t>Other Countries</w:t>
            </w:r>
          </w:p>
        </w:tc>
        <w:tc>
          <w:tcPr>
            <w:tcW w:w="1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1,140.7</w:t>
            </w: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908.7</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647.5</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101" w:type="dxa"/>
        <w:tblCellMar>
          <w:top w:w="0" w:type="dxa"/>
          <w:left w:w="0" w:type="dxa"/>
          <w:bottom w:w="0" w:type="dxa"/>
          <w:right w:w="0" w:type="dxa"/>
        </w:tblCellMar>
      </w:tblPr>
      <w:tr>
        <w:trPr>
          <w:trHeight w:val="181"/>
        </w:trPr>
        <w:tc>
          <w:tcPr>
            <w:tcW w:w="2680" w:type="dxa"/>
            <w:vAlign w:val="bottom"/>
          </w:tcPr>
          <w:p>
            <w:pPr>
              <w:spacing w:after="0"/>
              <w:rPr>
                <w:sz w:val="20"/>
                <w:szCs w:val="20"/>
                <w:color w:val="auto"/>
              </w:rPr>
            </w:pPr>
            <w:r>
              <w:rPr>
                <w:rFonts w:ascii="Courier New" w:cs="Courier New" w:eastAsia="Courier New" w:hAnsi="Courier New"/>
                <w:sz w:val="16"/>
                <w:szCs w:val="16"/>
                <w:color w:val="auto"/>
              </w:rPr>
              <w:t>Total foreign</w:t>
            </w:r>
          </w:p>
        </w:tc>
        <w:tc>
          <w:tcPr>
            <w:tcW w:w="24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8,429.3</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7,519.6</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6,661.5</w:t>
            </w:r>
          </w:p>
        </w:tc>
      </w:tr>
    </w:tbl>
    <w:p>
      <w:pPr>
        <w:spacing w:after="0" w:line="5" w:lineRule="exact"/>
        <w:rPr>
          <w:sz w:val="20"/>
          <w:szCs w:val="20"/>
          <w:color w:val="auto"/>
        </w:rPr>
      </w:pPr>
    </w:p>
    <w:p>
      <w:pPr>
        <w:ind w:left="201" w:hanging="201"/>
        <w:spacing w:after="0"/>
        <w:tabs>
          <w:tab w:leader="none" w:pos="201"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404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$10,842.8</w:t>
      </w:r>
      <w:r>
        <w:rPr>
          <w:rFonts w:ascii="Courier New" w:cs="Courier New" w:eastAsia="Courier New" w:hAnsi="Courier New"/>
          <w:sz w:val="15"/>
          <w:szCs w:val="15"/>
          <w:color w:val="auto"/>
        </w:rPr>
        <w:t>$ 9,770.1  $ 8,814.3</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080" w:type="dxa"/>
            <w:vAlign w:val="bottom"/>
          </w:tcPr>
          <w:p>
            <w:pPr>
              <w:spacing w:after="0"/>
              <w:rPr>
                <w:sz w:val="20"/>
                <w:szCs w:val="20"/>
                <w:color w:val="auto"/>
              </w:rPr>
            </w:pPr>
            <w:r>
              <w:rPr>
                <w:rFonts w:ascii="Courier New" w:cs="Courier New" w:eastAsia="Courier New" w:hAnsi="Courier New"/>
                <w:sz w:val="16"/>
                <w:szCs w:val="16"/>
                <w:color w:val="auto"/>
              </w:rPr>
              <w:t>Operating Unit Profit:</w:t>
            </w:r>
          </w:p>
        </w:tc>
        <w:tc>
          <w:tcPr>
            <w:tcW w:w="1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5"/>
        </w:trPr>
        <w:tc>
          <w:tcPr>
            <w:tcW w:w="3080" w:type="dxa"/>
            <w:vAlign w:val="bottom"/>
          </w:tcPr>
          <w:p>
            <w:pPr>
              <w:ind w:left="100"/>
              <w:spacing w:after="0"/>
              <w:rPr>
                <w:sz w:val="20"/>
                <w:szCs w:val="20"/>
                <w:color w:val="auto"/>
              </w:rPr>
            </w:pPr>
            <w:r>
              <w:rPr>
                <w:rFonts w:ascii="Courier New" w:cs="Courier New" w:eastAsia="Courier New" w:hAnsi="Courier New"/>
                <w:sz w:val="16"/>
                <w:szCs w:val="16"/>
                <w:color w:val="auto"/>
              </w:rPr>
              <w:t>United States</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84.6</w:t>
            </w:r>
          </w:p>
        </w:tc>
        <w:tc>
          <w:tcPr>
            <w:tcW w:w="4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80.3</w:t>
            </w:r>
          </w:p>
        </w:tc>
        <w:tc>
          <w:tcPr>
            <w:tcW w:w="3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78.0</w:t>
            </w:r>
          </w:p>
        </w:tc>
      </w:tr>
      <w:tr>
        <w:trPr>
          <w:trHeight w:val="185"/>
        </w:trPr>
        <w:tc>
          <w:tcPr>
            <w:tcW w:w="3080" w:type="dxa"/>
            <w:vAlign w:val="bottom"/>
          </w:tcPr>
          <w:p>
            <w:pPr>
              <w:ind w:left="100"/>
              <w:spacing w:after="0"/>
              <w:rPr>
                <w:sz w:val="20"/>
                <w:szCs w:val="20"/>
                <w:color w:val="auto"/>
              </w:rPr>
            </w:pPr>
            <w:r>
              <w:rPr>
                <w:rFonts w:ascii="Courier New" w:cs="Courier New" w:eastAsia="Courier New" w:hAnsi="Courier New"/>
                <w:sz w:val="16"/>
                <w:szCs w:val="16"/>
                <w:color w:val="auto"/>
              </w:rPr>
              <w:t>France</w:t>
            </w:r>
          </w:p>
        </w:tc>
        <w:tc>
          <w:tcPr>
            <w:tcW w:w="1200" w:type="dxa"/>
            <w:vAlign w:val="bottom"/>
          </w:tcPr>
          <w:p>
            <w:pPr>
              <w:spacing w:after="0"/>
              <w:rPr>
                <w:sz w:val="16"/>
                <w:szCs w:val="16"/>
                <w:color w:val="auto"/>
              </w:rPr>
            </w:pPr>
          </w:p>
        </w:tc>
        <w:tc>
          <w:tcPr>
            <w:tcW w:w="8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130.6</w:t>
            </w:r>
          </w:p>
        </w:tc>
        <w:tc>
          <w:tcPr>
            <w:tcW w:w="420" w:type="dxa"/>
            <w:vAlign w:val="bottom"/>
          </w:tcPr>
          <w:p>
            <w:pPr>
              <w:spacing w:after="0"/>
              <w:rPr>
                <w:sz w:val="16"/>
                <w:szCs w:val="16"/>
                <w:color w:val="auto"/>
              </w:rPr>
            </w:pP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100.9</w:t>
            </w:r>
          </w:p>
        </w:tc>
        <w:tc>
          <w:tcPr>
            <w:tcW w:w="3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77.0</w:t>
            </w:r>
          </w:p>
        </w:tc>
      </w:tr>
      <w:tr>
        <w:trPr>
          <w:trHeight w:val="185"/>
        </w:trPr>
        <w:tc>
          <w:tcPr>
            <w:tcW w:w="3080" w:type="dxa"/>
            <w:vAlign w:val="bottom"/>
          </w:tcPr>
          <w:p>
            <w:pPr>
              <w:ind w:left="100"/>
              <w:spacing w:after="0"/>
              <w:rPr>
                <w:sz w:val="20"/>
                <w:szCs w:val="20"/>
                <w:color w:val="auto"/>
              </w:rPr>
            </w:pPr>
            <w:r>
              <w:rPr>
                <w:rFonts w:ascii="Courier New" w:cs="Courier New" w:eastAsia="Courier New" w:hAnsi="Courier New"/>
                <w:sz w:val="16"/>
                <w:szCs w:val="16"/>
                <w:color w:val="auto"/>
              </w:rPr>
              <w:t>United Kingdom</w:t>
            </w:r>
          </w:p>
        </w:tc>
        <w:tc>
          <w:tcPr>
            <w:tcW w:w="1200" w:type="dxa"/>
            <w:vAlign w:val="bottom"/>
          </w:tcPr>
          <w:p>
            <w:pPr>
              <w:spacing w:after="0"/>
              <w:rPr>
                <w:sz w:val="16"/>
                <w:szCs w:val="16"/>
                <w:color w:val="auto"/>
              </w:rPr>
            </w:pPr>
          </w:p>
        </w:tc>
        <w:tc>
          <w:tcPr>
            <w:tcW w:w="8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46.2</w:t>
            </w:r>
          </w:p>
        </w:tc>
        <w:tc>
          <w:tcPr>
            <w:tcW w:w="420" w:type="dxa"/>
            <w:vAlign w:val="bottom"/>
          </w:tcPr>
          <w:p>
            <w:pPr>
              <w:spacing w:after="0"/>
              <w:rPr>
                <w:sz w:val="16"/>
                <w:szCs w:val="16"/>
                <w:color w:val="auto"/>
              </w:rPr>
            </w:pP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40.2</w:t>
            </w:r>
          </w:p>
        </w:tc>
        <w:tc>
          <w:tcPr>
            <w:tcW w:w="3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42.3</w:t>
            </w:r>
          </w:p>
        </w:tc>
      </w:tr>
      <w:tr>
        <w:trPr>
          <w:trHeight w:val="185"/>
        </w:trPr>
        <w:tc>
          <w:tcPr>
            <w:tcW w:w="3080" w:type="dxa"/>
            <w:vAlign w:val="bottom"/>
          </w:tcPr>
          <w:p>
            <w:pPr>
              <w:ind w:left="100"/>
              <w:spacing w:after="0"/>
              <w:rPr>
                <w:sz w:val="20"/>
                <w:szCs w:val="20"/>
                <w:color w:val="auto"/>
              </w:rPr>
            </w:pPr>
            <w:r>
              <w:rPr>
                <w:rFonts w:ascii="Courier New" w:cs="Courier New" w:eastAsia="Courier New" w:hAnsi="Courier New"/>
                <w:sz w:val="16"/>
                <w:szCs w:val="16"/>
                <w:color w:val="auto"/>
              </w:rPr>
              <w:t>Other Europe</w:t>
            </w:r>
          </w:p>
        </w:tc>
        <w:tc>
          <w:tcPr>
            <w:tcW w:w="1200" w:type="dxa"/>
            <w:vAlign w:val="bottom"/>
          </w:tcPr>
          <w:p>
            <w:pPr>
              <w:spacing w:after="0"/>
              <w:rPr>
                <w:sz w:val="16"/>
                <w:szCs w:val="16"/>
                <w:color w:val="auto"/>
              </w:rPr>
            </w:pPr>
          </w:p>
        </w:tc>
        <w:tc>
          <w:tcPr>
            <w:tcW w:w="8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89.1</w:t>
            </w:r>
          </w:p>
        </w:tc>
        <w:tc>
          <w:tcPr>
            <w:tcW w:w="420" w:type="dxa"/>
            <w:vAlign w:val="bottom"/>
          </w:tcPr>
          <w:p>
            <w:pPr>
              <w:spacing w:after="0"/>
              <w:rPr>
                <w:sz w:val="16"/>
                <w:szCs w:val="16"/>
                <w:color w:val="auto"/>
              </w:rPr>
            </w:pP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68.0</w:t>
            </w:r>
          </w:p>
        </w:tc>
        <w:tc>
          <w:tcPr>
            <w:tcW w:w="3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52.9</w:t>
            </w:r>
          </w:p>
        </w:tc>
      </w:tr>
      <w:tr>
        <w:trPr>
          <w:trHeight w:val="185"/>
        </w:trPr>
        <w:tc>
          <w:tcPr>
            <w:tcW w:w="3080" w:type="dxa"/>
            <w:vAlign w:val="bottom"/>
          </w:tcPr>
          <w:p>
            <w:pPr>
              <w:ind w:left="100"/>
              <w:spacing w:after="0"/>
              <w:rPr>
                <w:sz w:val="20"/>
                <w:szCs w:val="20"/>
                <w:color w:val="auto"/>
              </w:rPr>
            </w:pPr>
            <w:r>
              <w:rPr>
                <w:rFonts w:ascii="Courier New" w:cs="Courier New" w:eastAsia="Courier New" w:hAnsi="Courier New"/>
                <w:sz w:val="16"/>
                <w:szCs w:val="16"/>
                <w:color w:val="auto"/>
              </w:rPr>
              <w:t>Other Countries</w:t>
            </w:r>
          </w:p>
        </w:tc>
        <w:tc>
          <w:tcPr>
            <w:tcW w:w="1200" w:type="dxa"/>
            <w:vAlign w:val="bottom"/>
          </w:tcPr>
          <w:p>
            <w:pPr>
              <w:spacing w:after="0"/>
              <w:rPr>
                <w:sz w:val="16"/>
                <w:szCs w:val="16"/>
                <w:color w:val="auto"/>
              </w:rPr>
            </w:pPr>
          </w:p>
        </w:tc>
        <w:tc>
          <w:tcPr>
            <w:tcW w:w="8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13.2</w:t>
            </w:r>
          </w:p>
        </w:tc>
        <w:tc>
          <w:tcPr>
            <w:tcW w:w="420" w:type="dxa"/>
            <w:vAlign w:val="bottom"/>
          </w:tcPr>
          <w:p>
            <w:pPr>
              <w:spacing w:after="0"/>
              <w:rPr>
                <w:sz w:val="16"/>
                <w:szCs w:val="16"/>
                <w:color w:val="auto"/>
              </w:rPr>
            </w:pP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10.6</w:t>
            </w:r>
          </w:p>
        </w:tc>
        <w:tc>
          <w:tcPr>
            <w:tcW w:w="3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16.3</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980" w:type="dxa"/>
            <w:vAlign w:val="bottom"/>
          </w:tcPr>
          <w:p>
            <w:pPr>
              <w:spacing w:after="0"/>
              <w:rPr>
                <w:sz w:val="15"/>
                <w:szCs w:val="15"/>
                <w:color w:val="auto"/>
              </w:rPr>
            </w:pP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363.7</w:t>
            </w: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300.0</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266.5</w:t>
            </w: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Corporate expenses</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39.4</w:t>
            </w: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34.5</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38.6</w:t>
            </w: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Amortization of intangible assets</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13.3</w:t>
            </w: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6.9</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5.4</w:t>
            </w: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Interest and other expense</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45.8</w:t>
            </w: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24.8</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16.6</w:t>
            </w: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Nonrecurring expenses(b)</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28.0</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Write-down of capitalized software(c)</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92.1</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360" w:type="dxa"/>
            <w:vAlign w:val="bottom"/>
          </w:tcPr>
          <w:p>
            <w:pPr>
              <w:spacing w:after="0"/>
              <w:rPr>
                <w:sz w:val="20"/>
                <w:szCs w:val="20"/>
                <w:color w:val="auto"/>
              </w:rPr>
            </w:pPr>
            <w:r>
              <w:rPr>
                <w:rFonts w:ascii="Courier New" w:cs="Courier New" w:eastAsia="Courier New" w:hAnsi="Courier New"/>
                <w:sz w:val="16"/>
                <w:szCs w:val="16"/>
                <w:color w:val="auto"/>
              </w:rPr>
              <w:t>Earnings before income taxes</w:t>
            </w:r>
          </w:p>
        </w:tc>
        <w:tc>
          <w:tcPr>
            <w:tcW w:w="17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   265.2</w:t>
            </w: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205.8</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   113.8</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 expense:</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5"/>
        </w:trPr>
        <w:tc>
          <w:tcPr>
            <w:tcW w:w="3840" w:type="dxa"/>
            <w:vAlign w:val="bottom"/>
          </w:tcPr>
          <w:p>
            <w:pPr>
              <w:ind w:left="100"/>
              <w:spacing w:after="0"/>
              <w:rPr>
                <w:sz w:val="20"/>
                <w:szCs w:val="20"/>
                <w:color w:val="auto"/>
              </w:rPr>
            </w:pPr>
            <w:r>
              <w:rPr>
                <w:rFonts w:ascii="Courier New" w:cs="Courier New" w:eastAsia="Courier New" w:hAnsi="Courier New"/>
                <w:sz w:val="16"/>
                <w:szCs w:val="16"/>
                <w:color w:val="auto"/>
              </w:rPr>
              <w:t>United States</w:t>
            </w:r>
          </w:p>
        </w:tc>
        <w:tc>
          <w:tcPr>
            <w:tcW w:w="4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16.0</w:t>
            </w:r>
          </w:p>
        </w:tc>
        <w:tc>
          <w:tcPr>
            <w:tcW w:w="4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16.4</w:t>
            </w:r>
          </w:p>
        </w:tc>
        <w:tc>
          <w:tcPr>
            <w:tcW w:w="3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14.4</w:t>
            </w:r>
          </w:p>
        </w:tc>
      </w:tr>
      <w:tr>
        <w:trPr>
          <w:trHeight w:val="185"/>
        </w:trPr>
        <w:tc>
          <w:tcPr>
            <w:tcW w:w="3840" w:type="dxa"/>
            <w:vAlign w:val="bottom"/>
          </w:tcPr>
          <w:p>
            <w:pPr>
              <w:ind w:left="100"/>
              <w:spacing w:after="0"/>
              <w:rPr>
                <w:sz w:val="20"/>
                <w:szCs w:val="20"/>
                <w:color w:val="auto"/>
              </w:rPr>
            </w:pPr>
            <w:r>
              <w:rPr>
                <w:rFonts w:ascii="Courier New" w:cs="Courier New" w:eastAsia="Courier New" w:hAnsi="Courier New"/>
                <w:sz w:val="16"/>
                <w:szCs w:val="16"/>
                <w:color w:val="auto"/>
              </w:rPr>
              <w:t>France</w:t>
            </w:r>
          </w:p>
        </w:tc>
        <w:tc>
          <w:tcPr>
            <w:tcW w:w="48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11.8</w:t>
            </w:r>
          </w:p>
        </w:tc>
        <w:tc>
          <w:tcPr>
            <w:tcW w:w="480" w:type="dxa"/>
            <w:vAlign w:val="bottom"/>
          </w:tcPr>
          <w:p>
            <w:pPr>
              <w:spacing w:after="0"/>
              <w:rPr>
                <w:sz w:val="16"/>
                <w:szCs w:val="16"/>
                <w:color w:val="auto"/>
              </w:rPr>
            </w:pP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12.2</w:t>
            </w:r>
          </w:p>
        </w:tc>
        <w:tc>
          <w:tcPr>
            <w:tcW w:w="3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12.5</w:t>
            </w:r>
          </w:p>
        </w:tc>
      </w:tr>
      <w:tr>
        <w:trPr>
          <w:trHeight w:val="185"/>
        </w:trPr>
        <w:tc>
          <w:tcPr>
            <w:tcW w:w="3840" w:type="dxa"/>
            <w:vAlign w:val="bottom"/>
          </w:tcPr>
          <w:p>
            <w:pPr>
              <w:ind w:left="100"/>
              <w:spacing w:after="0"/>
              <w:rPr>
                <w:sz w:val="20"/>
                <w:szCs w:val="20"/>
                <w:color w:val="auto"/>
              </w:rPr>
            </w:pPr>
            <w:r>
              <w:rPr>
                <w:rFonts w:ascii="Courier New" w:cs="Courier New" w:eastAsia="Courier New" w:hAnsi="Courier New"/>
                <w:sz w:val="16"/>
                <w:szCs w:val="16"/>
                <w:color w:val="auto"/>
              </w:rPr>
              <w:t>United Kingdom</w:t>
            </w:r>
          </w:p>
        </w:tc>
        <w:tc>
          <w:tcPr>
            <w:tcW w:w="48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7.4</w:t>
            </w:r>
          </w:p>
        </w:tc>
        <w:tc>
          <w:tcPr>
            <w:tcW w:w="480" w:type="dxa"/>
            <w:vAlign w:val="bottom"/>
          </w:tcPr>
          <w:p>
            <w:pPr>
              <w:spacing w:after="0"/>
              <w:rPr>
                <w:sz w:val="16"/>
                <w:szCs w:val="16"/>
                <w:color w:val="auto"/>
              </w:rPr>
            </w:pP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8.2</w:t>
            </w:r>
          </w:p>
        </w:tc>
        <w:tc>
          <w:tcPr>
            <w:tcW w:w="3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8.1</w:t>
            </w:r>
          </w:p>
        </w:tc>
      </w:tr>
      <w:tr>
        <w:trPr>
          <w:trHeight w:val="185"/>
        </w:trPr>
        <w:tc>
          <w:tcPr>
            <w:tcW w:w="3840" w:type="dxa"/>
            <w:vAlign w:val="bottom"/>
          </w:tcPr>
          <w:p>
            <w:pPr>
              <w:ind w:left="100"/>
              <w:spacing w:after="0"/>
              <w:rPr>
                <w:sz w:val="20"/>
                <w:szCs w:val="20"/>
                <w:color w:val="auto"/>
              </w:rPr>
            </w:pPr>
            <w:r>
              <w:rPr>
                <w:rFonts w:ascii="Courier New" w:cs="Courier New" w:eastAsia="Courier New" w:hAnsi="Courier New"/>
                <w:sz w:val="16"/>
                <w:szCs w:val="16"/>
                <w:color w:val="auto"/>
              </w:rPr>
              <w:t>Other Europe</w:t>
            </w:r>
          </w:p>
        </w:tc>
        <w:tc>
          <w:tcPr>
            <w:tcW w:w="48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16.1</w:t>
            </w:r>
          </w:p>
        </w:tc>
        <w:tc>
          <w:tcPr>
            <w:tcW w:w="480" w:type="dxa"/>
            <w:vAlign w:val="bottom"/>
          </w:tcPr>
          <w:p>
            <w:pPr>
              <w:spacing w:after="0"/>
              <w:rPr>
                <w:sz w:val="16"/>
                <w:szCs w:val="16"/>
                <w:color w:val="auto"/>
              </w:rPr>
            </w:pP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13.2</w:t>
            </w:r>
          </w:p>
        </w:tc>
        <w:tc>
          <w:tcPr>
            <w:tcW w:w="3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9.8</w:t>
            </w:r>
          </w:p>
        </w:tc>
      </w:tr>
      <w:tr>
        <w:trPr>
          <w:trHeight w:val="185"/>
        </w:trPr>
        <w:tc>
          <w:tcPr>
            <w:tcW w:w="3840" w:type="dxa"/>
            <w:vAlign w:val="bottom"/>
          </w:tcPr>
          <w:p>
            <w:pPr>
              <w:ind w:left="100"/>
              <w:spacing w:after="0"/>
              <w:rPr>
                <w:sz w:val="20"/>
                <w:szCs w:val="20"/>
                <w:color w:val="auto"/>
              </w:rPr>
            </w:pPr>
            <w:r>
              <w:rPr>
                <w:rFonts w:ascii="Courier New" w:cs="Courier New" w:eastAsia="Courier New" w:hAnsi="Courier New"/>
                <w:sz w:val="16"/>
                <w:szCs w:val="16"/>
                <w:color w:val="auto"/>
              </w:rPr>
              <w:t>Other Countries</w:t>
            </w:r>
          </w:p>
        </w:tc>
        <w:tc>
          <w:tcPr>
            <w:tcW w:w="48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6.5</w:t>
            </w:r>
          </w:p>
        </w:tc>
        <w:tc>
          <w:tcPr>
            <w:tcW w:w="480" w:type="dxa"/>
            <w:vAlign w:val="bottom"/>
          </w:tcPr>
          <w:p>
            <w:pPr>
              <w:spacing w:after="0"/>
              <w:rPr>
                <w:sz w:val="16"/>
                <w:szCs w:val="16"/>
                <w:color w:val="auto"/>
              </w:rPr>
            </w:pP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5.2</w:t>
            </w:r>
          </w:p>
        </w:tc>
        <w:tc>
          <w:tcPr>
            <w:tcW w:w="3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r>
    </w:tbl>
    <w:p>
      <w:pPr>
        <w:spacing w:after="0" w:line="5" w:lineRule="exact"/>
        <w:rPr>
          <w:sz w:val="20"/>
          <w:szCs w:val="20"/>
          <w:color w:val="auto"/>
        </w:rPr>
      </w:pPr>
    </w:p>
    <w:p>
      <w:pPr>
        <w:ind w:left="201" w:hanging="201"/>
        <w:spacing w:after="0"/>
        <w:tabs>
          <w:tab w:leader="none" w:pos="201"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404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$57.8$55.2  $</w:t>
      </w:r>
      <w:r>
        <w:rPr>
          <w:rFonts w:ascii="Courier New" w:cs="Courier New" w:eastAsia="Courier New" w:hAnsi="Courier New"/>
          <w:sz w:val="15"/>
          <w:szCs w:val="15"/>
          <w:color w:val="auto"/>
        </w:rPr>
        <w:t>48.3</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880" w:type="dxa"/>
            <w:vAlign w:val="bottom"/>
          </w:tcPr>
          <w:p>
            <w:pPr>
              <w:spacing w:after="0"/>
              <w:rPr>
                <w:sz w:val="20"/>
                <w:szCs w:val="20"/>
                <w:color w:val="auto"/>
              </w:rPr>
            </w:pPr>
            <w:r>
              <w:rPr>
                <w:rFonts w:ascii="Courier New" w:cs="Courier New" w:eastAsia="Courier New" w:hAnsi="Courier New"/>
                <w:sz w:val="16"/>
                <w:szCs w:val="16"/>
                <w:color w:val="auto"/>
              </w:rPr>
              <w:t>Earnings from investments in licensees:</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5"/>
        </w:trPr>
        <w:tc>
          <w:tcPr>
            <w:tcW w:w="3880" w:type="dxa"/>
            <w:vAlign w:val="bottom"/>
          </w:tcPr>
          <w:p>
            <w:pPr>
              <w:ind w:left="100"/>
              <w:spacing w:after="0"/>
              <w:rPr>
                <w:sz w:val="20"/>
                <w:szCs w:val="20"/>
                <w:color w:val="auto"/>
              </w:rPr>
            </w:pPr>
            <w:r>
              <w:rPr>
                <w:rFonts w:ascii="Courier New" w:cs="Courier New" w:eastAsia="Courier New" w:hAnsi="Courier New"/>
                <w:sz w:val="16"/>
                <w:szCs w:val="16"/>
                <w:color w:val="auto"/>
              </w:rPr>
              <w:t>United States</w:t>
            </w:r>
          </w:p>
        </w:tc>
        <w:tc>
          <w:tcPr>
            <w:tcW w:w="5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ind w:left="240"/>
              <w:spacing w:after="0"/>
              <w:rPr>
                <w:sz w:val="20"/>
                <w:szCs w:val="20"/>
                <w:color w:val="auto"/>
              </w:rPr>
            </w:pPr>
            <w:r>
              <w:rPr>
                <w:rFonts w:ascii="Courier New" w:cs="Courier New" w:eastAsia="Courier New" w:hAnsi="Courier New"/>
                <w:sz w:val="16"/>
                <w:szCs w:val="16"/>
                <w:color w:val="auto"/>
              </w:rPr>
              <w:t>(.1)</w:t>
            </w:r>
          </w:p>
        </w:tc>
        <w:tc>
          <w:tcPr>
            <w:tcW w:w="4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w:t>
            </w:r>
          </w:p>
        </w:tc>
        <w:tc>
          <w:tcPr>
            <w:tcW w:w="4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5"/>
        </w:trPr>
        <w:tc>
          <w:tcPr>
            <w:tcW w:w="3880" w:type="dxa"/>
            <w:vAlign w:val="bottom"/>
          </w:tcPr>
          <w:p>
            <w:pPr>
              <w:ind w:left="100"/>
              <w:spacing w:after="0"/>
              <w:rPr>
                <w:sz w:val="20"/>
                <w:szCs w:val="20"/>
                <w:color w:val="auto"/>
              </w:rPr>
            </w:pPr>
            <w:r>
              <w:rPr>
                <w:rFonts w:ascii="Courier New" w:cs="Courier New" w:eastAsia="Courier New" w:hAnsi="Courier New"/>
                <w:sz w:val="16"/>
                <w:szCs w:val="16"/>
                <w:color w:val="auto"/>
              </w:rPr>
              <w:t>Other Europe</w:t>
            </w:r>
          </w:p>
        </w:tc>
        <w:tc>
          <w:tcPr>
            <w:tcW w:w="500" w:type="dxa"/>
            <w:vAlign w:val="bottom"/>
          </w:tcPr>
          <w:p>
            <w:pPr>
              <w:spacing w:after="0"/>
              <w:rPr>
                <w:sz w:val="16"/>
                <w:szCs w:val="16"/>
                <w:color w:val="auto"/>
              </w:rPr>
            </w:pPr>
          </w:p>
        </w:tc>
        <w:tc>
          <w:tcPr>
            <w:tcW w:w="760" w:type="dxa"/>
            <w:vAlign w:val="bottom"/>
          </w:tcPr>
          <w:p>
            <w:pPr>
              <w:ind w:left="240"/>
              <w:spacing w:after="0"/>
              <w:rPr>
                <w:sz w:val="20"/>
                <w:szCs w:val="20"/>
                <w:color w:val="auto"/>
              </w:rPr>
            </w:pPr>
            <w:r>
              <w:rPr>
                <w:rFonts w:ascii="Courier New" w:cs="Courier New" w:eastAsia="Courier New" w:hAnsi="Courier New"/>
                <w:sz w:val="16"/>
                <w:szCs w:val="16"/>
                <w:color w:val="auto"/>
              </w:rPr>
              <w:t>2.0</w:t>
            </w:r>
          </w:p>
        </w:tc>
        <w:tc>
          <w:tcPr>
            <w:tcW w:w="480" w:type="dxa"/>
            <w:vAlign w:val="bottom"/>
          </w:tcPr>
          <w:p>
            <w:pPr>
              <w:spacing w:after="0"/>
              <w:rPr>
                <w:sz w:val="16"/>
                <w:szCs w:val="16"/>
                <w:color w:val="auto"/>
              </w:rPr>
            </w:pPr>
          </w:p>
        </w:tc>
        <w:tc>
          <w:tcPr>
            <w:tcW w:w="6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w:t>
            </w:r>
          </w:p>
        </w:tc>
        <w:tc>
          <w:tcPr>
            <w:tcW w:w="4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5"/>
        </w:trPr>
        <w:tc>
          <w:tcPr>
            <w:tcW w:w="3880" w:type="dxa"/>
            <w:vAlign w:val="bottom"/>
          </w:tcPr>
          <w:p>
            <w:pPr>
              <w:ind w:left="100"/>
              <w:spacing w:after="0"/>
              <w:rPr>
                <w:sz w:val="20"/>
                <w:szCs w:val="20"/>
                <w:color w:val="auto"/>
              </w:rPr>
            </w:pPr>
            <w:r>
              <w:rPr>
                <w:rFonts w:ascii="Courier New" w:cs="Courier New" w:eastAsia="Courier New" w:hAnsi="Courier New"/>
                <w:sz w:val="16"/>
                <w:szCs w:val="16"/>
                <w:color w:val="auto"/>
              </w:rPr>
              <w:t>Other Countries</w:t>
            </w:r>
          </w:p>
        </w:tc>
        <w:tc>
          <w:tcPr>
            <w:tcW w:w="500" w:type="dxa"/>
            <w:vAlign w:val="bottom"/>
          </w:tcPr>
          <w:p>
            <w:pPr>
              <w:spacing w:after="0"/>
              <w:rPr>
                <w:sz w:val="16"/>
                <w:szCs w:val="16"/>
                <w:color w:val="auto"/>
              </w:rPr>
            </w:pPr>
          </w:p>
        </w:tc>
        <w:tc>
          <w:tcPr>
            <w:tcW w:w="760" w:type="dxa"/>
            <w:vAlign w:val="bottom"/>
          </w:tcPr>
          <w:p>
            <w:pPr>
              <w:ind w:left="240"/>
              <w:spacing w:after="0"/>
              <w:rPr>
                <w:sz w:val="20"/>
                <w:szCs w:val="20"/>
                <w:color w:val="auto"/>
              </w:rPr>
            </w:pPr>
            <w:r>
              <w:rPr>
                <w:rFonts w:ascii="Courier New" w:cs="Courier New" w:eastAsia="Courier New" w:hAnsi="Courier New"/>
                <w:sz w:val="16"/>
                <w:szCs w:val="16"/>
                <w:color w:val="auto"/>
              </w:rPr>
              <w:t>(.5)</w:t>
            </w:r>
          </w:p>
        </w:tc>
        <w:tc>
          <w:tcPr>
            <w:tcW w:w="480" w:type="dxa"/>
            <w:vAlign w:val="bottom"/>
          </w:tcPr>
          <w:p>
            <w:pPr>
              <w:spacing w:after="0"/>
              <w:rPr>
                <w:sz w:val="16"/>
                <w:szCs w:val="16"/>
                <w:color w:val="auto"/>
              </w:rPr>
            </w:pPr>
          </w:p>
        </w:tc>
        <w:tc>
          <w:tcPr>
            <w:tcW w:w="6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w:t>
            </w:r>
          </w:p>
        </w:tc>
        <w:tc>
          <w:tcPr>
            <w:tcW w:w="4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bl>
    <w:p>
      <w:pPr>
        <w:spacing w:after="0" w:line="5" w:lineRule="exact"/>
        <w:rPr>
          <w:sz w:val="20"/>
          <w:szCs w:val="20"/>
          <w:color w:val="auto"/>
        </w:rPr>
      </w:pPr>
    </w:p>
    <w:p>
      <w:pPr>
        <w:ind w:left="201" w:hanging="201"/>
        <w:spacing w:after="0"/>
        <w:tabs>
          <w:tab w:leader="none" w:pos="201"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404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$1.4$3.0  $</w:t>
      </w:r>
      <w:r>
        <w:rPr>
          <w:rFonts w:ascii="Courier New" w:cs="Courier New" w:eastAsia="Courier New" w:hAnsi="Courier New"/>
          <w:sz w:val="15"/>
          <w:szCs w:val="15"/>
          <w:color w:val="auto"/>
        </w:rPr>
        <w:t>2.5</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60" w:lineRule="exact"/>
        <w:rPr>
          <w:sz w:val="20"/>
          <w:szCs w:val="20"/>
          <w:color w:val="auto"/>
        </w:rPr>
      </w:pPr>
    </w:p>
    <w:p>
      <w:pPr>
        <w:ind w:left="1" w:right="2639"/>
        <w:spacing w:after="0" w:line="243" w:lineRule="auto"/>
        <w:rPr>
          <w:sz w:val="20"/>
          <w:szCs w:val="20"/>
          <w:color w:val="auto"/>
        </w:rPr>
      </w:pPr>
      <w:r>
        <w:rPr>
          <w:rFonts w:ascii="Courier New" w:cs="Courier New" w:eastAsia="Courier New" w:hAnsi="Courier New"/>
          <w:sz w:val="16"/>
          <w:szCs w:val="16"/>
          <w:color w:val="auto"/>
        </w:rPr>
        <w:t>(a) Total Systemwide sales in the United States, which include sales of Company-owned branches and franchises, were $3,814.9, $3,758.7 and $3,577.2 for the years ended December 31, 2000, 1999 and 1998, respectively.</w:t>
      </w:r>
    </w:p>
    <w:p>
      <w:pPr>
        <w:spacing w:after="0" w:line="189" w:lineRule="exact"/>
        <w:rPr>
          <w:sz w:val="20"/>
          <w:szCs w:val="20"/>
          <w:color w:val="auto"/>
        </w:rPr>
      </w:pPr>
    </w:p>
    <w:p>
      <w:pPr>
        <w:ind w:left="1" w:right="2919" w:hanging="1"/>
        <w:spacing w:after="0" w:line="243" w:lineRule="auto"/>
        <w:tabs>
          <w:tab w:leader="none" w:pos="386"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nonrecurring items ($16.4 after tax) in the second quarter of 1999 related to employee severances, retirement costs and other associated realignment costs.</w:t>
      </w:r>
    </w:p>
    <w:p>
      <w:pPr>
        <w:spacing w:after="0" w:line="188" w:lineRule="exact"/>
        <w:rPr>
          <w:rFonts w:ascii="Courier New" w:cs="Courier New" w:eastAsia="Courier New" w:hAnsi="Courier New"/>
          <w:sz w:val="16"/>
          <w:szCs w:val="16"/>
          <w:color w:val="auto"/>
        </w:rPr>
      </w:pPr>
    </w:p>
    <w:p>
      <w:pPr>
        <w:ind w:left="1" w:right="3019" w:hanging="1"/>
        <w:spacing w:after="0" w:line="242" w:lineRule="auto"/>
        <w:tabs>
          <w:tab w:leader="none" w:pos="386"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write-down of capitalized software relates to the abandonment of an information system that was being developed in the U.S.</w:t>
      </w:r>
    </w:p>
    <w:p>
      <w:pPr>
        <w:spacing w:after="0" w:line="187"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380" w:type="dxa"/>
            <w:vAlign w:val="bottom"/>
          </w:tcPr>
          <w:p>
            <w:pPr>
              <w:spacing w:after="0"/>
              <w:rPr>
                <w:sz w:val="20"/>
                <w:szCs w:val="20"/>
                <w:color w:val="auto"/>
              </w:rPr>
            </w:pPr>
            <w:r>
              <w:rPr>
                <w:rFonts w:ascii="Courier New" w:cs="Courier New" w:eastAsia="Courier New" w:hAnsi="Courier New"/>
                <w:sz w:val="16"/>
                <w:szCs w:val="16"/>
                <w:color w:val="auto"/>
              </w:rPr>
              <w:t>Manpower Inc.</w:t>
            </w:r>
          </w:p>
        </w:tc>
        <w:tc>
          <w:tcPr>
            <w:tcW w:w="3300" w:type="dxa"/>
            <w:vAlign w:val="bottom"/>
          </w:tcPr>
          <w:p>
            <w:pPr>
              <w:jc w:val="right"/>
              <w:spacing w:after="0"/>
              <w:rPr>
                <w:sz w:val="20"/>
                <w:szCs w:val="20"/>
                <w:color w:val="auto"/>
              </w:rPr>
            </w:pPr>
            <w:r>
              <w:rPr>
                <w:rFonts w:ascii="Courier New" w:cs="Courier New" w:eastAsia="Courier New" w:hAnsi="Courier New"/>
                <w:sz w:val="16"/>
                <w:szCs w:val="16"/>
                <w:color w:val="auto"/>
              </w:rPr>
              <w:t>93</w:t>
            </w:r>
          </w:p>
        </w:tc>
      </w:tr>
    </w:tbl>
    <w:p>
      <w:pPr>
        <w:sectPr>
          <w:pgSz w:w="11900" w:h="16838" w:orient="portrait"/>
          <w:cols w:equalWidth="0" w:num="1">
            <w:col w:w="10221"/>
          </w:cols>
          <w:pgMar w:left="239" w:top="300" w:right="1440" w:bottom="1440" w:gutter="0" w:footer="0" w:header="0"/>
        </w:sectPr>
      </w:pPr>
    </w:p>
    <w:bookmarkStart w:id="86" w:name="page87"/>
    <w:bookmarkEnd w:id="86"/>
    <w:p>
      <w:pPr>
        <w:ind w:left="281"/>
        <w:spacing w:after="0"/>
        <w:rPr>
          <w:sz w:val="20"/>
          <w:szCs w:val="20"/>
          <w:color w:val="auto"/>
        </w:rPr>
      </w:pPr>
      <w:r>
        <w:rPr>
          <w:rFonts w:ascii="Courier New" w:cs="Courier New" w:eastAsia="Courier New" w:hAnsi="Courier New"/>
          <w:sz w:val="16"/>
          <w:szCs w:val="16"/>
          <w:color w:val="auto"/>
        </w:rPr>
        <w:t>68</w:t>
      </w:r>
    </w:p>
    <w:p>
      <w:pPr>
        <w:spacing w:after="0" w:line="188" w:lineRule="exact"/>
        <w:rPr>
          <w:sz w:val="20"/>
          <w:szCs w:val="20"/>
          <w:color w:val="auto"/>
        </w:rPr>
      </w:pPr>
    </w:p>
    <w:p>
      <w:pPr>
        <w:ind w:left="1541"/>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4" w:lineRule="exact"/>
        <w:rPr>
          <w:sz w:val="20"/>
          <w:szCs w:val="20"/>
          <w:color w:val="auto"/>
        </w:rPr>
      </w:pPr>
    </w:p>
    <w:p>
      <w:pPr>
        <w:ind w:left="2301"/>
        <w:spacing w:after="0"/>
        <w:rPr>
          <w:sz w:val="20"/>
          <w:szCs w:val="20"/>
          <w:color w:val="auto"/>
        </w:rPr>
      </w:pPr>
      <w:r>
        <w:rPr>
          <w:rFonts w:ascii="Courier New" w:cs="Courier New" w:eastAsia="Courier New" w:hAnsi="Courier New"/>
          <w:sz w:val="16"/>
          <w:szCs w:val="16"/>
          <w:color w:val="auto"/>
        </w:rPr>
        <w:t>(in millions, except share data)</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41"/>
        <w:spacing w:after="0"/>
        <w:tabs>
          <w:tab w:leader="none" w:pos="4681" w:val="left"/>
          <w:tab w:leader="none" w:pos="5741"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5"/>
          <w:szCs w:val="15"/>
          <w:color w:val="auto"/>
        </w:rPr>
        <w:t>1998</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40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1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5"/>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United States</w:t>
            </w:r>
          </w:p>
        </w:tc>
        <w:tc>
          <w:tcPr>
            <w:tcW w:w="1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  384.8</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  364.4</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  285.8</w:t>
            </w:r>
          </w:p>
        </w:tc>
      </w:tr>
      <w:tr>
        <w:trPr>
          <w:trHeight w:val="185"/>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France</w:t>
            </w:r>
          </w:p>
        </w:tc>
        <w:tc>
          <w:tcPr>
            <w:tcW w:w="1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1,204.6</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1,140.0</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1,128.3</w:t>
            </w:r>
          </w:p>
        </w:tc>
      </w:tr>
      <w:tr>
        <w:trPr>
          <w:trHeight w:val="185"/>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United Kingdom</w:t>
            </w:r>
          </w:p>
        </w:tc>
        <w:tc>
          <w:tcPr>
            <w:tcW w:w="1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438.8</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269.9</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230.2</w:t>
            </w:r>
          </w:p>
        </w:tc>
      </w:tr>
      <w:tr>
        <w:trPr>
          <w:trHeight w:val="185"/>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Other Europe</w:t>
            </w:r>
          </w:p>
        </w:tc>
        <w:tc>
          <w:tcPr>
            <w:tcW w:w="1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674.1</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609.7</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465.3</w:t>
            </w:r>
          </w:p>
        </w:tc>
      </w:tr>
      <w:tr>
        <w:trPr>
          <w:trHeight w:val="185"/>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Other Countries</w:t>
            </w:r>
          </w:p>
        </w:tc>
        <w:tc>
          <w:tcPr>
            <w:tcW w:w="1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255.1</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250.5</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215.6</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Corporate(a)</w:t>
            </w:r>
          </w:p>
        </w:tc>
        <w:tc>
          <w:tcPr>
            <w:tcW w:w="1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84.2</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84.2</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66.5</w:t>
            </w:r>
          </w:p>
        </w:tc>
      </w:tr>
    </w:tbl>
    <w:p>
      <w:pPr>
        <w:spacing w:after="0" w:line="5" w:lineRule="exact"/>
        <w:rPr>
          <w:sz w:val="20"/>
          <w:szCs w:val="20"/>
          <w:color w:val="auto"/>
        </w:rPr>
      </w:pPr>
    </w:p>
    <w:p>
      <w:pPr>
        <w:ind w:left="201" w:hanging="201"/>
        <w:spacing w:after="0"/>
        <w:tabs>
          <w:tab w:leader="none" w:pos="201"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326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$3,041.6   $2,718.7   $2,391.7</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840" w:type="dxa"/>
            <w:vAlign w:val="bottom"/>
          </w:tcPr>
          <w:p>
            <w:pPr>
              <w:spacing w:after="0"/>
              <w:rPr>
                <w:sz w:val="20"/>
                <w:szCs w:val="20"/>
                <w:color w:val="auto"/>
              </w:rPr>
            </w:pPr>
            <w:r>
              <w:rPr>
                <w:rFonts w:ascii="Courier New" w:cs="Courier New" w:eastAsia="Courier New" w:hAnsi="Courier New"/>
                <w:sz w:val="16"/>
                <w:szCs w:val="16"/>
                <w:color w:val="auto"/>
              </w:rPr>
              <w:t>Investments in licensees:</w:t>
            </w: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5"/>
        </w:trPr>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United States</w:t>
            </w:r>
          </w:p>
        </w:tc>
        <w:tc>
          <w:tcPr>
            <w:tcW w:w="6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w:t>
            </w:r>
          </w:p>
        </w:tc>
        <w:tc>
          <w:tcPr>
            <w:tcW w:w="3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w:t>
            </w:r>
          </w:p>
        </w:tc>
        <w:tc>
          <w:tcPr>
            <w:tcW w:w="3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5"/>
        </w:trPr>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Other Europe</w:t>
            </w:r>
          </w:p>
        </w:tc>
        <w:tc>
          <w:tcPr>
            <w:tcW w:w="660" w:type="dxa"/>
            <w:vAlign w:val="bottom"/>
          </w:tcPr>
          <w:p>
            <w:pPr>
              <w:spacing w:after="0"/>
              <w:rPr>
                <w:sz w:val="16"/>
                <w:szCs w:val="16"/>
                <w:color w:val="auto"/>
              </w:rPr>
            </w:pPr>
          </w:p>
        </w:tc>
        <w:tc>
          <w:tcPr>
            <w:tcW w:w="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38.5</w:t>
            </w:r>
          </w:p>
        </w:tc>
        <w:tc>
          <w:tcPr>
            <w:tcW w:w="380" w:type="dxa"/>
            <w:vAlign w:val="bottom"/>
          </w:tcPr>
          <w:p>
            <w:pPr>
              <w:spacing w:after="0"/>
              <w:rPr>
                <w:sz w:val="16"/>
                <w:szCs w:val="16"/>
                <w:color w:val="auto"/>
              </w:rPr>
            </w:pPr>
          </w:p>
        </w:tc>
        <w:tc>
          <w:tcPr>
            <w:tcW w:w="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34.0</w:t>
            </w:r>
          </w:p>
        </w:tc>
        <w:tc>
          <w:tcPr>
            <w:tcW w:w="3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31.5</w:t>
            </w:r>
          </w:p>
        </w:tc>
      </w:tr>
      <w:tr>
        <w:trPr>
          <w:trHeight w:val="185"/>
        </w:trPr>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Other Countries</w:t>
            </w:r>
          </w:p>
        </w:tc>
        <w:tc>
          <w:tcPr>
            <w:tcW w:w="660" w:type="dxa"/>
            <w:vAlign w:val="bottom"/>
          </w:tcPr>
          <w:p>
            <w:pPr>
              <w:spacing w:after="0"/>
              <w:rPr>
                <w:sz w:val="16"/>
                <w:szCs w:val="16"/>
                <w:color w:val="auto"/>
              </w:rPr>
            </w:pPr>
          </w:p>
        </w:tc>
        <w:tc>
          <w:tcPr>
            <w:tcW w:w="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2.7</w:t>
            </w:r>
          </w:p>
        </w:tc>
        <w:tc>
          <w:tcPr>
            <w:tcW w:w="380" w:type="dxa"/>
            <w:vAlign w:val="bottom"/>
          </w:tcPr>
          <w:p>
            <w:pPr>
              <w:spacing w:after="0"/>
              <w:rPr>
                <w:sz w:val="16"/>
                <w:szCs w:val="16"/>
                <w:color w:val="auto"/>
              </w:rPr>
            </w:pPr>
          </w:p>
        </w:tc>
        <w:tc>
          <w:tcPr>
            <w:tcW w:w="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2.1</w:t>
            </w:r>
          </w:p>
        </w:tc>
        <w:tc>
          <w:tcPr>
            <w:tcW w:w="3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bl>
    <w:p>
      <w:pPr>
        <w:spacing w:after="0" w:line="5" w:lineRule="exact"/>
        <w:rPr>
          <w:sz w:val="20"/>
          <w:szCs w:val="20"/>
          <w:color w:val="auto"/>
        </w:rPr>
      </w:pPr>
    </w:p>
    <w:p>
      <w:pPr>
        <w:ind w:left="201" w:hanging="201"/>
        <w:spacing w:after="0"/>
        <w:tabs>
          <w:tab w:leader="none" w:pos="201"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326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41.8   $   37.0   $   33.1</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500" w:type="dxa"/>
            <w:vAlign w:val="bottom"/>
          </w:tcPr>
          <w:p>
            <w:pPr>
              <w:spacing w:after="0"/>
              <w:rPr>
                <w:sz w:val="20"/>
                <w:szCs w:val="20"/>
                <w:color w:val="auto"/>
              </w:rPr>
            </w:pPr>
            <w:r>
              <w:rPr>
                <w:rFonts w:ascii="Courier New" w:cs="Courier New" w:eastAsia="Courier New" w:hAnsi="Courier New"/>
                <w:sz w:val="16"/>
                <w:szCs w:val="16"/>
                <w:color w:val="auto"/>
              </w:rPr>
              <w:t>Long-lived assets:</w:t>
            </w:r>
          </w:p>
        </w:tc>
        <w:tc>
          <w:tcPr>
            <w:tcW w:w="1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5"/>
        </w:trPr>
        <w:tc>
          <w:tcPr>
            <w:tcW w:w="2500" w:type="dxa"/>
            <w:vAlign w:val="bottom"/>
          </w:tcPr>
          <w:p>
            <w:pPr>
              <w:ind w:left="100"/>
              <w:spacing w:after="0"/>
              <w:rPr>
                <w:sz w:val="20"/>
                <w:szCs w:val="20"/>
                <w:color w:val="auto"/>
              </w:rPr>
            </w:pPr>
            <w:r>
              <w:rPr>
                <w:rFonts w:ascii="Courier New" w:cs="Courier New" w:eastAsia="Courier New" w:hAnsi="Courier New"/>
                <w:sz w:val="16"/>
                <w:szCs w:val="16"/>
                <w:color w:val="auto"/>
              </w:rPr>
              <w:t>United States</w:t>
            </w:r>
          </w:p>
        </w:tc>
        <w:tc>
          <w:tcPr>
            <w:tcW w:w="1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   40.1</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   44.2</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   48.0</w:t>
            </w:r>
          </w:p>
        </w:tc>
      </w:tr>
      <w:tr>
        <w:trPr>
          <w:trHeight w:val="185"/>
        </w:trPr>
        <w:tc>
          <w:tcPr>
            <w:tcW w:w="2500" w:type="dxa"/>
            <w:vAlign w:val="bottom"/>
          </w:tcPr>
          <w:p>
            <w:pPr>
              <w:ind w:left="100"/>
              <w:spacing w:after="0"/>
              <w:rPr>
                <w:sz w:val="20"/>
                <w:szCs w:val="20"/>
                <w:color w:val="auto"/>
              </w:rPr>
            </w:pPr>
            <w:r>
              <w:rPr>
                <w:rFonts w:ascii="Courier New" w:cs="Courier New" w:eastAsia="Courier New" w:hAnsi="Courier New"/>
                <w:sz w:val="16"/>
                <w:szCs w:val="16"/>
                <w:color w:val="auto"/>
              </w:rPr>
              <w:t>Foreign:</w:t>
            </w:r>
          </w:p>
        </w:tc>
        <w:tc>
          <w:tcPr>
            <w:tcW w:w="1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2500" w:type="dxa"/>
            <w:vAlign w:val="bottom"/>
          </w:tcPr>
          <w:p>
            <w:pPr>
              <w:ind w:left="280"/>
              <w:spacing w:after="0"/>
              <w:rPr>
                <w:sz w:val="20"/>
                <w:szCs w:val="20"/>
                <w:color w:val="auto"/>
              </w:rPr>
            </w:pPr>
            <w:r>
              <w:rPr>
                <w:rFonts w:ascii="Courier New" w:cs="Courier New" w:eastAsia="Courier New" w:hAnsi="Courier New"/>
                <w:sz w:val="16"/>
                <w:szCs w:val="16"/>
                <w:color w:val="auto"/>
              </w:rPr>
              <w:t>France</w:t>
            </w:r>
          </w:p>
        </w:tc>
        <w:tc>
          <w:tcPr>
            <w:tcW w:w="1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57.6</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51.4</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66.3</w:t>
            </w:r>
          </w:p>
        </w:tc>
      </w:tr>
      <w:tr>
        <w:trPr>
          <w:trHeight w:val="185"/>
        </w:trPr>
        <w:tc>
          <w:tcPr>
            <w:tcW w:w="2500" w:type="dxa"/>
            <w:vAlign w:val="bottom"/>
          </w:tcPr>
          <w:p>
            <w:pPr>
              <w:ind w:left="280"/>
              <w:spacing w:after="0"/>
              <w:rPr>
                <w:sz w:val="20"/>
                <w:szCs w:val="20"/>
                <w:color w:val="auto"/>
              </w:rPr>
            </w:pPr>
            <w:r>
              <w:rPr>
                <w:rFonts w:ascii="Courier New" w:cs="Courier New" w:eastAsia="Courier New" w:hAnsi="Courier New"/>
                <w:sz w:val="16"/>
                <w:szCs w:val="16"/>
                <w:color w:val="auto"/>
              </w:rPr>
              <w:t>United Kingdom</w:t>
            </w:r>
          </w:p>
        </w:tc>
        <w:tc>
          <w:tcPr>
            <w:tcW w:w="1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30.7</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26.2</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30.2</w:t>
            </w:r>
          </w:p>
        </w:tc>
      </w:tr>
      <w:tr>
        <w:trPr>
          <w:trHeight w:val="185"/>
        </w:trPr>
        <w:tc>
          <w:tcPr>
            <w:tcW w:w="2500" w:type="dxa"/>
            <w:vAlign w:val="bottom"/>
          </w:tcPr>
          <w:p>
            <w:pPr>
              <w:ind w:left="280"/>
              <w:spacing w:after="0"/>
              <w:rPr>
                <w:sz w:val="20"/>
                <w:szCs w:val="20"/>
                <w:color w:val="auto"/>
              </w:rPr>
            </w:pPr>
            <w:r>
              <w:rPr>
                <w:rFonts w:ascii="Courier New" w:cs="Courier New" w:eastAsia="Courier New" w:hAnsi="Courier New"/>
                <w:sz w:val="16"/>
                <w:szCs w:val="16"/>
                <w:color w:val="auto"/>
              </w:rPr>
              <w:t>Other Europe</w:t>
            </w:r>
          </w:p>
        </w:tc>
        <w:tc>
          <w:tcPr>
            <w:tcW w:w="1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57.7</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47.9</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38.9</w:t>
            </w:r>
          </w:p>
        </w:tc>
      </w:tr>
      <w:tr>
        <w:trPr>
          <w:trHeight w:val="185"/>
        </w:trPr>
        <w:tc>
          <w:tcPr>
            <w:tcW w:w="2500" w:type="dxa"/>
            <w:vAlign w:val="bottom"/>
          </w:tcPr>
          <w:p>
            <w:pPr>
              <w:ind w:left="280"/>
              <w:spacing w:after="0"/>
              <w:rPr>
                <w:sz w:val="20"/>
                <w:szCs w:val="20"/>
                <w:color w:val="auto"/>
              </w:rPr>
            </w:pPr>
            <w:r>
              <w:rPr>
                <w:rFonts w:ascii="Courier New" w:cs="Courier New" w:eastAsia="Courier New" w:hAnsi="Courier New"/>
                <w:sz w:val="16"/>
                <w:szCs w:val="16"/>
                <w:color w:val="auto"/>
              </w:rPr>
              <w:t>Other Countries</w:t>
            </w:r>
          </w:p>
        </w:tc>
        <w:tc>
          <w:tcPr>
            <w:tcW w:w="16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17.6</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19.7</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14.7</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101" w:type="dxa"/>
        <w:tblCellMar>
          <w:top w:w="0" w:type="dxa"/>
          <w:left w:w="0" w:type="dxa"/>
          <w:bottom w:w="0" w:type="dxa"/>
          <w:right w:w="0" w:type="dxa"/>
        </w:tblCellMar>
      </w:tblPr>
      <w:tr>
        <w:trPr>
          <w:trHeight w:val="181"/>
        </w:trPr>
        <w:tc>
          <w:tcPr>
            <w:tcW w:w="2340" w:type="dxa"/>
            <w:vAlign w:val="bottom"/>
          </w:tcPr>
          <w:p>
            <w:pPr>
              <w:spacing w:after="0"/>
              <w:rPr>
                <w:sz w:val="20"/>
                <w:szCs w:val="20"/>
                <w:color w:val="auto"/>
              </w:rPr>
            </w:pPr>
            <w:r>
              <w:rPr>
                <w:rFonts w:ascii="Courier New" w:cs="Courier New" w:eastAsia="Courier New" w:hAnsi="Courier New"/>
                <w:sz w:val="16"/>
                <w:szCs w:val="16"/>
                <w:color w:val="auto"/>
              </w:rPr>
              <w:t>Total foreign</w:t>
            </w:r>
          </w:p>
        </w:tc>
        <w:tc>
          <w:tcPr>
            <w:tcW w:w="18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163.6</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145.2</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150.1</w:t>
            </w:r>
          </w:p>
        </w:tc>
      </w:tr>
      <w:tr>
        <w:trPr>
          <w:trHeight w:val="185"/>
        </w:trPr>
        <w:tc>
          <w:tcPr>
            <w:tcW w:w="2340" w:type="dxa"/>
            <w:vAlign w:val="bottom"/>
          </w:tcPr>
          <w:p>
            <w:pPr>
              <w:spacing w:after="0"/>
              <w:rPr>
                <w:sz w:val="20"/>
                <w:szCs w:val="20"/>
                <w:color w:val="auto"/>
              </w:rPr>
            </w:pPr>
            <w:r>
              <w:rPr>
                <w:rFonts w:ascii="Courier New" w:cs="Courier New" w:eastAsia="Courier New" w:hAnsi="Courier New"/>
                <w:sz w:val="16"/>
                <w:szCs w:val="16"/>
                <w:color w:val="auto"/>
              </w:rPr>
              <w:t>Corporate (a)</w:t>
            </w:r>
          </w:p>
        </w:tc>
        <w:tc>
          <w:tcPr>
            <w:tcW w:w="18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1.3</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2.1</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r>
    </w:tbl>
    <w:p>
      <w:pPr>
        <w:spacing w:after="0" w:line="5" w:lineRule="exact"/>
        <w:rPr>
          <w:sz w:val="20"/>
          <w:szCs w:val="20"/>
          <w:color w:val="auto"/>
        </w:rPr>
      </w:pPr>
    </w:p>
    <w:p>
      <w:pPr>
        <w:ind w:left="201" w:hanging="201"/>
        <w:spacing w:after="0"/>
        <w:tabs>
          <w:tab w:leader="none" w:pos="201"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326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205.0   $  191.5   $  202.0</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Additions to long-lived assets:</w:t>
      </w:r>
    </w:p>
    <w:p>
      <w:pPr>
        <w:spacing w:after="0" w:line="4" w:lineRule="exact"/>
        <w:rPr>
          <w:sz w:val="20"/>
          <w:szCs w:val="20"/>
          <w:color w:val="auto"/>
        </w:rPr>
      </w:pPr>
    </w:p>
    <w:tbl>
      <w:tblPr>
        <w:tblLayout w:type="fixed"/>
        <w:tblInd w:w="101" w:type="dxa"/>
        <w:tblCellMar>
          <w:top w:w="0" w:type="dxa"/>
          <w:left w:w="0" w:type="dxa"/>
          <w:bottom w:w="0" w:type="dxa"/>
          <w:right w:w="0" w:type="dxa"/>
        </w:tblCellMar>
      </w:tblPr>
      <w:tr>
        <w:trPr>
          <w:trHeight w:val="181"/>
        </w:trPr>
        <w:tc>
          <w:tcPr>
            <w:tcW w:w="2300" w:type="dxa"/>
            <w:vAlign w:val="bottom"/>
          </w:tcPr>
          <w:p>
            <w:pPr>
              <w:spacing w:after="0"/>
              <w:rPr>
                <w:sz w:val="20"/>
                <w:szCs w:val="20"/>
                <w:color w:val="auto"/>
              </w:rPr>
            </w:pPr>
            <w:r>
              <w:rPr>
                <w:rFonts w:ascii="Courier New" w:cs="Courier New" w:eastAsia="Courier New" w:hAnsi="Courier New"/>
                <w:sz w:val="16"/>
                <w:szCs w:val="16"/>
                <w:color w:val="auto"/>
              </w:rPr>
              <w:t>United States</w:t>
            </w:r>
          </w:p>
        </w:tc>
        <w:tc>
          <w:tcPr>
            <w:tcW w:w="1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   15.0</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   16.7</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   64.0</w:t>
            </w:r>
          </w:p>
        </w:tc>
      </w:tr>
      <w:tr>
        <w:trPr>
          <w:trHeight w:val="185"/>
        </w:trPr>
        <w:tc>
          <w:tcPr>
            <w:tcW w:w="2300" w:type="dxa"/>
            <w:vAlign w:val="bottom"/>
          </w:tcPr>
          <w:p>
            <w:pPr>
              <w:spacing w:after="0"/>
              <w:rPr>
                <w:sz w:val="20"/>
                <w:szCs w:val="20"/>
                <w:color w:val="auto"/>
              </w:rPr>
            </w:pPr>
            <w:r>
              <w:rPr>
                <w:rFonts w:ascii="Courier New" w:cs="Courier New" w:eastAsia="Courier New" w:hAnsi="Courier New"/>
                <w:sz w:val="16"/>
                <w:szCs w:val="16"/>
                <w:color w:val="auto"/>
              </w:rPr>
              <w:t>France</w:t>
            </w:r>
          </w:p>
        </w:tc>
        <w:tc>
          <w:tcPr>
            <w:tcW w:w="1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22.2</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16.9</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33.4</w:t>
            </w:r>
          </w:p>
        </w:tc>
      </w:tr>
      <w:tr>
        <w:trPr>
          <w:trHeight w:val="185"/>
        </w:trPr>
        <w:tc>
          <w:tcPr>
            <w:tcW w:w="2300" w:type="dxa"/>
            <w:vAlign w:val="bottom"/>
          </w:tcPr>
          <w:p>
            <w:pPr>
              <w:spacing w:after="0"/>
              <w:rPr>
                <w:sz w:val="20"/>
                <w:szCs w:val="20"/>
                <w:color w:val="auto"/>
              </w:rPr>
            </w:pPr>
            <w:r>
              <w:rPr>
                <w:rFonts w:ascii="Courier New" w:cs="Courier New" w:eastAsia="Courier New" w:hAnsi="Courier New"/>
                <w:sz w:val="16"/>
                <w:szCs w:val="16"/>
                <w:color w:val="auto"/>
              </w:rPr>
              <w:t>United Kingdom</w:t>
            </w:r>
          </w:p>
        </w:tc>
        <w:tc>
          <w:tcPr>
            <w:tcW w:w="1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9.7</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4.9</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5"/>
        </w:trPr>
        <w:tc>
          <w:tcPr>
            <w:tcW w:w="2300" w:type="dxa"/>
            <w:vAlign w:val="bottom"/>
          </w:tcPr>
          <w:p>
            <w:pPr>
              <w:spacing w:after="0"/>
              <w:rPr>
                <w:sz w:val="20"/>
                <w:szCs w:val="20"/>
                <w:color w:val="auto"/>
              </w:rPr>
            </w:pPr>
            <w:r>
              <w:rPr>
                <w:rFonts w:ascii="Courier New" w:cs="Courier New" w:eastAsia="Courier New" w:hAnsi="Courier New"/>
                <w:sz w:val="16"/>
                <w:szCs w:val="16"/>
                <w:color w:val="auto"/>
              </w:rPr>
              <w:t>Other Europe</w:t>
            </w:r>
          </w:p>
        </w:tc>
        <w:tc>
          <w:tcPr>
            <w:tcW w:w="1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22.2</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27.4</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25.7</w:t>
            </w:r>
          </w:p>
        </w:tc>
      </w:tr>
      <w:tr>
        <w:trPr>
          <w:trHeight w:val="185"/>
        </w:trPr>
        <w:tc>
          <w:tcPr>
            <w:tcW w:w="2300" w:type="dxa"/>
            <w:vAlign w:val="bottom"/>
          </w:tcPr>
          <w:p>
            <w:pPr>
              <w:spacing w:after="0"/>
              <w:rPr>
                <w:sz w:val="20"/>
                <w:szCs w:val="20"/>
                <w:color w:val="auto"/>
              </w:rPr>
            </w:pPr>
            <w:r>
              <w:rPr>
                <w:rFonts w:ascii="Courier New" w:cs="Courier New" w:eastAsia="Courier New" w:hAnsi="Courier New"/>
                <w:sz w:val="16"/>
                <w:szCs w:val="16"/>
                <w:color w:val="auto"/>
              </w:rPr>
              <w:t>Other Countries</w:t>
            </w:r>
          </w:p>
        </w:tc>
        <w:tc>
          <w:tcPr>
            <w:tcW w:w="1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15.0</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10.0</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7.8</w:t>
            </w:r>
          </w:p>
        </w:tc>
      </w:tr>
      <w:tr>
        <w:trPr>
          <w:trHeight w:val="185"/>
        </w:trPr>
        <w:tc>
          <w:tcPr>
            <w:tcW w:w="2300" w:type="dxa"/>
            <w:vAlign w:val="bottom"/>
          </w:tcPr>
          <w:p>
            <w:pPr>
              <w:spacing w:after="0"/>
              <w:rPr>
                <w:sz w:val="20"/>
                <w:szCs w:val="20"/>
                <w:color w:val="auto"/>
              </w:rPr>
            </w:pPr>
            <w:r>
              <w:rPr>
                <w:rFonts w:ascii="Courier New" w:cs="Courier New" w:eastAsia="Courier New" w:hAnsi="Courier New"/>
                <w:sz w:val="16"/>
                <w:szCs w:val="16"/>
                <w:color w:val="auto"/>
              </w:rPr>
              <w:t>Corporate(a)</w:t>
            </w:r>
          </w:p>
        </w:tc>
        <w:tc>
          <w:tcPr>
            <w:tcW w:w="1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1.0</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641" w:hanging="375"/>
        <w:spacing w:after="0"/>
        <w:tabs>
          <w:tab w:leader="none" w:pos="3641"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84.8   $   76.9   $  141.8</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359" w:lineRule="exact"/>
        <w:rPr>
          <w:rFonts w:ascii="Courier New" w:cs="Courier New" w:eastAsia="Courier New" w:hAnsi="Courier New"/>
          <w:sz w:val="16"/>
          <w:szCs w:val="16"/>
          <w:color w:val="auto"/>
        </w:rPr>
      </w:pPr>
    </w:p>
    <w:p>
      <w:pPr>
        <w:ind w:left="1" w:right="2719" w:hanging="1"/>
        <w:spacing w:after="0" w:line="242" w:lineRule="auto"/>
        <w:tabs>
          <w:tab w:leader="none" w:pos="386"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assets include assets that are not used in the operations of any geographical segment.</w:t>
      </w:r>
    </w:p>
    <w:p>
      <w:pPr>
        <w:spacing w:after="0" w:line="187" w:lineRule="exact"/>
        <w:rPr>
          <w:sz w:val="20"/>
          <w:szCs w:val="20"/>
          <w:color w:val="auto"/>
        </w:rPr>
      </w:pPr>
    </w:p>
    <w:p>
      <w:pPr>
        <w:ind w:left="1"/>
        <w:spacing w:after="0"/>
        <w:tabs>
          <w:tab w:leader="none" w:pos="6421" w:val="left"/>
        </w:tabs>
        <w:rPr>
          <w:sz w:val="20"/>
          <w:szCs w:val="20"/>
          <w:color w:val="auto"/>
        </w:rPr>
      </w:pPr>
      <w:r>
        <w:rPr>
          <w:rFonts w:ascii="Courier New" w:cs="Courier New" w:eastAsia="Courier New" w:hAnsi="Courier New"/>
          <w:sz w:val="16"/>
          <w:szCs w:val="16"/>
          <w:color w:val="auto"/>
        </w:rPr>
        <w:t>94</w:t>
      </w:r>
      <w:r>
        <w:rPr>
          <w:sz w:val="20"/>
          <w:szCs w:val="20"/>
          <w:color w:val="auto"/>
        </w:rPr>
        <w:tab/>
      </w:r>
      <w:r>
        <w:rPr>
          <w:rFonts w:ascii="Courier New" w:cs="Courier New" w:eastAsia="Courier New" w:hAnsi="Courier New"/>
          <w:sz w:val="16"/>
          <w:szCs w:val="16"/>
          <w:color w:val="auto"/>
        </w:rPr>
        <w:t>Manpower Inc.</w:t>
      </w:r>
    </w:p>
    <w:p>
      <w:pPr>
        <w:sectPr>
          <w:pgSz w:w="11900" w:h="16838" w:orient="portrait"/>
          <w:cols w:equalWidth="0" w:num="1">
            <w:col w:w="10221"/>
          </w:cols>
          <w:pgMar w:left="239" w:top="300" w:right="1440" w:bottom="1440" w:gutter="0" w:footer="0" w:header="0"/>
        </w:sectPr>
      </w:pPr>
    </w:p>
    <w:bookmarkStart w:id="87" w:name="page88"/>
    <w:bookmarkEnd w:id="87"/>
    <w:p>
      <w:pPr>
        <w:ind w:left="280"/>
        <w:spacing w:after="0"/>
        <w:rPr>
          <w:sz w:val="20"/>
          <w:szCs w:val="20"/>
          <w:color w:val="auto"/>
        </w:rPr>
      </w:pPr>
      <w:r>
        <w:rPr>
          <w:rFonts w:ascii="Courier New" w:cs="Courier New" w:eastAsia="Courier New" w:hAnsi="Courier New"/>
          <w:sz w:val="16"/>
          <w:szCs w:val="16"/>
          <w:color w:val="auto"/>
        </w:rPr>
        <w:t>69</w:t>
      </w:r>
    </w:p>
    <w:p>
      <w:pPr>
        <w:spacing w:after="0" w:line="4"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6"/>
          <w:szCs w:val="16"/>
          <w:color w:val="auto"/>
        </w:rPr>
        <w:t>QUARTERLY DATA (Unaudited)</w:t>
      </w:r>
    </w:p>
    <w:p>
      <w:pPr>
        <w:spacing w:after="0" w:line="4"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6"/>
          <w:szCs w:val="16"/>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620"/>
        <w:spacing w:after="0"/>
        <w:tabs>
          <w:tab w:leader="none" w:pos="6040" w:val="left"/>
          <w:tab w:leader="none" w:pos="7560" w:val="left"/>
          <w:tab w:leader="none" w:pos="9300" w:val="left"/>
        </w:tabs>
        <w:rPr>
          <w:sz w:val="20"/>
          <w:szCs w:val="20"/>
          <w:color w:val="auto"/>
        </w:rPr>
      </w:pPr>
      <w:r>
        <w:rPr>
          <w:rFonts w:ascii="Courier New" w:cs="Courier New" w:eastAsia="Courier New" w:hAnsi="Courier New"/>
          <w:sz w:val="16"/>
          <w:szCs w:val="16"/>
          <w:color w:val="auto"/>
        </w:rPr>
        <w:t>FIRST</w:t>
      </w:r>
      <w:r>
        <w:rPr>
          <w:sz w:val="20"/>
          <w:szCs w:val="20"/>
          <w:color w:val="auto"/>
        </w:rPr>
        <w:tab/>
      </w:r>
      <w:r>
        <w:rPr>
          <w:rFonts w:ascii="Courier New" w:cs="Courier New" w:eastAsia="Courier New" w:hAnsi="Courier New"/>
          <w:sz w:val="16"/>
          <w:szCs w:val="16"/>
          <w:color w:val="auto"/>
        </w:rPr>
        <w:t>SECOND</w:t>
      </w:r>
      <w:r>
        <w:rPr>
          <w:sz w:val="20"/>
          <w:szCs w:val="20"/>
          <w:color w:val="auto"/>
        </w:rPr>
        <w:tab/>
      </w:r>
      <w:r>
        <w:rPr>
          <w:rFonts w:ascii="Courier New" w:cs="Courier New" w:eastAsia="Courier New" w:hAnsi="Courier New"/>
          <w:sz w:val="16"/>
          <w:szCs w:val="16"/>
          <w:color w:val="auto"/>
        </w:rPr>
        <w:t>THIRD</w:t>
      </w:r>
      <w:r>
        <w:rPr>
          <w:sz w:val="20"/>
          <w:szCs w:val="20"/>
          <w:color w:val="auto"/>
        </w:rPr>
        <w:tab/>
      </w:r>
      <w:r>
        <w:rPr>
          <w:rFonts w:ascii="Courier New" w:cs="Courier New" w:eastAsia="Courier New" w:hAnsi="Courier New"/>
          <w:sz w:val="16"/>
          <w:szCs w:val="16"/>
          <w:color w:val="auto"/>
        </w:rPr>
        <w:t>FOURTH</w:t>
      </w:r>
    </w:p>
    <w:p>
      <w:pPr>
        <w:spacing w:after="0" w:line="4" w:lineRule="exact"/>
        <w:rPr>
          <w:sz w:val="20"/>
          <w:szCs w:val="20"/>
          <w:color w:val="auto"/>
        </w:rPr>
      </w:pPr>
    </w:p>
    <w:p>
      <w:pPr>
        <w:ind w:left="4420"/>
        <w:spacing w:after="0"/>
        <w:tabs>
          <w:tab w:leader="none" w:pos="5940" w:val="left"/>
          <w:tab w:leader="none" w:pos="7380" w:val="left"/>
          <w:tab w:leader="none" w:pos="9200" w:val="left"/>
          <w:tab w:leader="none" w:pos="10740" w:val="left"/>
        </w:tabs>
        <w:rPr>
          <w:sz w:val="20"/>
          <w:szCs w:val="20"/>
          <w:color w:val="auto"/>
        </w:rPr>
      </w:pPr>
      <w:r>
        <w:rPr>
          <w:rFonts w:ascii="Courier New" w:cs="Courier New" w:eastAsia="Courier New" w:hAnsi="Courier New"/>
          <w:sz w:val="16"/>
          <w:szCs w:val="16"/>
          <w:color w:val="auto"/>
        </w:rPr>
        <w:t>QUARTER</w:t>
      </w:r>
      <w:r>
        <w:rPr>
          <w:sz w:val="20"/>
          <w:szCs w:val="20"/>
          <w:color w:val="auto"/>
        </w:rPr>
        <w:tab/>
      </w:r>
      <w:r>
        <w:rPr>
          <w:rFonts w:ascii="Courier New" w:cs="Courier New" w:eastAsia="Courier New" w:hAnsi="Courier New"/>
          <w:sz w:val="16"/>
          <w:szCs w:val="16"/>
          <w:color w:val="auto"/>
        </w:rPr>
        <w:t>QUARTER</w:t>
      </w:r>
      <w:r>
        <w:rPr>
          <w:sz w:val="20"/>
          <w:szCs w:val="20"/>
          <w:color w:val="auto"/>
        </w:rPr>
        <w:tab/>
      </w:r>
      <w:r>
        <w:rPr>
          <w:rFonts w:ascii="Courier New" w:cs="Courier New" w:eastAsia="Courier New" w:hAnsi="Courier New"/>
          <w:sz w:val="16"/>
          <w:szCs w:val="16"/>
          <w:color w:val="auto"/>
        </w:rPr>
        <w:t>QUARTER</w:t>
      </w:r>
      <w:r>
        <w:rPr>
          <w:sz w:val="20"/>
          <w:szCs w:val="20"/>
          <w:color w:val="auto"/>
        </w:rPr>
        <w:tab/>
      </w:r>
      <w:r>
        <w:rPr>
          <w:rFonts w:ascii="Courier New" w:cs="Courier New" w:eastAsia="Courier New" w:hAnsi="Courier New"/>
          <w:sz w:val="16"/>
          <w:szCs w:val="16"/>
          <w:color w:val="auto"/>
        </w:rPr>
        <w:t>QUARTER</w:t>
      </w:r>
      <w:r>
        <w:rPr>
          <w:sz w:val="20"/>
          <w:szCs w:val="20"/>
          <w:color w:val="auto"/>
        </w:rPr>
        <w:tab/>
      </w:r>
      <w:r>
        <w:rPr>
          <w:rFonts w:ascii="Courier New" w:cs="Courier New" w:eastAsia="Courier New" w:hAnsi="Courier New"/>
          <w:sz w:val="16"/>
          <w:szCs w:val="16"/>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40" w:type="dxa"/>
            <w:vAlign w:val="bottom"/>
          </w:tcPr>
          <w:p>
            <w:pPr>
              <w:spacing w:after="0"/>
              <w:rPr>
                <w:sz w:val="20"/>
                <w:szCs w:val="20"/>
                <w:color w:val="auto"/>
              </w:rPr>
            </w:pPr>
            <w:r>
              <w:rPr>
                <w:rFonts w:ascii="Courier New" w:cs="Courier New" w:eastAsia="Courier New" w:hAnsi="Courier New"/>
                <w:sz w:val="16"/>
                <w:szCs w:val="16"/>
                <w:color w:val="auto"/>
              </w:rPr>
              <w:t>Year Ended December 31, 2000</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Revenues from services</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2,568.3</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2,714.1</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20"/>
              <w:spacing w:after="0"/>
              <w:rPr>
                <w:sz w:val="20"/>
                <w:szCs w:val="20"/>
                <w:color w:val="auto"/>
              </w:rPr>
            </w:pPr>
            <w:r>
              <w:rPr>
                <w:rFonts w:ascii="Courier New" w:cs="Courier New" w:eastAsia="Courier New" w:hAnsi="Courier New"/>
                <w:sz w:val="16"/>
                <w:szCs w:val="16"/>
                <w:color w:val="auto"/>
                <w:w w:val="95"/>
              </w:rPr>
              <w:t>2,820.9</w:t>
            </w:r>
          </w:p>
        </w:tc>
        <w:tc>
          <w:tcPr>
            <w:tcW w:w="6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2,739.5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10,842.8</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740" w:type="dxa"/>
            <w:vAlign w:val="bottom"/>
          </w:tcPr>
          <w:p>
            <w:pPr>
              <w:spacing w:after="0"/>
              <w:rPr>
                <w:sz w:val="16"/>
                <w:szCs w:val="16"/>
                <w:color w:val="auto"/>
              </w:rPr>
            </w:pPr>
          </w:p>
        </w:tc>
        <w:tc>
          <w:tcPr>
            <w:tcW w:w="10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446.0</w:t>
            </w:r>
          </w:p>
        </w:tc>
        <w:tc>
          <w:tcPr>
            <w:tcW w:w="480" w:type="dxa"/>
            <w:vAlign w:val="bottom"/>
          </w:tcPr>
          <w:p>
            <w:pPr>
              <w:spacing w:after="0"/>
              <w:rPr>
                <w:sz w:val="16"/>
                <w:szCs w:val="16"/>
                <w:color w:val="auto"/>
              </w:rPr>
            </w:pPr>
          </w:p>
        </w:tc>
        <w:tc>
          <w:tcPr>
            <w:tcW w:w="10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477.8</w:t>
            </w:r>
          </w:p>
        </w:tc>
        <w:tc>
          <w:tcPr>
            <w:tcW w:w="440" w:type="dxa"/>
            <w:vAlign w:val="bottom"/>
          </w:tcPr>
          <w:p>
            <w:pPr>
              <w:spacing w:after="0"/>
              <w:rPr>
                <w:sz w:val="16"/>
                <w:szCs w:val="16"/>
                <w:color w:val="auto"/>
              </w:rPr>
            </w:pPr>
          </w:p>
        </w:tc>
        <w:tc>
          <w:tcPr>
            <w:tcW w:w="10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507.4</w:t>
            </w:r>
          </w:p>
        </w:tc>
        <w:tc>
          <w:tcPr>
            <w:tcW w:w="620" w:type="dxa"/>
            <w:vAlign w:val="bottom"/>
          </w:tcPr>
          <w:p>
            <w:pPr>
              <w:spacing w:after="0"/>
              <w:rPr>
                <w:sz w:val="16"/>
                <w:szCs w:val="16"/>
                <w:color w:val="auto"/>
              </w:rPr>
            </w:pP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515.5</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1,946.7</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Net earnings</w:t>
            </w:r>
          </w:p>
        </w:tc>
        <w:tc>
          <w:tcPr>
            <w:tcW w:w="740" w:type="dxa"/>
            <w:vAlign w:val="bottom"/>
          </w:tcPr>
          <w:p>
            <w:pPr>
              <w:spacing w:after="0"/>
              <w:rPr>
                <w:sz w:val="16"/>
                <w:szCs w:val="16"/>
                <w:color w:val="auto"/>
              </w:rPr>
            </w:pPr>
          </w:p>
        </w:tc>
        <w:tc>
          <w:tcPr>
            <w:tcW w:w="10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25.6</w:t>
            </w:r>
          </w:p>
        </w:tc>
        <w:tc>
          <w:tcPr>
            <w:tcW w:w="480" w:type="dxa"/>
            <w:vAlign w:val="bottom"/>
          </w:tcPr>
          <w:p>
            <w:pPr>
              <w:spacing w:after="0"/>
              <w:rPr>
                <w:sz w:val="16"/>
                <w:szCs w:val="16"/>
                <w:color w:val="auto"/>
              </w:rPr>
            </w:pPr>
          </w:p>
        </w:tc>
        <w:tc>
          <w:tcPr>
            <w:tcW w:w="10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38.0</w:t>
            </w:r>
          </w:p>
        </w:tc>
        <w:tc>
          <w:tcPr>
            <w:tcW w:w="440" w:type="dxa"/>
            <w:vAlign w:val="bottom"/>
          </w:tcPr>
          <w:p>
            <w:pPr>
              <w:spacing w:after="0"/>
              <w:rPr>
                <w:sz w:val="16"/>
                <w:szCs w:val="16"/>
                <w:color w:val="auto"/>
              </w:rPr>
            </w:pPr>
          </w:p>
        </w:tc>
        <w:tc>
          <w:tcPr>
            <w:tcW w:w="10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54.1</w:t>
            </w:r>
          </w:p>
        </w:tc>
        <w:tc>
          <w:tcPr>
            <w:tcW w:w="620" w:type="dxa"/>
            <w:vAlign w:val="bottom"/>
          </w:tcPr>
          <w:p>
            <w:pPr>
              <w:spacing w:after="0"/>
              <w:rPr>
                <w:sz w:val="16"/>
                <w:szCs w:val="16"/>
                <w:color w:val="auto"/>
              </w:rPr>
            </w:pP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53.5</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171.2</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Net earnings per share</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.34</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.50</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.71</w:t>
            </w:r>
          </w:p>
        </w:tc>
        <w:tc>
          <w:tcPr>
            <w:tcW w:w="6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2.26</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Net earnings per share - diluted</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.33</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.49</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.70</w:t>
            </w:r>
          </w:p>
        </w:tc>
        <w:tc>
          <w:tcPr>
            <w:tcW w:w="6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2.22</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Dividends per share</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.10</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Market price:</w:t>
            </w:r>
          </w:p>
        </w:tc>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High</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36.81</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39.81</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39.50</w:t>
            </w:r>
          </w:p>
        </w:tc>
        <w:tc>
          <w:tcPr>
            <w:tcW w:w="6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38.75</w:t>
            </w: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Low</w:t>
            </w:r>
          </w:p>
        </w:tc>
        <w:tc>
          <w:tcPr>
            <w:tcW w:w="740" w:type="dxa"/>
            <w:vAlign w:val="bottom"/>
          </w:tcPr>
          <w:p>
            <w:pPr>
              <w:spacing w:after="0"/>
              <w:rPr>
                <w:sz w:val="16"/>
                <w:szCs w:val="16"/>
                <w:color w:val="auto"/>
              </w:rPr>
            </w:pPr>
          </w:p>
        </w:tc>
        <w:tc>
          <w:tcPr>
            <w:tcW w:w="10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26.75</w:t>
            </w:r>
          </w:p>
        </w:tc>
        <w:tc>
          <w:tcPr>
            <w:tcW w:w="480" w:type="dxa"/>
            <w:vAlign w:val="bottom"/>
          </w:tcPr>
          <w:p>
            <w:pPr>
              <w:spacing w:after="0"/>
              <w:rPr>
                <w:sz w:val="16"/>
                <w:szCs w:val="16"/>
                <w:color w:val="auto"/>
              </w:rPr>
            </w:pPr>
          </w:p>
        </w:tc>
        <w:tc>
          <w:tcPr>
            <w:tcW w:w="10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30.63</w:t>
            </w:r>
          </w:p>
        </w:tc>
        <w:tc>
          <w:tcPr>
            <w:tcW w:w="440" w:type="dxa"/>
            <w:vAlign w:val="bottom"/>
          </w:tcPr>
          <w:p>
            <w:pPr>
              <w:spacing w:after="0"/>
              <w:rPr>
                <w:sz w:val="16"/>
                <w:szCs w:val="16"/>
                <w:color w:val="auto"/>
              </w:rPr>
            </w:pPr>
          </w:p>
        </w:tc>
        <w:tc>
          <w:tcPr>
            <w:tcW w:w="10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30.63</w:t>
            </w:r>
          </w:p>
        </w:tc>
        <w:tc>
          <w:tcPr>
            <w:tcW w:w="620" w:type="dxa"/>
            <w:vAlign w:val="bottom"/>
          </w:tcPr>
          <w:p>
            <w:pPr>
              <w:spacing w:after="0"/>
              <w:rPr>
                <w:sz w:val="16"/>
                <w:szCs w:val="16"/>
                <w:color w:val="auto"/>
              </w:rPr>
            </w:pP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28.69</w:t>
            </w: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40" w:type="dxa"/>
            <w:vAlign w:val="bottom"/>
          </w:tcPr>
          <w:p>
            <w:pPr>
              <w:spacing w:after="0"/>
              <w:rPr>
                <w:sz w:val="20"/>
                <w:szCs w:val="20"/>
                <w:color w:val="auto"/>
              </w:rPr>
            </w:pPr>
            <w:r>
              <w:rPr>
                <w:rFonts w:ascii="Courier New" w:cs="Courier New" w:eastAsia="Courier New" w:hAnsi="Courier New"/>
                <w:sz w:val="16"/>
                <w:szCs w:val="16"/>
                <w:color w:val="auto"/>
              </w:rPr>
              <w:t>Year Ended December 31, 1999</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Revenues from services</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2,175.2</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2,327.6</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20"/>
              <w:spacing w:after="0"/>
              <w:rPr>
                <w:sz w:val="20"/>
                <w:szCs w:val="20"/>
                <w:color w:val="auto"/>
              </w:rPr>
            </w:pPr>
            <w:r>
              <w:rPr>
                <w:rFonts w:ascii="Courier New" w:cs="Courier New" w:eastAsia="Courier New" w:hAnsi="Courier New"/>
                <w:sz w:val="16"/>
                <w:szCs w:val="16"/>
                <w:color w:val="auto"/>
                <w:w w:val="95"/>
              </w:rPr>
              <w:t>2,606.8</w:t>
            </w:r>
          </w:p>
        </w:tc>
        <w:tc>
          <w:tcPr>
            <w:tcW w:w="6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2,660.5</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9,770.1</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740" w:type="dxa"/>
            <w:vAlign w:val="bottom"/>
          </w:tcPr>
          <w:p>
            <w:pPr>
              <w:spacing w:after="0"/>
              <w:rPr>
                <w:sz w:val="16"/>
                <w:szCs w:val="16"/>
                <w:color w:val="auto"/>
              </w:rPr>
            </w:pPr>
          </w:p>
        </w:tc>
        <w:tc>
          <w:tcPr>
            <w:tcW w:w="10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380.2</w:t>
            </w:r>
          </w:p>
        </w:tc>
        <w:tc>
          <w:tcPr>
            <w:tcW w:w="480" w:type="dxa"/>
            <w:vAlign w:val="bottom"/>
          </w:tcPr>
          <w:p>
            <w:pPr>
              <w:spacing w:after="0"/>
              <w:rPr>
                <w:sz w:val="16"/>
                <w:szCs w:val="16"/>
                <w:color w:val="auto"/>
              </w:rPr>
            </w:pPr>
          </w:p>
        </w:tc>
        <w:tc>
          <w:tcPr>
            <w:tcW w:w="10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404.7</w:t>
            </w:r>
          </w:p>
        </w:tc>
        <w:tc>
          <w:tcPr>
            <w:tcW w:w="440" w:type="dxa"/>
            <w:vAlign w:val="bottom"/>
          </w:tcPr>
          <w:p>
            <w:pPr>
              <w:spacing w:after="0"/>
              <w:rPr>
                <w:sz w:val="16"/>
                <w:szCs w:val="16"/>
                <w:color w:val="auto"/>
              </w:rPr>
            </w:pPr>
          </w:p>
        </w:tc>
        <w:tc>
          <w:tcPr>
            <w:tcW w:w="10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451.8</w:t>
            </w:r>
          </w:p>
        </w:tc>
        <w:tc>
          <w:tcPr>
            <w:tcW w:w="620" w:type="dxa"/>
            <w:vAlign w:val="bottom"/>
          </w:tcPr>
          <w:p>
            <w:pPr>
              <w:spacing w:after="0"/>
              <w:rPr>
                <w:sz w:val="16"/>
                <w:szCs w:val="16"/>
                <w:color w:val="auto"/>
              </w:rPr>
            </w:pP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468.2</w:t>
            </w: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1,704.9</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Net earnings</w:t>
            </w:r>
          </w:p>
        </w:tc>
        <w:tc>
          <w:tcPr>
            <w:tcW w:w="740" w:type="dxa"/>
            <w:vAlign w:val="bottom"/>
          </w:tcPr>
          <w:p>
            <w:pPr>
              <w:spacing w:after="0"/>
              <w:rPr>
                <w:sz w:val="16"/>
                <w:szCs w:val="16"/>
                <w:color w:val="auto"/>
              </w:rPr>
            </w:pPr>
          </w:p>
        </w:tc>
        <w:tc>
          <w:tcPr>
            <w:tcW w:w="10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20.6</w:t>
            </w:r>
          </w:p>
        </w:tc>
        <w:tc>
          <w:tcPr>
            <w:tcW w:w="480" w:type="dxa"/>
            <w:vAlign w:val="bottom"/>
          </w:tcPr>
          <w:p>
            <w:pPr>
              <w:spacing w:after="0"/>
              <w:rPr>
                <w:sz w:val="16"/>
                <w:szCs w:val="16"/>
                <w:color w:val="auto"/>
              </w:rPr>
            </w:pPr>
          </w:p>
        </w:tc>
        <w:tc>
          <w:tcPr>
            <w:tcW w:w="10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31.8</w:t>
            </w:r>
          </w:p>
        </w:tc>
        <w:tc>
          <w:tcPr>
            <w:tcW w:w="440" w:type="dxa"/>
            <w:vAlign w:val="bottom"/>
          </w:tcPr>
          <w:p>
            <w:pPr>
              <w:spacing w:after="0"/>
              <w:rPr>
                <w:sz w:val="16"/>
                <w:szCs w:val="16"/>
                <w:color w:val="auto"/>
              </w:rPr>
            </w:pPr>
          </w:p>
        </w:tc>
        <w:tc>
          <w:tcPr>
            <w:tcW w:w="10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48.9</w:t>
            </w:r>
          </w:p>
        </w:tc>
        <w:tc>
          <w:tcPr>
            <w:tcW w:w="620" w:type="dxa"/>
            <w:vAlign w:val="bottom"/>
          </w:tcPr>
          <w:p>
            <w:pPr>
              <w:spacing w:after="0"/>
              <w:rPr>
                <w:sz w:val="16"/>
                <w:szCs w:val="16"/>
                <w:color w:val="auto"/>
              </w:rPr>
            </w:pP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48.7</w:t>
            </w: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150.0</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Net earnings per share</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.26</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.41</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.64</w:t>
            </w:r>
          </w:p>
        </w:tc>
        <w:tc>
          <w:tcPr>
            <w:tcW w:w="6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.64</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1.94</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Net earnings per share - diluted</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.26</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.40</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.63</w:t>
            </w:r>
          </w:p>
        </w:tc>
        <w:tc>
          <w:tcPr>
            <w:tcW w:w="6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.63</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1.91</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Dividends per share</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.10</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Market price:</w:t>
            </w:r>
          </w:p>
        </w:tc>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5"/>
        </w:trPr>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High</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28.00</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25.56</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29.94</w:t>
            </w:r>
          </w:p>
        </w:tc>
        <w:tc>
          <w:tcPr>
            <w:tcW w:w="6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38.69</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5"/>
        </w:trPr>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Low</w:t>
            </w:r>
          </w:p>
        </w:tc>
        <w:tc>
          <w:tcPr>
            <w:tcW w:w="740" w:type="dxa"/>
            <w:vAlign w:val="bottom"/>
          </w:tcPr>
          <w:p>
            <w:pPr>
              <w:spacing w:after="0"/>
              <w:rPr>
                <w:sz w:val="16"/>
                <w:szCs w:val="16"/>
                <w:color w:val="auto"/>
              </w:rPr>
            </w:pPr>
          </w:p>
        </w:tc>
        <w:tc>
          <w:tcPr>
            <w:tcW w:w="10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22.25</w:t>
            </w:r>
          </w:p>
        </w:tc>
        <w:tc>
          <w:tcPr>
            <w:tcW w:w="480" w:type="dxa"/>
            <w:vAlign w:val="bottom"/>
          </w:tcPr>
          <w:p>
            <w:pPr>
              <w:spacing w:after="0"/>
              <w:rPr>
                <w:sz w:val="16"/>
                <w:szCs w:val="16"/>
                <w:color w:val="auto"/>
              </w:rPr>
            </w:pPr>
          </w:p>
        </w:tc>
        <w:tc>
          <w:tcPr>
            <w:tcW w:w="10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21.00</w:t>
            </w:r>
          </w:p>
        </w:tc>
        <w:tc>
          <w:tcPr>
            <w:tcW w:w="440" w:type="dxa"/>
            <w:vAlign w:val="bottom"/>
          </w:tcPr>
          <w:p>
            <w:pPr>
              <w:spacing w:after="0"/>
              <w:rPr>
                <w:sz w:val="16"/>
                <w:szCs w:val="16"/>
                <w:color w:val="auto"/>
              </w:rPr>
            </w:pPr>
          </w:p>
        </w:tc>
        <w:tc>
          <w:tcPr>
            <w:tcW w:w="10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21.19</w:t>
            </w:r>
          </w:p>
        </w:tc>
        <w:tc>
          <w:tcPr>
            <w:tcW w:w="620" w:type="dxa"/>
            <w:vAlign w:val="bottom"/>
          </w:tcPr>
          <w:p>
            <w:pPr>
              <w:spacing w:after="0"/>
              <w:rPr>
                <w:sz w:val="16"/>
                <w:szCs w:val="16"/>
                <w:color w:val="auto"/>
              </w:rPr>
            </w:pP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28.44</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80" w:type="dxa"/>
            <w:vAlign w:val="bottom"/>
          </w:tcPr>
          <w:p>
            <w:pPr>
              <w:spacing w:after="0"/>
              <w:rPr>
                <w:sz w:val="20"/>
                <w:szCs w:val="20"/>
                <w:color w:val="auto"/>
              </w:rPr>
            </w:pPr>
            <w:r>
              <w:rPr>
                <w:rFonts w:ascii="Courier New" w:cs="Courier New" w:eastAsia="Courier New" w:hAnsi="Courier New"/>
                <w:sz w:val="16"/>
                <w:szCs w:val="16"/>
                <w:color w:val="auto"/>
              </w:rPr>
              <w:t>Manpower Inc.</w:t>
            </w:r>
          </w:p>
        </w:tc>
        <w:tc>
          <w:tcPr>
            <w:tcW w:w="3300" w:type="dxa"/>
            <w:vAlign w:val="bottom"/>
          </w:tcPr>
          <w:p>
            <w:pPr>
              <w:jc w:val="right"/>
              <w:spacing w:after="0"/>
              <w:rPr>
                <w:sz w:val="20"/>
                <w:szCs w:val="20"/>
                <w:color w:val="auto"/>
              </w:rPr>
            </w:pPr>
            <w:r>
              <w:rPr>
                <w:rFonts w:ascii="Courier New" w:cs="Courier New" w:eastAsia="Courier New" w:hAnsi="Courier New"/>
                <w:sz w:val="16"/>
                <w:szCs w:val="16"/>
                <w:color w:val="auto"/>
              </w:rPr>
              <w:t>95</w:t>
            </w:r>
          </w:p>
        </w:tc>
      </w:tr>
    </w:tbl>
    <w:p>
      <w:pPr>
        <w:sectPr>
          <w:pgSz w:w="11900" w:h="16838" w:orient="portrait"/>
          <w:cols w:equalWidth="0" w:num="1">
            <w:col w:w="11520"/>
          </w:cols>
          <w:pgMar w:left="240" w:top="300" w:right="139" w:bottom="1440" w:gutter="0" w:footer="0" w:header="0"/>
        </w:sectPr>
      </w:pPr>
    </w:p>
    <w:bookmarkStart w:id="88" w:name="page89"/>
    <w:bookmarkEnd w:id="88"/>
    <w:p>
      <w:pPr>
        <w:ind w:left="280"/>
        <w:spacing w:after="0"/>
        <w:rPr>
          <w:sz w:val="20"/>
          <w:szCs w:val="20"/>
          <w:color w:val="auto"/>
        </w:rPr>
      </w:pPr>
      <w:r>
        <w:rPr>
          <w:rFonts w:ascii="Courier New" w:cs="Courier New" w:eastAsia="Courier New" w:hAnsi="Courier New"/>
          <w:sz w:val="16"/>
          <w:szCs w:val="16"/>
          <w:color w:val="auto"/>
        </w:rPr>
        <w:t>70</w:t>
      </w:r>
    </w:p>
    <w:p>
      <w:pPr>
        <w:spacing w:after="0" w:line="18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SELECTED FINANCIAL DATA</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120" w:type="dxa"/>
            <w:vAlign w:val="bottom"/>
          </w:tcPr>
          <w:p>
            <w:pPr>
              <w:spacing w:after="0"/>
              <w:rPr>
                <w:sz w:val="15"/>
                <w:szCs w:val="15"/>
                <w:color w:val="auto"/>
              </w:rPr>
            </w:pPr>
          </w:p>
        </w:tc>
        <w:tc>
          <w:tcPr>
            <w:tcW w:w="4120" w:type="dxa"/>
            <w:vAlign w:val="bottom"/>
            <w:gridSpan w:val="2"/>
          </w:tcPr>
          <w:p>
            <w:pPr>
              <w:jc w:val="right"/>
              <w:ind w:right="580"/>
              <w:spacing w:after="0"/>
              <w:rPr>
                <w:sz w:val="20"/>
                <w:szCs w:val="20"/>
                <w:color w:val="auto"/>
              </w:rPr>
            </w:pPr>
            <w:r>
              <w:rPr>
                <w:rFonts w:ascii="Courier New" w:cs="Courier New" w:eastAsia="Courier New" w:hAnsi="Courier New"/>
                <w:sz w:val="16"/>
                <w:szCs w:val="16"/>
                <w:color w:val="auto"/>
                <w:w w:val="99"/>
              </w:rPr>
              <w:t>(in millions, except per share data)</w:t>
            </w: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924"/>
        </w:trPr>
        <w:tc>
          <w:tcPr>
            <w:tcW w:w="2120" w:type="dxa"/>
            <w:vAlign w:val="bottom"/>
          </w:tcPr>
          <w:p>
            <w:pPr>
              <w:spacing w:after="0"/>
              <w:rPr>
                <w:sz w:val="20"/>
                <w:szCs w:val="20"/>
                <w:color w:val="auto"/>
              </w:rPr>
            </w:pPr>
            <w:r>
              <w:rPr>
                <w:rFonts w:ascii="Courier New" w:cs="Courier New" w:eastAsia="Courier New" w:hAnsi="Courier New"/>
                <w:sz w:val="16"/>
                <w:szCs w:val="16"/>
                <w:color w:val="auto"/>
                <w:w w:val="99"/>
              </w:rPr>
              <w:t>YEAR ENDED DECEMBER 31</w:t>
            </w:r>
          </w:p>
        </w:tc>
        <w:tc>
          <w:tcPr>
            <w:tcW w:w="29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2000</w:t>
            </w:r>
          </w:p>
        </w:tc>
        <w:tc>
          <w:tcPr>
            <w:tcW w:w="12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1999</w:t>
            </w:r>
          </w:p>
        </w:tc>
        <w:tc>
          <w:tcPr>
            <w:tcW w:w="12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1998</w:t>
            </w:r>
          </w:p>
        </w:tc>
        <w:tc>
          <w:tcPr>
            <w:tcW w:w="12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1997</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00" w:type="dxa"/>
            <w:vAlign w:val="bottom"/>
          </w:tcPr>
          <w:p>
            <w:pPr>
              <w:spacing w:after="0"/>
              <w:rPr>
                <w:sz w:val="20"/>
                <w:szCs w:val="20"/>
                <w:color w:val="auto"/>
              </w:rPr>
            </w:pPr>
            <w:r>
              <w:rPr>
                <w:rFonts w:ascii="Courier New" w:cs="Courier New" w:eastAsia="Courier New" w:hAnsi="Courier New"/>
                <w:sz w:val="16"/>
                <w:szCs w:val="16"/>
                <w:color w:val="auto"/>
              </w:rPr>
              <w:t>Operations Data:</w:t>
            </w:r>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5"/>
        </w:trPr>
        <w:tc>
          <w:tcPr>
            <w:tcW w:w="3500" w:type="dxa"/>
            <w:vAlign w:val="bottom"/>
          </w:tcPr>
          <w:p>
            <w:pPr>
              <w:ind w:left="100"/>
              <w:spacing w:after="0"/>
              <w:rPr>
                <w:sz w:val="20"/>
                <w:szCs w:val="20"/>
                <w:color w:val="auto"/>
              </w:rPr>
            </w:pPr>
            <w:r>
              <w:rPr>
                <w:rFonts w:ascii="Courier New" w:cs="Courier New" w:eastAsia="Courier New" w:hAnsi="Courier New"/>
                <w:sz w:val="16"/>
                <w:szCs w:val="16"/>
                <w:color w:val="auto"/>
              </w:rPr>
              <w:t>Revenues from services</w:t>
            </w: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$ 10,842.8</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9,770.1</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8,814.3</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7,258.5</w:t>
            </w:r>
          </w:p>
        </w:tc>
        <w:tc>
          <w:tcPr>
            <w:tcW w:w="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6,079.9</w:t>
            </w:r>
          </w:p>
        </w:tc>
      </w:tr>
      <w:tr>
        <w:trPr>
          <w:trHeight w:val="185"/>
        </w:trPr>
        <w:tc>
          <w:tcPr>
            <w:tcW w:w="3500" w:type="dxa"/>
            <w:vAlign w:val="bottom"/>
          </w:tcPr>
          <w:p>
            <w:pPr>
              <w:ind w:left="100"/>
              <w:spacing w:after="0"/>
              <w:rPr>
                <w:sz w:val="20"/>
                <w:szCs w:val="20"/>
                <w:color w:val="auto"/>
              </w:rPr>
            </w:pPr>
            <w:r>
              <w:rPr>
                <w:rFonts w:ascii="Courier New" w:cs="Courier New" w:eastAsia="Courier New" w:hAnsi="Courier New"/>
                <w:sz w:val="16"/>
                <w:szCs w:val="16"/>
                <w:color w:val="auto"/>
              </w:rPr>
              <w:t>Gross profit</w:t>
            </w: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1,946.7</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1,704.9</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1,503.0</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1,310.2</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1,148.0</w:t>
            </w:r>
          </w:p>
        </w:tc>
      </w:tr>
      <w:tr>
        <w:trPr>
          <w:trHeight w:val="185"/>
        </w:trPr>
        <w:tc>
          <w:tcPr>
            <w:tcW w:w="3500" w:type="dxa"/>
            <w:vAlign w:val="bottom"/>
          </w:tcPr>
          <w:p>
            <w:pPr>
              <w:ind w:left="100"/>
              <w:spacing w:after="0"/>
              <w:rPr>
                <w:sz w:val="20"/>
                <w:szCs w:val="20"/>
                <w:color w:val="auto"/>
              </w:rPr>
            </w:pPr>
            <w:r>
              <w:rPr>
                <w:rFonts w:ascii="Courier New" w:cs="Courier New" w:eastAsia="Courier New" w:hAnsi="Courier New"/>
                <w:sz w:val="16"/>
                <w:szCs w:val="16"/>
                <w:color w:val="auto"/>
              </w:rPr>
              <w:t>Write-down of capitalized software</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(92.1)</w:t>
            </w: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3500" w:type="dxa"/>
            <w:vAlign w:val="bottom"/>
          </w:tcPr>
          <w:p>
            <w:pPr>
              <w:ind w:left="100"/>
              <w:spacing w:after="0"/>
              <w:rPr>
                <w:sz w:val="20"/>
                <w:szCs w:val="20"/>
                <w:color w:val="auto"/>
              </w:rPr>
            </w:pPr>
            <w:r>
              <w:rPr>
                <w:rFonts w:ascii="Courier New" w:cs="Courier New" w:eastAsia="Courier New" w:hAnsi="Courier New"/>
                <w:sz w:val="16"/>
                <w:szCs w:val="16"/>
                <w:color w:val="auto"/>
              </w:rPr>
              <w:t>Operating profit</w:t>
            </w: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311.0</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230.6</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130.4</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255.4</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227.0</w:t>
            </w:r>
          </w:p>
        </w:tc>
      </w:tr>
      <w:tr>
        <w:trPr>
          <w:trHeight w:val="185"/>
        </w:trPr>
        <w:tc>
          <w:tcPr>
            <w:tcW w:w="3500" w:type="dxa"/>
            <w:vAlign w:val="bottom"/>
          </w:tcPr>
          <w:p>
            <w:pPr>
              <w:ind w:left="100"/>
              <w:spacing w:after="0"/>
              <w:rPr>
                <w:sz w:val="20"/>
                <w:szCs w:val="20"/>
                <w:color w:val="auto"/>
              </w:rPr>
            </w:pPr>
            <w:r>
              <w:rPr>
                <w:rFonts w:ascii="Courier New" w:cs="Courier New" w:eastAsia="Courier New" w:hAnsi="Courier New"/>
                <w:sz w:val="16"/>
                <w:szCs w:val="16"/>
                <w:color w:val="auto"/>
              </w:rPr>
              <w:t>Net earnings</w:t>
            </w: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171.2</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150.0</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75.7</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163.9</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162.3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920" w:type="dxa"/>
            <w:vAlign w:val="bottom"/>
            <w:gridSpan w:val="2"/>
          </w:tcPr>
          <w:p>
            <w:pPr>
              <w:spacing w:after="0"/>
              <w:rPr>
                <w:sz w:val="20"/>
                <w:szCs w:val="20"/>
                <w:color w:val="auto"/>
              </w:rPr>
            </w:pPr>
            <w:r>
              <w:rPr>
                <w:rFonts w:ascii="Courier New" w:cs="Courier New" w:eastAsia="Courier New" w:hAnsi="Courier New"/>
                <w:sz w:val="16"/>
                <w:szCs w:val="16"/>
                <w:color w:val="auto"/>
              </w:rPr>
              <w:t>Per Share Data:</w:t>
            </w: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5"/>
        </w:trPr>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Net</w:t>
            </w:r>
          </w:p>
        </w:tc>
        <w:tc>
          <w:tcPr>
            <w:tcW w:w="2480" w:type="dxa"/>
            <w:vAlign w:val="bottom"/>
          </w:tcPr>
          <w:p>
            <w:pPr>
              <w:ind w:left="40"/>
              <w:spacing w:after="0"/>
              <w:rPr>
                <w:sz w:val="20"/>
                <w:szCs w:val="20"/>
                <w:color w:val="auto"/>
              </w:rPr>
            </w:pPr>
            <w:r>
              <w:rPr>
                <w:rFonts w:ascii="Courier New" w:cs="Courier New" w:eastAsia="Courier New" w:hAnsi="Courier New"/>
                <w:sz w:val="16"/>
                <w:szCs w:val="16"/>
                <w:color w:val="auto"/>
              </w:rPr>
              <w:t>earnings</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2.26</w:t>
            </w:r>
          </w:p>
        </w:tc>
        <w:tc>
          <w:tcPr>
            <w:tcW w:w="4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1.94</w:t>
            </w:r>
          </w:p>
        </w:tc>
        <w:tc>
          <w:tcPr>
            <w:tcW w:w="4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.94</w:t>
            </w:r>
          </w:p>
        </w:tc>
        <w:tc>
          <w:tcPr>
            <w:tcW w:w="4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2.01</w:t>
            </w:r>
          </w:p>
        </w:tc>
        <w:tc>
          <w:tcPr>
            <w:tcW w:w="4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1.98</w:t>
            </w:r>
          </w:p>
        </w:tc>
      </w:tr>
      <w:tr>
        <w:trPr>
          <w:trHeight w:val="185"/>
        </w:trPr>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Net</w:t>
            </w:r>
          </w:p>
        </w:tc>
        <w:tc>
          <w:tcPr>
            <w:tcW w:w="2480" w:type="dxa"/>
            <w:vAlign w:val="bottom"/>
          </w:tcPr>
          <w:p>
            <w:pPr>
              <w:ind w:left="40"/>
              <w:spacing w:after="0"/>
              <w:rPr>
                <w:sz w:val="20"/>
                <w:szCs w:val="20"/>
                <w:color w:val="auto"/>
              </w:rPr>
            </w:pPr>
            <w:r>
              <w:rPr>
                <w:rFonts w:ascii="Courier New" w:cs="Courier New" w:eastAsia="Courier New" w:hAnsi="Courier New"/>
                <w:sz w:val="16"/>
                <w:szCs w:val="16"/>
                <w:color w:val="auto"/>
              </w:rPr>
              <w:t>earnings - diluted</w:t>
            </w:r>
          </w:p>
        </w:tc>
        <w:tc>
          <w:tcPr>
            <w:tcW w:w="1060" w:type="dxa"/>
            <w:vAlign w:val="bottom"/>
          </w:tcPr>
          <w:p>
            <w:pPr>
              <w:spacing w:after="0"/>
              <w:rPr>
                <w:sz w:val="16"/>
                <w:szCs w:val="16"/>
                <w:color w:val="auto"/>
              </w:rPr>
            </w:pPr>
          </w:p>
        </w:tc>
        <w:tc>
          <w:tcPr>
            <w:tcW w:w="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2.22</w:t>
            </w:r>
          </w:p>
        </w:tc>
        <w:tc>
          <w:tcPr>
            <w:tcW w:w="480" w:type="dxa"/>
            <w:vAlign w:val="bottom"/>
          </w:tcPr>
          <w:p>
            <w:pPr>
              <w:spacing w:after="0"/>
              <w:rPr>
                <w:sz w:val="16"/>
                <w:szCs w:val="16"/>
                <w:color w:val="auto"/>
              </w:rPr>
            </w:pP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1.91</w:t>
            </w:r>
          </w:p>
        </w:tc>
        <w:tc>
          <w:tcPr>
            <w:tcW w:w="48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.93</w:t>
            </w:r>
          </w:p>
        </w:tc>
        <w:tc>
          <w:tcPr>
            <w:tcW w:w="480" w:type="dxa"/>
            <w:vAlign w:val="bottom"/>
          </w:tcPr>
          <w:p>
            <w:pPr>
              <w:spacing w:after="0"/>
              <w:rPr>
                <w:sz w:val="16"/>
                <w:szCs w:val="16"/>
                <w:color w:val="auto"/>
              </w:rPr>
            </w:pP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1.97</w:t>
            </w:r>
          </w:p>
        </w:tc>
        <w:tc>
          <w:tcPr>
            <w:tcW w:w="4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1.94</w:t>
            </w:r>
          </w:p>
        </w:tc>
      </w:tr>
      <w:tr>
        <w:trPr>
          <w:trHeight w:val="185"/>
        </w:trPr>
        <w:tc>
          <w:tcPr>
            <w:tcW w:w="29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Dividends</w:t>
            </w:r>
          </w:p>
        </w:tc>
        <w:tc>
          <w:tcPr>
            <w:tcW w:w="1060" w:type="dxa"/>
            <w:vAlign w:val="bottom"/>
          </w:tcPr>
          <w:p>
            <w:pPr>
              <w:spacing w:after="0"/>
              <w:rPr>
                <w:sz w:val="16"/>
                <w:szCs w:val="16"/>
                <w:color w:val="auto"/>
              </w:rPr>
            </w:pPr>
          </w:p>
        </w:tc>
        <w:tc>
          <w:tcPr>
            <w:tcW w:w="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.20</w:t>
            </w:r>
          </w:p>
        </w:tc>
        <w:tc>
          <w:tcPr>
            <w:tcW w:w="480" w:type="dxa"/>
            <w:vAlign w:val="bottom"/>
          </w:tcPr>
          <w:p>
            <w:pPr>
              <w:spacing w:after="0"/>
              <w:rPr>
                <w:sz w:val="16"/>
                <w:szCs w:val="16"/>
                <w:color w:val="auto"/>
              </w:rPr>
            </w:pP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w:t>
            </w:r>
          </w:p>
        </w:tc>
        <w:tc>
          <w:tcPr>
            <w:tcW w:w="48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.19</w:t>
            </w:r>
          </w:p>
        </w:tc>
        <w:tc>
          <w:tcPr>
            <w:tcW w:w="480" w:type="dxa"/>
            <w:vAlign w:val="bottom"/>
          </w:tcPr>
          <w:p>
            <w:pPr>
              <w:spacing w:after="0"/>
              <w:rPr>
                <w:sz w:val="16"/>
                <w:szCs w:val="16"/>
                <w:color w:val="auto"/>
              </w:rPr>
            </w:pP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w:t>
            </w:r>
          </w:p>
        </w:tc>
        <w:tc>
          <w:tcPr>
            <w:tcW w:w="4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4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2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5"/>
        </w:trPr>
        <w:tc>
          <w:tcPr>
            <w:tcW w:w="2740" w:type="dxa"/>
            <w:vAlign w:val="bottom"/>
          </w:tcPr>
          <w:p>
            <w:pPr>
              <w:ind w:left="100"/>
              <w:spacing w:after="0"/>
              <w:rPr>
                <w:sz w:val="20"/>
                <w:szCs w:val="20"/>
                <w:color w:val="auto"/>
              </w:rPr>
            </w:pPr>
            <w:r>
              <w:rPr>
                <w:rFonts w:ascii="Courier New" w:cs="Courier New" w:eastAsia="Courier New" w:hAnsi="Courier New"/>
                <w:sz w:val="16"/>
                <w:szCs w:val="16"/>
                <w:color w:val="auto"/>
              </w:rPr>
              <w:t>Total assets</w:t>
            </w:r>
          </w:p>
        </w:tc>
        <w:tc>
          <w:tcPr>
            <w:tcW w:w="20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  3,041.6</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2,718.7</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  2,391.7</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2,047.0</w:t>
            </w:r>
          </w:p>
        </w:tc>
        <w:tc>
          <w:tcPr>
            <w:tcW w:w="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1,752.3</w:t>
            </w:r>
          </w:p>
        </w:tc>
      </w:tr>
      <w:tr>
        <w:trPr>
          <w:trHeight w:val="185"/>
        </w:trPr>
        <w:tc>
          <w:tcPr>
            <w:tcW w:w="2740" w:type="dxa"/>
            <w:vAlign w:val="bottom"/>
          </w:tcPr>
          <w:p>
            <w:pPr>
              <w:ind w:left="100"/>
              <w:spacing w:after="0"/>
              <w:rPr>
                <w:sz w:val="20"/>
                <w:szCs w:val="20"/>
                <w:color w:val="auto"/>
              </w:rPr>
            </w:pPr>
            <w:r>
              <w:rPr>
                <w:rFonts w:ascii="Courier New" w:cs="Courier New" w:eastAsia="Courier New" w:hAnsi="Courier New"/>
                <w:sz w:val="16"/>
                <w:szCs w:val="16"/>
                <w:color w:val="auto"/>
              </w:rPr>
              <w:t>Long-term debt</w:t>
            </w:r>
          </w:p>
        </w:tc>
        <w:tc>
          <w:tcPr>
            <w:tcW w:w="20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491.6</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357.5</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154.6</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189.8</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100.8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919"/>
        <w:spacing w:after="0" w:line="242" w:lineRule="auto"/>
        <w:rPr>
          <w:sz w:val="20"/>
          <w:szCs w:val="20"/>
          <w:color w:val="auto"/>
        </w:rPr>
      </w:pPr>
      <w:r>
        <w:rPr>
          <w:rFonts w:ascii="Courier New" w:cs="Courier New" w:eastAsia="Courier New" w:hAnsi="Courier New"/>
          <w:sz w:val="16"/>
          <w:szCs w:val="16"/>
          <w:color w:val="auto"/>
        </w:rPr>
        <w:t>The Notes to Consolidated Financial Statements should be read in conjunction with the above summary.</w:t>
      </w:r>
    </w:p>
    <w:p>
      <w:pPr>
        <w:spacing w:after="0" w:line="187" w:lineRule="exact"/>
        <w:rPr>
          <w:sz w:val="20"/>
          <w:szCs w:val="20"/>
          <w:color w:val="auto"/>
        </w:rPr>
      </w:pPr>
    </w:p>
    <w:p>
      <w:pPr>
        <w:spacing w:after="0"/>
        <w:tabs>
          <w:tab w:leader="none" w:pos="6420" w:val="left"/>
        </w:tabs>
        <w:rPr>
          <w:sz w:val="20"/>
          <w:szCs w:val="20"/>
          <w:color w:val="auto"/>
        </w:rPr>
      </w:pPr>
      <w:r>
        <w:rPr>
          <w:rFonts w:ascii="Courier New" w:cs="Courier New" w:eastAsia="Courier New" w:hAnsi="Courier New"/>
          <w:sz w:val="16"/>
          <w:szCs w:val="16"/>
          <w:color w:val="auto"/>
        </w:rPr>
        <w:t>96</w:t>
      </w:r>
      <w:r>
        <w:rPr>
          <w:sz w:val="20"/>
          <w:szCs w:val="20"/>
          <w:color w:val="auto"/>
        </w:rPr>
        <w:tab/>
      </w:r>
      <w:r>
        <w:rPr>
          <w:rFonts w:ascii="Courier New" w:cs="Courier New" w:eastAsia="Courier New" w:hAnsi="Courier New"/>
          <w:sz w:val="16"/>
          <w:szCs w:val="16"/>
          <w:color w:val="auto"/>
        </w:rPr>
        <w:t>Manpower Inc.</w:t>
      </w:r>
    </w:p>
    <w:p>
      <w:pPr>
        <w:sectPr>
          <w:pgSz w:w="11900" w:h="16838" w:orient="portrait"/>
          <w:cols w:equalWidth="0" w:num="1">
            <w:col w:w="10219"/>
          </w:cols>
          <w:pgMar w:left="240" w:top="300" w:right="1440" w:bottom="1440" w:gutter="0" w:footer="0" w:header="0"/>
        </w:sectPr>
      </w:pPr>
    </w:p>
    <w:bookmarkStart w:id="89" w:name="page90"/>
    <w:bookmarkEnd w:id="89"/>
    <w:p>
      <w:pPr>
        <w:ind w:left="280"/>
        <w:spacing w:after="0"/>
        <w:rPr>
          <w:sz w:val="20"/>
          <w:szCs w:val="20"/>
          <w:color w:val="auto"/>
        </w:rPr>
      </w:pPr>
      <w:r>
        <w:rPr>
          <w:rFonts w:ascii="Courier New" w:cs="Courier New" w:eastAsia="Courier New" w:hAnsi="Courier New"/>
          <w:sz w:val="16"/>
          <w:szCs w:val="16"/>
          <w:color w:val="auto"/>
        </w:rPr>
        <w:t>71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40" w:type="dxa"/>
            <w:vAlign w:val="bottom"/>
          </w:tcPr>
          <w:p>
            <w:pPr>
              <w:spacing w:after="0"/>
              <w:rPr>
                <w:sz w:val="15"/>
                <w:szCs w:val="15"/>
                <w:color w:val="auto"/>
              </w:rPr>
            </w:pPr>
          </w:p>
        </w:tc>
        <w:tc>
          <w:tcPr>
            <w:tcW w:w="5860" w:type="dxa"/>
            <w:vAlign w:val="bottom"/>
            <w:gridSpan w:val="2"/>
          </w:tcPr>
          <w:p>
            <w:pPr>
              <w:ind w:left="1440"/>
              <w:spacing w:after="0"/>
              <w:rPr>
                <w:sz w:val="20"/>
                <w:szCs w:val="20"/>
                <w:color w:val="auto"/>
              </w:rPr>
            </w:pPr>
            <w:r>
              <w:rPr>
                <w:rFonts w:ascii="Courier New" w:cs="Courier New" w:eastAsia="Courier New" w:hAnsi="Courier New"/>
                <w:sz w:val="16"/>
                <w:szCs w:val="16"/>
                <w:color w:val="auto"/>
              </w:rPr>
              <w:t>Corporate Information</w:t>
            </w:r>
          </w:p>
        </w:tc>
        <w:tc>
          <w:tcPr>
            <w:tcW w:w="3840" w:type="dxa"/>
            <w:vAlign w:val="bottom"/>
          </w:tcPr>
          <w:p>
            <w:pPr>
              <w:spacing w:after="0"/>
              <w:rPr>
                <w:sz w:val="15"/>
                <w:szCs w:val="15"/>
                <w:color w:val="auto"/>
              </w:rPr>
            </w:pPr>
          </w:p>
        </w:tc>
      </w:tr>
      <w:tr>
        <w:trPr>
          <w:trHeight w:val="739"/>
        </w:trPr>
        <w:tc>
          <w:tcPr>
            <w:tcW w:w="3400" w:type="dxa"/>
            <w:vAlign w:val="bottom"/>
            <w:gridSpan w:val="2"/>
          </w:tcPr>
          <w:p>
            <w:pPr>
              <w:spacing w:after="0"/>
              <w:rPr>
                <w:sz w:val="20"/>
                <w:szCs w:val="20"/>
                <w:color w:val="auto"/>
              </w:rPr>
            </w:pPr>
            <w:r>
              <w:rPr>
                <w:rFonts w:ascii="Courier New" w:cs="Courier New" w:eastAsia="Courier New" w:hAnsi="Courier New"/>
                <w:sz w:val="16"/>
                <w:szCs w:val="16"/>
                <w:color w:val="auto"/>
              </w:rPr>
              <w:t>World Headquarters</w:t>
            </w:r>
          </w:p>
        </w:tc>
        <w:tc>
          <w:tcPr>
            <w:tcW w:w="3900" w:type="dxa"/>
            <w:vAlign w:val="bottom"/>
          </w:tcPr>
          <w:p>
            <w:pPr>
              <w:ind w:left="340"/>
              <w:spacing w:after="0"/>
              <w:rPr>
                <w:sz w:val="20"/>
                <w:szCs w:val="20"/>
                <w:color w:val="auto"/>
              </w:rPr>
            </w:pPr>
            <w:r>
              <w:rPr>
                <w:rFonts w:ascii="Courier New" w:cs="Courier New" w:eastAsia="Courier New" w:hAnsi="Courier New"/>
                <w:sz w:val="16"/>
                <w:szCs w:val="16"/>
                <w:color w:val="auto"/>
              </w:rPr>
              <w:t>Directors</w:t>
            </w:r>
          </w:p>
        </w:tc>
        <w:tc>
          <w:tcPr>
            <w:tcW w:w="3840" w:type="dxa"/>
            <w:vAlign w:val="bottom"/>
          </w:tcPr>
          <w:p>
            <w:pPr>
              <w:ind w:left="480"/>
              <w:spacing w:after="0"/>
              <w:rPr>
                <w:sz w:val="20"/>
                <w:szCs w:val="20"/>
                <w:color w:val="auto"/>
              </w:rPr>
            </w:pPr>
            <w:r>
              <w:rPr>
                <w:rFonts w:ascii="Courier New" w:cs="Courier New" w:eastAsia="Courier New" w:hAnsi="Courier New"/>
                <w:sz w:val="16"/>
                <w:szCs w:val="16"/>
                <w:color w:val="auto"/>
              </w:rPr>
              <w:t>Officers</w:t>
            </w:r>
          </w:p>
        </w:tc>
      </w:tr>
      <w:tr>
        <w:trPr>
          <w:trHeight w:val="370"/>
        </w:trPr>
        <w:tc>
          <w:tcPr>
            <w:tcW w:w="1440" w:type="dxa"/>
            <w:vAlign w:val="bottom"/>
          </w:tcPr>
          <w:p>
            <w:pPr>
              <w:spacing w:after="0"/>
              <w:rPr>
                <w:sz w:val="20"/>
                <w:szCs w:val="20"/>
                <w:color w:val="auto"/>
              </w:rPr>
            </w:pPr>
            <w:r>
              <w:rPr>
                <w:rFonts w:ascii="Courier New" w:cs="Courier New" w:eastAsia="Courier New" w:hAnsi="Courier New"/>
                <w:sz w:val="16"/>
                <w:szCs w:val="16"/>
                <w:color w:val="auto"/>
              </w:rPr>
              <w:t>P.O. Box 2053</w:t>
            </w:r>
          </w:p>
        </w:tc>
        <w:tc>
          <w:tcPr>
            <w:tcW w:w="1960" w:type="dxa"/>
            <w:vAlign w:val="bottom"/>
          </w:tcPr>
          <w:p>
            <w:pPr>
              <w:spacing w:after="0"/>
              <w:rPr>
                <w:sz w:val="24"/>
                <w:szCs w:val="24"/>
                <w:color w:val="auto"/>
              </w:rPr>
            </w:pPr>
          </w:p>
        </w:tc>
        <w:tc>
          <w:tcPr>
            <w:tcW w:w="3900" w:type="dxa"/>
            <w:vAlign w:val="bottom"/>
          </w:tcPr>
          <w:p>
            <w:pPr>
              <w:ind w:left="340"/>
              <w:spacing w:after="0"/>
              <w:rPr>
                <w:sz w:val="20"/>
                <w:szCs w:val="20"/>
                <w:color w:val="auto"/>
              </w:rPr>
            </w:pPr>
            <w:r>
              <w:rPr>
                <w:rFonts w:ascii="Courier New" w:cs="Courier New" w:eastAsia="Courier New" w:hAnsi="Courier New"/>
                <w:sz w:val="16"/>
                <w:szCs w:val="16"/>
                <w:color w:val="auto"/>
              </w:rPr>
              <w:t>John R. Walter, Chairman</w:t>
            </w:r>
          </w:p>
        </w:tc>
        <w:tc>
          <w:tcPr>
            <w:tcW w:w="3840" w:type="dxa"/>
            <w:vAlign w:val="bottom"/>
          </w:tcPr>
          <w:p>
            <w:pPr>
              <w:ind w:left="480"/>
              <w:spacing w:after="0"/>
              <w:rPr>
                <w:sz w:val="20"/>
                <w:szCs w:val="20"/>
                <w:color w:val="auto"/>
              </w:rPr>
            </w:pPr>
            <w:r>
              <w:rPr>
                <w:rFonts w:ascii="Courier New" w:cs="Courier New" w:eastAsia="Courier New" w:hAnsi="Courier New"/>
                <w:sz w:val="16"/>
                <w:szCs w:val="16"/>
                <w:color w:val="auto"/>
              </w:rPr>
              <w:t>Jeffrey A. Joerres</w:t>
            </w:r>
          </w:p>
        </w:tc>
      </w:tr>
      <w:tr>
        <w:trPr>
          <w:trHeight w:val="185"/>
        </w:trPr>
        <w:tc>
          <w:tcPr>
            <w:tcW w:w="3400" w:type="dxa"/>
            <w:vAlign w:val="bottom"/>
            <w:gridSpan w:val="2"/>
          </w:tcPr>
          <w:p>
            <w:pPr>
              <w:spacing w:after="0"/>
              <w:rPr>
                <w:sz w:val="20"/>
                <w:szCs w:val="20"/>
                <w:color w:val="auto"/>
              </w:rPr>
            </w:pPr>
            <w:r>
              <w:rPr>
                <w:rFonts w:ascii="Courier New" w:cs="Courier New" w:eastAsia="Courier New" w:hAnsi="Courier New"/>
                <w:sz w:val="16"/>
                <w:szCs w:val="16"/>
                <w:color w:val="auto"/>
              </w:rPr>
              <w:t>5301 N. Ironwood Rd.</w:t>
            </w:r>
          </w:p>
        </w:tc>
        <w:tc>
          <w:tcPr>
            <w:tcW w:w="3900" w:type="dxa"/>
            <w:vAlign w:val="bottom"/>
          </w:tcPr>
          <w:p>
            <w:pPr>
              <w:ind w:left="340"/>
              <w:spacing w:after="0"/>
              <w:rPr>
                <w:sz w:val="20"/>
                <w:szCs w:val="20"/>
                <w:color w:val="auto"/>
              </w:rPr>
            </w:pPr>
            <w:r>
              <w:rPr>
                <w:rFonts w:ascii="Courier New" w:cs="Courier New" w:eastAsia="Courier New" w:hAnsi="Courier New"/>
                <w:sz w:val="16"/>
                <w:szCs w:val="16"/>
                <w:color w:val="auto"/>
              </w:rPr>
              <w:t>Retired President and COO of AT&amp;T</w:t>
            </w:r>
          </w:p>
        </w:tc>
        <w:tc>
          <w:tcPr>
            <w:tcW w:w="3840" w:type="dxa"/>
            <w:vAlign w:val="bottom"/>
          </w:tcPr>
          <w:p>
            <w:pPr>
              <w:ind w:left="480"/>
              <w:spacing w:after="0"/>
              <w:rPr>
                <w:sz w:val="20"/>
                <w:szCs w:val="20"/>
                <w:color w:val="auto"/>
              </w:rPr>
            </w:pPr>
            <w:r>
              <w:rPr>
                <w:rFonts w:ascii="Courier New" w:cs="Courier New" w:eastAsia="Courier New" w:hAnsi="Courier New"/>
                <w:sz w:val="16"/>
                <w:szCs w:val="16"/>
                <w:color w:val="auto"/>
                <w:w w:val="99"/>
              </w:rPr>
              <w:t>President &amp; Chief Executive Officer</w:t>
            </w:r>
          </w:p>
        </w:tc>
      </w:tr>
      <w:tr>
        <w:trPr>
          <w:trHeight w:val="185"/>
        </w:trPr>
        <w:tc>
          <w:tcPr>
            <w:tcW w:w="1440" w:type="dxa"/>
            <w:vAlign w:val="bottom"/>
          </w:tcPr>
          <w:p>
            <w:pPr>
              <w:spacing w:after="0"/>
              <w:rPr>
                <w:sz w:val="20"/>
                <w:szCs w:val="20"/>
                <w:color w:val="auto"/>
              </w:rPr>
            </w:pPr>
            <w:r>
              <w:rPr>
                <w:rFonts w:ascii="Courier New" w:cs="Courier New" w:eastAsia="Courier New" w:hAnsi="Courier New"/>
                <w:sz w:val="16"/>
                <w:szCs w:val="16"/>
                <w:color w:val="auto"/>
              </w:rPr>
              <w:t>Milwaukee, WI</w:t>
            </w:r>
          </w:p>
        </w:tc>
        <w:tc>
          <w:tcPr>
            <w:tcW w:w="1960" w:type="dxa"/>
            <w:vAlign w:val="bottom"/>
          </w:tcPr>
          <w:p>
            <w:pPr>
              <w:jc w:val="right"/>
              <w:ind w:right="1400"/>
              <w:spacing w:after="0"/>
              <w:rPr>
                <w:sz w:val="20"/>
                <w:szCs w:val="20"/>
                <w:color w:val="auto"/>
              </w:rPr>
            </w:pPr>
            <w:r>
              <w:rPr>
                <w:rFonts w:ascii="Courier New" w:cs="Courier New" w:eastAsia="Courier New" w:hAnsi="Courier New"/>
                <w:sz w:val="16"/>
                <w:szCs w:val="16"/>
                <w:color w:val="auto"/>
                <w:w w:val="95"/>
              </w:rPr>
              <w:t>53201</w:t>
            </w:r>
          </w:p>
        </w:tc>
        <w:tc>
          <w:tcPr>
            <w:tcW w:w="3900" w:type="dxa"/>
            <w:vAlign w:val="bottom"/>
          </w:tcPr>
          <w:p>
            <w:pPr>
              <w:ind w:left="340"/>
              <w:spacing w:after="0"/>
              <w:rPr>
                <w:sz w:val="20"/>
                <w:szCs w:val="20"/>
                <w:color w:val="auto"/>
              </w:rPr>
            </w:pPr>
            <w:r>
              <w:rPr>
                <w:rFonts w:ascii="Courier New" w:cs="Courier New" w:eastAsia="Courier New" w:hAnsi="Courier New"/>
                <w:sz w:val="16"/>
                <w:szCs w:val="16"/>
                <w:color w:val="auto"/>
              </w:rPr>
              <w:t>Corp. Former Chairman, President</w:t>
            </w:r>
          </w:p>
        </w:tc>
        <w:tc>
          <w:tcPr>
            <w:tcW w:w="3840" w:type="dxa"/>
            <w:vAlign w:val="bottom"/>
          </w:tcPr>
          <w:p>
            <w:pPr>
              <w:spacing w:after="0"/>
              <w:rPr>
                <w:sz w:val="16"/>
                <w:szCs w:val="16"/>
                <w:color w:val="auto"/>
              </w:rPr>
            </w:pPr>
          </w:p>
        </w:tc>
      </w:tr>
      <w:tr>
        <w:trPr>
          <w:trHeight w:val="185"/>
        </w:trPr>
        <w:tc>
          <w:tcPr>
            <w:tcW w:w="1440" w:type="dxa"/>
            <w:vAlign w:val="bottom"/>
          </w:tcPr>
          <w:p>
            <w:pPr>
              <w:spacing w:after="0"/>
              <w:rPr>
                <w:sz w:val="20"/>
                <w:szCs w:val="20"/>
                <w:color w:val="auto"/>
              </w:rPr>
            </w:pPr>
            <w:r>
              <w:rPr>
                <w:rFonts w:ascii="Courier New" w:cs="Courier New" w:eastAsia="Courier New" w:hAnsi="Courier New"/>
                <w:sz w:val="16"/>
                <w:szCs w:val="16"/>
                <w:color w:val="auto"/>
              </w:rPr>
              <w:t>(414) 961-1000</w:t>
            </w:r>
          </w:p>
        </w:tc>
        <w:tc>
          <w:tcPr>
            <w:tcW w:w="1960" w:type="dxa"/>
            <w:vAlign w:val="bottom"/>
          </w:tcPr>
          <w:p>
            <w:pPr>
              <w:spacing w:after="0"/>
              <w:rPr>
                <w:sz w:val="16"/>
                <w:szCs w:val="16"/>
                <w:color w:val="auto"/>
              </w:rPr>
            </w:pPr>
          </w:p>
        </w:tc>
        <w:tc>
          <w:tcPr>
            <w:tcW w:w="3900" w:type="dxa"/>
            <w:vAlign w:val="bottom"/>
          </w:tcPr>
          <w:p>
            <w:pPr>
              <w:ind w:left="340"/>
              <w:spacing w:after="0"/>
              <w:rPr>
                <w:sz w:val="20"/>
                <w:szCs w:val="20"/>
                <w:color w:val="auto"/>
              </w:rPr>
            </w:pPr>
            <w:r>
              <w:rPr>
                <w:rFonts w:ascii="Courier New" w:cs="Courier New" w:eastAsia="Courier New" w:hAnsi="Courier New"/>
                <w:sz w:val="16"/>
                <w:szCs w:val="16"/>
                <w:color w:val="auto"/>
              </w:rPr>
              <w:t>&amp; CEO of R.R. Donnelley &amp; Sons</w:t>
            </w:r>
          </w:p>
        </w:tc>
        <w:tc>
          <w:tcPr>
            <w:tcW w:w="3840" w:type="dxa"/>
            <w:vAlign w:val="bottom"/>
          </w:tcPr>
          <w:p>
            <w:pPr>
              <w:ind w:left="480"/>
              <w:spacing w:after="0"/>
              <w:rPr>
                <w:sz w:val="20"/>
                <w:szCs w:val="20"/>
                <w:color w:val="auto"/>
              </w:rPr>
            </w:pPr>
            <w:r>
              <w:rPr>
                <w:rFonts w:ascii="Courier New" w:cs="Courier New" w:eastAsia="Courier New" w:hAnsi="Courier New"/>
                <w:sz w:val="16"/>
                <w:szCs w:val="16"/>
                <w:color w:val="auto"/>
              </w:rPr>
              <w:t>Terry A. Hueneke</w:t>
            </w:r>
          </w:p>
        </w:tc>
      </w:tr>
      <w:tr>
        <w:trPr>
          <w:trHeight w:val="185"/>
        </w:trPr>
        <w:tc>
          <w:tcPr>
            <w:tcW w:w="3400" w:type="dxa"/>
            <w:vAlign w:val="bottom"/>
            <w:gridSpan w:val="2"/>
          </w:tcPr>
          <w:p>
            <w:pPr>
              <w:spacing w:after="0"/>
              <w:rPr>
                <w:sz w:val="20"/>
                <w:szCs w:val="20"/>
                <w:color w:val="auto"/>
              </w:rPr>
            </w:pPr>
            <w:r>
              <w:rPr>
                <w:rFonts w:ascii="Courier New" w:cs="Courier New" w:eastAsia="Courier New" w:hAnsi="Courier New"/>
                <w:sz w:val="16"/>
                <w:szCs w:val="16"/>
                <w:color w:val="auto"/>
              </w:rPr>
              <w:t>www.manpower.com</w:t>
            </w:r>
          </w:p>
        </w:tc>
        <w:tc>
          <w:tcPr>
            <w:tcW w:w="3900" w:type="dxa"/>
            <w:vAlign w:val="bottom"/>
          </w:tcPr>
          <w:p>
            <w:pPr>
              <w:spacing w:after="0"/>
              <w:rPr>
                <w:sz w:val="16"/>
                <w:szCs w:val="16"/>
                <w:color w:val="auto"/>
              </w:rPr>
            </w:pPr>
          </w:p>
        </w:tc>
        <w:tc>
          <w:tcPr>
            <w:tcW w:w="3840" w:type="dxa"/>
            <w:vAlign w:val="bottom"/>
          </w:tcPr>
          <w:p>
            <w:pPr>
              <w:ind w:left="480"/>
              <w:spacing w:after="0"/>
              <w:rPr>
                <w:sz w:val="20"/>
                <w:szCs w:val="20"/>
                <w:color w:val="auto"/>
              </w:rPr>
            </w:pPr>
            <w:r>
              <w:rPr>
                <w:rFonts w:ascii="Courier New" w:cs="Courier New" w:eastAsia="Courier New" w:hAnsi="Courier New"/>
                <w:sz w:val="16"/>
                <w:szCs w:val="16"/>
                <w:color w:val="auto"/>
              </w:rPr>
              <w:t>Executive Vice President</w:t>
            </w:r>
          </w:p>
        </w:tc>
      </w:tr>
      <w:tr>
        <w:trPr>
          <w:trHeight w:val="185"/>
        </w:trPr>
        <w:tc>
          <w:tcPr>
            <w:tcW w:w="14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900" w:type="dxa"/>
            <w:vAlign w:val="bottom"/>
          </w:tcPr>
          <w:p>
            <w:pPr>
              <w:ind w:left="340"/>
              <w:spacing w:after="0"/>
              <w:rPr>
                <w:sz w:val="20"/>
                <w:szCs w:val="20"/>
                <w:color w:val="auto"/>
              </w:rPr>
            </w:pPr>
            <w:r>
              <w:rPr>
                <w:rFonts w:ascii="Courier New" w:cs="Courier New" w:eastAsia="Courier New" w:hAnsi="Courier New"/>
                <w:sz w:val="16"/>
                <w:szCs w:val="16"/>
                <w:color w:val="auto"/>
              </w:rPr>
              <w:t>Jeffrey A. Joerres</w:t>
            </w:r>
          </w:p>
        </w:tc>
        <w:tc>
          <w:tcPr>
            <w:tcW w:w="3840" w:type="dxa"/>
            <w:vAlign w:val="bottom"/>
          </w:tcPr>
          <w:p>
            <w:pPr>
              <w:ind w:left="480"/>
              <w:spacing w:after="0"/>
              <w:rPr>
                <w:sz w:val="20"/>
                <w:szCs w:val="20"/>
                <w:color w:val="auto"/>
              </w:rPr>
            </w:pPr>
            <w:r>
              <w:rPr>
                <w:rFonts w:ascii="Courier New" w:cs="Courier New" w:eastAsia="Courier New" w:hAnsi="Courier New"/>
                <w:sz w:val="16"/>
                <w:szCs w:val="16"/>
                <w:color w:val="auto"/>
              </w:rPr>
              <w:t>The Americas, Japan,</w:t>
            </w:r>
          </w:p>
        </w:tc>
      </w:tr>
      <w:tr>
        <w:trPr>
          <w:trHeight w:val="185"/>
        </w:trPr>
        <w:tc>
          <w:tcPr>
            <w:tcW w:w="3400" w:type="dxa"/>
            <w:vAlign w:val="bottom"/>
            <w:gridSpan w:val="2"/>
          </w:tcPr>
          <w:p>
            <w:pPr>
              <w:spacing w:after="0"/>
              <w:rPr>
                <w:sz w:val="20"/>
                <w:szCs w:val="20"/>
                <w:color w:val="auto"/>
              </w:rPr>
            </w:pPr>
            <w:r>
              <w:rPr>
                <w:rFonts w:ascii="Courier New" w:cs="Courier New" w:eastAsia="Courier New" w:hAnsi="Courier New"/>
                <w:sz w:val="16"/>
                <w:szCs w:val="16"/>
                <w:color w:val="auto"/>
              </w:rPr>
              <w:t>Transfer Agent and Registrar</w:t>
            </w:r>
          </w:p>
        </w:tc>
        <w:tc>
          <w:tcPr>
            <w:tcW w:w="3900" w:type="dxa"/>
            <w:vAlign w:val="bottom"/>
          </w:tcPr>
          <w:p>
            <w:pPr>
              <w:ind w:left="340"/>
              <w:spacing w:after="0"/>
              <w:rPr>
                <w:sz w:val="20"/>
                <w:szCs w:val="20"/>
                <w:color w:val="auto"/>
              </w:rPr>
            </w:pPr>
            <w:r>
              <w:rPr>
                <w:rFonts w:ascii="Courier New" w:cs="Courier New" w:eastAsia="Courier New" w:hAnsi="Courier New"/>
                <w:sz w:val="16"/>
                <w:szCs w:val="16"/>
                <w:color w:val="auto"/>
              </w:rPr>
              <w:t>President &amp; Chief Executive Officer</w:t>
            </w:r>
          </w:p>
        </w:tc>
        <w:tc>
          <w:tcPr>
            <w:tcW w:w="3840" w:type="dxa"/>
            <w:vAlign w:val="bottom"/>
          </w:tcPr>
          <w:p>
            <w:pPr>
              <w:ind w:left="480"/>
              <w:spacing w:after="0"/>
              <w:rPr>
                <w:sz w:val="20"/>
                <w:szCs w:val="20"/>
                <w:color w:val="auto"/>
              </w:rPr>
            </w:pPr>
            <w:r>
              <w:rPr>
                <w:rFonts w:ascii="Courier New" w:cs="Courier New" w:eastAsia="Courier New" w:hAnsi="Courier New"/>
                <w:sz w:val="16"/>
                <w:szCs w:val="16"/>
                <w:color w:val="auto"/>
              </w:rPr>
              <w:t>Australia and the Far East</w:t>
            </w:r>
          </w:p>
        </w:tc>
      </w:tr>
      <w:tr>
        <w:trPr>
          <w:trHeight w:val="185"/>
        </w:trPr>
        <w:tc>
          <w:tcPr>
            <w:tcW w:w="3400" w:type="dxa"/>
            <w:vAlign w:val="bottom"/>
            <w:gridSpan w:val="2"/>
          </w:tcPr>
          <w:p>
            <w:pPr>
              <w:spacing w:after="0"/>
              <w:rPr>
                <w:sz w:val="20"/>
                <w:szCs w:val="20"/>
                <w:color w:val="auto"/>
              </w:rPr>
            </w:pPr>
            <w:r>
              <w:rPr>
                <w:rFonts w:ascii="Courier New" w:cs="Courier New" w:eastAsia="Courier New" w:hAnsi="Courier New"/>
                <w:sz w:val="16"/>
                <w:szCs w:val="16"/>
                <w:color w:val="auto"/>
              </w:rPr>
              <w:t>Mellon Investor Services, L.L.C.</w:t>
            </w:r>
          </w:p>
        </w:tc>
        <w:tc>
          <w:tcPr>
            <w:tcW w:w="3900" w:type="dxa"/>
            <w:vAlign w:val="bottom"/>
          </w:tcPr>
          <w:p>
            <w:pPr>
              <w:ind w:left="340"/>
              <w:spacing w:after="0"/>
              <w:rPr>
                <w:sz w:val="20"/>
                <w:szCs w:val="20"/>
                <w:color w:val="auto"/>
              </w:rPr>
            </w:pPr>
            <w:r>
              <w:rPr>
                <w:rFonts w:ascii="Courier New" w:cs="Courier New" w:eastAsia="Courier New" w:hAnsi="Courier New"/>
                <w:sz w:val="16"/>
                <w:szCs w:val="16"/>
                <w:color w:val="auto"/>
              </w:rPr>
              <w:t>Manpower Inc.</w:t>
            </w:r>
          </w:p>
        </w:tc>
        <w:tc>
          <w:tcPr>
            <w:tcW w:w="3840" w:type="dxa"/>
            <w:vAlign w:val="bottom"/>
          </w:tcPr>
          <w:p>
            <w:pPr>
              <w:spacing w:after="0"/>
              <w:rPr>
                <w:sz w:val="16"/>
                <w:szCs w:val="16"/>
                <w:color w:val="auto"/>
              </w:rPr>
            </w:pPr>
          </w:p>
        </w:tc>
      </w:tr>
      <w:tr>
        <w:trPr>
          <w:trHeight w:val="185"/>
        </w:trPr>
        <w:tc>
          <w:tcPr>
            <w:tcW w:w="1440" w:type="dxa"/>
            <w:vAlign w:val="bottom"/>
          </w:tcPr>
          <w:p>
            <w:pPr>
              <w:spacing w:after="0"/>
              <w:rPr>
                <w:sz w:val="20"/>
                <w:szCs w:val="20"/>
                <w:color w:val="auto"/>
              </w:rPr>
            </w:pPr>
            <w:r>
              <w:rPr>
                <w:rFonts w:ascii="Courier New" w:cs="Courier New" w:eastAsia="Courier New" w:hAnsi="Courier New"/>
                <w:sz w:val="16"/>
                <w:szCs w:val="16"/>
                <w:color w:val="auto"/>
              </w:rPr>
              <w:t>P.O. Box 3315</w:t>
            </w:r>
          </w:p>
        </w:tc>
        <w:tc>
          <w:tcPr>
            <w:tcW w:w="19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840" w:type="dxa"/>
            <w:vAlign w:val="bottom"/>
          </w:tcPr>
          <w:p>
            <w:pPr>
              <w:ind w:left="480"/>
              <w:spacing w:after="0"/>
              <w:rPr>
                <w:sz w:val="20"/>
                <w:szCs w:val="20"/>
                <w:color w:val="auto"/>
              </w:rPr>
            </w:pPr>
            <w:r>
              <w:rPr>
                <w:rFonts w:ascii="Courier New" w:cs="Courier New" w:eastAsia="Courier New" w:hAnsi="Courier New"/>
                <w:sz w:val="16"/>
                <w:szCs w:val="16"/>
                <w:color w:val="auto"/>
              </w:rPr>
              <w:t>Michael J. Van Handel</w:t>
            </w:r>
          </w:p>
        </w:tc>
      </w:tr>
      <w:tr>
        <w:trPr>
          <w:trHeight w:val="185"/>
        </w:trPr>
        <w:tc>
          <w:tcPr>
            <w:tcW w:w="3400" w:type="dxa"/>
            <w:vAlign w:val="bottom"/>
            <w:gridSpan w:val="2"/>
          </w:tcPr>
          <w:p>
            <w:pPr>
              <w:spacing w:after="0"/>
              <w:rPr>
                <w:sz w:val="20"/>
                <w:szCs w:val="20"/>
                <w:color w:val="auto"/>
              </w:rPr>
            </w:pPr>
            <w:r>
              <w:rPr>
                <w:rFonts w:ascii="Courier New" w:cs="Courier New" w:eastAsia="Courier New" w:hAnsi="Courier New"/>
                <w:sz w:val="16"/>
                <w:szCs w:val="16"/>
                <w:color w:val="auto"/>
              </w:rPr>
              <w:t>South Hackensack, NJ  07606</w:t>
            </w:r>
          </w:p>
        </w:tc>
        <w:tc>
          <w:tcPr>
            <w:tcW w:w="3900" w:type="dxa"/>
            <w:vAlign w:val="bottom"/>
          </w:tcPr>
          <w:p>
            <w:pPr>
              <w:ind w:left="340"/>
              <w:spacing w:after="0"/>
              <w:rPr>
                <w:sz w:val="20"/>
                <w:szCs w:val="20"/>
                <w:color w:val="auto"/>
              </w:rPr>
            </w:pPr>
            <w:r>
              <w:rPr>
                <w:rFonts w:ascii="Courier New" w:cs="Courier New" w:eastAsia="Courier New" w:hAnsi="Courier New"/>
                <w:sz w:val="16"/>
                <w:szCs w:val="16"/>
                <w:color w:val="auto"/>
              </w:rPr>
              <w:t>Nancy Brinker</w:t>
            </w:r>
          </w:p>
        </w:tc>
        <w:tc>
          <w:tcPr>
            <w:tcW w:w="3840" w:type="dxa"/>
            <w:vAlign w:val="bottom"/>
          </w:tcPr>
          <w:p>
            <w:pPr>
              <w:ind w:left="480"/>
              <w:spacing w:after="0"/>
              <w:rPr>
                <w:sz w:val="20"/>
                <w:szCs w:val="20"/>
                <w:color w:val="auto"/>
              </w:rPr>
            </w:pPr>
            <w:r>
              <w:rPr>
                <w:rFonts w:ascii="Courier New" w:cs="Courier New" w:eastAsia="Courier New" w:hAnsi="Courier New"/>
                <w:sz w:val="16"/>
                <w:szCs w:val="16"/>
                <w:color w:val="auto"/>
              </w:rPr>
              <w:t>Senior Vice President &amp;</w:t>
            </w:r>
          </w:p>
        </w:tc>
      </w:tr>
      <w:tr>
        <w:trPr>
          <w:trHeight w:val="185"/>
        </w:trPr>
        <w:tc>
          <w:tcPr>
            <w:tcW w:w="3400" w:type="dxa"/>
            <w:vAlign w:val="bottom"/>
            <w:gridSpan w:val="2"/>
          </w:tcPr>
          <w:p>
            <w:pPr>
              <w:spacing w:after="0"/>
              <w:rPr>
                <w:sz w:val="20"/>
                <w:szCs w:val="20"/>
                <w:color w:val="auto"/>
              </w:rPr>
            </w:pPr>
            <w:r>
              <w:rPr>
                <w:rFonts w:ascii="Courier New" w:cs="Courier New" w:eastAsia="Courier New" w:hAnsi="Courier New"/>
                <w:sz w:val="16"/>
                <w:szCs w:val="16"/>
                <w:color w:val="auto"/>
              </w:rPr>
              <w:t>www.mellon-investor.com</w:t>
            </w:r>
          </w:p>
        </w:tc>
        <w:tc>
          <w:tcPr>
            <w:tcW w:w="3900" w:type="dxa"/>
            <w:vAlign w:val="bottom"/>
          </w:tcPr>
          <w:p>
            <w:pPr>
              <w:ind w:left="340"/>
              <w:spacing w:after="0"/>
              <w:rPr>
                <w:sz w:val="20"/>
                <w:szCs w:val="20"/>
                <w:color w:val="auto"/>
              </w:rPr>
            </w:pPr>
            <w:r>
              <w:rPr>
                <w:rFonts w:ascii="Courier New" w:cs="Courier New" w:eastAsia="Courier New" w:hAnsi="Courier New"/>
                <w:sz w:val="16"/>
                <w:szCs w:val="16"/>
                <w:color w:val="auto"/>
              </w:rPr>
              <w:t>Chairman</w:t>
            </w:r>
          </w:p>
        </w:tc>
        <w:tc>
          <w:tcPr>
            <w:tcW w:w="3840" w:type="dxa"/>
            <w:vAlign w:val="bottom"/>
          </w:tcPr>
          <w:p>
            <w:pPr>
              <w:ind w:left="480"/>
              <w:spacing w:after="0"/>
              <w:rPr>
                <w:sz w:val="20"/>
                <w:szCs w:val="20"/>
                <w:color w:val="auto"/>
              </w:rPr>
            </w:pPr>
            <w:r>
              <w:rPr>
                <w:rFonts w:ascii="Courier New" w:cs="Courier New" w:eastAsia="Courier New" w:hAnsi="Courier New"/>
                <w:sz w:val="16"/>
                <w:szCs w:val="16"/>
                <w:color w:val="auto"/>
              </w:rPr>
              <w:t>Chief Financial Officer</w:t>
            </w:r>
          </w:p>
        </w:tc>
      </w:tr>
      <w:tr>
        <w:trPr>
          <w:trHeight w:val="185"/>
        </w:trPr>
        <w:tc>
          <w:tcPr>
            <w:tcW w:w="14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900" w:type="dxa"/>
            <w:vAlign w:val="bottom"/>
          </w:tcPr>
          <w:p>
            <w:pPr>
              <w:ind w:left="340"/>
              <w:spacing w:after="0"/>
              <w:rPr>
                <w:sz w:val="20"/>
                <w:szCs w:val="20"/>
                <w:color w:val="auto"/>
              </w:rPr>
            </w:pPr>
            <w:r>
              <w:rPr>
                <w:rFonts w:ascii="Courier New" w:cs="Courier New" w:eastAsia="Courier New" w:hAnsi="Courier New"/>
                <w:sz w:val="16"/>
                <w:szCs w:val="16"/>
                <w:color w:val="auto"/>
              </w:rPr>
              <w:t>Susan G. Komen</w:t>
            </w:r>
          </w:p>
        </w:tc>
        <w:tc>
          <w:tcPr>
            <w:tcW w:w="3840" w:type="dxa"/>
            <w:vAlign w:val="bottom"/>
          </w:tcPr>
          <w:p>
            <w:pPr>
              <w:spacing w:after="0"/>
              <w:rPr>
                <w:sz w:val="16"/>
                <w:szCs w:val="16"/>
                <w:color w:val="auto"/>
              </w:rPr>
            </w:pPr>
          </w:p>
        </w:tc>
      </w:tr>
      <w:tr>
        <w:trPr>
          <w:trHeight w:val="185"/>
        </w:trPr>
        <w:tc>
          <w:tcPr>
            <w:tcW w:w="3400" w:type="dxa"/>
            <w:vAlign w:val="bottom"/>
            <w:gridSpan w:val="2"/>
          </w:tcPr>
          <w:p>
            <w:pPr>
              <w:spacing w:after="0"/>
              <w:rPr>
                <w:sz w:val="20"/>
                <w:szCs w:val="20"/>
                <w:color w:val="auto"/>
              </w:rPr>
            </w:pPr>
            <w:r>
              <w:rPr>
                <w:rFonts w:ascii="Courier New" w:cs="Courier New" w:eastAsia="Courier New" w:hAnsi="Courier New"/>
                <w:sz w:val="16"/>
                <w:szCs w:val="16"/>
                <w:color w:val="auto"/>
              </w:rPr>
              <w:t>Stock Exchange Listing</w:t>
            </w:r>
          </w:p>
        </w:tc>
        <w:tc>
          <w:tcPr>
            <w:tcW w:w="3900" w:type="dxa"/>
            <w:vAlign w:val="bottom"/>
          </w:tcPr>
          <w:p>
            <w:pPr>
              <w:ind w:left="340"/>
              <w:spacing w:after="0"/>
              <w:rPr>
                <w:sz w:val="20"/>
                <w:szCs w:val="20"/>
                <w:color w:val="auto"/>
              </w:rPr>
            </w:pPr>
            <w:r>
              <w:rPr>
                <w:rFonts w:ascii="Courier New" w:cs="Courier New" w:eastAsia="Courier New" w:hAnsi="Courier New"/>
                <w:sz w:val="16"/>
                <w:szCs w:val="16"/>
                <w:color w:val="auto"/>
              </w:rPr>
              <w:t>Breast Cancer Foundation</w:t>
            </w:r>
          </w:p>
        </w:tc>
        <w:tc>
          <w:tcPr>
            <w:tcW w:w="3840" w:type="dxa"/>
            <w:vAlign w:val="bottom"/>
          </w:tcPr>
          <w:p>
            <w:pPr>
              <w:ind w:left="480"/>
              <w:spacing w:after="0"/>
              <w:rPr>
                <w:sz w:val="20"/>
                <w:szCs w:val="20"/>
                <w:color w:val="auto"/>
              </w:rPr>
            </w:pPr>
            <w:r>
              <w:rPr>
                <w:rFonts w:ascii="Courier New" w:cs="Courier New" w:eastAsia="Courier New" w:hAnsi="Courier New"/>
                <w:sz w:val="16"/>
                <w:szCs w:val="16"/>
                <w:color w:val="auto"/>
              </w:rPr>
              <w:t>Executive Management</w:t>
            </w:r>
          </w:p>
        </w:tc>
      </w:tr>
      <w:tr>
        <w:trPr>
          <w:trHeight w:val="185"/>
        </w:trPr>
        <w:tc>
          <w:tcPr>
            <w:tcW w:w="3400" w:type="dxa"/>
            <w:vAlign w:val="bottom"/>
            <w:gridSpan w:val="2"/>
          </w:tcPr>
          <w:p>
            <w:pPr>
              <w:spacing w:after="0"/>
              <w:rPr>
                <w:sz w:val="20"/>
                <w:szCs w:val="20"/>
                <w:color w:val="auto"/>
              </w:rPr>
            </w:pPr>
            <w:r>
              <w:rPr>
                <w:rFonts w:ascii="Courier New" w:cs="Courier New" w:eastAsia="Courier New" w:hAnsi="Courier New"/>
                <w:sz w:val="16"/>
                <w:szCs w:val="16"/>
                <w:color w:val="auto"/>
              </w:rPr>
              <w:t>NYSE Symbol: MAN</w:t>
            </w:r>
          </w:p>
        </w:tc>
        <w:tc>
          <w:tcPr>
            <w:tcW w:w="3900" w:type="dxa"/>
            <w:vAlign w:val="bottom"/>
          </w:tcPr>
          <w:p>
            <w:pPr>
              <w:spacing w:after="0"/>
              <w:rPr>
                <w:sz w:val="16"/>
                <w:szCs w:val="16"/>
                <w:color w:val="auto"/>
              </w:rPr>
            </w:pPr>
          </w:p>
        </w:tc>
        <w:tc>
          <w:tcPr>
            <w:tcW w:w="3840" w:type="dxa"/>
            <w:vAlign w:val="bottom"/>
          </w:tcPr>
          <w:p>
            <w:pPr>
              <w:ind w:left="480"/>
              <w:spacing w:after="0"/>
              <w:rPr>
                <w:sz w:val="20"/>
                <w:szCs w:val="20"/>
                <w:color w:val="auto"/>
              </w:rPr>
            </w:pPr>
            <w:r>
              <w:rPr>
                <w:rFonts w:ascii="Courier New" w:cs="Courier New" w:eastAsia="Courier New" w:hAnsi="Courier New"/>
                <w:sz w:val="16"/>
                <w:szCs w:val="16"/>
                <w:color w:val="auto"/>
              </w:rPr>
              <w:t>Michael Grunelius</w:t>
            </w:r>
          </w:p>
        </w:tc>
      </w:tr>
      <w:tr>
        <w:trPr>
          <w:trHeight w:val="185"/>
        </w:trPr>
        <w:tc>
          <w:tcPr>
            <w:tcW w:w="14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900" w:type="dxa"/>
            <w:vAlign w:val="bottom"/>
          </w:tcPr>
          <w:p>
            <w:pPr>
              <w:ind w:left="340"/>
              <w:spacing w:after="0"/>
              <w:rPr>
                <w:sz w:val="20"/>
                <w:szCs w:val="20"/>
                <w:color w:val="auto"/>
              </w:rPr>
            </w:pPr>
            <w:r>
              <w:rPr>
                <w:rFonts w:ascii="Courier New" w:cs="Courier New" w:eastAsia="Courier New" w:hAnsi="Courier New"/>
                <w:sz w:val="16"/>
                <w:szCs w:val="16"/>
                <w:color w:val="auto"/>
              </w:rPr>
              <w:t>Dudley J. Godfrey, Jr.</w:t>
            </w:r>
          </w:p>
        </w:tc>
        <w:tc>
          <w:tcPr>
            <w:tcW w:w="3840" w:type="dxa"/>
            <w:vAlign w:val="bottom"/>
          </w:tcPr>
          <w:p>
            <w:pPr>
              <w:ind w:left="480"/>
              <w:spacing w:after="0"/>
              <w:rPr>
                <w:sz w:val="20"/>
                <w:szCs w:val="20"/>
                <w:color w:val="auto"/>
              </w:rPr>
            </w:pPr>
            <w:r>
              <w:rPr>
                <w:rFonts w:ascii="Courier New" w:cs="Courier New" w:eastAsia="Courier New" w:hAnsi="Courier New"/>
                <w:sz w:val="16"/>
                <w:szCs w:val="16"/>
                <w:color w:val="auto"/>
              </w:rPr>
              <w:t>Managing Director</w:t>
            </w:r>
          </w:p>
        </w:tc>
      </w:tr>
      <w:tr>
        <w:trPr>
          <w:trHeight w:val="185"/>
        </w:trPr>
        <w:tc>
          <w:tcPr>
            <w:tcW w:w="1440" w:type="dxa"/>
            <w:vAlign w:val="bottom"/>
          </w:tcPr>
          <w:p>
            <w:pPr>
              <w:spacing w:after="0"/>
              <w:rPr>
                <w:sz w:val="20"/>
                <w:szCs w:val="20"/>
                <w:color w:val="auto"/>
              </w:rPr>
            </w:pPr>
            <w:r>
              <w:rPr>
                <w:rFonts w:ascii="Courier New" w:cs="Courier New" w:eastAsia="Courier New" w:hAnsi="Courier New"/>
                <w:sz w:val="16"/>
                <w:szCs w:val="16"/>
                <w:color w:val="auto"/>
              </w:rPr>
              <w:t>10-K Report</w:t>
            </w:r>
          </w:p>
        </w:tc>
        <w:tc>
          <w:tcPr>
            <w:tcW w:w="1960" w:type="dxa"/>
            <w:vAlign w:val="bottom"/>
          </w:tcPr>
          <w:p>
            <w:pPr>
              <w:spacing w:after="0"/>
              <w:rPr>
                <w:sz w:val="16"/>
                <w:szCs w:val="16"/>
                <w:color w:val="auto"/>
              </w:rPr>
            </w:pPr>
          </w:p>
        </w:tc>
        <w:tc>
          <w:tcPr>
            <w:tcW w:w="3900" w:type="dxa"/>
            <w:vAlign w:val="bottom"/>
          </w:tcPr>
          <w:p>
            <w:pPr>
              <w:ind w:left="340"/>
              <w:spacing w:after="0"/>
              <w:rPr>
                <w:sz w:val="20"/>
                <w:szCs w:val="20"/>
                <w:color w:val="auto"/>
              </w:rPr>
            </w:pPr>
            <w:r>
              <w:rPr>
                <w:rFonts w:ascii="Courier New" w:cs="Courier New" w:eastAsia="Courier New" w:hAnsi="Courier New"/>
                <w:sz w:val="16"/>
                <w:szCs w:val="16"/>
                <w:color w:val="auto"/>
              </w:rPr>
              <w:t>Senior Partner</w:t>
            </w:r>
          </w:p>
        </w:tc>
        <w:tc>
          <w:tcPr>
            <w:tcW w:w="3840" w:type="dxa"/>
            <w:vAlign w:val="bottom"/>
          </w:tcPr>
          <w:p>
            <w:pPr>
              <w:ind w:left="480"/>
              <w:spacing w:after="0"/>
              <w:rPr>
                <w:sz w:val="20"/>
                <w:szCs w:val="20"/>
                <w:color w:val="auto"/>
              </w:rPr>
            </w:pPr>
            <w:r>
              <w:rPr>
                <w:rFonts w:ascii="Courier New" w:cs="Courier New" w:eastAsia="Courier New" w:hAnsi="Courier New"/>
                <w:sz w:val="16"/>
                <w:szCs w:val="16"/>
                <w:color w:val="auto"/>
              </w:rPr>
              <w:t>France &amp; Region</w:t>
            </w:r>
          </w:p>
        </w:tc>
      </w:tr>
      <w:tr>
        <w:trPr>
          <w:trHeight w:val="185"/>
        </w:trPr>
        <w:tc>
          <w:tcPr>
            <w:tcW w:w="3400" w:type="dxa"/>
            <w:vAlign w:val="bottom"/>
            <w:gridSpan w:val="2"/>
          </w:tcPr>
          <w:p>
            <w:pPr>
              <w:spacing w:after="0"/>
              <w:rPr>
                <w:sz w:val="20"/>
                <w:szCs w:val="20"/>
                <w:color w:val="auto"/>
              </w:rPr>
            </w:pPr>
            <w:r>
              <w:rPr>
                <w:rFonts w:ascii="Courier New" w:cs="Courier New" w:eastAsia="Courier New" w:hAnsi="Courier New"/>
                <w:sz w:val="16"/>
                <w:szCs w:val="16"/>
                <w:color w:val="auto"/>
              </w:rPr>
              <w:t>A copy of form 10-K filed with</w:t>
            </w:r>
          </w:p>
        </w:tc>
        <w:tc>
          <w:tcPr>
            <w:tcW w:w="3900" w:type="dxa"/>
            <w:vAlign w:val="bottom"/>
          </w:tcPr>
          <w:p>
            <w:pPr>
              <w:ind w:left="340"/>
              <w:spacing w:after="0"/>
              <w:rPr>
                <w:sz w:val="20"/>
                <w:szCs w:val="20"/>
                <w:color w:val="auto"/>
              </w:rPr>
            </w:pPr>
            <w:r>
              <w:rPr>
                <w:rFonts w:ascii="Courier New" w:cs="Courier New" w:eastAsia="Courier New" w:hAnsi="Courier New"/>
                <w:sz w:val="16"/>
                <w:szCs w:val="16"/>
                <w:color w:val="auto"/>
              </w:rPr>
              <w:t>Godfrey &amp; Kahn, S.C.</w:t>
            </w:r>
          </w:p>
        </w:tc>
        <w:tc>
          <w:tcPr>
            <w:tcW w:w="3840" w:type="dxa"/>
            <w:vAlign w:val="bottom"/>
          </w:tcPr>
          <w:p>
            <w:pPr>
              <w:spacing w:after="0"/>
              <w:rPr>
                <w:sz w:val="16"/>
                <w:szCs w:val="16"/>
                <w:color w:val="auto"/>
              </w:rPr>
            </w:pPr>
          </w:p>
        </w:tc>
      </w:tr>
      <w:tr>
        <w:trPr>
          <w:trHeight w:val="185"/>
        </w:trPr>
        <w:tc>
          <w:tcPr>
            <w:tcW w:w="3400" w:type="dxa"/>
            <w:vAlign w:val="bottom"/>
            <w:gridSpan w:val="2"/>
          </w:tcPr>
          <w:p>
            <w:pPr>
              <w:spacing w:after="0"/>
              <w:rPr>
                <w:sz w:val="20"/>
                <w:szCs w:val="20"/>
                <w:color w:val="auto"/>
              </w:rPr>
            </w:pPr>
            <w:r>
              <w:rPr>
                <w:rFonts w:ascii="Courier New" w:cs="Courier New" w:eastAsia="Courier New" w:hAnsi="Courier New"/>
                <w:sz w:val="16"/>
                <w:szCs w:val="16"/>
                <w:color w:val="auto"/>
              </w:rPr>
              <w:t>the Securities and Exchange</w:t>
            </w:r>
          </w:p>
        </w:tc>
        <w:tc>
          <w:tcPr>
            <w:tcW w:w="3900" w:type="dxa"/>
            <w:vAlign w:val="bottom"/>
          </w:tcPr>
          <w:p>
            <w:pPr>
              <w:spacing w:after="0"/>
              <w:rPr>
                <w:sz w:val="16"/>
                <w:szCs w:val="16"/>
                <w:color w:val="auto"/>
              </w:rPr>
            </w:pPr>
          </w:p>
        </w:tc>
        <w:tc>
          <w:tcPr>
            <w:tcW w:w="3840" w:type="dxa"/>
            <w:vAlign w:val="bottom"/>
          </w:tcPr>
          <w:p>
            <w:pPr>
              <w:ind w:left="480"/>
              <w:spacing w:after="0"/>
              <w:rPr>
                <w:sz w:val="20"/>
                <w:szCs w:val="20"/>
                <w:color w:val="auto"/>
              </w:rPr>
            </w:pPr>
            <w:r>
              <w:rPr>
                <w:rFonts w:ascii="Courier New" w:cs="Courier New" w:eastAsia="Courier New" w:hAnsi="Courier New"/>
                <w:sz w:val="16"/>
                <w:szCs w:val="16"/>
                <w:color w:val="auto"/>
              </w:rPr>
              <w:t>Yoav Michaely</w:t>
            </w:r>
          </w:p>
        </w:tc>
      </w:tr>
      <w:tr>
        <w:trPr>
          <w:trHeight w:val="185"/>
        </w:trPr>
        <w:tc>
          <w:tcPr>
            <w:tcW w:w="3400" w:type="dxa"/>
            <w:vAlign w:val="bottom"/>
            <w:gridSpan w:val="2"/>
          </w:tcPr>
          <w:p>
            <w:pPr>
              <w:spacing w:after="0"/>
              <w:rPr>
                <w:sz w:val="20"/>
                <w:szCs w:val="20"/>
                <w:color w:val="auto"/>
              </w:rPr>
            </w:pPr>
            <w:r>
              <w:rPr>
                <w:rFonts w:ascii="Courier New" w:cs="Courier New" w:eastAsia="Courier New" w:hAnsi="Courier New"/>
                <w:sz w:val="16"/>
                <w:szCs w:val="16"/>
                <w:color w:val="auto"/>
              </w:rPr>
              <w:t>Commission for the year ended</w:t>
            </w:r>
          </w:p>
        </w:tc>
        <w:tc>
          <w:tcPr>
            <w:tcW w:w="3900" w:type="dxa"/>
            <w:vAlign w:val="bottom"/>
          </w:tcPr>
          <w:p>
            <w:pPr>
              <w:ind w:left="340"/>
              <w:spacing w:after="0"/>
              <w:rPr>
                <w:sz w:val="20"/>
                <w:szCs w:val="20"/>
                <w:color w:val="auto"/>
              </w:rPr>
            </w:pPr>
            <w:r>
              <w:rPr>
                <w:rFonts w:ascii="Courier New" w:cs="Courier New" w:eastAsia="Courier New" w:hAnsi="Courier New"/>
                <w:sz w:val="16"/>
                <w:szCs w:val="16"/>
                <w:color w:val="auto"/>
              </w:rPr>
              <w:t>Marvin B. Goodman</w:t>
            </w:r>
          </w:p>
        </w:tc>
        <w:tc>
          <w:tcPr>
            <w:tcW w:w="3840" w:type="dxa"/>
            <w:vAlign w:val="bottom"/>
          </w:tcPr>
          <w:p>
            <w:pPr>
              <w:ind w:left="480"/>
              <w:spacing w:after="0"/>
              <w:rPr>
                <w:sz w:val="20"/>
                <w:szCs w:val="20"/>
                <w:color w:val="auto"/>
              </w:rPr>
            </w:pPr>
            <w:r>
              <w:rPr>
                <w:rFonts w:ascii="Courier New" w:cs="Courier New" w:eastAsia="Courier New" w:hAnsi="Courier New"/>
                <w:sz w:val="16"/>
                <w:szCs w:val="16"/>
                <w:color w:val="auto"/>
              </w:rPr>
              <w:t>Senior Vice President</w:t>
            </w:r>
          </w:p>
        </w:tc>
      </w:tr>
      <w:tr>
        <w:trPr>
          <w:trHeight w:val="185"/>
        </w:trPr>
        <w:tc>
          <w:tcPr>
            <w:tcW w:w="3400" w:type="dxa"/>
            <w:vAlign w:val="bottom"/>
            <w:gridSpan w:val="2"/>
          </w:tcPr>
          <w:p>
            <w:pPr>
              <w:spacing w:after="0"/>
              <w:rPr>
                <w:sz w:val="20"/>
                <w:szCs w:val="20"/>
                <w:color w:val="auto"/>
              </w:rPr>
            </w:pPr>
            <w:r>
              <w:rPr>
                <w:rFonts w:ascii="Courier New" w:cs="Courier New" w:eastAsia="Courier New" w:hAnsi="Courier New"/>
                <w:sz w:val="16"/>
                <w:szCs w:val="16"/>
                <w:color w:val="auto"/>
              </w:rPr>
              <w:t>December 31, 2000 is available</w:t>
            </w:r>
          </w:p>
        </w:tc>
        <w:tc>
          <w:tcPr>
            <w:tcW w:w="3900" w:type="dxa"/>
            <w:vAlign w:val="bottom"/>
          </w:tcPr>
          <w:p>
            <w:pPr>
              <w:ind w:left="340"/>
              <w:spacing w:after="0"/>
              <w:rPr>
                <w:sz w:val="20"/>
                <w:szCs w:val="20"/>
                <w:color w:val="auto"/>
              </w:rPr>
            </w:pPr>
            <w:r>
              <w:rPr>
                <w:rFonts w:ascii="Courier New" w:cs="Courier New" w:eastAsia="Courier New" w:hAnsi="Courier New"/>
                <w:sz w:val="16"/>
                <w:szCs w:val="16"/>
                <w:color w:val="auto"/>
              </w:rPr>
              <w:t>Retired Shareholder and</w:t>
            </w:r>
          </w:p>
        </w:tc>
        <w:tc>
          <w:tcPr>
            <w:tcW w:w="3840" w:type="dxa"/>
            <w:vAlign w:val="bottom"/>
          </w:tcPr>
          <w:p>
            <w:pPr>
              <w:ind w:left="480"/>
              <w:spacing w:after="0"/>
              <w:rPr>
                <w:sz w:val="20"/>
                <w:szCs w:val="20"/>
                <w:color w:val="auto"/>
              </w:rPr>
            </w:pPr>
            <w:r>
              <w:rPr>
                <w:rFonts w:ascii="Courier New" w:cs="Courier New" w:eastAsia="Courier New" w:hAnsi="Courier New"/>
                <w:sz w:val="16"/>
                <w:szCs w:val="16"/>
                <w:color w:val="auto"/>
              </w:rPr>
              <w:t>Europe, Middle East and Africa</w:t>
            </w:r>
          </w:p>
        </w:tc>
      </w:tr>
      <w:tr>
        <w:trPr>
          <w:trHeight w:val="185"/>
        </w:trPr>
        <w:tc>
          <w:tcPr>
            <w:tcW w:w="3400" w:type="dxa"/>
            <w:vAlign w:val="bottom"/>
            <w:gridSpan w:val="2"/>
          </w:tcPr>
          <w:p>
            <w:pPr>
              <w:spacing w:after="0"/>
              <w:rPr>
                <w:sz w:val="20"/>
                <w:szCs w:val="20"/>
                <w:color w:val="auto"/>
              </w:rPr>
            </w:pPr>
            <w:r>
              <w:rPr>
                <w:rFonts w:ascii="Courier New" w:cs="Courier New" w:eastAsia="Courier New" w:hAnsi="Courier New"/>
                <w:sz w:val="16"/>
                <w:szCs w:val="16"/>
                <w:color w:val="auto"/>
              </w:rPr>
              <w:t>without charge after March 31,</w:t>
            </w:r>
          </w:p>
        </w:tc>
        <w:tc>
          <w:tcPr>
            <w:tcW w:w="3900" w:type="dxa"/>
            <w:vAlign w:val="bottom"/>
          </w:tcPr>
          <w:p>
            <w:pPr>
              <w:ind w:left="340"/>
              <w:spacing w:after="0"/>
              <w:rPr>
                <w:sz w:val="20"/>
                <w:szCs w:val="20"/>
                <w:color w:val="auto"/>
              </w:rPr>
            </w:pPr>
            <w:r>
              <w:rPr>
                <w:rFonts w:ascii="Courier New" w:cs="Courier New" w:eastAsia="Courier New" w:hAnsi="Courier New"/>
                <w:sz w:val="16"/>
                <w:szCs w:val="16"/>
                <w:color w:val="auto"/>
              </w:rPr>
              <w:t>Officer of Manpower Services</w:t>
            </w:r>
          </w:p>
        </w:tc>
        <w:tc>
          <w:tcPr>
            <w:tcW w:w="3840" w:type="dxa"/>
            <w:vAlign w:val="bottom"/>
          </w:tcPr>
          <w:p>
            <w:pPr>
              <w:ind w:left="480"/>
              <w:spacing w:after="0"/>
              <w:rPr>
                <w:sz w:val="20"/>
                <w:szCs w:val="20"/>
                <w:color w:val="auto"/>
              </w:rPr>
            </w:pPr>
            <w:r>
              <w:rPr>
                <w:rFonts w:ascii="Courier New" w:cs="Courier New" w:eastAsia="Courier New" w:hAnsi="Courier New"/>
                <w:sz w:val="16"/>
                <w:szCs w:val="16"/>
                <w:color w:val="auto"/>
              </w:rPr>
              <w:t>(Excluding France)</w:t>
            </w:r>
          </w:p>
        </w:tc>
      </w:tr>
      <w:tr>
        <w:trPr>
          <w:trHeight w:val="185"/>
        </w:trPr>
        <w:tc>
          <w:tcPr>
            <w:tcW w:w="3400" w:type="dxa"/>
            <w:vAlign w:val="bottom"/>
            <w:gridSpan w:val="2"/>
          </w:tcPr>
          <w:p>
            <w:pPr>
              <w:spacing w:after="0"/>
              <w:rPr>
                <w:sz w:val="20"/>
                <w:szCs w:val="20"/>
                <w:color w:val="auto"/>
              </w:rPr>
            </w:pPr>
            <w:r>
              <w:rPr>
                <w:rFonts w:ascii="Courier New" w:cs="Courier New" w:eastAsia="Courier New" w:hAnsi="Courier New"/>
                <w:sz w:val="16"/>
                <w:szCs w:val="16"/>
                <w:color w:val="auto"/>
              </w:rPr>
              <w:t>2001 by writing to:</w:t>
            </w:r>
          </w:p>
        </w:tc>
        <w:tc>
          <w:tcPr>
            <w:tcW w:w="3900" w:type="dxa"/>
            <w:vAlign w:val="bottom"/>
          </w:tcPr>
          <w:p>
            <w:pPr>
              <w:ind w:left="340"/>
              <w:spacing w:after="0"/>
              <w:rPr>
                <w:sz w:val="20"/>
                <w:szCs w:val="20"/>
                <w:color w:val="auto"/>
              </w:rPr>
            </w:pPr>
            <w:r>
              <w:rPr>
                <w:rFonts w:ascii="Courier New" w:cs="Courier New" w:eastAsia="Courier New" w:hAnsi="Courier New"/>
                <w:sz w:val="16"/>
                <w:szCs w:val="16"/>
                <w:color w:val="auto"/>
              </w:rPr>
              <w:t>(Toronto) Limited, formerly a</w:t>
            </w:r>
          </w:p>
        </w:tc>
        <w:tc>
          <w:tcPr>
            <w:tcW w:w="3840" w:type="dxa"/>
            <w:vAlign w:val="bottom"/>
          </w:tcPr>
          <w:p>
            <w:pPr>
              <w:spacing w:after="0"/>
              <w:rPr>
                <w:sz w:val="16"/>
                <w:szCs w:val="16"/>
                <w:color w:val="auto"/>
              </w:rPr>
            </w:pPr>
          </w:p>
        </w:tc>
      </w:tr>
      <w:tr>
        <w:trPr>
          <w:trHeight w:val="185"/>
        </w:trPr>
        <w:tc>
          <w:tcPr>
            <w:tcW w:w="14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900" w:type="dxa"/>
            <w:vAlign w:val="bottom"/>
          </w:tcPr>
          <w:p>
            <w:pPr>
              <w:ind w:left="340"/>
              <w:spacing w:after="0"/>
              <w:rPr>
                <w:sz w:val="20"/>
                <w:szCs w:val="20"/>
                <w:color w:val="auto"/>
              </w:rPr>
            </w:pPr>
            <w:r>
              <w:rPr>
                <w:rFonts w:ascii="Courier New" w:cs="Courier New" w:eastAsia="Courier New" w:hAnsi="Courier New"/>
                <w:sz w:val="16"/>
                <w:szCs w:val="16"/>
                <w:color w:val="auto"/>
              </w:rPr>
              <w:t>Company franchise</w:t>
            </w:r>
          </w:p>
        </w:tc>
        <w:tc>
          <w:tcPr>
            <w:tcW w:w="3840" w:type="dxa"/>
            <w:vAlign w:val="bottom"/>
          </w:tcPr>
          <w:p>
            <w:pPr>
              <w:ind w:left="480"/>
              <w:spacing w:after="0"/>
              <w:rPr>
                <w:sz w:val="20"/>
                <w:szCs w:val="20"/>
                <w:color w:val="auto"/>
              </w:rPr>
            </w:pPr>
            <w:r>
              <w:rPr>
                <w:rFonts w:ascii="Courier New" w:cs="Courier New" w:eastAsia="Courier New" w:hAnsi="Courier New"/>
                <w:sz w:val="16"/>
                <w:szCs w:val="16"/>
                <w:color w:val="auto"/>
              </w:rPr>
              <w:t>Dominique Turcq</w:t>
            </w:r>
          </w:p>
        </w:tc>
      </w:tr>
      <w:tr>
        <w:trPr>
          <w:trHeight w:val="185"/>
        </w:trPr>
        <w:tc>
          <w:tcPr>
            <w:tcW w:w="3400" w:type="dxa"/>
            <w:vAlign w:val="bottom"/>
            <w:gridSpan w:val="2"/>
          </w:tcPr>
          <w:p>
            <w:pPr>
              <w:spacing w:after="0"/>
              <w:rPr>
                <w:sz w:val="20"/>
                <w:szCs w:val="20"/>
                <w:color w:val="auto"/>
              </w:rPr>
            </w:pPr>
            <w:r>
              <w:rPr>
                <w:rFonts w:ascii="Courier New" w:cs="Courier New" w:eastAsia="Courier New" w:hAnsi="Courier New"/>
                <w:sz w:val="16"/>
                <w:szCs w:val="16"/>
                <w:color w:val="auto"/>
              </w:rPr>
              <w:t>Michael J. Van Handel</w:t>
            </w:r>
          </w:p>
        </w:tc>
        <w:tc>
          <w:tcPr>
            <w:tcW w:w="3900" w:type="dxa"/>
            <w:vAlign w:val="bottom"/>
          </w:tcPr>
          <w:p>
            <w:pPr>
              <w:spacing w:after="0"/>
              <w:rPr>
                <w:sz w:val="16"/>
                <w:szCs w:val="16"/>
                <w:color w:val="auto"/>
              </w:rPr>
            </w:pPr>
          </w:p>
        </w:tc>
        <w:tc>
          <w:tcPr>
            <w:tcW w:w="3840" w:type="dxa"/>
            <w:vAlign w:val="bottom"/>
          </w:tcPr>
          <w:p>
            <w:pPr>
              <w:ind w:left="480"/>
              <w:spacing w:after="0"/>
              <w:rPr>
                <w:sz w:val="20"/>
                <w:szCs w:val="20"/>
                <w:color w:val="auto"/>
              </w:rPr>
            </w:pPr>
            <w:r>
              <w:rPr>
                <w:rFonts w:ascii="Courier New" w:cs="Courier New" w:eastAsia="Courier New" w:hAnsi="Courier New"/>
                <w:sz w:val="16"/>
                <w:szCs w:val="16"/>
                <w:color w:val="auto"/>
              </w:rPr>
              <w:t>Senior Vice President</w:t>
            </w:r>
          </w:p>
        </w:tc>
      </w:tr>
      <w:tr>
        <w:trPr>
          <w:trHeight w:val="185"/>
        </w:trPr>
        <w:tc>
          <w:tcPr>
            <w:tcW w:w="1440" w:type="dxa"/>
            <w:vAlign w:val="bottom"/>
          </w:tcPr>
          <w:p>
            <w:pPr>
              <w:spacing w:after="0"/>
              <w:rPr>
                <w:sz w:val="20"/>
                <w:szCs w:val="20"/>
                <w:color w:val="auto"/>
              </w:rPr>
            </w:pPr>
            <w:r>
              <w:rPr>
                <w:rFonts w:ascii="Courier New" w:cs="Courier New" w:eastAsia="Courier New" w:hAnsi="Courier New"/>
                <w:sz w:val="16"/>
                <w:szCs w:val="16"/>
                <w:color w:val="auto"/>
              </w:rPr>
              <w:t>Manpower Inc.</w:t>
            </w:r>
          </w:p>
        </w:tc>
        <w:tc>
          <w:tcPr>
            <w:tcW w:w="1960" w:type="dxa"/>
            <w:vAlign w:val="bottom"/>
          </w:tcPr>
          <w:p>
            <w:pPr>
              <w:spacing w:after="0"/>
              <w:rPr>
                <w:sz w:val="16"/>
                <w:szCs w:val="16"/>
                <w:color w:val="auto"/>
              </w:rPr>
            </w:pPr>
          </w:p>
        </w:tc>
        <w:tc>
          <w:tcPr>
            <w:tcW w:w="3900" w:type="dxa"/>
            <w:vAlign w:val="bottom"/>
          </w:tcPr>
          <w:p>
            <w:pPr>
              <w:ind w:left="340"/>
              <w:spacing w:after="0"/>
              <w:rPr>
                <w:sz w:val="20"/>
                <w:szCs w:val="20"/>
                <w:color w:val="auto"/>
              </w:rPr>
            </w:pPr>
            <w:r>
              <w:rPr>
                <w:rFonts w:ascii="Courier New" w:cs="Courier New" w:eastAsia="Courier New" w:hAnsi="Courier New"/>
                <w:sz w:val="16"/>
                <w:szCs w:val="16"/>
                <w:color w:val="auto"/>
              </w:rPr>
              <w:t>J. Ira Harris</w:t>
            </w:r>
          </w:p>
        </w:tc>
        <w:tc>
          <w:tcPr>
            <w:tcW w:w="3840" w:type="dxa"/>
            <w:vAlign w:val="bottom"/>
          </w:tcPr>
          <w:p>
            <w:pPr>
              <w:ind w:left="480"/>
              <w:spacing w:after="0"/>
              <w:rPr>
                <w:sz w:val="20"/>
                <w:szCs w:val="20"/>
                <w:color w:val="auto"/>
              </w:rPr>
            </w:pPr>
            <w:r>
              <w:rPr>
                <w:rFonts w:ascii="Courier New" w:cs="Courier New" w:eastAsia="Courier New" w:hAnsi="Courier New"/>
                <w:sz w:val="16"/>
                <w:szCs w:val="16"/>
                <w:color w:val="auto"/>
              </w:rPr>
              <w:t>Strategic Planning</w:t>
            </w:r>
          </w:p>
        </w:tc>
      </w:tr>
      <w:tr>
        <w:trPr>
          <w:trHeight w:val="185"/>
        </w:trPr>
        <w:tc>
          <w:tcPr>
            <w:tcW w:w="1440" w:type="dxa"/>
            <w:vAlign w:val="bottom"/>
          </w:tcPr>
          <w:p>
            <w:pPr>
              <w:spacing w:after="0"/>
              <w:rPr>
                <w:sz w:val="20"/>
                <w:szCs w:val="20"/>
                <w:color w:val="auto"/>
              </w:rPr>
            </w:pPr>
            <w:r>
              <w:rPr>
                <w:rFonts w:ascii="Courier New" w:cs="Courier New" w:eastAsia="Courier New" w:hAnsi="Courier New"/>
                <w:sz w:val="16"/>
                <w:szCs w:val="16"/>
                <w:color w:val="auto"/>
              </w:rPr>
              <w:t>P.O. Box 2053</w:t>
            </w:r>
          </w:p>
        </w:tc>
        <w:tc>
          <w:tcPr>
            <w:tcW w:w="1960" w:type="dxa"/>
            <w:vAlign w:val="bottom"/>
          </w:tcPr>
          <w:p>
            <w:pPr>
              <w:spacing w:after="0"/>
              <w:rPr>
                <w:sz w:val="16"/>
                <w:szCs w:val="16"/>
                <w:color w:val="auto"/>
              </w:rPr>
            </w:pPr>
          </w:p>
        </w:tc>
        <w:tc>
          <w:tcPr>
            <w:tcW w:w="3900" w:type="dxa"/>
            <w:vAlign w:val="bottom"/>
          </w:tcPr>
          <w:p>
            <w:pPr>
              <w:ind w:left="340"/>
              <w:spacing w:after="0"/>
              <w:rPr>
                <w:sz w:val="20"/>
                <w:szCs w:val="20"/>
                <w:color w:val="auto"/>
              </w:rPr>
            </w:pPr>
            <w:r>
              <w:rPr>
                <w:rFonts w:ascii="Courier New" w:cs="Courier New" w:eastAsia="Courier New" w:hAnsi="Courier New"/>
                <w:sz w:val="16"/>
                <w:szCs w:val="16"/>
                <w:color w:val="auto"/>
              </w:rPr>
              <w:t>Chairman of J.I. Harris &amp;</w:t>
            </w:r>
          </w:p>
        </w:tc>
        <w:tc>
          <w:tcPr>
            <w:tcW w:w="3840" w:type="dxa"/>
            <w:vAlign w:val="bottom"/>
          </w:tcPr>
          <w:p>
            <w:pPr>
              <w:spacing w:after="0"/>
              <w:rPr>
                <w:sz w:val="16"/>
                <w:szCs w:val="16"/>
                <w:color w:val="auto"/>
              </w:rPr>
            </w:pPr>
          </w:p>
        </w:tc>
      </w:tr>
      <w:tr>
        <w:trPr>
          <w:trHeight w:val="185"/>
        </w:trPr>
        <w:tc>
          <w:tcPr>
            <w:tcW w:w="14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900" w:type="dxa"/>
            <w:vAlign w:val="bottom"/>
          </w:tcPr>
          <w:p>
            <w:pPr>
              <w:ind w:left="340"/>
              <w:spacing w:after="0"/>
              <w:rPr>
                <w:sz w:val="20"/>
                <w:szCs w:val="20"/>
                <w:color w:val="auto"/>
              </w:rPr>
            </w:pPr>
            <w:r>
              <w:rPr>
                <w:rFonts w:ascii="Courier New" w:cs="Courier New" w:eastAsia="Courier New" w:hAnsi="Courier New"/>
                <w:sz w:val="16"/>
                <w:szCs w:val="16"/>
                <w:color w:val="auto"/>
              </w:rPr>
              <w:t>Associates and Vice Chairman of</w:t>
            </w:r>
          </w:p>
        </w:tc>
        <w:tc>
          <w:tcPr>
            <w:tcW w:w="3840" w:type="dxa"/>
            <w:vAlign w:val="bottom"/>
          </w:tcPr>
          <w:p>
            <w:pPr>
              <w:ind w:left="480"/>
              <w:spacing w:after="0"/>
              <w:rPr>
                <w:sz w:val="20"/>
                <w:szCs w:val="20"/>
                <w:color w:val="auto"/>
              </w:rPr>
            </w:pPr>
            <w:r>
              <w:rPr>
                <w:rFonts w:ascii="Courier New" w:cs="Courier New" w:eastAsia="Courier New" w:hAnsi="Courier New"/>
                <w:sz w:val="16"/>
                <w:szCs w:val="16"/>
                <w:color w:val="auto"/>
              </w:rPr>
              <w:t>David Arkless</w:t>
            </w:r>
          </w:p>
        </w:tc>
      </w:tr>
      <w:tr>
        <w:trPr>
          <w:trHeight w:val="185"/>
        </w:trPr>
        <w:tc>
          <w:tcPr>
            <w:tcW w:w="3400" w:type="dxa"/>
            <w:vAlign w:val="bottom"/>
            <w:gridSpan w:val="2"/>
          </w:tcPr>
          <w:p>
            <w:pPr>
              <w:spacing w:after="0"/>
              <w:rPr>
                <w:sz w:val="20"/>
                <w:szCs w:val="20"/>
                <w:color w:val="auto"/>
              </w:rPr>
            </w:pPr>
            <w:r>
              <w:rPr>
                <w:rFonts w:ascii="Courier New" w:cs="Courier New" w:eastAsia="Courier New" w:hAnsi="Courier New"/>
                <w:sz w:val="16"/>
                <w:szCs w:val="16"/>
                <w:color w:val="auto"/>
              </w:rPr>
              <w:t>5301 N. Ironwood Rd.</w:t>
            </w:r>
          </w:p>
        </w:tc>
        <w:tc>
          <w:tcPr>
            <w:tcW w:w="3900" w:type="dxa"/>
            <w:vAlign w:val="bottom"/>
          </w:tcPr>
          <w:p>
            <w:pPr>
              <w:ind w:left="340"/>
              <w:spacing w:after="0"/>
              <w:rPr>
                <w:sz w:val="20"/>
                <w:szCs w:val="20"/>
                <w:color w:val="auto"/>
              </w:rPr>
            </w:pPr>
            <w:r>
              <w:rPr>
                <w:rFonts w:ascii="Courier New" w:cs="Courier New" w:eastAsia="Courier New" w:hAnsi="Courier New"/>
                <w:sz w:val="16"/>
                <w:szCs w:val="16"/>
                <w:color w:val="auto"/>
              </w:rPr>
              <w:t>The Pritzker Organization, L.L.C.</w:t>
            </w:r>
          </w:p>
        </w:tc>
        <w:tc>
          <w:tcPr>
            <w:tcW w:w="3840" w:type="dxa"/>
            <w:vAlign w:val="bottom"/>
          </w:tcPr>
          <w:p>
            <w:pPr>
              <w:ind w:left="480"/>
              <w:spacing w:after="0"/>
              <w:rPr>
                <w:sz w:val="20"/>
                <w:szCs w:val="20"/>
                <w:color w:val="auto"/>
              </w:rPr>
            </w:pPr>
            <w:r>
              <w:rPr>
                <w:rFonts w:ascii="Courier New" w:cs="Courier New" w:eastAsia="Courier New" w:hAnsi="Courier New"/>
                <w:sz w:val="16"/>
                <w:szCs w:val="16"/>
                <w:color w:val="auto"/>
              </w:rPr>
              <w:t>Senior Vice President</w:t>
            </w:r>
          </w:p>
        </w:tc>
      </w:tr>
      <w:tr>
        <w:trPr>
          <w:trHeight w:val="185"/>
        </w:trPr>
        <w:tc>
          <w:tcPr>
            <w:tcW w:w="1440" w:type="dxa"/>
            <w:vAlign w:val="bottom"/>
          </w:tcPr>
          <w:p>
            <w:pPr>
              <w:spacing w:after="0"/>
              <w:rPr>
                <w:sz w:val="20"/>
                <w:szCs w:val="20"/>
                <w:color w:val="auto"/>
              </w:rPr>
            </w:pPr>
            <w:r>
              <w:rPr>
                <w:rFonts w:ascii="Courier New" w:cs="Courier New" w:eastAsia="Courier New" w:hAnsi="Courier New"/>
                <w:sz w:val="16"/>
                <w:szCs w:val="16"/>
                <w:color w:val="auto"/>
              </w:rPr>
              <w:t>Milwaukee, WI</w:t>
            </w:r>
          </w:p>
        </w:tc>
        <w:tc>
          <w:tcPr>
            <w:tcW w:w="1960" w:type="dxa"/>
            <w:vAlign w:val="bottom"/>
          </w:tcPr>
          <w:p>
            <w:pPr>
              <w:jc w:val="right"/>
              <w:ind w:right="1400"/>
              <w:spacing w:after="0"/>
              <w:rPr>
                <w:sz w:val="20"/>
                <w:szCs w:val="20"/>
                <w:color w:val="auto"/>
              </w:rPr>
            </w:pPr>
            <w:r>
              <w:rPr>
                <w:rFonts w:ascii="Courier New" w:cs="Courier New" w:eastAsia="Courier New" w:hAnsi="Courier New"/>
                <w:sz w:val="16"/>
                <w:szCs w:val="16"/>
                <w:color w:val="auto"/>
                <w:w w:val="95"/>
              </w:rPr>
              <w:t>53201</w:t>
            </w:r>
          </w:p>
        </w:tc>
        <w:tc>
          <w:tcPr>
            <w:tcW w:w="3900" w:type="dxa"/>
            <w:vAlign w:val="bottom"/>
          </w:tcPr>
          <w:p>
            <w:pPr>
              <w:spacing w:after="0"/>
              <w:rPr>
                <w:sz w:val="16"/>
                <w:szCs w:val="16"/>
                <w:color w:val="auto"/>
              </w:rPr>
            </w:pPr>
          </w:p>
        </w:tc>
        <w:tc>
          <w:tcPr>
            <w:tcW w:w="3840" w:type="dxa"/>
            <w:vAlign w:val="bottom"/>
          </w:tcPr>
          <w:p>
            <w:pPr>
              <w:spacing w:after="0"/>
              <w:rPr>
                <w:sz w:val="16"/>
                <w:szCs w:val="16"/>
                <w:color w:val="auto"/>
              </w:rPr>
            </w:pPr>
          </w:p>
        </w:tc>
      </w:tr>
      <w:tr>
        <w:trPr>
          <w:trHeight w:val="185"/>
        </w:trPr>
        <w:tc>
          <w:tcPr>
            <w:tcW w:w="14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840" w:type="dxa"/>
            <w:vAlign w:val="bottom"/>
          </w:tcPr>
          <w:p>
            <w:pPr>
              <w:ind w:left="480"/>
              <w:spacing w:after="0"/>
              <w:rPr>
                <w:sz w:val="20"/>
                <w:szCs w:val="20"/>
                <w:color w:val="auto"/>
              </w:rPr>
            </w:pPr>
            <w:r>
              <w:rPr>
                <w:rFonts w:ascii="Courier New" w:cs="Courier New" w:eastAsia="Courier New" w:hAnsi="Courier New"/>
                <w:sz w:val="16"/>
                <w:szCs w:val="16"/>
                <w:color w:val="auto"/>
              </w:rPr>
              <w:t>Manpower Inc. and</w:t>
            </w:r>
          </w:p>
        </w:tc>
      </w:tr>
      <w:tr>
        <w:trPr>
          <w:trHeight w:val="185"/>
        </w:trPr>
        <w:tc>
          <w:tcPr>
            <w:tcW w:w="3400" w:type="dxa"/>
            <w:vAlign w:val="bottom"/>
            <w:gridSpan w:val="2"/>
          </w:tcPr>
          <w:p>
            <w:pPr>
              <w:spacing w:after="0"/>
              <w:rPr>
                <w:sz w:val="20"/>
                <w:szCs w:val="20"/>
                <w:color w:val="auto"/>
              </w:rPr>
            </w:pPr>
            <w:r>
              <w:rPr>
                <w:rFonts w:ascii="Courier New" w:cs="Courier New" w:eastAsia="Courier New" w:hAnsi="Courier New"/>
                <w:sz w:val="16"/>
                <w:szCs w:val="16"/>
                <w:color w:val="auto"/>
              </w:rPr>
              <w:t>Annual Meeting of Shareholders</w:t>
            </w:r>
          </w:p>
        </w:tc>
        <w:tc>
          <w:tcPr>
            <w:tcW w:w="3900" w:type="dxa"/>
            <w:vAlign w:val="bottom"/>
          </w:tcPr>
          <w:p>
            <w:pPr>
              <w:ind w:left="340"/>
              <w:spacing w:after="0"/>
              <w:rPr>
                <w:sz w:val="20"/>
                <w:szCs w:val="20"/>
                <w:color w:val="auto"/>
              </w:rPr>
            </w:pPr>
            <w:r>
              <w:rPr>
                <w:rFonts w:ascii="Courier New" w:cs="Courier New" w:eastAsia="Courier New" w:hAnsi="Courier New"/>
                <w:sz w:val="16"/>
                <w:szCs w:val="16"/>
                <w:color w:val="auto"/>
              </w:rPr>
              <w:t>Terry A. Hueneke</w:t>
            </w:r>
          </w:p>
        </w:tc>
        <w:tc>
          <w:tcPr>
            <w:tcW w:w="3840" w:type="dxa"/>
            <w:vAlign w:val="bottom"/>
          </w:tcPr>
          <w:p>
            <w:pPr>
              <w:ind w:left="480"/>
              <w:spacing w:after="0"/>
              <w:rPr>
                <w:sz w:val="20"/>
                <w:szCs w:val="20"/>
                <w:color w:val="auto"/>
              </w:rPr>
            </w:pPr>
            <w:r>
              <w:rPr>
                <w:rFonts w:ascii="Courier New" w:cs="Courier New" w:eastAsia="Courier New" w:hAnsi="Courier New"/>
                <w:sz w:val="16"/>
                <w:szCs w:val="16"/>
                <w:color w:val="auto"/>
              </w:rPr>
              <w:t>Chief Executive</w:t>
            </w:r>
          </w:p>
        </w:tc>
      </w:tr>
      <w:tr>
        <w:trPr>
          <w:trHeight w:val="185"/>
        </w:trPr>
        <w:tc>
          <w:tcPr>
            <w:tcW w:w="1440" w:type="dxa"/>
            <w:vAlign w:val="bottom"/>
          </w:tcPr>
          <w:p>
            <w:pPr>
              <w:spacing w:after="0"/>
              <w:rPr>
                <w:sz w:val="20"/>
                <w:szCs w:val="20"/>
                <w:color w:val="auto"/>
              </w:rPr>
            </w:pPr>
            <w:r>
              <w:rPr>
                <w:rFonts w:ascii="Courier New" w:cs="Courier New" w:eastAsia="Courier New" w:hAnsi="Courier New"/>
                <w:sz w:val="16"/>
                <w:szCs w:val="16"/>
                <w:color w:val="auto"/>
              </w:rPr>
              <w:t>May 1, 2001</w:t>
            </w:r>
          </w:p>
        </w:tc>
        <w:tc>
          <w:tcPr>
            <w:tcW w:w="1960" w:type="dxa"/>
            <w:vAlign w:val="bottom"/>
          </w:tcPr>
          <w:p>
            <w:pPr>
              <w:spacing w:after="0"/>
              <w:rPr>
                <w:sz w:val="16"/>
                <w:szCs w:val="16"/>
                <w:color w:val="auto"/>
              </w:rPr>
            </w:pPr>
          </w:p>
        </w:tc>
        <w:tc>
          <w:tcPr>
            <w:tcW w:w="3900" w:type="dxa"/>
            <w:vAlign w:val="bottom"/>
          </w:tcPr>
          <w:p>
            <w:pPr>
              <w:ind w:left="340"/>
              <w:spacing w:after="0"/>
              <w:rPr>
                <w:sz w:val="20"/>
                <w:szCs w:val="20"/>
                <w:color w:val="auto"/>
              </w:rPr>
            </w:pPr>
            <w:r>
              <w:rPr>
                <w:rFonts w:ascii="Courier New" w:cs="Courier New" w:eastAsia="Courier New" w:hAnsi="Courier New"/>
                <w:sz w:val="16"/>
                <w:szCs w:val="16"/>
                <w:color w:val="auto"/>
              </w:rPr>
              <w:t>Executive Vice President</w:t>
            </w:r>
          </w:p>
        </w:tc>
        <w:tc>
          <w:tcPr>
            <w:tcW w:w="3840" w:type="dxa"/>
            <w:vAlign w:val="bottom"/>
          </w:tcPr>
          <w:p>
            <w:pPr>
              <w:ind w:left="480"/>
              <w:spacing w:after="0"/>
              <w:rPr>
                <w:sz w:val="20"/>
                <w:szCs w:val="20"/>
                <w:color w:val="auto"/>
              </w:rPr>
            </w:pPr>
            <w:r>
              <w:rPr>
                <w:rFonts w:ascii="Courier New" w:cs="Courier New" w:eastAsia="Courier New" w:hAnsi="Courier New"/>
                <w:sz w:val="16"/>
                <w:szCs w:val="16"/>
                <w:color w:val="auto"/>
              </w:rPr>
              <w:t>The Empower Group</w:t>
            </w:r>
          </w:p>
        </w:tc>
      </w:tr>
      <w:tr>
        <w:trPr>
          <w:trHeight w:val="185"/>
        </w:trPr>
        <w:tc>
          <w:tcPr>
            <w:tcW w:w="1440" w:type="dxa"/>
            <w:vAlign w:val="bottom"/>
          </w:tcPr>
          <w:p>
            <w:pPr>
              <w:spacing w:after="0"/>
              <w:rPr>
                <w:sz w:val="20"/>
                <w:szCs w:val="20"/>
                <w:color w:val="auto"/>
              </w:rPr>
            </w:pPr>
            <w:r>
              <w:rPr>
                <w:rFonts w:ascii="Courier New" w:cs="Courier New" w:eastAsia="Courier New" w:hAnsi="Courier New"/>
                <w:sz w:val="16"/>
                <w:szCs w:val="16"/>
                <w:color w:val="auto"/>
              </w:rPr>
              <w:t>10:00 a.m.</w:t>
            </w:r>
          </w:p>
        </w:tc>
        <w:tc>
          <w:tcPr>
            <w:tcW w:w="1960" w:type="dxa"/>
            <w:vAlign w:val="bottom"/>
          </w:tcPr>
          <w:p>
            <w:pPr>
              <w:spacing w:after="0"/>
              <w:rPr>
                <w:sz w:val="16"/>
                <w:szCs w:val="16"/>
                <w:color w:val="auto"/>
              </w:rPr>
            </w:pPr>
          </w:p>
        </w:tc>
        <w:tc>
          <w:tcPr>
            <w:tcW w:w="3900" w:type="dxa"/>
            <w:vAlign w:val="bottom"/>
          </w:tcPr>
          <w:p>
            <w:pPr>
              <w:ind w:left="340"/>
              <w:spacing w:after="0"/>
              <w:rPr>
                <w:sz w:val="20"/>
                <w:szCs w:val="20"/>
                <w:color w:val="auto"/>
              </w:rPr>
            </w:pPr>
            <w:r>
              <w:rPr>
                <w:rFonts w:ascii="Courier New" w:cs="Courier New" w:eastAsia="Courier New" w:hAnsi="Courier New"/>
                <w:sz w:val="16"/>
                <w:szCs w:val="16"/>
                <w:color w:val="auto"/>
              </w:rPr>
              <w:t>Manpower Inc.</w:t>
            </w:r>
          </w:p>
        </w:tc>
        <w:tc>
          <w:tcPr>
            <w:tcW w:w="3840" w:type="dxa"/>
            <w:vAlign w:val="bottom"/>
          </w:tcPr>
          <w:p>
            <w:pPr>
              <w:spacing w:after="0"/>
              <w:rPr>
                <w:sz w:val="16"/>
                <w:szCs w:val="16"/>
                <w:color w:val="auto"/>
              </w:rPr>
            </w:pPr>
          </w:p>
        </w:tc>
      </w:tr>
      <w:tr>
        <w:trPr>
          <w:trHeight w:val="185"/>
        </w:trPr>
        <w:tc>
          <w:tcPr>
            <w:tcW w:w="14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840" w:type="dxa"/>
            <w:vAlign w:val="bottom"/>
          </w:tcPr>
          <w:p>
            <w:pPr>
              <w:ind w:left="480"/>
              <w:spacing w:after="0"/>
              <w:rPr>
                <w:sz w:val="20"/>
                <w:szCs w:val="20"/>
                <w:color w:val="auto"/>
              </w:rPr>
            </w:pPr>
            <w:r>
              <w:rPr>
                <w:rFonts w:ascii="Courier New" w:cs="Courier New" w:eastAsia="Courier New" w:hAnsi="Courier New"/>
                <w:sz w:val="16"/>
                <w:szCs w:val="16"/>
                <w:color w:val="auto"/>
              </w:rPr>
              <w:t>Tammy Johns</w:t>
            </w:r>
          </w:p>
        </w:tc>
      </w:tr>
      <w:tr>
        <w:trPr>
          <w:trHeight w:val="185"/>
        </w:trPr>
        <w:tc>
          <w:tcPr>
            <w:tcW w:w="3400" w:type="dxa"/>
            <w:vAlign w:val="bottom"/>
            <w:gridSpan w:val="2"/>
          </w:tcPr>
          <w:p>
            <w:pPr>
              <w:spacing w:after="0"/>
              <w:rPr>
                <w:sz w:val="20"/>
                <w:szCs w:val="20"/>
                <w:color w:val="auto"/>
              </w:rPr>
            </w:pPr>
            <w:r>
              <w:rPr>
                <w:rFonts w:ascii="Courier New" w:cs="Courier New" w:eastAsia="Courier New" w:hAnsi="Courier New"/>
                <w:sz w:val="16"/>
                <w:szCs w:val="16"/>
                <w:color w:val="auto"/>
              </w:rPr>
              <w:t>Marcus Center for the</w:t>
            </w:r>
          </w:p>
        </w:tc>
        <w:tc>
          <w:tcPr>
            <w:tcW w:w="3900" w:type="dxa"/>
            <w:vAlign w:val="bottom"/>
          </w:tcPr>
          <w:p>
            <w:pPr>
              <w:ind w:left="340"/>
              <w:spacing w:after="0"/>
              <w:rPr>
                <w:sz w:val="20"/>
                <w:szCs w:val="20"/>
                <w:color w:val="auto"/>
              </w:rPr>
            </w:pPr>
            <w:r>
              <w:rPr>
                <w:rFonts w:ascii="Courier New" w:cs="Courier New" w:eastAsia="Courier New" w:hAnsi="Courier New"/>
                <w:sz w:val="16"/>
                <w:szCs w:val="16"/>
                <w:color w:val="auto"/>
              </w:rPr>
              <w:t>Newton N. Minow</w:t>
            </w:r>
          </w:p>
        </w:tc>
        <w:tc>
          <w:tcPr>
            <w:tcW w:w="3840" w:type="dxa"/>
            <w:vAlign w:val="bottom"/>
          </w:tcPr>
          <w:p>
            <w:pPr>
              <w:ind w:left="480"/>
              <w:spacing w:after="0"/>
              <w:rPr>
                <w:sz w:val="20"/>
                <w:szCs w:val="20"/>
                <w:color w:val="auto"/>
              </w:rPr>
            </w:pPr>
            <w:r>
              <w:rPr>
                <w:rFonts w:ascii="Courier New" w:cs="Courier New" w:eastAsia="Courier New" w:hAnsi="Courier New"/>
                <w:sz w:val="16"/>
                <w:szCs w:val="16"/>
                <w:color w:val="auto"/>
              </w:rPr>
              <w:t>Vice President</w:t>
            </w:r>
          </w:p>
        </w:tc>
      </w:tr>
      <w:tr>
        <w:trPr>
          <w:trHeight w:val="185"/>
        </w:trPr>
        <w:tc>
          <w:tcPr>
            <w:tcW w:w="1440" w:type="dxa"/>
            <w:vAlign w:val="bottom"/>
          </w:tcPr>
          <w:p>
            <w:pPr>
              <w:spacing w:after="0"/>
              <w:rPr>
                <w:sz w:val="20"/>
                <w:szCs w:val="20"/>
                <w:color w:val="auto"/>
              </w:rPr>
            </w:pPr>
            <w:r>
              <w:rPr>
                <w:rFonts w:ascii="Courier New" w:cs="Courier New" w:eastAsia="Courier New" w:hAnsi="Courier New"/>
                <w:sz w:val="16"/>
                <w:szCs w:val="16"/>
                <w:color w:val="auto"/>
                <w:w w:val="98"/>
              </w:rPr>
              <w:t>Performing Arts</w:t>
            </w:r>
          </w:p>
        </w:tc>
        <w:tc>
          <w:tcPr>
            <w:tcW w:w="1960" w:type="dxa"/>
            <w:vAlign w:val="bottom"/>
          </w:tcPr>
          <w:p>
            <w:pPr>
              <w:spacing w:after="0"/>
              <w:rPr>
                <w:sz w:val="16"/>
                <w:szCs w:val="16"/>
                <w:color w:val="auto"/>
              </w:rPr>
            </w:pPr>
          </w:p>
        </w:tc>
        <w:tc>
          <w:tcPr>
            <w:tcW w:w="3900" w:type="dxa"/>
            <w:vAlign w:val="bottom"/>
          </w:tcPr>
          <w:p>
            <w:pPr>
              <w:ind w:left="340"/>
              <w:spacing w:after="0"/>
              <w:rPr>
                <w:sz w:val="20"/>
                <w:szCs w:val="20"/>
                <w:color w:val="auto"/>
              </w:rPr>
            </w:pPr>
            <w:r>
              <w:rPr>
                <w:rFonts w:ascii="Courier New" w:cs="Courier New" w:eastAsia="Courier New" w:hAnsi="Courier New"/>
                <w:sz w:val="16"/>
                <w:szCs w:val="16"/>
                <w:color w:val="auto"/>
              </w:rPr>
              <w:t>Counsel and former Partner</w:t>
            </w:r>
          </w:p>
        </w:tc>
        <w:tc>
          <w:tcPr>
            <w:tcW w:w="3840" w:type="dxa"/>
            <w:vAlign w:val="bottom"/>
          </w:tcPr>
          <w:p>
            <w:pPr>
              <w:ind w:left="480"/>
              <w:spacing w:after="0"/>
              <w:rPr>
                <w:sz w:val="20"/>
                <w:szCs w:val="20"/>
                <w:color w:val="auto"/>
              </w:rPr>
            </w:pPr>
            <w:r>
              <w:rPr>
                <w:rFonts w:ascii="Courier New" w:cs="Courier New" w:eastAsia="Courier New" w:hAnsi="Courier New"/>
                <w:sz w:val="16"/>
                <w:szCs w:val="16"/>
                <w:color w:val="auto"/>
              </w:rPr>
              <w:t>Global Accounts and Chairman</w:t>
            </w:r>
          </w:p>
        </w:tc>
      </w:tr>
      <w:tr>
        <w:trPr>
          <w:trHeight w:val="185"/>
        </w:trPr>
        <w:tc>
          <w:tcPr>
            <w:tcW w:w="3400" w:type="dxa"/>
            <w:vAlign w:val="bottom"/>
            <w:gridSpan w:val="2"/>
          </w:tcPr>
          <w:p>
            <w:pPr>
              <w:spacing w:after="0"/>
              <w:rPr>
                <w:sz w:val="20"/>
                <w:szCs w:val="20"/>
                <w:color w:val="auto"/>
              </w:rPr>
            </w:pPr>
            <w:r>
              <w:rPr>
                <w:rFonts w:ascii="Courier New" w:cs="Courier New" w:eastAsia="Courier New" w:hAnsi="Courier New"/>
                <w:sz w:val="16"/>
                <w:szCs w:val="16"/>
                <w:color w:val="auto"/>
              </w:rPr>
              <w:t>929 N. Water St.</w:t>
            </w:r>
          </w:p>
        </w:tc>
        <w:tc>
          <w:tcPr>
            <w:tcW w:w="3900" w:type="dxa"/>
            <w:vAlign w:val="bottom"/>
          </w:tcPr>
          <w:p>
            <w:pPr>
              <w:ind w:left="340"/>
              <w:spacing w:after="0"/>
              <w:rPr>
                <w:sz w:val="20"/>
                <w:szCs w:val="20"/>
                <w:color w:val="auto"/>
              </w:rPr>
            </w:pPr>
            <w:r>
              <w:rPr>
                <w:rFonts w:ascii="Courier New" w:cs="Courier New" w:eastAsia="Courier New" w:hAnsi="Courier New"/>
                <w:sz w:val="16"/>
                <w:szCs w:val="16"/>
                <w:color w:val="auto"/>
              </w:rPr>
              <w:t>of Sidley &amp; Austin</w:t>
            </w:r>
          </w:p>
        </w:tc>
        <w:tc>
          <w:tcPr>
            <w:tcW w:w="3840" w:type="dxa"/>
            <w:vAlign w:val="bottom"/>
          </w:tcPr>
          <w:p>
            <w:pPr>
              <w:ind w:left="480"/>
              <w:spacing w:after="0"/>
              <w:rPr>
                <w:sz w:val="20"/>
                <w:szCs w:val="20"/>
                <w:color w:val="auto"/>
              </w:rPr>
            </w:pPr>
            <w:r>
              <w:rPr>
                <w:rFonts w:ascii="Courier New" w:cs="Courier New" w:eastAsia="Courier New" w:hAnsi="Courier New"/>
                <w:sz w:val="16"/>
                <w:szCs w:val="16"/>
                <w:color w:val="auto"/>
              </w:rPr>
              <w:t>Canadian Operations</w:t>
            </w:r>
          </w:p>
        </w:tc>
      </w:tr>
      <w:tr>
        <w:trPr>
          <w:trHeight w:val="185"/>
        </w:trPr>
        <w:tc>
          <w:tcPr>
            <w:tcW w:w="1440" w:type="dxa"/>
            <w:vAlign w:val="bottom"/>
          </w:tcPr>
          <w:p>
            <w:pPr>
              <w:spacing w:after="0"/>
              <w:rPr>
                <w:sz w:val="20"/>
                <w:szCs w:val="20"/>
                <w:color w:val="auto"/>
              </w:rPr>
            </w:pPr>
            <w:r>
              <w:rPr>
                <w:rFonts w:ascii="Courier New" w:cs="Courier New" w:eastAsia="Courier New" w:hAnsi="Courier New"/>
                <w:sz w:val="16"/>
                <w:szCs w:val="16"/>
                <w:color w:val="auto"/>
              </w:rPr>
              <w:t>Milwaukee, WI</w:t>
            </w:r>
          </w:p>
        </w:tc>
        <w:tc>
          <w:tcPr>
            <w:tcW w:w="1960" w:type="dxa"/>
            <w:vAlign w:val="bottom"/>
          </w:tcPr>
          <w:p>
            <w:pPr>
              <w:jc w:val="right"/>
              <w:ind w:right="1400"/>
              <w:spacing w:after="0"/>
              <w:rPr>
                <w:sz w:val="20"/>
                <w:szCs w:val="20"/>
                <w:color w:val="auto"/>
              </w:rPr>
            </w:pPr>
            <w:r>
              <w:rPr>
                <w:rFonts w:ascii="Courier New" w:cs="Courier New" w:eastAsia="Courier New" w:hAnsi="Courier New"/>
                <w:sz w:val="16"/>
                <w:szCs w:val="16"/>
                <w:color w:val="auto"/>
                <w:w w:val="95"/>
              </w:rPr>
              <w:t>53202</w:t>
            </w:r>
          </w:p>
        </w:tc>
        <w:tc>
          <w:tcPr>
            <w:tcW w:w="3900" w:type="dxa"/>
            <w:vAlign w:val="bottom"/>
          </w:tcPr>
          <w:p>
            <w:pPr>
              <w:spacing w:after="0"/>
              <w:rPr>
                <w:sz w:val="16"/>
                <w:szCs w:val="16"/>
                <w:color w:val="auto"/>
              </w:rPr>
            </w:pPr>
          </w:p>
        </w:tc>
        <w:tc>
          <w:tcPr>
            <w:tcW w:w="3840" w:type="dxa"/>
            <w:vAlign w:val="bottom"/>
          </w:tcPr>
          <w:p>
            <w:pPr>
              <w:spacing w:after="0"/>
              <w:rPr>
                <w:sz w:val="16"/>
                <w:szCs w:val="16"/>
                <w:color w:val="auto"/>
              </w:rPr>
            </w:pPr>
          </w:p>
        </w:tc>
      </w:tr>
      <w:tr>
        <w:trPr>
          <w:trHeight w:val="185"/>
        </w:trPr>
        <w:tc>
          <w:tcPr>
            <w:tcW w:w="14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900" w:type="dxa"/>
            <w:vAlign w:val="bottom"/>
          </w:tcPr>
          <w:p>
            <w:pPr>
              <w:ind w:left="340"/>
              <w:spacing w:after="0"/>
              <w:rPr>
                <w:sz w:val="20"/>
                <w:szCs w:val="20"/>
                <w:color w:val="auto"/>
              </w:rPr>
            </w:pPr>
            <w:r>
              <w:rPr>
                <w:rFonts w:ascii="Courier New" w:cs="Courier New" w:eastAsia="Courier New" w:hAnsi="Courier New"/>
                <w:sz w:val="16"/>
                <w:szCs w:val="16"/>
                <w:color w:val="auto"/>
              </w:rPr>
              <w:t>Gilbert Palay</w:t>
            </w:r>
          </w:p>
        </w:tc>
        <w:tc>
          <w:tcPr>
            <w:tcW w:w="3840" w:type="dxa"/>
            <w:vAlign w:val="bottom"/>
          </w:tcPr>
          <w:p>
            <w:pPr>
              <w:ind w:left="480"/>
              <w:spacing w:after="0"/>
              <w:rPr>
                <w:sz w:val="20"/>
                <w:szCs w:val="20"/>
                <w:color w:val="auto"/>
              </w:rPr>
            </w:pPr>
            <w:r>
              <w:rPr>
                <w:rFonts w:ascii="Courier New" w:cs="Courier New" w:eastAsia="Courier New" w:hAnsi="Courier New"/>
                <w:sz w:val="16"/>
                <w:szCs w:val="16"/>
                <w:color w:val="auto"/>
              </w:rPr>
              <w:t>Michael Lynch</w:t>
            </w:r>
          </w:p>
        </w:tc>
      </w:tr>
      <w:tr>
        <w:trPr>
          <w:trHeight w:val="185"/>
        </w:trPr>
        <w:tc>
          <w:tcPr>
            <w:tcW w:w="1440" w:type="dxa"/>
            <w:vAlign w:val="bottom"/>
          </w:tcPr>
          <w:p>
            <w:pPr>
              <w:spacing w:after="0"/>
              <w:rPr>
                <w:sz w:val="20"/>
                <w:szCs w:val="20"/>
                <w:color w:val="auto"/>
              </w:rPr>
            </w:pPr>
            <w:r>
              <w:rPr>
                <w:rFonts w:ascii="Courier New" w:cs="Courier New" w:eastAsia="Courier New" w:hAnsi="Courier New"/>
                <w:sz w:val="16"/>
                <w:szCs w:val="16"/>
                <w:color w:val="auto"/>
              </w:rPr>
              <w:t>Shareholders</w:t>
            </w:r>
          </w:p>
        </w:tc>
        <w:tc>
          <w:tcPr>
            <w:tcW w:w="1960" w:type="dxa"/>
            <w:vAlign w:val="bottom"/>
          </w:tcPr>
          <w:p>
            <w:pPr>
              <w:spacing w:after="0"/>
              <w:rPr>
                <w:sz w:val="16"/>
                <w:szCs w:val="16"/>
                <w:color w:val="auto"/>
              </w:rPr>
            </w:pPr>
          </w:p>
        </w:tc>
        <w:tc>
          <w:tcPr>
            <w:tcW w:w="3900" w:type="dxa"/>
            <w:vAlign w:val="bottom"/>
          </w:tcPr>
          <w:p>
            <w:pPr>
              <w:ind w:left="340"/>
              <w:spacing w:after="0"/>
              <w:rPr>
                <w:sz w:val="20"/>
                <w:szCs w:val="20"/>
                <w:color w:val="auto"/>
              </w:rPr>
            </w:pPr>
            <w:r>
              <w:rPr>
                <w:rFonts w:ascii="Courier New" w:cs="Courier New" w:eastAsia="Courier New" w:hAnsi="Courier New"/>
                <w:sz w:val="16"/>
                <w:szCs w:val="16"/>
                <w:color w:val="auto"/>
              </w:rPr>
              <w:t>Retired Senior Executive</w:t>
            </w:r>
          </w:p>
        </w:tc>
        <w:tc>
          <w:tcPr>
            <w:tcW w:w="3840" w:type="dxa"/>
            <w:vAlign w:val="bottom"/>
          </w:tcPr>
          <w:p>
            <w:pPr>
              <w:ind w:left="480"/>
              <w:spacing w:after="0"/>
              <w:rPr>
                <w:sz w:val="20"/>
                <w:szCs w:val="20"/>
                <w:color w:val="auto"/>
              </w:rPr>
            </w:pPr>
            <w:r>
              <w:rPr>
                <w:rFonts w:ascii="Courier New" w:cs="Courier New" w:eastAsia="Courier New" w:hAnsi="Courier New"/>
                <w:sz w:val="16"/>
                <w:szCs w:val="16"/>
                <w:color w:val="auto"/>
              </w:rPr>
              <w:t>Vice President</w:t>
            </w:r>
          </w:p>
        </w:tc>
      </w:tr>
      <w:tr>
        <w:trPr>
          <w:trHeight w:val="185"/>
        </w:trPr>
        <w:tc>
          <w:tcPr>
            <w:tcW w:w="3400" w:type="dxa"/>
            <w:vAlign w:val="bottom"/>
            <w:gridSpan w:val="2"/>
          </w:tcPr>
          <w:p>
            <w:pPr>
              <w:spacing w:after="0"/>
              <w:rPr>
                <w:sz w:val="20"/>
                <w:szCs w:val="20"/>
                <w:color w:val="auto"/>
              </w:rPr>
            </w:pPr>
            <w:r>
              <w:rPr>
                <w:rFonts w:ascii="Courier New" w:cs="Courier New" w:eastAsia="Courier New" w:hAnsi="Courier New"/>
                <w:sz w:val="16"/>
                <w:szCs w:val="16"/>
                <w:color w:val="auto"/>
              </w:rPr>
              <w:t>As of February 26, 2001,</w:t>
            </w:r>
          </w:p>
        </w:tc>
        <w:tc>
          <w:tcPr>
            <w:tcW w:w="3900" w:type="dxa"/>
            <w:vAlign w:val="bottom"/>
          </w:tcPr>
          <w:p>
            <w:pPr>
              <w:ind w:left="340"/>
              <w:spacing w:after="0"/>
              <w:rPr>
                <w:sz w:val="20"/>
                <w:szCs w:val="20"/>
                <w:color w:val="auto"/>
              </w:rPr>
            </w:pPr>
            <w:r>
              <w:rPr>
                <w:rFonts w:ascii="Courier New" w:cs="Courier New" w:eastAsia="Courier New" w:hAnsi="Courier New"/>
                <w:sz w:val="16"/>
                <w:szCs w:val="16"/>
                <w:color w:val="auto"/>
              </w:rPr>
              <w:t>Vice President</w:t>
            </w:r>
          </w:p>
        </w:tc>
        <w:tc>
          <w:tcPr>
            <w:tcW w:w="3840" w:type="dxa"/>
            <w:vAlign w:val="bottom"/>
          </w:tcPr>
          <w:p>
            <w:pPr>
              <w:ind w:left="480"/>
              <w:spacing w:after="0"/>
              <w:rPr>
                <w:sz w:val="20"/>
                <w:szCs w:val="20"/>
                <w:color w:val="auto"/>
              </w:rPr>
            </w:pPr>
            <w:r>
              <w:rPr>
                <w:rFonts w:ascii="Courier New" w:cs="Courier New" w:eastAsia="Courier New" w:hAnsi="Courier New"/>
                <w:sz w:val="16"/>
                <w:szCs w:val="16"/>
                <w:color w:val="auto"/>
              </w:rPr>
              <w:t>International Support</w:t>
            </w:r>
          </w:p>
        </w:tc>
      </w:tr>
      <w:tr>
        <w:trPr>
          <w:trHeight w:val="185"/>
        </w:trPr>
        <w:tc>
          <w:tcPr>
            <w:tcW w:w="3400" w:type="dxa"/>
            <w:vAlign w:val="bottom"/>
            <w:gridSpan w:val="2"/>
          </w:tcPr>
          <w:p>
            <w:pPr>
              <w:spacing w:after="0"/>
              <w:rPr>
                <w:sz w:val="20"/>
                <w:szCs w:val="20"/>
                <w:color w:val="auto"/>
              </w:rPr>
            </w:pPr>
            <w:r>
              <w:rPr>
                <w:rFonts w:ascii="Courier New" w:cs="Courier New" w:eastAsia="Courier New" w:hAnsi="Courier New"/>
                <w:sz w:val="16"/>
                <w:szCs w:val="16"/>
                <w:color w:val="auto"/>
              </w:rPr>
              <w:t>Manpower Inc. common</w:t>
            </w:r>
          </w:p>
        </w:tc>
        <w:tc>
          <w:tcPr>
            <w:tcW w:w="3900" w:type="dxa"/>
            <w:vAlign w:val="bottom"/>
          </w:tcPr>
          <w:p>
            <w:pPr>
              <w:ind w:left="340"/>
              <w:spacing w:after="0"/>
              <w:rPr>
                <w:sz w:val="20"/>
                <w:szCs w:val="20"/>
                <w:color w:val="auto"/>
              </w:rPr>
            </w:pPr>
            <w:r>
              <w:rPr>
                <w:rFonts w:ascii="Courier New" w:cs="Courier New" w:eastAsia="Courier New" w:hAnsi="Courier New"/>
                <w:sz w:val="16"/>
                <w:szCs w:val="16"/>
                <w:color w:val="auto"/>
              </w:rPr>
              <w:t>Manpower Inc.</w:t>
            </w:r>
          </w:p>
        </w:tc>
        <w:tc>
          <w:tcPr>
            <w:tcW w:w="3840" w:type="dxa"/>
            <w:vAlign w:val="bottom"/>
          </w:tcPr>
          <w:p>
            <w:pPr>
              <w:ind w:left="480"/>
              <w:spacing w:after="0"/>
              <w:rPr>
                <w:sz w:val="20"/>
                <w:szCs w:val="20"/>
                <w:color w:val="auto"/>
              </w:rPr>
            </w:pPr>
            <w:r>
              <w:rPr>
                <w:rFonts w:ascii="Courier New" w:cs="Courier New" w:eastAsia="Courier New" w:hAnsi="Courier New"/>
                <w:sz w:val="16"/>
                <w:szCs w:val="16"/>
                <w:color w:val="auto"/>
              </w:rPr>
              <w:t>and General Counsel</w:t>
            </w:r>
          </w:p>
        </w:tc>
      </w:tr>
      <w:tr>
        <w:trPr>
          <w:trHeight w:val="185"/>
        </w:trPr>
        <w:tc>
          <w:tcPr>
            <w:tcW w:w="3400" w:type="dxa"/>
            <w:vAlign w:val="bottom"/>
            <w:gridSpan w:val="2"/>
          </w:tcPr>
          <w:p>
            <w:pPr>
              <w:spacing w:after="0"/>
              <w:rPr>
                <w:sz w:val="20"/>
                <w:szCs w:val="20"/>
                <w:color w:val="auto"/>
              </w:rPr>
            </w:pPr>
            <w:r>
              <w:rPr>
                <w:rFonts w:ascii="Courier New" w:cs="Courier New" w:eastAsia="Courier New" w:hAnsi="Courier New"/>
                <w:sz w:val="16"/>
                <w:szCs w:val="16"/>
                <w:color w:val="auto"/>
              </w:rPr>
              <w:t>stock was held by 6,102</w:t>
            </w:r>
          </w:p>
        </w:tc>
        <w:tc>
          <w:tcPr>
            <w:tcW w:w="3900" w:type="dxa"/>
            <w:vAlign w:val="bottom"/>
          </w:tcPr>
          <w:p>
            <w:pPr>
              <w:spacing w:after="0"/>
              <w:rPr>
                <w:sz w:val="16"/>
                <w:szCs w:val="16"/>
                <w:color w:val="auto"/>
              </w:rPr>
            </w:pPr>
          </w:p>
        </w:tc>
        <w:tc>
          <w:tcPr>
            <w:tcW w:w="3840" w:type="dxa"/>
            <w:vAlign w:val="bottom"/>
          </w:tcPr>
          <w:p>
            <w:pPr>
              <w:spacing w:after="0"/>
              <w:rPr>
                <w:sz w:val="16"/>
                <w:szCs w:val="16"/>
                <w:color w:val="auto"/>
              </w:rPr>
            </w:pPr>
          </w:p>
        </w:tc>
      </w:tr>
      <w:tr>
        <w:trPr>
          <w:trHeight w:val="185"/>
        </w:trPr>
        <w:tc>
          <w:tcPr>
            <w:tcW w:w="1440" w:type="dxa"/>
            <w:vAlign w:val="bottom"/>
          </w:tcPr>
          <w:p>
            <w:pPr>
              <w:spacing w:after="0"/>
              <w:rPr>
                <w:sz w:val="20"/>
                <w:szCs w:val="20"/>
                <w:color w:val="auto"/>
              </w:rPr>
            </w:pPr>
            <w:r>
              <w:rPr>
                <w:rFonts w:ascii="Courier New" w:cs="Courier New" w:eastAsia="Courier New" w:hAnsi="Courier New"/>
                <w:sz w:val="16"/>
                <w:szCs w:val="16"/>
                <w:color w:val="auto"/>
                <w:w w:val="98"/>
              </w:rPr>
              <w:t>record holders.</w:t>
            </w:r>
          </w:p>
        </w:tc>
        <w:tc>
          <w:tcPr>
            <w:tcW w:w="19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840" w:type="dxa"/>
            <w:vAlign w:val="bottom"/>
          </w:tcPr>
          <w:p>
            <w:pPr>
              <w:spacing w:after="0"/>
              <w:rPr>
                <w:sz w:val="16"/>
                <w:szCs w:val="16"/>
                <w:color w:val="auto"/>
              </w:rPr>
            </w:pPr>
          </w:p>
        </w:tc>
      </w:tr>
      <w:tr>
        <w:trPr>
          <w:trHeight w:val="185"/>
        </w:trPr>
        <w:tc>
          <w:tcPr>
            <w:tcW w:w="14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900" w:type="dxa"/>
            <w:vAlign w:val="bottom"/>
          </w:tcPr>
          <w:p>
            <w:pPr>
              <w:ind w:left="340"/>
              <w:spacing w:after="0"/>
              <w:rPr>
                <w:sz w:val="20"/>
                <w:szCs w:val="20"/>
                <w:color w:val="auto"/>
              </w:rPr>
            </w:pPr>
            <w:r>
              <w:rPr>
                <w:rFonts w:ascii="Courier New" w:cs="Courier New" w:eastAsia="Courier New" w:hAnsi="Courier New"/>
                <w:sz w:val="16"/>
                <w:szCs w:val="16"/>
                <w:color w:val="auto"/>
              </w:rPr>
              <w:t>Dennis Stevenson</w:t>
            </w:r>
          </w:p>
        </w:tc>
        <w:tc>
          <w:tcPr>
            <w:tcW w:w="3840" w:type="dxa"/>
            <w:vAlign w:val="bottom"/>
          </w:tcPr>
          <w:p>
            <w:pPr>
              <w:spacing w:after="0"/>
              <w:rPr>
                <w:sz w:val="16"/>
                <w:szCs w:val="16"/>
                <w:color w:val="auto"/>
              </w:rPr>
            </w:pPr>
          </w:p>
        </w:tc>
      </w:tr>
      <w:tr>
        <w:trPr>
          <w:trHeight w:val="185"/>
        </w:trPr>
        <w:tc>
          <w:tcPr>
            <w:tcW w:w="14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900" w:type="dxa"/>
            <w:vAlign w:val="bottom"/>
          </w:tcPr>
          <w:p>
            <w:pPr>
              <w:ind w:left="340"/>
              <w:spacing w:after="0"/>
              <w:rPr>
                <w:sz w:val="20"/>
                <w:szCs w:val="20"/>
                <w:color w:val="auto"/>
              </w:rPr>
            </w:pPr>
            <w:r>
              <w:rPr>
                <w:rFonts w:ascii="Courier New" w:cs="Courier New" w:eastAsia="Courier New" w:hAnsi="Courier New"/>
                <w:sz w:val="16"/>
                <w:szCs w:val="16"/>
                <w:color w:val="auto"/>
              </w:rPr>
              <w:t>Chairman of Halifax plc and</w:t>
            </w:r>
          </w:p>
        </w:tc>
        <w:tc>
          <w:tcPr>
            <w:tcW w:w="3840" w:type="dxa"/>
            <w:vAlign w:val="bottom"/>
          </w:tcPr>
          <w:p>
            <w:pPr>
              <w:spacing w:after="0"/>
              <w:rPr>
                <w:sz w:val="16"/>
                <w:szCs w:val="16"/>
                <w:color w:val="auto"/>
              </w:rPr>
            </w:pPr>
          </w:p>
        </w:tc>
      </w:tr>
      <w:tr>
        <w:trPr>
          <w:trHeight w:val="185"/>
        </w:trPr>
        <w:tc>
          <w:tcPr>
            <w:tcW w:w="14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900" w:type="dxa"/>
            <w:vAlign w:val="bottom"/>
          </w:tcPr>
          <w:p>
            <w:pPr>
              <w:ind w:left="340"/>
              <w:spacing w:after="0"/>
              <w:rPr>
                <w:sz w:val="20"/>
                <w:szCs w:val="20"/>
                <w:color w:val="auto"/>
              </w:rPr>
            </w:pPr>
            <w:r>
              <w:rPr>
                <w:rFonts w:ascii="Courier New" w:cs="Courier New" w:eastAsia="Courier New" w:hAnsi="Courier New"/>
                <w:sz w:val="16"/>
                <w:szCs w:val="16"/>
                <w:color w:val="auto"/>
              </w:rPr>
              <w:t>Pearson plc</w:t>
            </w:r>
          </w:p>
        </w:tc>
        <w:tc>
          <w:tcPr>
            <w:tcW w:w="3840" w:type="dxa"/>
            <w:vAlign w:val="bottom"/>
          </w:tcPr>
          <w:p>
            <w:pPr>
              <w:spacing w:after="0"/>
              <w:rPr>
                <w:sz w:val="16"/>
                <w:szCs w:val="16"/>
                <w:color w:val="auto"/>
              </w:rPr>
            </w:pPr>
          </w:p>
        </w:tc>
      </w:tr>
      <w:tr>
        <w:trPr>
          <w:trHeight w:val="370"/>
        </w:trPr>
        <w:tc>
          <w:tcPr>
            <w:tcW w:w="14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900" w:type="dxa"/>
            <w:vAlign w:val="bottom"/>
          </w:tcPr>
          <w:p>
            <w:pPr>
              <w:ind w:left="340"/>
              <w:spacing w:after="0"/>
              <w:rPr>
                <w:sz w:val="20"/>
                <w:szCs w:val="20"/>
                <w:color w:val="auto"/>
              </w:rPr>
            </w:pPr>
            <w:r>
              <w:rPr>
                <w:rFonts w:ascii="Courier New" w:cs="Courier New" w:eastAsia="Courier New" w:hAnsi="Courier New"/>
                <w:sz w:val="16"/>
                <w:szCs w:val="16"/>
                <w:color w:val="auto"/>
              </w:rPr>
              <w:t>Edward J. Zore</w:t>
            </w:r>
          </w:p>
        </w:tc>
        <w:tc>
          <w:tcPr>
            <w:tcW w:w="3840" w:type="dxa"/>
            <w:vAlign w:val="bottom"/>
          </w:tcPr>
          <w:p>
            <w:pPr>
              <w:spacing w:after="0"/>
              <w:rPr>
                <w:sz w:val="24"/>
                <w:szCs w:val="24"/>
                <w:color w:val="auto"/>
              </w:rPr>
            </w:pPr>
          </w:p>
        </w:tc>
      </w:tr>
      <w:tr>
        <w:trPr>
          <w:trHeight w:val="185"/>
        </w:trPr>
        <w:tc>
          <w:tcPr>
            <w:tcW w:w="14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900" w:type="dxa"/>
            <w:vAlign w:val="bottom"/>
          </w:tcPr>
          <w:p>
            <w:pPr>
              <w:ind w:left="340"/>
              <w:spacing w:after="0"/>
              <w:rPr>
                <w:sz w:val="20"/>
                <w:szCs w:val="20"/>
                <w:color w:val="auto"/>
              </w:rPr>
            </w:pPr>
            <w:r>
              <w:rPr>
                <w:rFonts w:ascii="Courier New" w:cs="Courier New" w:eastAsia="Courier New" w:hAnsi="Courier New"/>
                <w:sz w:val="16"/>
                <w:szCs w:val="16"/>
                <w:color w:val="auto"/>
              </w:rPr>
              <w:t>President</w:t>
            </w:r>
          </w:p>
        </w:tc>
        <w:tc>
          <w:tcPr>
            <w:tcW w:w="3840" w:type="dxa"/>
            <w:vAlign w:val="bottom"/>
          </w:tcPr>
          <w:p>
            <w:pPr>
              <w:spacing w:after="0"/>
              <w:rPr>
                <w:sz w:val="16"/>
                <w:szCs w:val="16"/>
                <w:color w:val="auto"/>
              </w:rPr>
            </w:pPr>
          </w:p>
        </w:tc>
      </w:tr>
      <w:tr>
        <w:trPr>
          <w:trHeight w:val="185"/>
        </w:trPr>
        <w:tc>
          <w:tcPr>
            <w:tcW w:w="14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900" w:type="dxa"/>
            <w:vAlign w:val="bottom"/>
          </w:tcPr>
          <w:p>
            <w:pPr>
              <w:ind w:left="340"/>
              <w:spacing w:after="0"/>
              <w:rPr>
                <w:sz w:val="20"/>
                <w:szCs w:val="20"/>
                <w:color w:val="auto"/>
              </w:rPr>
            </w:pPr>
            <w:r>
              <w:rPr>
                <w:rFonts w:ascii="Courier New" w:cs="Courier New" w:eastAsia="Courier New" w:hAnsi="Courier New"/>
                <w:sz w:val="16"/>
                <w:szCs w:val="16"/>
                <w:color w:val="auto"/>
              </w:rPr>
              <w:t>Northwestern Mutual</w:t>
            </w:r>
          </w:p>
        </w:tc>
        <w:tc>
          <w:tcPr>
            <w:tcW w:w="3840" w:type="dxa"/>
            <w:vAlign w:val="bottom"/>
          </w:tcPr>
          <w:p>
            <w:pPr>
              <w:spacing w:after="0"/>
              <w:rPr>
                <w:sz w:val="16"/>
                <w:szCs w:val="16"/>
                <w:color w:val="auto"/>
              </w:rPr>
            </w:pPr>
          </w:p>
        </w:tc>
      </w:tr>
      <w:tr>
        <w:trPr>
          <w:trHeight w:val="554"/>
        </w:trPr>
        <w:tc>
          <w:tcPr>
            <w:tcW w:w="1440" w:type="dxa"/>
            <w:vAlign w:val="bottom"/>
          </w:tcPr>
          <w:p>
            <w:pPr>
              <w:spacing w:after="0"/>
              <w:rPr>
                <w:sz w:val="20"/>
                <w:szCs w:val="20"/>
                <w:color w:val="auto"/>
              </w:rPr>
            </w:pPr>
            <w:r>
              <w:rPr>
                <w:rFonts w:ascii="Courier New" w:cs="Courier New" w:eastAsia="Courier New" w:hAnsi="Courier New"/>
                <w:sz w:val="16"/>
                <w:szCs w:val="16"/>
                <w:color w:val="auto"/>
              </w:rPr>
              <w:t>Manpower Inc.</w:t>
            </w:r>
          </w:p>
        </w:tc>
        <w:tc>
          <w:tcPr>
            <w:tcW w:w="19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97</w:t>
            </w:r>
          </w:p>
        </w:tc>
      </w:tr>
    </w:tbl>
    <w:p>
      <w:pPr>
        <w:sectPr>
          <w:pgSz w:w="11900" w:h="16838" w:orient="portrait"/>
          <w:cols w:equalWidth="0" w:num="1">
            <w:col w:w="11140"/>
          </w:cols>
          <w:pgMar w:left="240" w:top="300" w:right="519" w:bottom="1440" w:gutter="0" w:footer="0" w:header="0"/>
        </w:sectPr>
      </w:pPr>
    </w:p>
    <w:bookmarkStart w:id="90" w:name="page91"/>
    <w:bookmarkEnd w:id="90"/>
    <w:p>
      <w:pPr>
        <w:ind w:left="280"/>
        <w:spacing w:after="0"/>
        <w:rPr>
          <w:sz w:val="20"/>
          <w:szCs w:val="20"/>
          <w:color w:val="auto"/>
        </w:rPr>
      </w:pPr>
      <w:r>
        <w:rPr>
          <w:rFonts w:ascii="Courier New" w:cs="Courier New" w:eastAsia="Courier New" w:hAnsi="Courier New"/>
          <w:sz w:val="16"/>
          <w:szCs w:val="16"/>
          <w:color w:val="auto"/>
        </w:rPr>
        <w:t>72</w:t>
      </w:r>
    </w:p>
    <w:p>
      <w:pPr>
        <w:spacing w:after="0" w:line="373"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Principal Operating Units</w:t>
      </w:r>
    </w:p>
    <w:p>
      <w:pPr>
        <w:spacing w:after="0" w:line="190" w:lineRule="exact"/>
        <w:rPr>
          <w:sz w:val="20"/>
          <w:szCs w:val="20"/>
          <w:color w:val="auto"/>
        </w:rPr>
      </w:pPr>
    </w:p>
    <w:p>
      <w:pPr>
        <w:ind w:right="780"/>
        <w:spacing w:after="0" w:line="274" w:lineRule="auto"/>
        <w:rPr>
          <w:sz w:val="20"/>
          <w:szCs w:val="20"/>
          <w:color w:val="auto"/>
        </w:rPr>
      </w:pPr>
      <w:r>
        <w:rPr>
          <w:rFonts w:ascii="Courier New" w:cs="Courier New" w:eastAsia="Courier New" w:hAnsi="Courier New"/>
          <w:sz w:val="15"/>
          <w:szCs w:val="15"/>
          <w:color w:val="auto"/>
        </w:rPr>
        <w:t>Manpower Inc. provides a full range of staffing solutions to more than 400,000 customers per year through nearly 3,700 offices in the 59 countries shown below.</w:t>
      </w:r>
    </w:p>
    <w:p>
      <w:pPr>
        <w:spacing w:after="0" w:line="351" w:lineRule="exact"/>
        <w:rPr>
          <w:sz w:val="20"/>
          <w:szCs w:val="20"/>
          <w:color w:val="auto"/>
        </w:rPr>
      </w:pPr>
    </w:p>
    <w:p>
      <w:pPr>
        <w:jc w:val="both"/>
        <w:ind w:right="1060" w:firstLine="865"/>
        <w:spacing w:after="0" w:line="243" w:lineRule="auto"/>
        <w:rPr>
          <w:sz w:val="20"/>
          <w:szCs w:val="20"/>
          <w:color w:val="auto"/>
        </w:rPr>
      </w:pPr>
      <w:r>
        <w:rPr>
          <w:rFonts w:ascii="Courier New" w:cs="Courier New" w:eastAsia="Courier New" w:hAnsi="Courier New"/>
          <w:sz w:val="16"/>
          <w:szCs w:val="16"/>
          <w:color w:val="auto"/>
        </w:rPr>
        <w:t>In addition, Elan Group Ltd. is a fully-owned subsidiary of Manpower Inc., headquartered in the United Kingdom, that was acquired in 2000. It is a leading provider of IT staffing solutions in the United Kingdom, Netherlands, Ireland, Switzerland, Germany and Hong Kong.</w:t>
      </w:r>
    </w:p>
    <w:p>
      <w:pPr>
        <w:spacing w:after="0" w:line="190" w:lineRule="exact"/>
        <w:rPr>
          <w:sz w:val="20"/>
          <w:szCs w:val="20"/>
          <w:color w:val="auto"/>
        </w:rPr>
      </w:pPr>
    </w:p>
    <w:p>
      <w:pPr>
        <w:ind w:right="780" w:firstLine="865"/>
        <w:spacing w:after="0" w:line="244" w:lineRule="auto"/>
        <w:rPr>
          <w:sz w:val="20"/>
          <w:szCs w:val="20"/>
          <w:color w:val="auto"/>
        </w:rPr>
      </w:pPr>
      <w:r>
        <w:rPr>
          <w:rFonts w:ascii="Courier New" w:cs="Courier New" w:eastAsia="Courier New" w:hAnsi="Courier New"/>
          <w:sz w:val="16"/>
          <w:szCs w:val="16"/>
          <w:color w:val="auto"/>
        </w:rPr>
        <w:t>The Empower Group is an independent operating division of Manpower Inc. that provides organizational performance consulting services to multi-national corporations worldwide. It was launched in 2000 and is based in London. The Empower Group has operations worldwide, with the largest in Australia, New Zealand, United Kingdom and the United States.</w:t>
      </w:r>
    </w:p>
    <w:p>
      <w:pPr>
        <w:spacing w:after="0" w:line="187" w:lineRule="exact"/>
        <w:rPr>
          <w:sz w:val="20"/>
          <w:szCs w:val="20"/>
          <w:color w:val="auto"/>
        </w:rPr>
      </w:pPr>
    </w:p>
    <w:p>
      <w:pPr>
        <w:ind w:right="780" w:firstLine="865"/>
        <w:spacing w:after="0" w:line="243" w:lineRule="auto"/>
        <w:rPr>
          <w:sz w:val="20"/>
          <w:szCs w:val="20"/>
          <w:color w:val="auto"/>
        </w:rPr>
      </w:pPr>
      <w:r>
        <w:rPr>
          <w:rFonts w:ascii="Courier New" w:cs="Courier New" w:eastAsia="Courier New" w:hAnsi="Courier New"/>
          <w:sz w:val="16"/>
          <w:szCs w:val="16"/>
          <w:color w:val="auto"/>
        </w:rPr>
        <w:t>Brook Street Bureau is a fully-owned subsidiary of Manpower Inc. in the United Kingdom. Its core business is the supply of temporary, permanent and contract staff to office, secretarial and light industrial positions.</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jc w:val="center"/>
        <w:ind w:right="780"/>
        <w:spacing w:after="0"/>
        <w:rPr>
          <w:sz w:val="20"/>
          <w:szCs w:val="20"/>
          <w:color w:val="auto"/>
        </w:rPr>
      </w:pPr>
      <w:r>
        <w:rPr>
          <w:rFonts w:ascii="Courier New" w:cs="Courier New" w:eastAsia="Courier New" w:hAnsi="Courier New"/>
          <w:sz w:val="16"/>
          <w:szCs w:val="16"/>
          <w:color w:val="auto"/>
        </w:rPr>
        <w:t>All countries shown in blue are served by Manpower's</w:t>
      </w:r>
    </w:p>
    <w:p>
      <w:pPr>
        <w:spacing w:after="0" w:line="4" w:lineRule="exact"/>
        <w:rPr>
          <w:sz w:val="20"/>
          <w:szCs w:val="20"/>
          <w:color w:val="auto"/>
        </w:rPr>
      </w:pPr>
    </w:p>
    <w:p>
      <w:pPr>
        <w:jc w:val="center"/>
        <w:ind w:right="780"/>
        <w:spacing w:after="0"/>
        <w:rPr>
          <w:sz w:val="20"/>
          <w:szCs w:val="20"/>
          <w:color w:val="auto"/>
        </w:rPr>
      </w:pPr>
      <w:r>
        <w:rPr>
          <w:rFonts w:ascii="Courier New" w:cs="Courier New" w:eastAsia="Courier New" w:hAnsi="Courier New"/>
          <w:sz w:val="16"/>
          <w:szCs w:val="16"/>
          <w:color w:val="auto"/>
        </w:rPr>
        <w:t>worldwide network of operations.</w:t>
      </w:r>
    </w:p>
    <w:p>
      <w:pPr>
        <w:spacing w:after="0" w:line="373"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[MAP OF WORLD]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00" w:type="dxa"/>
            <w:vAlign w:val="bottom"/>
          </w:tcPr>
          <w:p>
            <w:pPr>
              <w:spacing w:after="0"/>
              <w:rPr>
                <w:sz w:val="20"/>
                <w:szCs w:val="20"/>
                <w:color w:val="auto"/>
              </w:rPr>
            </w:pPr>
            <w:r>
              <w:rPr>
                <w:rFonts w:ascii="Courier New" w:cs="Courier New" w:eastAsia="Courier New" w:hAnsi="Courier New"/>
                <w:sz w:val="16"/>
                <w:szCs w:val="16"/>
                <w:color w:val="auto"/>
              </w:rPr>
              <w:t>Argentina</w:t>
            </w:r>
          </w:p>
        </w:tc>
        <w:tc>
          <w:tcPr>
            <w:tcW w:w="2000" w:type="dxa"/>
            <w:vAlign w:val="bottom"/>
          </w:tcPr>
          <w:p>
            <w:pPr>
              <w:ind w:left="320"/>
              <w:spacing w:after="0"/>
              <w:rPr>
                <w:sz w:val="20"/>
                <w:szCs w:val="20"/>
                <w:color w:val="auto"/>
              </w:rPr>
            </w:pPr>
            <w:r>
              <w:rPr>
                <w:rFonts w:ascii="Courier New" w:cs="Courier New" w:eastAsia="Courier New" w:hAnsi="Courier New"/>
                <w:sz w:val="16"/>
                <w:szCs w:val="16"/>
                <w:color w:val="auto"/>
              </w:rPr>
              <w:t>Costa Rica</w:t>
            </w:r>
          </w:p>
        </w:tc>
        <w:tc>
          <w:tcPr>
            <w:tcW w:w="1640" w:type="dxa"/>
            <w:vAlign w:val="bottom"/>
          </w:tcPr>
          <w:p>
            <w:pPr>
              <w:ind w:left="340"/>
              <w:spacing w:after="0"/>
              <w:rPr>
                <w:sz w:val="20"/>
                <w:szCs w:val="20"/>
                <w:color w:val="auto"/>
              </w:rPr>
            </w:pPr>
            <w:r>
              <w:rPr>
                <w:rFonts w:ascii="Courier New" w:cs="Courier New" w:eastAsia="Courier New" w:hAnsi="Courier New"/>
                <w:sz w:val="16"/>
                <w:szCs w:val="16"/>
                <w:color w:val="auto"/>
              </w:rPr>
              <w:t>Honduras</w:t>
            </w:r>
          </w:p>
        </w:tc>
        <w:tc>
          <w:tcPr>
            <w:tcW w:w="2220" w:type="dxa"/>
            <w:vAlign w:val="bottom"/>
          </w:tcPr>
          <w:p>
            <w:pPr>
              <w:ind w:left="340"/>
              <w:spacing w:after="0"/>
              <w:rPr>
                <w:sz w:val="20"/>
                <w:szCs w:val="20"/>
                <w:color w:val="auto"/>
              </w:rPr>
            </w:pPr>
            <w:r>
              <w:rPr>
                <w:rFonts w:ascii="Courier New" w:cs="Courier New" w:eastAsia="Courier New" w:hAnsi="Courier New"/>
                <w:sz w:val="16"/>
                <w:szCs w:val="16"/>
                <w:color w:val="auto"/>
              </w:rPr>
              <w:t>Malaysia</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Peru</w:t>
            </w:r>
          </w:p>
        </w:tc>
      </w:tr>
      <w:tr>
        <w:trPr>
          <w:trHeight w:val="185"/>
        </w:trPr>
        <w:tc>
          <w:tcPr>
            <w:tcW w:w="1400" w:type="dxa"/>
            <w:vAlign w:val="bottom"/>
          </w:tcPr>
          <w:p>
            <w:pPr>
              <w:spacing w:after="0"/>
              <w:rPr>
                <w:sz w:val="20"/>
                <w:szCs w:val="20"/>
                <w:color w:val="auto"/>
              </w:rPr>
            </w:pPr>
            <w:r>
              <w:rPr>
                <w:rFonts w:ascii="Courier New" w:cs="Courier New" w:eastAsia="Courier New" w:hAnsi="Courier New"/>
                <w:sz w:val="16"/>
                <w:szCs w:val="16"/>
                <w:color w:val="auto"/>
              </w:rPr>
              <w:t>Australia</w:t>
            </w:r>
          </w:p>
        </w:tc>
        <w:tc>
          <w:tcPr>
            <w:tcW w:w="2000" w:type="dxa"/>
            <w:vAlign w:val="bottom"/>
          </w:tcPr>
          <w:p>
            <w:pPr>
              <w:ind w:left="320"/>
              <w:spacing w:after="0"/>
              <w:rPr>
                <w:sz w:val="20"/>
                <w:szCs w:val="20"/>
                <w:color w:val="auto"/>
              </w:rPr>
            </w:pPr>
            <w:r>
              <w:rPr>
                <w:rFonts w:ascii="Courier New" w:cs="Courier New" w:eastAsia="Courier New" w:hAnsi="Courier New"/>
                <w:sz w:val="16"/>
                <w:szCs w:val="16"/>
                <w:color w:val="auto"/>
              </w:rPr>
              <w:t>Czech Republic</w:t>
            </w:r>
          </w:p>
        </w:tc>
        <w:tc>
          <w:tcPr>
            <w:tcW w:w="1640" w:type="dxa"/>
            <w:vAlign w:val="bottom"/>
          </w:tcPr>
          <w:p>
            <w:pPr>
              <w:ind w:left="340"/>
              <w:spacing w:after="0"/>
              <w:rPr>
                <w:sz w:val="20"/>
                <w:szCs w:val="20"/>
                <w:color w:val="auto"/>
              </w:rPr>
            </w:pPr>
            <w:r>
              <w:rPr>
                <w:rFonts w:ascii="Courier New" w:cs="Courier New" w:eastAsia="Courier New" w:hAnsi="Courier New"/>
                <w:sz w:val="16"/>
                <w:szCs w:val="16"/>
                <w:color w:val="auto"/>
              </w:rPr>
              <w:t>Hong Kong</w:t>
            </w:r>
          </w:p>
        </w:tc>
        <w:tc>
          <w:tcPr>
            <w:tcW w:w="2220" w:type="dxa"/>
            <w:vAlign w:val="bottom"/>
          </w:tcPr>
          <w:p>
            <w:pPr>
              <w:ind w:left="340"/>
              <w:spacing w:after="0"/>
              <w:rPr>
                <w:sz w:val="20"/>
                <w:szCs w:val="20"/>
                <w:color w:val="auto"/>
              </w:rPr>
            </w:pPr>
            <w:r>
              <w:rPr>
                <w:rFonts w:ascii="Courier New" w:cs="Courier New" w:eastAsia="Courier New" w:hAnsi="Courier New"/>
                <w:sz w:val="16"/>
                <w:szCs w:val="16"/>
                <w:color w:val="auto"/>
              </w:rPr>
              <w:t>Mexico</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Philippines</w:t>
            </w:r>
          </w:p>
        </w:tc>
      </w:tr>
      <w:tr>
        <w:trPr>
          <w:trHeight w:val="185"/>
        </w:trPr>
        <w:tc>
          <w:tcPr>
            <w:tcW w:w="1400" w:type="dxa"/>
            <w:vAlign w:val="bottom"/>
          </w:tcPr>
          <w:p>
            <w:pPr>
              <w:spacing w:after="0"/>
              <w:rPr>
                <w:sz w:val="20"/>
                <w:szCs w:val="20"/>
                <w:color w:val="auto"/>
              </w:rPr>
            </w:pPr>
            <w:r>
              <w:rPr>
                <w:rFonts w:ascii="Courier New" w:cs="Courier New" w:eastAsia="Courier New" w:hAnsi="Courier New"/>
                <w:sz w:val="16"/>
                <w:szCs w:val="16"/>
                <w:color w:val="auto"/>
              </w:rPr>
              <w:t>Austria</w:t>
            </w:r>
          </w:p>
        </w:tc>
        <w:tc>
          <w:tcPr>
            <w:tcW w:w="2000" w:type="dxa"/>
            <w:vAlign w:val="bottom"/>
          </w:tcPr>
          <w:p>
            <w:pPr>
              <w:ind w:left="320"/>
              <w:spacing w:after="0"/>
              <w:rPr>
                <w:sz w:val="20"/>
                <w:szCs w:val="20"/>
                <w:color w:val="auto"/>
              </w:rPr>
            </w:pPr>
            <w:r>
              <w:rPr>
                <w:rFonts w:ascii="Courier New" w:cs="Courier New" w:eastAsia="Courier New" w:hAnsi="Courier New"/>
                <w:sz w:val="16"/>
                <w:szCs w:val="16"/>
                <w:color w:val="auto"/>
              </w:rPr>
              <w:t>Denmark</w:t>
            </w:r>
          </w:p>
        </w:tc>
        <w:tc>
          <w:tcPr>
            <w:tcW w:w="1640" w:type="dxa"/>
            <w:vAlign w:val="bottom"/>
          </w:tcPr>
          <w:p>
            <w:pPr>
              <w:ind w:left="340"/>
              <w:spacing w:after="0"/>
              <w:rPr>
                <w:sz w:val="20"/>
                <w:szCs w:val="20"/>
                <w:color w:val="auto"/>
              </w:rPr>
            </w:pPr>
            <w:r>
              <w:rPr>
                <w:rFonts w:ascii="Courier New" w:cs="Courier New" w:eastAsia="Courier New" w:hAnsi="Courier New"/>
                <w:sz w:val="16"/>
                <w:szCs w:val="16"/>
                <w:color w:val="auto"/>
              </w:rPr>
              <w:t>Hungary</w:t>
            </w:r>
          </w:p>
        </w:tc>
        <w:tc>
          <w:tcPr>
            <w:tcW w:w="2220" w:type="dxa"/>
            <w:vAlign w:val="bottom"/>
          </w:tcPr>
          <w:p>
            <w:pPr>
              <w:ind w:left="340"/>
              <w:spacing w:after="0"/>
              <w:rPr>
                <w:sz w:val="20"/>
                <w:szCs w:val="20"/>
                <w:color w:val="auto"/>
              </w:rPr>
            </w:pPr>
            <w:r>
              <w:rPr>
                <w:rFonts w:ascii="Courier New" w:cs="Courier New" w:eastAsia="Courier New" w:hAnsi="Courier New"/>
                <w:sz w:val="16"/>
                <w:szCs w:val="16"/>
                <w:color w:val="auto"/>
              </w:rPr>
              <w:t>Monaco</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Poland</w:t>
            </w:r>
          </w:p>
        </w:tc>
      </w:tr>
      <w:tr>
        <w:trPr>
          <w:trHeight w:val="185"/>
        </w:trPr>
        <w:tc>
          <w:tcPr>
            <w:tcW w:w="1400" w:type="dxa"/>
            <w:vAlign w:val="bottom"/>
          </w:tcPr>
          <w:p>
            <w:pPr>
              <w:spacing w:after="0"/>
              <w:rPr>
                <w:sz w:val="20"/>
                <w:szCs w:val="20"/>
                <w:color w:val="auto"/>
              </w:rPr>
            </w:pPr>
            <w:r>
              <w:rPr>
                <w:rFonts w:ascii="Courier New" w:cs="Courier New" w:eastAsia="Courier New" w:hAnsi="Courier New"/>
                <w:sz w:val="16"/>
                <w:szCs w:val="16"/>
                <w:color w:val="auto"/>
              </w:rPr>
              <w:t>Belgium</w:t>
            </w:r>
          </w:p>
        </w:tc>
        <w:tc>
          <w:tcPr>
            <w:tcW w:w="2000" w:type="dxa"/>
            <w:vAlign w:val="bottom"/>
          </w:tcPr>
          <w:p>
            <w:pPr>
              <w:ind w:left="320"/>
              <w:spacing w:after="0"/>
              <w:rPr>
                <w:sz w:val="20"/>
                <w:szCs w:val="20"/>
                <w:color w:val="auto"/>
              </w:rPr>
            </w:pPr>
            <w:r>
              <w:rPr>
                <w:rFonts w:ascii="Courier New" w:cs="Courier New" w:eastAsia="Courier New" w:hAnsi="Courier New"/>
                <w:sz w:val="16"/>
                <w:szCs w:val="16"/>
                <w:color w:val="auto"/>
              </w:rPr>
              <w:t>Ecuador</w:t>
            </w:r>
          </w:p>
        </w:tc>
        <w:tc>
          <w:tcPr>
            <w:tcW w:w="1640" w:type="dxa"/>
            <w:vAlign w:val="bottom"/>
          </w:tcPr>
          <w:p>
            <w:pPr>
              <w:ind w:left="340"/>
              <w:spacing w:after="0"/>
              <w:rPr>
                <w:sz w:val="20"/>
                <w:szCs w:val="20"/>
                <w:color w:val="auto"/>
              </w:rPr>
            </w:pPr>
            <w:r>
              <w:rPr>
                <w:rFonts w:ascii="Courier New" w:cs="Courier New" w:eastAsia="Courier New" w:hAnsi="Courier New"/>
                <w:sz w:val="16"/>
                <w:szCs w:val="16"/>
                <w:color w:val="auto"/>
              </w:rPr>
              <w:t>India</w:t>
            </w:r>
          </w:p>
        </w:tc>
        <w:tc>
          <w:tcPr>
            <w:tcW w:w="2220" w:type="dxa"/>
            <w:vAlign w:val="bottom"/>
          </w:tcPr>
          <w:p>
            <w:pPr>
              <w:ind w:left="340"/>
              <w:spacing w:after="0"/>
              <w:rPr>
                <w:sz w:val="20"/>
                <w:szCs w:val="20"/>
                <w:color w:val="auto"/>
              </w:rPr>
            </w:pPr>
            <w:r>
              <w:rPr>
                <w:rFonts w:ascii="Courier New" w:cs="Courier New" w:eastAsia="Courier New" w:hAnsi="Courier New"/>
                <w:sz w:val="16"/>
                <w:szCs w:val="16"/>
                <w:color w:val="auto"/>
              </w:rPr>
              <w:t>Morocco</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Portugal</w:t>
            </w:r>
          </w:p>
        </w:tc>
      </w:tr>
      <w:tr>
        <w:trPr>
          <w:trHeight w:val="185"/>
        </w:trPr>
        <w:tc>
          <w:tcPr>
            <w:tcW w:w="1400" w:type="dxa"/>
            <w:vAlign w:val="bottom"/>
          </w:tcPr>
          <w:p>
            <w:pPr>
              <w:spacing w:after="0"/>
              <w:rPr>
                <w:sz w:val="20"/>
                <w:szCs w:val="20"/>
                <w:color w:val="auto"/>
              </w:rPr>
            </w:pPr>
            <w:r>
              <w:rPr>
                <w:rFonts w:ascii="Courier New" w:cs="Courier New" w:eastAsia="Courier New" w:hAnsi="Courier New"/>
                <w:sz w:val="16"/>
                <w:szCs w:val="16"/>
                <w:color w:val="auto"/>
              </w:rPr>
              <w:t>Bolivia</w:t>
            </w:r>
          </w:p>
        </w:tc>
        <w:tc>
          <w:tcPr>
            <w:tcW w:w="2000" w:type="dxa"/>
            <w:vAlign w:val="bottom"/>
          </w:tcPr>
          <w:p>
            <w:pPr>
              <w:ind w:left="320"/>
              <w:spacing w:after="0"/>
              <w:rPr>
                <w:sz w:val="20"/>
                <w:szCs w:val="20"/>
                <w:color w:val="auto"/>
              </w:rPr>
            </w:pPr>
            <w:r>
              <w:rPr>
                <w:rFonts w:ascii="Courier New" w:cs="Courier New" w:eastAsia="Courier New" w:hAnsi="Courier New"/>
                <w:sz w:val="16"/>
                <w:szCs w:val="16"/>
                <w:color w:val="auto"/>
              </w:rPr>
              <w:t>El Salvador</w:t>
            </w:r>
          </w:p>
        </w:tc>
        <w:tc>
          <w:tcPr>
            <w:tcW w:w="1640" w:type="dxa"/>
            <w:vAlign w:val="bottom"/>
          </w:tcPr>
          <w:p>
            <w:pPr>
              <w:ind w:left="340"/>
              <w:spacing w:after="0"/>
              <w:rPr>
                <w:sz w:val="20"/>
                <w:szCs w:val="20"/>
                <w:color w:val="auto"/>
              </w:rPr>
            </w:pPr>
            <w:r>
              <w:rPr>
                <w:rFonts w:ascii="Courier New" w:cs="Courier New" w:eastAsia="Courier New" w:hAnsi="Courier New"/>
                <w:sz w:val="16"/>
                <w:szCs w:val="16"/>
                <w:color w:val="auto"/>
              </w:rPr>
              <w:t>Ireland</w:t>
            </w:r>
          </w:p>
        </w:tc>
        <w:tc>
          <w:tcPr>
            <w:tcW w:w="2220" w:type="dxa"/>
            <w:vAlign w:val="bottom"/>
          </w:tcPr>
          <w:p>
            <w:pPr>
              <w:ind w:left="340"/>
              <w:spacing w:after="0"/>
              <w:rPr>
                <w:sz w:val="20"/>
                <w:szCs w:val="20"/>
                <w:color w:val="auto"/>
              </w:rPr>
            </w:pPr>
            <w:r>
              <w:rPr>
                <w:rFonts w:ascii="Courier New" w:cs="Courier New" w:eastAsia="Courier New" w:hAnsi="Courier New"/>
                <w:sz w:val="16"/>
                <w:szCs w:val="16"/>
                <w:color w:val="auto"/>
              </w:rPr>
              <w:t>Netherlands</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Puerto Rico</w:t>
            </w:r>
          </w:p>
        </w:tc>
      </w:tr>
      <w:tr>
        <w:trPr>
          <w:trHeight w:val="185"/>
        </w:trPr>
        <w:tc>
          <w:tcPr>
            <w:tcW w:w="1400" w:type="dxa"/>
            <w:vAlign w:val="bottom"/>
          </w:tcPr>
          <w:p>
            <w:pPr>
              <w:spacing w:after="0"/>
              <w:rPr>
                <w:sz w:val="20"/>
                <w:szCs w:val="20"/>
                <w:color w:val="auto"/>
              </w:rPr>
            </w:pPr>
            <w:r>
              <w:rPr>
                <w:rFonts w:ascii="Courier New" w:cs="Courier New" w:eastAsia="Courier New" w:hAnsi="Courier New"/>
                <w:sz w:val="16"/>
                <w:szCs w:val="16"/>
                <w:color w:val="auto"/>
              </w:rPr>
              <w:t>Brazil</w:t>
            </w:r>
          </w:p>
        </w:tc>
        <w:tc>
          <w:tcPr>
            <w:tcW w:w="2000" w:type="dxa"/>
            <w:vAlign w:val="bottom"/>
          </w:tcPr>
          <w:p>
            <w:pPr>
              <w:ind w:left="320"/>
              <w:spacing w:after="0"/>
              <w:rPr>
                <w:sz w:val="20"/>
                <w:szCs w:val="20"/>
                <w:color w:val="auto"/>
              </w:rPr>
            </w:pPr>
            <w:r>
              <w:rPr>
                <w:rFonts w:ascii="Courier New" w:cs="Courier New" w:eastAsia="Courier New" w:hAnsi="Courier New"/>
                <w:sz w:val="16"/>
                <w:szCs w:val="16"/>
                <w:color w:val="auto"/>
              </w:rPr>
              <w:t>Finland</w:t>
            </w:r>
          </w:p>
        </w:tc>
        <w:tc>
          <w:tcPr>
            <w:tcW w:w="1640" w:type="dxa"/>
            <w:vAlign w:val="bottom"/>
          </w:tcPr>
          <w:p>
            <w:pPr>
              <w:ind w:left="340"/>
              <w:spacing w:after="0"/>
              <w:rPr>
                <w:sz w:val="20"/>
                <w:szCs w:val="20"/>
                <w:color w:val="auto"/>
              </w:rPr>
            </w:pPr>
            <w:r>
              <w:rPr>
                <w:rFonts w:ascii="Courier New" w:cs="Courier New" w:eastAsia="Courier New" w:hAnsi="Courier New"/>
                <w:sz w:val="16"/>
                <w:szCs w:val="16"/>
                <w:color w:val="auto"/>
              </w:rPr>
              <w:t>Israel</w:t>
            </w:r>
          </w:p>
        </w:tc>
        <w:tc>
          <w:tcPr>
            <w:tcW w:w="2220" w:type="dxa"/>
            <w:vAlign w:val="bottom"/>
          </w:tcPr>
          <w:p>
            <w:pPr>
              <w:ind w:left="340"/>
              <w:spacing w:after="0"/>
              <w:rPr>
                <w:sz w:val="20"/>
                <w:szCs w:val="20"/>
                <w:color w:val="auto"/>
              </w:rPr>
            </w:pPr>
            <w:r>
              <w:rPr>
                <w:rFonts w:ascii="Courier New" w:cs="Courier New" w:eastAsia="Courier New" w:hAnsi="Courier New"/>
                <w:sz w:val="16"/>
                <w:szCs w:val="16"/>
                <w:color w:val="auto"/>
              </w:rPr>
              <w:t>New Caledonia</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Reunion</w:t>
            </w:r>
          </w:p>
        </w:tc>
      </w:tr>
      <w:tr>
        <w:trPr>
          <w:trHeight w:val="185"/>
        </w:trPr>
        <w:tc>
          <w:tcPr>
            <w:tcW w:w="1400" w:type="dxa"/>
            <w:vAlign w:val="bottom"/>
          </w:tcPr>
          <w:p>
            <w:pPr>
              <w:spacing w:after="0"/>
              <w:rPr>
                <w:sz w:val="20"/>
                <w:szCs w:val="20"/>
                <w:color w:val="auto"/>
              </w:rPr>
            </w:pPr>
            <w:r>
              <w:rPr>
                <w:rFonts w:ascii="Courier New" w:cs="Courier New" w:eastAsia="Courier New" w:hAnsi="Courier New"/>
                <w:sz w:val="16"/>
                <w:szCs w:val="16"/>
                <w:color w:val="auto"/>
              </w:rPr>
              <w:t>Canada</w:t>
            </w:r>
          </w:p>
        </w:tc>
        <w:tc>
          <w:tcPr>
            <w:tcW w:w="2000" w:type="dxa"/>
            <w:vAlign w:val="bottom"/>
          </w:tcPr>
          <w:p>
            <w:pPr>
              <w:ind w:left="320"/>
              <w:spacing w:after="0"/>
              <w:rPr>
                <w:sz w:val="20"/>
                <w:szCs w:val="20"/>
                <w:color w:val="auto"/>
              </w:rPr>
            </w:pPr>
            <w:r>
              <w:rPr>
                <w:rFonts w:ascii="Courier New" w:cs="Courier New" w:eastAsia="Courier New" w:hAnsi="Courier New"/>
                <w:sz w:val="16"/>
                <w:szCs w:val="16"/>
                <w:color w:val="auto"/>
              </w:rPr>
              <w:t>France</w:t>
            </w:r>
          </w:p>
        </w:tc>
        <w:tc>
          <w:tcPr>
            <w:tcW w:w="1640" w:type="dxa"/>
            <w:vAlign w:val="bottom"/>
          </w:tcPr>
          <w:p>
            <w:pPr>
              <w:ind w:left="340"/>
              <w:spacing w:after="0"/>
              <w:rPr>
                <w:sz w:val="20"/>
                <w:szCs w:val="20"/>
                <w:color w:val="auto"/>
              </w:rPr>
            </w:pPr>
            <w:r>
              <w:rPr>
                <w:rFonts w:ascii="Courier New" w:cs="Courier New" w:eastAsia="Courier New" w:hAnsi="Courier New"/>
                <w:sz w:val="16"/>
                <w:szCs w:val="16"/>
                <w:color w:val="auto"/>
              </w:rPr>
              <w:t>Italy</w:t>
            </w:r>
          </w:p>
        </w:tc>
        <w:tc>
          <w:tcPr>
            <w:tcW w:w="2220" w:type="dxa"/>
            <w:vAlign w:val="bottom"/>
          </w:tcPr>
          <w:p>
            <w:pPr>
              <w:ind w:left="340"/>
              <w:spacing w:after="0"/>
              <w:rPr>
                <w:sz w:val="20"/>
                <w:szCs w:val="20"/>
                <w:color w:val="auto"/>
              </w:rPr>
            </w:pPr>
            <w:r>
              <w:rPr>
                <w:rFonts w:ascii="Courier New" w:cs="Courier New" w:eastAsia="Courier New" w:hAnsi="Courier New"/>
                <w:sz w:val="16"/>
                <w:szCs w:val="16"/>
                <w:color w:val="auto"/>
              </w:rPr>
              <w:t>New Zealand</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Russia</w:t>
            </w:r>
          </w:p>
        </w:tc>
      </w:tr>
      <w:tr>
        <w:trPr>
          <w:trHeight w:val="185"/>
        </w:trPr>
        <w:tc>
          <w:tcPr>
            <w:tcW w:w="1400" w:type="dxa"/>
            <w:vAlign w:val="bottom"/>
          </w:tcPr>
          <w:p>
            <w:pPr>
              <w:spacing w:after="0"/>
              <w:rPr>
                <w:sz w:val="20"/>
                <w:szCs w:val="20"/>
                <w:color w:val="auto"/>
              </w:rPr>
            </w:pPr>
            <w:r>
              <w:rPr>
                <w:rFonts w:ascii="Courier New" w:cs="Courier New" w:eastAsia="Courier New" w:hAnsi="Courier New"/>
                <w:sz w:val="16"/>
                <w:szCs w:val="16"/>
                <w:color w:val="auto"/>
              </w:rPr>
              <w:t>Chile</w:t>
            </w:r>
          </w:p>
        </w:tc>
        <w:tc>
          <w:tcPr>
            <w:tcW w:w="2000" w:type="dxa"/>
            <w:vAlign w:val="bottom"/>
          </w:tcPr>
          <w:p>
            <w:pPr>
              <w:ind w:left="320"/>
              <w:spacing w:after="0"/>
              <w:rPr>
                <w:sz w:val="20"/>
                <w:szCs w:val="20"/>
                <w:color w:val="auto"/>
              </w:rPr>
            </w:pPr>
            <w:r>
              <w:rPr>
                <w:rFonts w:ascii="Courier New" w:cs="Courier New" w:eastAsia="Courier New" w:hAnsi="Courier New"/>
                <w:sz w:val="16"/>
                <w:szCs w:val="16"/>
                <w:color w:val="auto"/>
              </w:rPr>
              <w:t>Germany</w:t>
            </w:r>
          </w:p>
        </w:tc>
        <w:tc>
          <w:tcPr>
            <w:tcW w:w="1640" w:type="dxa"/>
            <w:vAlign w:val="bottom"/>
          </w:tcPr>
          <w:p>
            <w:pPr>
              <w:ind w:left="340"/>
              <w:spacing w:after="0"/>
              <w:rPr>
                <w:sz w:val="20"/>
                <w:szCs w:val="20"/>
                <w:color w:val="auto"/>
              </w:rPr>
            </w:pPr>
            <w:r>
              <w:rPr>
                <w:rFonts w:ascii="Courier New" w:cs="Courier New" w:eastAsia="Courier New" w:hAnsi="Courier New"/>
                <w:sz w:val="16"/>
                <w:szCs w:val="16"/>
                <w:color w:val="auto"/>
              </w:rPr>
              <w:t>Japan</w:t>
            </w:r>
          </w:p>
        </w:tc>
        <w:tc>
          <w:tcPr>
            <w:tcW w:w="2220" w:type="dxa"/>
            <w:vAlign w:val="bottom"/>
          </w:tcPr>
          <w:p>
            <w:pPr>
              <w:ind w:left="340"/>
              <w:spacing w:after="0"/>
              <w:rPr>
                <w:sz w:val="20"/>
                <w:szCs w:val="20"/>
                <w:color w:val="auto"/>
              </w:rPr>
            </w:pPr>
            <w:r>
              <w:rPr>
                <w:rFonts w:ascii="Courier New" w:cs="Courier New" w:eastAsia="Courier New" w:hAnsi="Courier New"/>
                <w:sz w:val="16"/>
                <w:szCs w:val="16"/>
                <w:color w:val="auto"/>
              </w:rPr>
              <w:t>Norway</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Singapore</w:t>
            </w:r>
          </w:p>
        </w:tc>
      </w:tr>
      <w:tr>
        <w:trPr>
          <w:trHeight w:val="185"/>
        </w:trPr>
        <w:tc>
          <w:tcPr>
            <w:tcW w:w="1400" w:type="dxa"/>
            <w:vAlign w:val="bottom"/>
          </w:tcPr>
          <w:p>
            <w:pPr>
              <w:spacing w:after="0"/>
              <w:rPr>
                <w:sz w:val="20"/>
                <w:szCs w:val="20"/>
                <w:color w:val="auto"/>
              </w:rPr>
            </w:pPr>
            <w:r>
              <w:rPr>
                <w:rFonts w:ascii="Courier New" w:cs="Courier New" w:eastAsia="Courier New" w:hAnsi="Courier New"/>
                <w:sz w:val="16"/>
                <w:szCs w:val="16"/>
                <w:color w:val="auto"/>
              </w:rPr>
              <w:t>China (PRC)</w:t>
            </w:r>
          </w:p>
        </w:tc>
        <w:tc>
          <w:tcPr>
            <w:tcW w:w="2000" w:type="dxa"/>
            <w:vAlign w:val="bottom"/>
          </w:tcPr>
          <w:p>
            <w:pPr>
              <w:ind w:left="320"/>
              <w:spacing w:after="0"/>
              <w:rPr>
                <w:sz w:val="20"/>
                <w:szCs w:val="20"/>
                <w:color w:val="auto"/>
              </w:rPr>
            </w:pPr>
            <w:r>
              <w:rPr>
                <w:rFonts w:ascii="Courier New" w:cs="Courier New" w:eastAsia="Courier New" w:hAnsi="Courier New"/>
                <w:sz w:val="16"/>
                <w:szCs w:val="16"/>
                <w:color w:val="auto"/>
              </w:rPr>
              <w:t>Greece</w:t>
            </w:r>
          </w:p>
        </w:tc>
        <w:tc>
          <w:tcPr>
            <w:tcW w:w="1640" w:type="dxa"/>
            <w:vAlign w:val="bottom"/>
          </w:tcPr>
          <w:p>
            <w:pPr>
              <w:ind w:left="340"/>
              <w:spacing w:after="0"/>
              <w:rPr>
                <w:sz w:val="20"/>
                <w:szCs w:val="20"/>
                <w:color w:val="auto"/>
              </w:rPr>
            </w:pPr>
            <w:r>
              <w:rPr>
                <w:rFonts w:ascii="Courier New" w:cs="Courier New" w:eastAsia="Courier New" w:hAnsi="Courier New"/>
                <w:sz w:val="16"/>
                <w:szCs w:val="16"/>
                <w:color w:val="auto"/>
              </w:rPr>
              <w:t>Korea</w:t>
            </w:r>
          </w:p>
        </w:tc>
        <w:tc>
          <w:tcPr>
            <w:tcW w:w="2220" w:type="dxa"/>
            <w:vAlign w:val="bottom"/>
          </w:tcPr>
          <w:p>
            <w:pPr>
              <w:ind w:left="340"/>
              <w:spacing w:after="0"/>
              <w:rPr>
                <w:sz w:val="20"/>
                <w:szCs w:val="20"/>
                <w:color w:val="auto"/>
              </w:rPr>
            </w:pPr>
            <w:r>
              <w:rPr>
                <w:rFonts w:ascii="Courier New" w:cs="Courier New" w:eastAsia="Courier New" w:hAnsi="Courier New"/>
                <w:sz w:val="16"/>
                <w:szCs w:val="16"/>
                <w:color w:val="auto"/>
              </w:rPr>
              <w:t>Panama</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w w:val="98"/>
              </w:rPr>
              <w:t>South Africa</w:t>
            </w:r>
          </w:p>
        </w:tc>
      </w:tr>
      <w:tr>
        <w:trPr>
          <w:trHeight w:val="185"/>
        </w:trPr>
        <w:tc>
          <w:tcPr>
            <w:tcW w:w="1400" w:type="dxa"/>
            <w:vAlign w:val="bottom"/>
          </w:tcPr>
          <w:p>
            <w:pPr>
              <w:spacing w:after="0"/>
              <w:rPr>
                <w:sz w:val="20"/>
                <w:szCs w:val="20"/>
                <w:color w:val="auto"/>
              </w:rPr>
            </w:pPr>
            <w:r>
              <w:rPr>
                <w:rFonts w:ascii="Courier New" w:cs="Courier New" w:eastAsia="Courier New" w:hAnsi="Courier New"/>
                <w:sz w:val="16"/>
                <w:szCs w:val="16"/>
                <w:color w:val="auto"/>
              </w:rPr>
              <w:t>Colombia</w:t>
            </w:r>
          </w:p>
        </w:tc>
        <w:tc>
          <w:tcPr>
            <w:tcW w:w="2000" w:type="dxa"/>
            <w:vAlign w:val="bottom"/>
          </w:tcPr>
          <w:p>
            <w:pPr>
              <w:ind w:left="320"/>
              <w:spacing w:after="0"/>
              <w:rPr>
                <w:sz w:val="20"/>
                <w:szCs w:val="20"/>
                <w:color w:val="auto"/>
              </w:rPr>
            </w:pPr>
            <w:r>
              <w:rPr>
                <w:rFonts w:ascii="Courier New" w:cs="Courier New" w:eastAsia="Courier New" w:hAnsi="Courier New"/>
                <w:sz w:val="16"/>
                <w:szCs w:val="16"/>
                <w:color w:val="auto"/>
              </w:rPr>
              <w:t>Guatemala</w:t>
            </w:r>
          </w:p>
        </w:tc>
        <w:tc>
          <w:tcPr>
            <w:tcW w:w="1640" w:type="dxa"/>
            <w:vAlign w:val="bottom"/>
          </w:tcPr>
          <w:p>
            <w:pPr>
              <w:ind w:left="340"/>
              <w:spacing w:after="0"/>
              <w:rPr>
                <w:sz w:val="20"/>
                <w:szCs w:val="20"/>
                <w:color w:val="auto"/>
              </w:rPr>
            </w:pPr>
            <w:r>
              <w:rPr>
                <w:rFonts w:ascii="Courier New" w:cs="Courier New" w:eastAsia="Courier New" w:hAnsi="Courier New"/>
                <w:sz w:val="16"/>
                <w:szCs w:val="16"/>
                <w:color w:val="auto"/>
              </w:rPr>
              <w:t>Luxembourg</w:t>
            </w:r>
          </w:p>
        </w:tc>
        <w:tc>
          <w:tcPr>
            <w:tcW w:w="2220" w:type="dxa"/>
            <w:vAlign w:val="bottom"/>
          </w:tcPr>
          <w:p>
            <w:pPr>
              <w:ind w:left="340"/>
              <w:spacing w:after="0"/>
              <w:rPr>
                <w:sz w:val="20"/>
                <w:szCs w:val="20"/>
                <w:color w:val="auto"/>
              </w:rPr>
            </w:pPr>
            <w:r>
              <w:rPr>
                <w:rFonts w:ascii="Courier New" w:cs="Courier New" w:eastAsia="Courier New" w:hAnsi="Courier New"/>
                <w:sz w:val="16"/>
                <w:szCs w:val="16"/>
                <w:color w:val="auto"/>
              </w:rPr>
              <w:t>Paraguay</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Spain</w:t>
            </w:r>
          </w:p>
        </w:tc>
      </w:tr>
      <w:tr>
        <w:trPr>
          <w:trHeight w:val="554"/>
        </w:trPr>
        <w:tc>
          <w:tcPr>
            <w:tcW w:w="1400" w:type="dxa"/>
            <w:vAlign w:val="bottom"/>
          </w:tcPr>
          <w:p>
            <w:pPr>
              <w:spacing w:after="0"/>
              <w:rPr>
                <w:sz w:val="20"/>
                <w:szCs w:val="20"/>
                <w:color w:val="auto"/>
              </w:rPr>
            </w:pPr>
            <w:r>
              <w:rPr>
                <w:rFonts w:ascii="Courier New" w:cs="Courier New" w:eastAsia="Courier New" w:hAnsi="Courier New"/>
                <w:sz w:val="16"/>
                <w:szCs w:val="16"/>
                <w:color w:val="auto"/>
              </w:rPr>
              <w:t>98</w:t>
            </w:r>
          </w:p>
        </w:tc>
        <w:tc>
          <w:tcPr>
            <w:tcW w:w="2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20" w:type="dxa"/>
            <w:vAlign w:val="bottom"/>
          </w:tcPr>
          <w:p>
            <w:pPr>
              <w:ind w:left="1400"/>
              <w:spacing w:after="0"/>
              <w:rPr>
                <w:sz w:val="20"/>
                <w:szCs w:val="20"/>
                <w:color w:val="auto"/>
              </w:rPr>
            </w:pPr>
            <w:r>
              <w:rPr>
                <w:rFonts w:ascii="Courier New" w:cs="Courier New" w:eastAsia="Courier New" w:hAnsi="Courier New"/>
                <w:sz w:val="16"/>
                <w:szCs w:val="16"/>
                <w:color w:val="auto"/>
              </w:rPr>
              <w:t>Manpower</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Inc.</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Sweden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Switzerland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Taiwan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Thailand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Tunisia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Kingdom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Uruguay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Venezuela</w:t>
      </w:r>
    </w:p>
    <w:p>
      <w:pPr>
        <w:sectPr>
          <w:pgSz w:w="11900" w:h="16838" w:orient="portrait"/>
          <w:cols w:equalWidth="0" w:num="2">
            <w:col w:w="8460" w:space="660"/>
            <w:col w:w="1360"/>
          </w:cols>
          <w:pgMar w:left="240" w:top="300" w:right="1179" w:bottom="1440" w:gutter="0" w:footer="0" w:header="0"/>
        </w:sectPr>
      </w:pPr>
    </w:p>
    <w:bookmarkStart w:id="91" w:name="page92"/>
    <w:bookmarkEnd w:id="91"/>
    <w:p>
      <w:pPr>
        <w:spacing w:after="0"/>
        <w:rPr>
          <w:sz w:val="20"/>
          <w:szCs w:val="20"/>
          <w:color w:val="auto"/>
        </w:rPr>
      </w:pPr>
      <w:r>
        <w:rPr>
          <w:rFonts w:ascii="Courier New" w:cs="Courier New" w:eastAsia="Courier New" w:hAnsi="Courier New"/>
          <w:sz w:val="16"/>
          <w:szCs w:val="16"/>
          <w:color w:val="auto"/>
        </w:rPr>
        <w:t>73</w:t>
      </w:r>
    </w:p>
    <w:p>
      <w:pPr>
        <w:spacing w:after="0" w:line="373" w:lineRule="exact"/>
        <w:rPr>
          <w:sz w:val="20"/>
          <w:szCs w:val="20"/>
          <w:color w:val="auto"/>
        </w:rPr>
      </w:pPr>
    </w:p>
    <w:p>
      <w:pPr>
        <w:jc w:val="right"/>
        <w:ind w:right="5799"/>
        <w:spacing w:after="0"/>
        <w:rPr>
          <w:sz w:val="20"/>
          <w:szCs w:val="20"/>
          <w:color w:val="auto"/>
        </w:rPr>
      </w:pPr>
      <w:r>
        <w:rPr>
          <w:rFonts w:ascii="Courier New" w:cs="Courier New" w:eastAsia="Courier New" w:hAnsi="Courier New"/>
          <w:sz w:val="16"/>
          <w:szCs w:val="16"/>
          <w:color w:val="auto"/>
        </w:rPr>
        <w:t>[BLANK PAGE]</w:t>
      </w:r>
    </w:p>
    <w:p>
      <w:pPr>
        <w:sectPr>
          <w:pgSz w:w="11900" w:h="16838" w:orient="portrait"/>
          <w:cols w:equalWidth="0" w:num="1">
            <w:col w:w="9939"/>
          </w:cols>
          <w:pgMar w:left="520" w:top="300" w:right="1440" w:bottom="1440" w:gutter="0" w:footer="0" w:header="0"/>
        </w:sectPr>
      </w:pPr>
    </w:p>
    <w:bookmarkStart w:id="92" w:name="page93"/>
    <w:bookmarkEnd w:id="92"/>
    <w:p>
      <w:pPr>
        <w:spacing w:after="0"/>
        <w:rPr>
          <w:sz w:val="20"/>
          <w:szCs w:val="20"/>
          <w:color w:val="auto"/>
        </w:rPr>
      </w:pPr>
      <w:r>
        <w:rPr>
          <w:rFonts w:ascii="Courier New" w:cs="Courier New" w:eastAsia="Courier New" w:hAnsi="Courier New"/>
          <w:sz w:val="16"/>
          <w:szCs w:val="16"/>
          <w:color w:val="auto"/>
        </w:rPr>
        <w:t>74</w:t>
      </w:r>
    </w:p>
    <w:p>
      <w:pPr>
        <w:spacing w:after="0" w:line="18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[PHOTO]</w:t>
      </w:r>
    </w:p>
    <w:p>
      <w:pPr>
        <w:spacing w:after="0" w:line="18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International Headquarters</w:t>
      </w:r>
    </w:p>
    <w:p>
      <w:pPr>
        <w:spacing w:after="0" w:line="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P.O. Box 2053</w:t>
      </w:r>
    </w:p>
    <w:p>
      <w:pPr>
        <w:spacing w:after="0" w:line="4"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5301 North Ironwood Road</w:t>
      </w:r>
    </w:p>
    <w:p>
      <w:pPr>
        <w:spacing w:after="0" w:line="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Milwaukee, Wisconsin 53201 USA</w:t>
      </w:r>
    </w:p>
    <w:p>
      <w:pPr>
        <w:spacing w:after="0" w:line="13"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414.961.1000</w:t>
      </w:r>
    </w:p>
    <w:p>
      <w:pPr>
        <w:spacing w:after="0" w:line="188"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www.manpower.com</w:t>
      </w:r>
    </w:p>
    <w:p>
      <w:pPr>
        <w:sectPr>
          <w:pgSz w:w="11900" w:h="16838" w:orient="portrait"/>
          <w:cols w:equalWidth="0" w:num="1">
            <w:col w:w="9939"/>
          </w:cols>
          <w:pgMar w:left="520" w:top="300" w:right="1440" w:bottom="1440" w:gutter="0" w:footer="0" w:header="0"/>
        </w:sectPr>
      </w:pPr>
    </w:p>
    <w:bookmarkStart w:id="93" w:name="page94"/>
    <w:bookmarkEnd w:id="93"/>
    <w:p>
      <w:pPr>
        <w:ind w:left="28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spacing w:after="0"/>
              <w:rPr>
                <w:sz w:val="15"/>
                <w:szCs w:val="15"/>
                <w:color w:val="auto"/>
              </w:rPr>
            </w:pPr>
          </w:p>
        </w:tc>
        <w:tc>
          <w:tcPr>
            <w:tcW w:w="2160" w:type="dxa"/>
            <w:vAlign w:val="bottom"/>
          </w:tcPr>
          <w:p>
            <w:pPr>
              <w:ind w:left="1000"/>
              <w:spacing w:after="0"/>
              <w:rPr>
                <w:sz w:val="20"/>
                <w:szCs w:val="20"/>
                <w:color w:val="auto"/>
              </w:rPr>
            </w:pPr>
            <w:r>
              <w:rPr>
                <w:rFonts w:ascii="Courier New" w:cs="Courier New" w:eastAsia="Courier New" w:hAnsi="Courier New"/>
                <w:sz w:val="16"/>
                <w:szCs w:val="16"/>
                <w:color w:val="auto"/>
              </w:rPr>
              <w:t>EXHIBIT 21</w:t>
            </w:r>
          </w:p>
        </w:tc>
      </w:tr>
      <w:tr>
        <w:trPr>
          <w:trHeight w:val="370"/>
        </w:trPr>
        <w:tc>
          <w:tcPr>
            <w:tcW w:w="5720" w:type="dxa"/>
            <w:vAlign w:val="bottom"/>
          </w:tcPr>
          <w:p>
            <w:pPr>
              <w:ind w:left="2500"/>
              <w:spacing w:after="0"/>
              <w:rPr>
                <w:sz w:val="20"/>
                <w:szCs w:val="20"/>
                <w:color w:val="auto"/>
              </w:rPr>
            </w:pPr>
            <w:r>
              <w:rPr>
                <w:rFonts w:ascii="Courier New" w:cs="Courier New" w:eastAsia="Courier New" w:hAnsi="Courier New"/>
                <w:sz w:val="16"/>
                <w:szCs w:val="16"/>
                <w:color w:val="auto"/>
              </w:rPr>
              <w:t>SUBSIDIARIES OF MANPOWER INC.</w:t>
            </w:r>
          </w:p>
        </w:tc>
        <w:tc>
          <w:tcPr>
            <w:tcW w:w="2160" w:type="dxa"/>
            <w:vAlign w:val="bottom"/>
          </w:tcPr>
          <w:p>
            <w:pPr>
              <w:spacing w:after="0"/>
              <w:rPr>
                <w:sz w:val="24"/>
                <w:szCs w:val="24"/>
                <w:color w:val="auto"/>
              </w:rPr>
            </w:pPr>
          </w:p>
        </w:tc>
      </w:tr>
      <w:tr>
        <w:trPr>
          <w:trHeight w:val="739"/>
        </w:trPr>
        <w:tc>
          <w:tcPr>
            <w:tcW w:w="5720" w:type="dxa"/>
            <w:vAlign w:val="bottom"/>
          </w:tcPr>
          <w:p>
            <w:pPr>
              <w:spacing w:after="0"/>
              <w:rPr>
                <w:sz w:val="24"/>
                <w:szCs w:val="24"/>
                <w:color w:val="auto"/>
              </w:rPr>
            </w:pPr>
          </w:p>
        </w:tc>
        <w:tc>
          <w:tcPr>
            <w:tcW w:w="2160" w:type="dxa"/>
            <w:vAlign w:val="bottom"/>
          </w:tcPr>
          <w:p>
            <w:pPr>
              <w:ind w:left="520"/>
              <w:spacing w:after="0"/>
              <w:rPr>
                <w:sz w:val="20"/>
                <w:szCs w:val="20"/>
                <w:color w:val="auto"/>
              </w:rPr>
            </w:pPr>
            <w:r>
              <w:rPr>
                <w:rFonts w:ascii="Courier New" w:cs="Courier New" w:eastAsia="Courier New" w:hAnsi="Courier New"/>
                <w:sz w:val="16"/>
                <w:szCs w:val="16"/>
                <w:color w:val="auto"/>
              </w:rPr>
              <w:t>Incorporated in</w:t>
            </w:r>
          </w:p>
        </w:tc>
      </w:tr>
      <w:tr>
        <w:trPr>
          <w:trHeight w:val="185"/>
        </w:trPr>
        <w:tc>
          <w:tcPr>
            <w:tcW w:w="5720" w:type="dxa"/>
            <w:vAlign w:val="bottom"/>
          </w:tcPr>
          <w:p>
            <w:pPr>
              <w:spacing w:after="0"/>
              <w:rPr>
                <w:sz w:val="20"/>
                <w:szCs w:val="20"/>
                <w:color w:val="auto"/>
              </w:rPr>
            </w:pPr>
            <w:r>
              <w:rPr>
                <w:rFonts w:ascii="Courier New" w:cs="Courier New" w:eastAsia="Courier New" w:hAnsi="Courier New"/>
                <w:sz w:val="16"/>
                <w:szCs w:val="16"/>
                <w:color w:val="auto"/>
              </w:rPr>
              <w:t>Corporate Name</w:t>
            </w:r>
          </w:p>
        </w:tc>
        <w:tc>
          <w:tcPr>
            <w:tcW w:w="2160" w:type="dxa"/>
            <w:vAlign w:val="bottom"/>
          </w:tcPr>
          <w:p>
            <w:pPr>
              <w:ind w:left="420"/>
              <w:spacing w:after="0"/>
              <w:rPr>
                <w:sz w:val="20"/>
                <w:szCs w:val="20"/>
                <w:color w:val="auto"/>
              </w:rPr>
            </w:pPr>
            <w:r>
              <w:rPr>
                <w:rFonts w:ascii="Courier New" w:cs="Courier New" w:eastAsia="Courier New" w:hAnsi="Courier New"/>
                <w:sz w:val="16"/>
                <w:szCs w:val="16"/>
                <w:color w:val="auto"/>
              </w:rPr>
              <w:t>State/Country of</w:t>
            </w:r>
          </w:p>
        </w:tc>
      </w:tr>
      <w:tr>
        <w:trPr>
          <w:trHeight w:val="185"/>
        </w:trPr>
        <w:tc>
          <w:tcPr>
            <w:tcW w:w="57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160" w:type="dxa"/>
            <w:vAlign w:val="bottom"/>
          </w:tcPr>
          <w:p>
            <w:pPr>
              <w:ind w:left="620"/>
              <w:spacing w:after="0"/>
              <w:rPr>
                <w:sz w:val="20"/>
                <w:szCs w:val="20"/>
                <w:color w:val="auto"/>
              </w:rPr>
            </w:pPr>
            <w:r>
              <w:rPr>
                <w:rFonts w:ascii="Courier New" w:cs="Courier New" w:eastAsia="Courier New" w:hAnsi="Courier New"/>
                <w:sz w:val="16"/>
                <w:szCs w:val="16"/>
                <w:color w:val="auto"/>
                <w:w w:val="98"/>
              </w:rPr>
              <w:t>----------------</w:t>
            </w:r>
          </w:p>
        </w:tc>
      </w:tr>
      <w:tr>
        <w:trPr>
          <w:trHeight w:val="554"/>
        </w:trPr>
        <w:tc>
          <w:tcPr>
            <w:tcW w:w="5720" w:type="dxa"/>
            <w:vAlign w:val="bottom"/>
          </w:tcPr>
          <w:p>
            <w:pPr>
              <w:spacing w:after="0"/>
              <w:rPr>
                <w:sz w:val="20"/>
                <w:szCs w:val="20"/>
                <w:color w:val="auto"/>
              </w:rPr>
            </w:pPr>
            <w:r>
              <w:rPr>
                <w:rFonts w:ascii="Courier New" w:cs="Courier New" w:eastAsia="Courier New" w:hAnsi="Courier New"/>
                <w:sz w:val="16"/>
                <w:szCs w:val="16"/>
                <w:color w:val="auto"/>
              </w:rPr>
              <w:t>Huntsville Service Contractors, Inc.</w:t>
            </w:r>
          </w:p>
        </w:tc>
        <w:tc>
          <w:tcPr>
            <w:tcW w:w="2160" w:type="dxa"/>
            <w:vAlign w:val="bottom"/>
          </w:tcPr>
          <w:p>
            <w:pPr>
              <w:ind w:left="1000"/>
              <w:spacing w:after="0"/>
              <w:rPr>
                <w:sz w:val="20"/>
                <w:szCs w:val="20"/>
                <w:color w:val="auto"/>
              </w:rPr>
            </w:pPr>
            <w:r>
              <w:rPr>
                <w:rFonts w:ascii="Courier New" w:cs="Courier New" w:eastAsia="Courier New" w:hAnsi="Courier New"/>
                <w:sz w:val="16"/>
                <w:szCs w:val="16"/>
                <w:color w:val="auto"/>
              </w:rPr>
              <w:t>Alabama</w:t>
            </w:r>
          </w:p>
        </w:tc>
      </w:tr>
      <w:tr>
        <w:trPr>
          <w:trHeight w:val="370"/>
        </w:trPr>
        <w:tc>
          <w:tcPr>
            <w:tcW w:w="5720" w:type="dxa"/>
            <w:vAlign w:val="bottom"/>
          </w:tcPr>
          <w:p>
            <w:pPr>
              <w:spacing w:after="0"/>
              <w:rPr>
                <w:sz w:val="20"/>
                <w:szCs w:val="20"/>
                <w:color w:val="auto"/>
              </w:rPr>
            </w:pPr>
            <w:r>
              <w:rPr>
                <w:rFonts w:ascii="Courier New" w:cs="Courier New" w:eastAsia="Courier New" w:hAnsi="Courier New"/>
                <w:sz w:val="16"/>
                <w:szCs w:val="16"/>
                <w:color w:val="auto"/>
              </w:rPr>
              <w:t>Benefits S.A.</w:t>
            </w:r>
          </w:p>
        </w:tc>
        <w:tc>
          <w:tcPr>
            <w:tcW w:w="2160" w:type="dxa"/>
            <w:vAlign w:val="bottom"/>
          </w:tcPr>
          <w:p>
            <w:pPr>
              <w:jc w:val="center"/>
              <w:ind w:left="440"/>
              <w:spacing w:after="0"/>
              <w:rPr>
                <w:sz w:val="20"/>
                <w:szCs w:val="20"/>
                <w:color w:val="auto"/>
              </w:rPr>
            </w:pPr>
            <w:r>
              <w:rPr>
                <w:rFonts w:ascii="Courier New" w:cs="Courier New" w:eastAsia="Courier New" w:hAnsi="Courier New"/>
                <w:sz w:val="16"/>
                <w:szCs w:val="16"/>
                <w:color w:val="auto"/>
              </w:rPr>
              <w:t>Argentina</w:t>
            </w:r>
          </w:p>
        </w:tc>
      </w:tr>
      <w:tr>
        <w:trPr>
          <w:trHeight w:val="370"/>
        </w:trPr>
        <w:tc>
          <w:tcPr>
            <w:tcW w:w="5720" w:type="dxa"/>
            <w:vAlign w:val="bottom"/>
          </w:tcPr>
          <w:p>
            <w:pPr>
              <w:spacing w:after="0"/>
              <w:rPr>
                <w:sz w:val="20"/>
                <w:szCs w:val="20"/>
                <w:color w:val="auto"/>
              </w:rPr>
            </w:pPr>
            <w:r>
              <w:rPr>
                <w:rFonts w:ascii="Courier New" w:cs="Courier New" w:eastAsia="Courier New" w:hAnsi="Courier New"/>
                <w:sz w:val="16"/>
                <w:szCs w:val="16"/>
                <w:color w:val="auto"/>
              </w:rPr>
              <w:t>Cotescud S.A.S.E.</w:t>
            </w:r>
          </w:p>
        </w:tc>
        <w:tc>
          <w:tcPr>
            <w:tcW w:w="2160" w:type="dxa"/>
            <w:vAlign w:val="bottom"/>
          </w:tcPr>
          <w:p>
            <w:pPr>
              <w:jc w:val="center"/>
              <w:ind w:left="440"/>
              <w:spacing w:after="0"/>
              <w:rPr>
                <w:sz w:val="20"/>
                <w:szCs w:val="20"/>
                <w:color w:val="auto"/>
              </w:rPr>
            </w:pPr>
            <w:r>
              <w:rPr>
                <w:rFonts w:ascii="Courier New" w:cs="Courier New" w:eastAsia="Courier New" w:hAnsi="Courier New"/>
                <w:sz w:val="16"/>
                <w:szCs w:val="16"/>
                <w:color w:val="auto"/>
              </w:rPr>
              <w:t>Argentina</w:t>
            </w:r>
          </w:p>
        </w:tc>
      </w:tr>
      <w:tr>
        <w:trPr>
          <w:trHeight w:val="370"/>
        </w:trPr>
        <w:tc>
          <w:tcPr>
            <w:tcW w:w="5720" w:type="dxa"/>
            <w:vAlign w:val="bottom"/>
          </w:tcPr>
          <w:p>
            <w:pPr>
              <w:spacing w:after="0"/>
              <w:rPr>
                <w:sz w:val="20"/>
                <w:szCs w:val="20"/>
                <w:color w:val="auto"/>
              </w:rPr>
            </w:pPr>
            <w:r>
              <w:rPr>
                <w:rFonts w:ascii="Courier New" w:cs="Courier New" w:eastAsia="Courier New" w:hAnsi="Courier New"/>
                <w:sz w:val="16"/>
                <w:szCs w:val="16"/>
                <w:color w:val="auto"/>
              </w:rPr>
              <w:t>CH Systems Pty Ltd.</w:t>
            </w:r>
          </w:p>
        </w:tc>
        <w:tc>
          <w:tcPr>
            <w:tcW w:w="2160" w:type="dxa"/>
            <w:vAlign w:val="bottom"/>
          </w:tcPr>
          <w:p>
            <w:pPr>
              <w:jc w:val="center"/>
              <w:ind w:left="440"/>
              <w:spacing w:after="0"/>
              <w:rPr>
                <w:sz w:val="20"/>
                <w:szCs w:val="20"/>
                <w:color w:val="auto"/>
              </w:rPr>
            </w:pPr>
            <w:r>
              <w:rPr>
                <w:rFonts w:ascii="Courier New" w:cs="Courier New" w:eastAsia="Courier New" w:hAnsi="Courier New"/>
                <w:sz w:val="16"/>
                <w:szCs w:val="16"/>
                <w:color w:val="auto"/>
              </w:rPr>
              <w:t>Australia</w:t>
            </w:r>
          </w:p>
        </w:tc>
      </w:tr>
      <w:tr>
        <w:trPr>
          <w:trHeight w:val="370"/>
        </w:trPr>
        <w:tc>
          <w:tcPr>
            <w:tcW w:w="5720" w:type="dxa"/>
            <w:vAlign w:val="bottom"/>
          </w:tcPr>
          <w:p>
            <w:pPr>
              <w:spacing w:after="0"/>
              <w:rPr>
                <w:sz w:val="20"/>
                <w:szCs w:val="20"/>
                <w:color w:val="auto"/>
              </w:rPr>
            </w:pPr>
            <w:r>
              <w:rPr>
                <w:rFonts w:ascii="Courier New" w:cs="Courier New" w:eastAsia="Courier New" w:hAnsi="Courier New"/>
                <w:sz w:val="16"/>
                <w:szCs w:val="16"/>
                <w:color w:val="auto"/>
              </w:rPr>
              <w:t>CHF Management Services Pty Ltd.</w:t>
            </w:r>
          </w:p>
        </w:tc>
        <w:tc>
          <w:tcPr>
            <w:tcW w:w="2160" w:type="dxa"/>
            <w:vAlign w:val="bottom"/>
          </w:tcPr>
          <w:p>
            <w:pPr>
              <w:jc w:val="center"/>
              <w:ind w:left="440"/>
              <w:spacing w:after="0"/>
              <w:rPr>
                <w:sz w:val="20"/>
                <w:szCs w:val="20"/>
                <w:color w:val="auto"/>
              </w:rPr>
            </w:pPr>
            <w:r>
              <w:rPr>
                <w:rFonts w:ascii="Courier New" w:cs="Courier New" w:eastAsia="Courier New" w:hAnsi="Courier New"/>
                <w:sz w:val="16"/>
                <w:szCs w:val="16"/>
                <w:color w:val="auto"/>
              </w:rPr>
              <w:t>Australia</w:t>
            </w:r>
          </w:p>
        </w:tc>
      </w:tr>
      <w:tr>
        <w:trPr>
          <w:trHeight w:val="370"/>
        </w:trPr>
        <w:tc>
          <w:tcPr>
            <w:tcW w:w="5720" w:type="dxa"/>
            <w:vAlign w:val="bottom"/>
          </w:tcPr>
          <w:p>
            <w:pPr>
              <w:spacing w:after="0"/>
              <w:rPr>
                <w:sz w:val="20"/>
                <w:szCs w:val="20"/>
                <w:color w:val="auto"/>
              </w:rPr>
            </w:pPr>
            <w:r>
              <w:rPr>
                <w:rFonts w:ascii="Courier New" w:cs="Courier New" w:eastAsia="Courier New" w:hAnsi="Courier New"/>
                <w:sz w:val="16"/>
                <w:szCs w:val="16"/>
                <w:color w:val="auto"/>
              </w:rPr>
              <w:t>Empower Corporate Research Pty Ltd.</w:t>
            </w:r>
          </w:p>
        </w:tc>
        <w:tc>
          <w:tcPr>
            <w:tcW w:w="2160" w:type="dxa"/>
            <w:vAlign w:val="bottom"/>
          </w:tcPr>
          <w:p>
            <w:pPr>
              <w:jc w:val="center"/>
              <w:ind w:left="440"/>
              <w:spacing w:after="0"/>
              <w:rPr>
                <w:sz w:val="20"/>
                <w:szCs w:val="20"/>
                <w:color w:val="auto"/>
              </w:rPr>
            </w:pPr>
            <w:r>
              <w:rPr>
                <w:rFonts w:ascii="Courier New" w:cs="Courier New" w:eastAsia="Courier New" w:hAnsi="Courier New"/>
                <w:sz w:val="16"/>
                <w:szCs w:val="16"/>
                <w:color w:val="auto"/>
              </w:rPr>
              <w:t>Australia</w:t>
            </w:r>
          </w:p>
        </w:tc>
      </w:tr>
      <w:tr>
        <w:trPr>
          <w:trHeight w:val="370"/>
        </w:trPr>
        <w:tc>
          <w:tcPr>
            <w:tcW w:w="5720" w:type="dxa"/>
            <w:vAlign w:val="bottom"/>
          </w:tcPr>
          <w:p>
            <w:pPr>
              <w:spacing w:after="0"/>
              <w:rPr>
                <w:sz w:val="20"/>
                <w:szCs w:val="20"/>
                <w:color w:val="auto"/>
              </w:rPr>
            </w:pPr>
            <w:r>
              <w:rPr>
                <w:rFonts w:ascii="Courier New" w:cs="Courier New" w:eastAsia="Courier New" w:hAnsi="Courier New"/>
                <w:sz w:val="16"/>
                <w:szCs w:val="16"/>
                <w:color w:val="auto"/>
              </w:rPr>
              <w:t>Global Management Training Pty Ltd.</w:t>
            </w:r>
          </w:p>
        </w:tc>
        <w:tc>
          <w:tcPr>
            <w:tcW w:w="2160" w:type="dxa"/>
            <w:vAlign w:val="bottom"/>
          </w:tcPr>
          <w:p>
            <w:pPr>
              <w:jc w:val="center"/>
              <w:ind w:left="440"/>
              <w:spacing w:after="0"/>
              <w:rPr>
                <w:sz w:val="20"/>
                <w:szCs w:val="20"/>
                <w:color w:val="auto"/>
              </w:rPr>
            </w:pPr>
            <w:r>
              <w:rPr>
                <w:rFonts w:ascii="Courier New" w:cs="Courier New" w:eastAsia="Courier New" w:hAnsi="Courier New"/>
                <w:sz w:val="16"/>
                <w:szCs w:val="16"/>
                <w:color w:val="auto"/>
              </w:rPr>
              <w:t>Australia</w:t>
            </w:r>
          </w:p>
        </w:tc>
      </w:tr>
      <w:tr>
        <w:trPr>
          <w:trHeight w:val="370"/>
        </w:trPr>
        <w:tc>
          <w:tcPr>
            <w:tcW w:w="5720" w:type="dxa"/>
            <w:vAlign w:val="bottom"/>
          </w:tcPr>
          <w:p>
            <w:pPr>
              <w:spacing w:after="0"/>
              <w:rPr>
                <w:sz w:val="20"/>
                <w:szCs w:val="20"/>
                <w:color w:val="auto"/>
              </w:rPr>
            </w:pPr>
            <w:r>
              <w:rPr>
                <w:rFonts w:ascii="Courier New" w:cs="Courier New" w:eastAsia="Courier New" w:hAnsi="Courier New"/>
                <w:sz w:val="16"/>
                <w:szCs w:val="16"/>
                <w:color w:val="auto"/>
              </w:rPr>
              <w:t>ICV International Pty Ltd.</w:t>
            </w:r>
          </w:p>
        </w:tc>
        <w:tc>
          <w:tcPr>
            <w:tcW w:w="2160" w:type="dxa"/>
            <w:vAlign w:val="bottom"/>
          </w:tcPr>
          <w:p>
            <w:pPr>
              <w:jc w:val="center"/>
              <w:ind w:left="440"/>
              <w:spacing w:after="0"/>
              <w:rPr>
                <w:sz w:val="20"/>
                <w:szCs w:val="20"/>
                <w:color w:val="auto"/>
              </w:rPr>
            </w:pPr>
            <w:r>
              <w:rPr>
                <w:rFonts w:ascii="Courier New" w:cs="Courier New" w:eastAsia="Courier New" w:hAnsi="Courier New"/>
                <w:sz w:val="16"/>
                <w:szCs w:val="16"/>
                <w:color w:val="auto"/>
              </w:rPr>
              <w:t>Australia</w:t>
            </w:r>
          </w:p>
        </w:tc>
      </w:tr>
      <w:tr>
        <w:trPr>
          <w:trHeight w:val="370"/>
        </w:trPr>
        <w:tc>
          <w:tcPr>
            <w:tcW w:w="5720" w:type="dxa"/>
            <w:vAlign w:val="bottom"/>
          </w:tcPr>
          <w:p>
            <w:pPr>
              <w:spacing w:after="0"/>
              <w:rPr>
                <w:sz w:val="20"/>
                <w:szCs w:val="20"/>
                <w:color w:val="auto"/>
              </w:rPr>
            </w:pPr>
            <w:r>
              <w:rPr>
                <w:rFonts w:ascii="Courier New" w:cs="Courier New" w:eastAsia="Courier New" w:hAnsi="Courier New"/>
                <w:sz w:val="16"/>
                <w:szCs w:val="16"/>
                <w:color w:val="auto"/>
              </w:rPr>
              <w:t>Intellectual Capital Pty Ltd.</w:t>
            </w:r>
          </w:p>
        </w:tc>
        <w:tc>
          <w:tcPr>
            <w:tcW w:w="2160" w:type="dxa"/>
            <w:vAlign w:val="bottom"/>
          </w:tcPr>
          <w:p>
            <w:pPr>
              <w:jc w:val="center"/>
              <w:ind w:left="440"/>
              <w:spacing w:after="0"/>
              <w:rPr>
                <w:sz w:val="20"/>
                <w:szCs w:val="20"/>
                <w:color w:val="auto"/>
              </w:rPr>
            </w:pPr>
            <w:r>
              <w:rPr>
                <w:rFonts w:ascii="Courier New" w:cs="Courier New" w:eastAsia="Courier New" w:hAnsi="Courier New"/>
                <w:sz w:val="16"/>
                <w:szCs w:val="16"/>
                <w:color w:val="auto"/>
              </w:rPr>
              <w:t>Australia</w:t>
            </w:r>
          </w:p>
        </w:tc>
      </w:tr>
      <w:tr>
        <w:trPr>
          <w:trHeight w:val="370"/>
        </w:trPr>
        <w:tc>
          <w:tcPr>
            <w:tcW w:w="5720" w:type="dxa"/>
            <w:vAlign w:val="bottom"/>
          </w:tcPr>
          <w:p>
            <w:pPr>
              <w:spacing w:after="0"/>
              <w:rPr>
                <w:sz w:val="20"/>
                <w:szCs w:val="20"/>
                <w:color w:val="auto"/>
              </w:rPr>
            </w:pPr>
            <w:r>
              <w:rPr>
                <w:rFonts w:ascii="Courier New" w:cs="Courier New" w:eastAsia="Courier New" w:hAnsi="Courier New"/>
                <w:sz w:val="16"/>
                <w:szCs w:val="16"/>
                <w:color w:val="auto"/>
              </w:rPr>
              <w:t>Leadership Partners Pty Ltd.</w:t>
            </w:r>
          </w:p>
        </w:tc>
        <w:tc>
          <w:tcPr>
            <w:tcW w:w="2160" w:type="dxa"/>
            <w:vAlign w:val="bottom"/>
          </w:tcPr>
          <w:p>
            <w:pPr>
              <w:jc w:val="center"/>
              <w:ind w:left="440"/>
              <w:spacing w:after="0"/>
              <w:rPr>
                <w:sz w:val="20"/>
                <w:szCs w:val="20"/>
                <w:color w:val="auto"/>
              </w:rPr>
            </w:pPr>
            <w:r>
              <w:rPr>
                <w:rFonts w:ascii="Courier New" w:cs="Courier New" w:eastAsia="Courier New" w:hAnsi="Courier New"/>
                <w:sz w:val="16"/>
                <w:szCs w:val="16"/>
                <w:color w:val="auto"/>
              </w:rPr>
              <w:t>Australia</w:t>
            </w:r>
          </w:p>
        </w:tc>
      </w:tr>
      <w:tr>
        <w:trPr>
          <w:trHeight w:val="370"/>
        </w:trPr>
        <w:tc>
          <w:tcPr>
            <w:tcW w:w="5720" w:type="dxa"/>
            <w:vAlign w:val="bottom"/>
          </w:tcPr>
          <w:p>
            <w:pPr>
              <w:spacing w:after="0"/>
              <w:rPr>
                <w:sz w:val="20"/>
                <w:szCs w:val="20"/>
                <w:color w:val="auto"/>
              </w:rPr>
            </w:pPr>
            <w:r>
              <w:rPr>
                <w:rFonts w:ascii="Courier New" w:cs="Courier New" w:eastAsia="Courier New" w:hAnsi="Courier New"/>
                <w:sz w:val="16"/>
                <w:szCs w:val="16"/>
                <w:color w:val="auto"/>
              </w:rPr>
              <w:t>Manpower Services (Australia) Pty Ltd.</w:t>
            </w:r>
          </w:p>
        </w:tc>
        <w:tc>
          <w:tcPr>
            <w:tcW w:w="2160" w:type="dxa"/>
            <w:vAlign w:val="bottom"/>
          </w:tcPr>
          <w:p>
            <w:pPr>
              <w:jc w:val="center"/>
              <w:ind w:left="440"/>
              <w:spacing w:after="0"/>
              <w:rPr>
                <w:sz w:val="20"/>
                <w:szCs w:val="20"/>
                <w:color w:val="auto"/>
              </w:rPr>
            </w:pPr>
            <w:r>
              <w:rPr>
                <w:rFonts w:ascii="Courier New" w:cs="Courier New" w:eastAsia="Courier New" w:hAnsi="Courier New"/>
                <w:sz w:val="16"/>
                <w:szCs w:val="16"/>
                <w:color w:val="auto"/>
              </w:rPr>
              <w:t>Australia</w:t>
            </w:r>
          </w:p>
        </w:tc>
      </w:tr>
      <w:tr>
        <w:trPr>
          <w:trHeight w:val="370"/>
        </w:trPr>
        <w:tc>
          <w:tcPr>
            <w:tcW w:w="5720" w:type="dxa"/>
            <w:vAlign w:val="bottom"/>
          </w:tcPr>
          <w:p>
            <w:pPr>
              <w:spacing w:after="0"/>
              <w:rPr>
                <w:sz w:val="20"/>
                <w:szCs w:val="20"/>
                <w:color w:val="auto"/>
              </w:rPr>
            </w:pPr>
            <w:r>
              <w:rPr>
                <w:rFonts w:ascii="Courier New" w:cs="Courier New" w:eastAsia="Courier New" w:hAnsi="Courier New"/>
                <w:sz w:val="16"/>
                <w:szCs w:val="16"/>
                <w:color w:val="auto"/>
              </w:rPr>
              <w:t>The Empower Group Pty Ltd.</w:t>
            </w:r>
          </w:p>
        </w:tc>
        <w:tc>
          <w:tcPr>
            <w:tcW w:w="2160" w:type="dxa"/>
            <w:vAlign w:val="bottom"/>
          </w:tcPr>
          <w:p>
            <w:pPr>
              <w:jc w:val="center"/>
              <w:ind w:left="440"/>
              <w:spacing w:after="0"/>
              <w:rPr>
                <w:sz w:val="20"/>
                <w:szCs w:val="20"/>
                <w:color w:val="auto"/>
              </w:rPr>
            </w:pPr>
            <w:r>
              <w:rPr>
                <w:rFonts w:ascii="Courier New" w:cs="Courier New" w:eastAsia="Courier New" w:hAnsi="Courier New"/>
                <w:sz w:val="16"/>
                <w:szCs w:val="16"/>
                <w:color w:val="auto"/>
              </w:rPr>
              <w:t>Australia</w:t>
            </w:r>
          </w:p>
        </w:tc>
      </w:tr>
      <w:tr>
        <w:trPr>
          <w:trHeight w:val="370"/>
        </w:trPr>
        <w:tc>
          <w:tcPr>
            <w:tcW w:w="5720" w:type="dxa"/>
            <w:vAlign w:val="bottom"/>
          </w:tcPr>
          <w:p>
            <w:pPr>
              <w:spacing w:after="0"/>
              <w:rPr>
                <w:sz w:val="20"/>
                <w:szCs w:val="20"/>
                <w:color w:val="auto"/>
              </w:rPr>
            </w:pPr>
            <w:r>
              <w:rPr>
                <w:rFonts w:ascii="Courier New" w:cs="Courier New" w:eastAsia="Courier New" w:hAnsi="Courier New"/>
                <w:sz w:val="16"/>
                <w:szCs w:val="16"/>
                <w:color w:val="auto"/>
              </w:rPr>
              <w:t>The Empower Group (Queensland) Pty Ltd.</w:t>
            </w:r>
          </w:p>
        </w:tc>
        <w:tc>
          <w:tcPr>
            <w:tcW w:w="2160" w:type="dxa"/>
            <w:vAlign w:val="bottom"/>
          </w:tcPr>
          <w:p>
            <w:pPr>
              <w:jc w:val="center"/>
              <w:ind w:left="440"/>
              <w:spacing w:after="0"/>
              <w:rPr>
                <w:sz w:val="20"/>
                <w:szCs w:val="20"/>
                <w:color w:val="auto"/>
              </w:rPr>
            </w:pPr>
            <w:r>
              <w:rPr>
                <w:rFonts w:ascii="Courier New" w:cs="Courier New" w:eastAsia="Courier New" w:hAnsi="Courier New"/>
                <w:sz w:val="16"/>
                <w:szCs w:val="16"/>
                <w:color w:val="auto"/>
              </w:rPr>
              <w:t>Australia</w:t>
            </w:r>
          </w:p>
        </w:tc>
      </w:tr>
      <w:tr>
        <w:trPr>
          <w:trHeight w:val="370"/>
        </w:trPr>
        <w:tc>
          <w:tcPr>
            <w:tcW w:w="5720" w:type="dxa"/>
            <w:vAlign w:val="bottom"/>
          </w:tcPr>
          <w:p>
            <w:pPr>
              <w:spacing w:after="0"/>
              <w:rPr>
                <w:sz w:val="20"/>
                <w:szCs w:val="20"/>
                <w:color w:val="auto"/>
              </w:rPr>
            </w:pPr>
            <w:r>
              <w:rPr>
                <w:rFonts w:ascii="Courier New" w:cs="Courier New" w:eastAsia="Courier New" w:hAnsi="Courier New"/>
                <w:sz w:val="16"/>
                <w:szCs w:val="16"/>
                <w:color w:val="auto"/>
              </w:rPr>
              <w:t>World Competitive Practices Pty Ltd.</w:t>
            </w:r>
          </w:p>
        </w:tc>
        <w:tc>
          <w:tcPr>
            <w:tcW w:w="2160" w:type="dxa"/>
            <w:vAlign w:val="bottom"/>
          </w:tcPr>
          <w:p>
            <w:pPr>
              <w:jc w:val="center"/>
              <w:ind w:left="440"/>
              <w:spacing w:after="0"/>
              <w:rPr>
                <w:sz w:val="20"/>
                <w:szCs w:val="20"/>
                <w:color w:val="auto"/>
              </w:rPr>
            </w:pPr>
            <w:r>
              <w:rPr>
                <w:rFonts w:ascii="Courier New" w:cs="Courier New" w:eastAsia="Courier New" w:hAnsi="Courier New"/>
                <w:sz w:val="16"/>
                <w:szCs w:val="16"/>
                <w:color w:val="auto"/>
              </w:rPr>
              <w:t>Australia</w:t>
            </w:r>
          </w:p>
        </w:tc>
      </w:tr>
      <w:tr>
        <w:trPr>
          <w:trHeight w:val="370"/>
        </w:trPr>
        <w:tc>
          <w:tcPr>
            <w:tcW w:w="5720" w:type="dxa"/>
            <w:vAlign w:val="bottom"/>
          </w:tcPr>
          <w:p>
            <w:pPr>
              <w:spacing w:after="0"/>
              <w:rPr>
                <w:sz w:val="20"/>
                <w:szCs w:val="20"/>
                <w:color w:val="auto"/>
              </w:rPr>
            </w:pPr>
            <w:r>
              <w:rPr>
                <w:rFonts w:ascii="Courier New" w:cs="Courier New" w:eastAsia="Courier New" w:hAnsi="Courier New"/>
                <w:sz w:val="16"/>
                <w:szCs w:val="16"/>
                <w:color w:val="auto"/>
              </w:rPr>
              <w:t>Manpower GmbH</w:t>
            </w:r>
          </w:p>
        </w:tc>
        <w:tc>
          <w:tcPr>
            <w:tcW w:w="2160" w:type="dxa"/>
            <w:vAlign w:val="bottom"/>
          </w:tcPr>
          <w:p>
            <w:pPr>
              <w:jc w:val="center"/>
              <w:ind w:left="440"/>
              <w:spacing w:after="0"/>
              <w:rPr>
                <w:sz w:val="20"/>
                <w:szCs w:val="20"/>
                <w:color w:val="auto"/>
              </w:rPr>
            </w:pPr>
            <w:r>
              <w:rPr>
                <w:rFonts w:ascii="Courier New" w:cs="Courier New" w:eastAsia="Courier New" w:hAnsi="Courier New"/>
                <w:sz w:val="16"/>
                <w:szCs w:val="16"/>
                <w:color w:val="auto"/>
              </w:rPr>
              <w:t>Austria</w:t>
            </w:r>
          </w:p>
        </w:tc>
      </w:tr>
      <w:tr>
        <w:trPr>
          <w:trHeight w:val="370"/>
        </w:trPr>
        <w:tc>
          <w:tcPr>
            <w:tcW w:w="5720" w:type="dxa"/>
            <w:vAlign w:val="bottom"/>
          </w:tcPr>
          <w:p>
            <w:pPr>
              <w:spacing w:after="0"/>
              <w:rPr>
                <w:sz w:val="20"/>
                <w:szCs w:val="20"/>
                <w:color w:val="auto"/>
              </w:rPr>
            </w:pPr>
            <w:r>
              <w:rPr>
                <w:rFonts w:ascii="Courier New" w:cs="Courier New" w:eastAsia="Courier New" w:hAnsi="Courier New"/>
                <w:sz w:val="16"/>
                <w:szCs w:val="16"/>
                <w:color w:val="auto"/>
              </w:rPr>
              <w:t>Manpower Holding GmbH</w:t>
            </w:r>
          </w:p>
        </w:tc>
        <w:tc>
          <w:tcPr>
            <w:tcW w:w="2160" w:type="dxa"/>
            <w:vAlign w:val="bottom"/>
          </w:tcPr>
          <w:p>
            <w:pPr>
              <w:jc w:val="center"/>
              <w:ind w:left="440"/>
              <w:spacing w:after="0"/>
              <w:rPr>
                <w:sz w:val="20"/>
                <w:szCs w:val="20"/>
                <w:color w:val="auto"/>
              </w:rPr>
            </w:pPr>
            <w:r>
              <w:rPr>
                <w:rFonts w:ascii="Courier New" w:cs="Courier New" w:eastAsia="Courier New" w:hAnsi="Courier New"/>
                <w:sz w:val="16"/>
                <w:szCs w:val="16"/>
                <w:color w:val="auto"/>
              </w:rPr>
              <w:t>Austria</w:t>
            </w:r>
          </w:p>
        </w:tc>
      </w:tr>
      <w:tr>
        <w:trPr>
          <w:trHeight w:val="370"/>
        </w:trPr>
        <w:tc>
          <w:tcPr>
            <w:tcW w:w="5720" w:type="dxa"/>
            <w:vAlign w:val="bottom"/>
          </w:tcPr>
          <w:p>
            <w:pPr>
              <w:spacing w:after="0"/>
              <w:rPr>
                <w:sz w:val="20"/>
                <w:szCs w:val="20"/>
                <w:color w:val="auto"/>
              </w:rPr>
            </w:pPr>
            <w:r>
              <w:rPr>
                <w:rFonts w:ascii="Courier New" w:cs="Courier New" w:eastAsia="Courier New" w:hAnsi="Courier New"/>
                <w:sz w:val="16"/>
                <w:szCs w:val="16"/>
                <w:color w:val="auto"/>
              </w:rPr>
              <w:t>Manpower Unternehmens und Personalberatungs GmbH</w:t>
            </w:r>
          </w:p>
        </w:tc>
        <w:tc>
          <w:tcPr>
            <w:tcW w:w="2160" w:type="dxa"/>
            <w:vAlign w:val="bottom"/>
          </w:tcPr>
          <w:p>
            <w:pPr>
              <w:jc w:val="center"/>
              <w:ind w:left="440"/>
              <w:spacing w:after="0"/>
              <w:rPr>
                <w:sz w:val="20"/>
                <w:szCs w:val="20"/>
                <w:color w:val="auto"/>
              </w:rPr>
            </w:pPr>
            <w:r>
              <w:rPr>
                <w:rFonts w:ascii="Courier New" w:cs="Courier New" w:eastAsia="Courier New" w:hAnsi="Courier New"/>
                <w:sz w:val="16"/>
                <w:szCs w:val="16"/>
                <w:color w:val="auto"/>
              </w:rPr>
              <w:t>Austria</w:t>
            </w:r>
          </w:p>
        </w:tc>
      </w:tr>
      <w:tr>
        <w:trPr>
          <w:trHeight w:val="370"/>
        </w:trPr>
        <w:tc>
          <w:tcPr>
            <w:tcW w:w="5720" w:type="dxa"/>
            <w:vAlign w:val="bottom"/>
          </w:tcPr>
          <w:p>
            <w:pPr>
              <w:spacing w:after="0"/>
              <w:rPr>
                <w:sz w:val="20"/>
                <w:szCs w:val="20"/>
                <w:color w:val="auto"/>
              </w:rPr>
            </w:pPr>
            <w:r>
              <w:rPr>
                <w:rFonts w:ascii="Courier New" w:cs="Courier New" w:eastAsia="Courier New" w:hAnsi="Courier New"/>
                <w:sz w:val="16"/>
                <w:szCs w:val="16"/>
                <w:color w:val="auto"/>
              </w:rPr>
              <w:t>Multiskill SA</w:t>
            </w:r>
          </w:p>
        </w:tc>
        <w:tc>
          <w:tcPr>
            <w:tcW w:w="2160" w:type="dxa"/>
            <w:vAlign w:val="bottom"/>
          </w:tcPr>
          <w:p>
            <w:pPr>
              <w:jc w:val="center"/>
              <w:ind w:left="440"/>
              <w:spacing w:after="0"/>
              <w:rPr>
                <w:sz w:val="20"/>
                <w:szCs w:val="20"/>
                <w:color w:val="auto"/>
              </w:rPr>
            </w:pPr>
            <w:r>
              <w:rPr>
                <w:rFonts w:ascii="Courier New" w:cs="Courier New" w:eastAsia="Courier New" w:hAnsi="Courier New"/>
                <w:sz w:val="16"/>
                <w:szCs w:val="16"/>
                <w:color w:val="auto"/>
              </w:rPr>
              <w:t>Belgium</w:t>
            </w:r>
          </w:p>
        </w:tc>
      </w:tr>
      <w:tr>
        <w:trPr>
          <w:trHeight w:val="370"/>
        </w:trPr>
        <w:tc>
          <w:tcPr>
            <w:tcW w:w="5720" w:type="dxa"/>
            <w:vAlign w:val="bottom"/>
          </w:tcPr>
          <w:p>
            <w:pPr>
              <w:spacing w:after="0"/>
              <w:rPr>
                <w:sz w:val="20"/>
                <w:szCs w:val="20"/>
                <w:color w:val="auto"/>
              </w:rPr>
            </w:pPr>
            <w:r>
              <w:rPr>
                <w:rFonts w:ascii="Courier New" w:cs="Courier New" w:eastAsia="Courier New" w:hAnsi="Courier New"/>
                <w:sz w:val="16"/>
                <w:szCs w:val="16"/>
                <w:color w:val="auto"/>
              </w:rPr>
              <w:t>S.A. Manpower (Belgium)  N.V.</w:t>
            </w:r>
          </w:p>
        </w:tc>
        <w:tc>
          <w:tcPr>
            <w:tcW w:w="2160" w:type="dxa"/>
            <w:vAlign w:val="bottom"/>
          </w:tcPr>
          <w:p>
            <w:pPr>
              <w:jc w:val="center"/>
              <w:ind w:left="440"/>
              <w:spacing w:after="0"/>
              <w:rPr>
                <w:sz w:val="20"/>
                <w:szCs w:val="20"/>
                <w:color w:val="auto"/>
              </w:rPr>
            </w:pPr>
            <w:r>
              <w:rPr>
                <w:rFonts w:ascii="Courier New" w:cs="Courier New" w:eastAsia="Courier New" w:hAnsi="Courier New"/>
                <w:sz w:val="16"/>
                <w:szCs w:val="16"/>
                <w:color w:val="auto"/>
              </w:rPr>
              <w:t>Belgium</w:t>
            </w:r>
          </w:p>
        </w:tc>
      </w:tr>
      <w:tr>
        <w:trPr>
          <w:trHeight w:val="370"/>
        </w:trPr>
        <w:tc>
          <w:tcPr>
            <w:tcW w:w="5720" w:type="dxa"/>
            <w:vAlign w:val="bottom"/>
          </w:tcPr>
          <w:p>
            <w:pPr>
              <w:spacing w:after="0"/>
              <w:rPr>
                <w:sz w:val="20"/>
                <w:szCs w:val="20"/>
                <w:color w:val="auto"/>
              </w:rPr>
            </w:pPr>
            <w:r>
              <w:rPr>
                <w:rFonts w:ascii="Courier New" w:cs="Courier New" w:eastAsia="Courier New" w:hAnsi="Courier New"/>
                <w:sz w:val="16"/>
                <w:szCs w:val="16"/>
                <w:color w:val="auto"/>
              </w:rPr>
              <w:t>Manpower Brasil Ltda.</w:t>
            </w:r>
          </w:p>
        </w:tc>
        <w:tc>
          <w:tcPr>
            <w:tcW w:w="2160" w:type="dxa"/>
            <w:vAlign w:val="bottom"/>
          </w:tcPr>
          <w:p>
            <w:pPr>
              <w:ind w:left="1000"/>
              <w:spacing w:after="0"/>
              <w:rPr>
                <w:sz w:val="20"/>
                <w:szCs w:val="20"/>
                <w:color w:val="auto"/>
              </w:rPr>
            </w:pPr>
            <w:r>
              <w:rPr>
                <w:rFonts w:ascii="Courier New" w:cs="Courier New" w:eastAsia="Courier New" w:hAnsi="Courier New"/>
                <w:sz w:val="16"/>
                <w:szCs w:val="16"/>
                <w:color w:val="auto"/>
              </w:rPr>
              <w:t>Brazil</w:t>
            </w:r>
          </w:p>
        </w:tc>
      </w:tr>
      <w:tr>
        <w:trPr>
          <w:trHeight w:val="370"/>
        </w:trPr>
        <w:tc>
          <w:tcPr>
            <w:tcW w:w="5720" w:type="dxa"/>
            <w:vAlign w:val="bottom"/>
          </w:tcPr>
          <w:p>
            <w:pPr>
              <w:spacing w:after="0"/>
              <w:rPr>
                <w:sz w:val="20"/>
                <w:szCs w:val="20"/>
                <w:color w:val="auto"/>
              </w:rPr>
            </w:pPr>
            <w:r>
              <w:rPr>
                <w:rFonts w:ascii="Courier New" w:cs="Courier New" w:eastAsia="Courier New" w:hAnsi="Courier New"/>
                <w:sz w:val="16"/>
                <w:szCs w:val="16"/>
                <w:color w:val="auto"/>
              </w:rPr>
              <w:t>Manpower Ltda Sociedada Civil (Inactive)</w:t>
            </w:r>
          </w:p>
        </w:tc>
        <w:tc>
          <w:tcPr>
            <w:tcW w:w="2160" w:type="dxa"/>
            <w:vAlign w:val="bottom"/>
          </w:tcPr>
          <w:p>
            <w:pPr>
              <w:ind w:left="1000"/>
              <w:spacing w:after="0"/>
              <w:rPr>
                <w:sz w:val="20"/>
                <w:szCs w:val="20"/>
                <w:color w:val="auto"/>
              </w:rPr>
            </w:pPr>
            <w:r>
              <w:rPr>
                <w:rFonts w:ascii="Courier New" w:cs="Courier New" w:eastAsia="Courier New" w:hAnsi="Courier New"/>
                <w:sz w:val="16"/>
                <w:szCs w:val="16"/>
                <w:color w:val="auto"/>
              </w:rPr>
              <w:t>Brazil</w:t>
            </w:r>
          </w:p>
        </w:tc>
      </w:tr>
      <w:tr>
        <w:trPr>
          <w:trHeight w:val="370"/>
        </w:trPr>
        <w:tc>
          <w:tcPr>
            <w:tcW w:w="5720" w:type="dxa"/>
            <w:vAlign w:val="bottom"/>
          </w:tcPr>
          <w:p>
            <w:pPr>
              <w:spacing w:after="0"/>
              <w:rPr>
                <w:sz w:val="20"/>
                <w:szCs w:val="20"/>
                <w:color w:val="auto"/>
              </w:rPr>
            </w:pPr>
            <w:r>
              <w:rPr>
                <w:rFonts w:ascii="Courier New" w:cs="Courier New" w:eastAsia="Courier New" w:hAnsi="Courier New"/>
                <w:sz w:val="16"/>
                <w:szCs w:val="16"/>
                <w:color w:val="auto"/>
              </w:rPr>
              <w:t>Manpower Participacoes Ltda.</w:t>
            </w:r>
          </w:p>
        </w:tc>
        <w:tc>
          <w:tcPr>
            <w:tcW w:w="2160" w:type="dxa"/>
            <w:vAlign w:val="bottom"/>
          </w:tcPr>
          <w:p>
            <w:pPr>
              <w:ind w:left="1000"/>
              <w:spacing w:after="0"/>
              <w:rPr>
                <w:sz w:val="20"/>
                <w:szCs w:val="20"/>
                <w:color w:val="auto"/>
              </w:rPr>
            </w:pPr>
            <w:r>
              <w:rPr>
                <w:rFonts w:ascii="Courier New" w:cs="Courier New" w:eastAsia="Courier New" w:hAnsi="Courier New"/>
                <w:sz w:val="16"/>
                <w:szCs w:val="16"/>
                <w:color w:val="auto"/>
              </w:rPr>
              <w:t>Brazil</w:t>
            </w:r>
          </w:p>
        </w:tc>
      </w:tr>
      <w:tr>
        <w:trPr>
          <w:trHeight w:val="370"/>
        </w:trPr>
        <w:tc>
          <w:tcPr>
            <w:tcW w:w="5720" w:type="dxa"/>
            <w:vAlign w:val="bottom"/>
          </w:tcPr>
          <w:p>
            <w:pPr>
              <w:spacing w:after="0"/>
              <w:rPr>
                <w:sz w:val="20"/>
                <w:szCs w:val="20"/>
                <w:color w:val="auto"/>
              </w:rPr>
            </w:pPr>
            <w:r>
              <w:rPr>
                <w:rFonts w:ascii="Courier New" w:cs="Courier New" w:eastAsia="Courier New" w:hAnsi="Courier New"/>
                <w:sz w:val="16"/>
                <w:szCs w:val="16"/>
                <w:color w:val="auto"/>
              </w:rPr>
              <w:t>Manpower Professional Ltda</w:t>
            </w:r>
          </w:p>
        </w:tc>
        <w:tc>
          <w:tcPr>
            <w:tcW w:w="2160" w:type="dxa"/>
            <w:vAlign w:val="bottom"/>
          </w:tcPr>
          <w:p>
            <w:pPr>
              <w:ind w:left="1000"/>
              <w:spacing w:after="0"/>
              <w:rPr>
                <w:sz w:val="20"/>
                <w:szCs w:val="20"/>
                <w:color w:val="auto"/>
              </w:rPr>
            </w:pPr>
            <w:r>
              <w:rPr>
                <w:rFonts w:ascii="Courier New" w:cs="Courier New" w:eastAsia="Courier New" w:hAnsi="Courier New"/>
                <w:sz w:val="16"/>
                <w:szCs w:val="16"/>
                <w:color w:val="auto"/>
              </w:rPr>
              <w:t>Brazil</w:t>
            </w:r>
          </w:p>
        </w:tc>
      </w:tr>
      <w:tr>
        <w:trPr>
          <w:trHeight w:val="370"/>
        </w:trPr>
        <w:tc>
          <w:tcPr>
            <w:tcW w:w="5720" w:type="dxa"/>
            <w:vAlign w:val="bottom"/>
          </w:tcPr>
          <w:p>
            <w:pPr>
              <w:spacing w:after="0"/>
              <w:rPr>
                <w:sz w:val="20"/>
                <w:szCs w:val="20"/>
                <w:color w:val="auto"/>
              </w:rPr>
            </w:pPr>
            <w:r>
              <w:rPr>
                <w:rFonts w:ascii="Courier New" w:cs="Courier New" w:eastAsia="Courier New" w:hAnsi="Courier New"/>
                <w:sz w:val="16"/>
                <w:szCs w:val="16"/>
                <w:color w:val="auto"/>
              </w:rPr>
              <w:t>Manpower Staffing Ltda.</w:t>
            </w:r>
          </w:p>
        </w:tc>
        <w:tc>
          <w:tcPr>
            <w:tcW w:w="2160" w:type="dxa"/>
            <w:vAlign w:val="bottom"/>
          </w:tcPr>
          <w:p>
            <w:pPr>
              <w:ind w:left="1000"/>
              <w:spacing w:after="0"/>
              <w:rPr>
                <w:sz w:val="20"/>
                <w:szCs w:val="20"/>
                <w:color w:val="auto"/>
              </w:rPr>
            </w:pPr>
            <w:r>
              <w:rPr>
                <w:rFonts w:ascii="Courier New" w:cs="Courier New" w:eastAsia="Courier New" w:hAnsi="Courier New"/>
                <w:sz w:val="16"/>
                <w:szCs w:val="16"/>
                <w:color w:val="auto"/>
              </w:rPr>
              <w:t>Brazil</w:t>
            </w:r>
          </w:p>
        </w:tc>
      </w:tr>
      <w:tr>
        <w:trPr>
          <w:trHeight w:val="370"/>
        </w:trPr>
        <w:tc>
          <w:tcPr>
            <w:tcW w:w="5720" w:type="dxa"/>
            <w:vAlign w:val="bottom"/>
          </w:tcPr>
          <w:p>
            <w:pPr>
              <w:spacing w:after="0"/>
              <w:rPr>
                <w:sz w:val="20"/>
                <w:szCs w:val="20"/>
                <w:color w:val="auto"/>
              </w:rPr>
            </w:pPr>
            <w:r>
              <w:rPr>
                <w:rFonts w:ascii="Courier New" w:cs="Courier New" w:eastAsia="Courier New" w:hAnsi="Courier New"/>
                <w:sz w:val="16"/>
                <w:szCs w:val="16"/>
                <w:color w:val="auto"/>
              </w:rPr>
              <w:t>Skillscape Skills Management Services Ltd.</w:t>
            </w:r>
          </w:p>
        </w:tc>
        <w:tc>
          <w:tcPr>
            <w:tcW w:w="2160" w:type="dxa"/>
            <w:vAlign w:val="bottom"/>
          </w:tcPr>
          <w:p>
            <w:pPr>
              <w:ind w:left="520"/>
              <w:spacing w:after="0"/>
              <w:rPr>
                <w:sz w:val="20"/>
                <w:szCs w:val="20"/>
                <w:color w:val="auto"/>
              </w:rPr>
            </w:pPr>
            <w:r>
              <w:rPr>
                <w:rFonts w:ascii="Courier New" w:cs="Courier New" w:eastAsia="Courier New" w:hAnsi="Courier New"/>
                <w:sz w:val="16"/>
                <w:szCs w:val="16"/>
                <w:color w:val="auto"/>
              </w:rPr>
              <w:t>British Columbia</w:t>
            </w:r>
          </w:p>
        </w:tc>
      </w:tr>
      <w:tr>
        <w:trPr>
          <w:trHeight w:val="739"/>
        </w:trPr>
        <w:tc>
          <w:tcPr>
            <w:tcW w:w="5720" w:type="dxa"/>
            <w:vAlign w:val="bottom"/>
          </w:tcPr>
          <w:p>
            <w:pPr>
              <w:ind w:left="3740"/>
              <w:spacing w:after="0"/>
              <w:rPr>
                <w:sz w:val="20"/>
                <w:szCs w:val="20"/>
                <w:color w:val="auto"/>
              </w:rPr>
            </w:pPr>
            <w:r>
              <w:rPr>
                <w:rFonts w:ascii="Courier New" w:cs="Courier New" w:eastAsia="Courier New" w:hAnsi="Courier New"/>
                <w:sz w:val="16"/>
                <w:szCs w:val="16"/>
                <w:color w:val="auto"/>
              </w:rPr>
              <w:t>1</w:t>
            </w:r>
          </w:p>
        </w:tc>
        <w:tc>
          <w:tcPr>
            <w:tcW w:w="2160" w:type="dxa"/>
            <w:vAlign w:val="bottom"/>
          </w:tcPr>
          <w:p>
            <w:pPr>
              <w:spacing w:after="0"/>
              <w:rPr>
                <w:sz w:val="24"/>
                <w:szCs w:val="24"/>
                <w:color w:val="auto"/>
              </w:rPr>
            </w:pPr>
          </w:p>
        </w:tc>
      </w:tr>
    </w:tbl>
    <w:p>
      <w:pPr>
        <w:sectPr>
          <w:pgSz w:w="11900" w:h="16838" w:orient="portrait"/>
          <w:cols w:equalWidth="0" w:num="1">
            <w:col w:w="10219"/>
          </w:cols>
          <w:pgMar w:left="240" w:top="140" w:right="1440"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480" w:type="dxa"/>
            <w:vAlign w:val="bottom"/>
          </w:tcPr>
          <w:p>
            <w:pPr>
              <w:ind w:left="280"/>
              <w:spacing w:after="0"/>
              <w:rPr>
                <w:sz w:val="20"/>
                <w:szCs w:val="20"/>
                <w:color w:val="auto"/>
              </w:rPr>
            </w:pPr>
            <w:r>
              <w:rPr>
                <w:rFonts w:ascii="Courier New" w:cs="Courier New" w:eastAsia="Courier New" w:hAnsi="Courier New"/>
                <w:sz w:val="16"/>
                <w:szCs w:val="16"/>
                <w:color w:val="auto"/>
              </w:rPr>
              <w:t>2</w:t>
            </w:r>
          </w:p>
        </w:tc>
        <w:tc>
          <w:tcPr>
            <w:tcW w:w="2200" w:type="dxa"/>
            <w:vAlign w:val="bottom"/>
          </w:tcPr>
          <w:p>
            <w:pPr>
              <w:spacing w:after="0"/>
              <w:rPr>
                <w:sz w:val="15"/>
                <w:szCs w:val="15"/>
                <w:color w:val="auto"/>
              </w:rPr>
            </w:pPr>
          </w:p>
        </w:tc>
      </w:tr>
      <w:tr>
        <w:trPr>
          <w:trHeight w:val="739"/>
        </w:trPr>
        <w:tc>
          <w:tcPr>
            <w:tcW w:w="5480" w:type="dxa"/>
            <w:vAlign w:val="bottom"/>
          </w:tcPr>
          <w:p>
            <w:pPr>
              <w:spacing w:after="0"/>
              <w:rPr>
                <w:sz w:val="20"/>
                <w:szCs w:val="20"/>
                <w:color w:val="auto"/>
              </w:rPr>
            </w:pPr>
            <w:r>
              <w:rPr>
                <w:rFonts w:ascii="Courier New" w:cs="Courier New" w:eastAsia="Courier New" w:hAnsi="Courier New"/>
                <w:sz w:val="16"/>
                <w:szCs w:val="16"/>
                <w:color w:val="auto"/>
              </w:rPr>
              <w:t>Manpower Business Consulting (Shanghai) Co. Ltd.</w:t>
            </w:r>
          </w:p>
        </w:tc>
        <w:tc>
          <w:tcPr>
            <w:tcW w:w="2200" w:type="dxa"/>
            <w:vAlign w:val="bottom"/>
          </w:tcPr>
          <w:p>
            <w:pPr>
              <w:jc w:val="center"/>
              <w:ind w:left="880"/>
              <w:spacing w:after="0"/>
              <w:rPr>
                <w:sz w:val="20"/>
                <w:szCs w:val="20"/>
                <w:color w:val="auto"/>
              </w:rPr>
            </w:pPr>
            <w:r>
              <w:rPr>
                <w:rFonts w:ascii="Courier New" w:cs="Courier New" w:eastAsia="Courier New" w:hAnsi="Courier New"/>
                <w:sz w:val="16"/>
                <w:szCs w:val="16"/>
                <w:color w:val="auto"/>
                <w:w w:val="98"/>
              </w:rPr>
              <w:t>China (PRC)</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Manpower de Colombia Ltda.</w:t>
            </w:r>
          </w:p>
        </w:tc>
        <w:tc>
          <w:tcPr>
            <w:tcW w:w="2200" w:type="dxa"/>
            <w:vAlign w:val="bottom"/>
          </w:tcPr>
          <w:p>
            <w:pPr>
              <w:jc w:val="center"/>
              <w:ind w:left="780"/>
              <w:spacing w:after="0"/>
              <w:rPr>
                <w:sz w:val="20"/>
                <w:szCs w:val="20"/>
                <w:color w:val="auto"/>
              </w:rPr>
            </w:pPr>
            <w:r>
              <w:rPr>
                <w:rFonts w:ascii="Courier New" w:cs="Courier New" w:eastAsia="Courier New" w:hAnsi="Courier New"/>
                <w:sz w:val="16"/>
                <w:szCs w:val="16"/>
                <w:color w:val="auto"/>
              </w:rPr>
              <w:t>Colombia</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Uno A Servicios Especiales Ltda.</w:t>
            </w:r>
          </w:p>
        </w:tc>
        <w:tc>
          <w:tcPr>
            <w:tcW w:w="2200" w:type="dxa"/>
            <w:vAlign w:val="bottom"/>
          </w:tcPr>
          <w:p>
            <w:pPr>
              <w:jc w:val="center"/>
              <w:ind w:left="780"/>
              <w:spacing w:after="0"/>
              <w:rPr>
                <w:sz w:val="20"/>
                <w:szCs w:val="20"/>
                <w:color w:val="auto"/>
              </w:rPr>
            </w:pPr>
            <w:r>
              <w:rPr>
                <w:rFonts w:ascii="Courier New" w:cs="Courier New" w:eastAsia="Courier New" w:hAnsi="Courier New"/>
                <w:sz w:val="16"/>
                <w:szCs w:val="16"/>
                <w:color w:val="auto"/>
              </w:rPr>
              <w:t>Colombia</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Manpower Costa Rica</w:t>
            </w:r>
          </w:p>
        </w:tc>
        <w:tc>
          <w:tcPr>
            <w:tcW w:w="2200" w:type="dxa"/>
            <w:vAlign w:val="bottom"/>
          </w:tcPr>
          <w:p>
            <w:pPr>
              <w:jc w:val="center"/>
              <w:ind w:left="800"/>
              <w:spacing w:after="0"/>
              <w:rPr>
                <w:sz w:val="20"/>
                <w:szCs w:val="20"/>
                <w:color w:val="auto"/>
              </w:rPr>
            </w:pPr>
            <w:r>
              <w:rPr>
                <w:rFonts w:ascii="Courier New" w:cs="Courier New" w:eastAsia="Courier New" w:hAnsi="Courier New"/>
                <w:sz w:val="16"/>
                <w:szCs w:val="16"/>
                <w:color w:val="auto"/>
                <w:w w:val="99"/>
              </w:rPr>
              <w:t>Costa Rica</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Manpower Republique Tcheque</w:t>
            </w:r>
          </w:p>
        </w:tc>
        <w:tc>
          <w:tcPr>
            <w:tcW w:w="2200" w:type="dxa"/>
            <w:vAlign w:val="bottom"/>
          </w:tcPr>
          <w:p>
            <w:pPr>
              <w:jc w:val="center"/>
              <w:ind w:left="780"/>
              <w:spacing w:after="0"/>
              <w:rPr>
                <w:sz w:val="20"/>
                <w:szCs w:val="20"/>
                <w:color w:val="auto"/>
              </w:rPr>
            </w:pPr>
            <w:r>
              <w:rPr>
                <w:rFonts w:ascii="Courier New" w:cs="Courier New" w:eastAsia="Courier New" w:hAnsi="Courier New"/>
                <w:sz w:val="16"/>
                <w:szCs w:val="16"/>
                <w:color w:val="auto"/>
                <w:w w:val="99"/>
              </w:rPr>
              <w:t>Czech Republic</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Ironwood Capital Corporation</w:t>
            </w:r>
          </w:p>
        </w:tc>
        <w:tc>
          <w:tcPr>
            <w:tcW w:w="2200" w:type="dxa"/>
            <w:vAlign w:val="bottom"/>
          </w:tcPr>
          <w:p>
            <w:pPr>
              <w:jc w:val="center"/>
              <w:ind w:left="780"/>
              <w:spacing w:after="0"/>
              <w:rPr>
                <w:sz w:val="20"/>
                <w:szCs w:val="20"/>
                <w:color w:val="auto"/>
              </w:rPr>
            </w:pPr>
            <w:r>
              <w:rPr>
                <w:rFonts w:ascii="Courier New" w:cs="Courier New" w:eastAsia="Courier New" w:hAnsi="Courier New"/>
                <w:sz w:val="16"/>
                <w:szCs w:val="16"/>
                <w:color w:val="auto"/>
              </w:rPr>
              <w:t>Delaware</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Manpower CIS Inc.</w:t>
            </w:r>
          </w:p>
        </w:tc>
        <w:tc>
          <w:tcPr>
            <w:tcW w:w="2200" w:type="dxa"/>
            <w:vAlign w:val="bottom"/>
          </w:tcPr>
          <w:p>
            <w:pPr>
              <w:jc w:val="center"/>
              <w:ind w:left="780"/>
              <w:spacing w:after="0"/>
              <w:rPr>
                <w:sz w:val="20"/>
                <w:szCs w:val="20"/>
                <w:color w:val="auto"/>
              </w:rPr>
            </w:pPr>
            <w:r>
              <w:rPr>
                <w:rFonts w:ascii="Courier New" w:cs="Courier New" w:eastAsia="Courier New" w:hAnsi="Courier New"/>
                <w:sz w:val="16"/>
                <w:szCs w:val="16"/>
                <w:color w:val="auto"/>
              </w:rPr>
              <w:t>Delaware</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Manpower Franchises LLC</w:t>
            </w:r>
          </w:p>
        </w:tc>
        <w:tc>
          <w:tcPr>
            <w:tcW w:w="2200" w:type="dxa"/>
            <w:vAlign w:val="bottom"/>
          </w:tcPr>
          <w:p>
            <w:pPr>
              <w:jc w:val="center"/>
              <w:ind w:left="780"/>
              <w:spacing w:after="0"/>
              <w:rPr>
                <w:sz w:val="20"/>
                <w:szCs w:val="20"/>
                <w:color w:val="auto"/>
              </w:rPr>
            </w:pPr>
            <w:r>
              <w:rPr>
                <w:rFonts w:ascii="Courier New" w:cs="Courier New" w:eastAsia="Courier New" w:hAnsi="Courier New"/>
                <w:sz w:val="16"/>
                <w:szCs w:val="16"/>
                <w:color w:val="auto"/>
              </w:rPr>
              <w:t>Delaware</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Manpower International Inc.</w:t>
            </w:r>
          </w:p>
        </w:tc>
        <w:tc>
          <w:tcPr>
            <w:tcW w:w="2200" w:type="dxa"/>
            <w:vAlign w:val="bottom"/>
          </w:tcPr>
          <w:p>
            <w:pPr>
              <w:jc w:val="center"/>
              <w:ind w:left="780"/>
              <w:spacing w:after="0"/>
              <w:rPr>
                <w:sz w:val="20"/>
                <w:szCs w:val="20"/>
                <w:color w:val="auto"/>
              </w:rPr>
            </w:pPr>
            <w:r>
              <w:rPr>
                <w:rFonts w:ascii="Courier New" w:cs="Courier New" w:eastAsia="Courier New" w:hAnsi="Courier New"/>
                <w:sz w:val="16"/>
                <w:szCs w:val="16"/>
                <w:color w:val="auto"/>
              </w:rPr>
              <w:t>Delaware</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Staffing Trends, Inc.</w:t>
            </w:r>
          </w:p>
        </w:tc>
        <w:tc>
          <w:tcPr>
            <w:tcW w:w="2200" w:type="dxa"/>
            <w:vAlign w:val="bottom"/>
          </w:tcPr>
          <w:p>
            <w:pPr>
              <w:jc w:val="center"/>
              <w:ind w:left="780"/>
              <w:spacing w:after="0"/>
              <w:rPr>
                <w:sz w:val="20"/>
                <w:szCs w:val="20"/>
                <w:color w:val="auto"/>
              </w:rPr>
            </w:pPr>
            <w:r>
              <w:rPr>
                <w:rFonts w:ascii="Courier New" w:cs="Courier New" w:eastAsia="Courier New" w:hAnsi="Courier New"/>
                <w:sz w:val="16"/>
                <w:szCs w:val="16"/>
                <w:color w:val="auto"/>
              </w:rPr>
              <w:t>Delaware</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U.S. Caden Corporation</w:t>
            </w:r>
          </w:p>
        </w:tc>
        <w:tc>
          <w:tcPr>
            <w:tcW w:w="2200" w:type="dxa"/>
            <w:vAlign w:val="bottom"/>
          </w:tcPr>
          <w:p>
            <w:pPr>
              <w:jc w:val="center"/>
              <w:ind w:left="780"/>
              <w:spacing w:after="0"/>
              <w:rPr>
                <w:sz w:val="20"/>
                <w:szCs w:val="20"/>
                <w:color w:val="auto"/>
              </w:rPr>
            </w:pPr>
            <w:r>
              <w:rPr>
                <w:rFonts w:ascii="Courier New" w:cs="Courier New" w:eastAsia="Courier New" w:hAnsi="Courier New"/>
                <w:sz w:val="16"/>
                <w:szCs w:val="16"/>
                <w:color w:val="auto"/>
              </w:rPr>
              <w:t>Delaware</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Manpower A/S (Denmark)</w:t>
            </w:r>
          </w:p>
        </w:tc>
        <w:tc>
          <w:tcPr>
            <w:tcW w:w="2200" w:type="dxa"/>
            <w:vAlign w:val="bottom"/>
          </w:tcPr>
          <w:p>
            <w:pPr>
              <w:jc w:val="center"/>
              <w:ind w:left="880"/>
              <w:spacing w:after="0"/>
              <w:rPr>
                <w:sz w:val="20"/>
                <w:szCs w:val="20"/>
                <w:color w:val="auto"/>
              </w:rPr>
            </w:pPr>
            <w:r>
              <w:rPr>
                <w:rFonts w:ascii="Courier New" w:cs="Courier New" w:eastAsia="Courier New" w:hAnsi="Courier New"/>
                <w:sz w:val="16"/>
                <w:szCs w:val="16"/>
                <w:color w:val="auto"/>
              </w:rPr>
              <w:t>Denmark</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Manpower El Salvador S.A. de C.V.</w:t>
            </w:r>
          </w:p>
        </w:tc>
        <w:tc>
          <w:tcPr>
            <w:tcW w:w="2200" w:type="dxa"/>
            <w:vAlign w:val="bottom"/>
          </w:tcPr>
          <w:p>
            <w:pPr>
              <w:jc w:val="center"/>
              <w:ind w:left="880"/>
              <w:spacing w:after="0"/>
              <w:rPr>
                <w:sz w:val="20"/>
                <w:szCs w:val="20"/>
                <w:color w:val="auto"/>
              </w:rPr>
            </w:pPr>
            <w:r>
              <w:rPr>
                <w:rFonts w:ascii="Courier New" w:cs="Courier New" w:eastAsia="Courier New" w:hAnsi="Courier New"/>
                <w:sz w:val="16"/>
                <w:szCs w:val="16"/>
                <w:color w:val="auto"/>
                <w:w w:val="98"/>
              </w:rPr>
              <w:t>El Salvador</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Avalia</w:t>
            </w:r>
          </w:p>
        </w:tc>
        <w:tc>
          <w:tcPr>
            <w:tcW w:w="2200" w:type="dxa"/>
            <w:vAlign w:val="bottom"/>
          </w:tcPr>
          <w:p>
            <w:pPr>
              <w:jc w:val="center"/>
              <w:ind w:left="880"/>
              <w:spacing w:after="0"/>
              <w:rPr>
                <w:sz w:val="20"/>
                <w:szCs w:val="20"/>
                <w:color w:val="auto"/>
              </w:rPr>
            </w:pPr>
            <w:r>
              <w:rPr>
                <w:rFonts w:ascii="Courier New" w:cs="Courier New" w:eastAsia="Courier New" w:hAnsi="Courier New"/>
                <w:sz w:val="16"/>
                <w:szCs w:val="16"/>
                <w:color w:val="auto"/>
              </w:rPr>
              <w:t>Finland</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Manpower OY</w:t>
            </w:r>
          </w:p>
        </w:tc>
        <w:tc>
          <w:tcPr>
            <w:tcW w:w="2200" w:type="dxa"/>
            <w:vAlign w:val="bottom"/>
          </w:tcPr>
          <w:p>
            <w:pPr>
              <w:jc w:val="center"/>
              <w:ind w:left="880"/>
              <w:spacing w:after="0"/>
              <w:rPr>
                <w:sz w:val="20"/>
                <w:szCs w:val="20"/>
                <w:color w:val="auto"/>
              </w:rPr>
            </w:pPr>
            <w:r>
              <w:rPr>
                <w:rFonts w:ascii="Courier New" w:cs="Courier New" w:eastAsia="Courier New" w:hAnsi="Courier New"/>
                <w:sz w:val="16"/>
                <w:szCs w:val="16"/>
                <w:color w:val="auto"/>
              </w:rPr>
              <w:t>Finland</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Fortec SARL</w:t>
            </w:r>
          </w:p>
        </w:tc>
        <w:tc>
          <w:tcPr>
            <w:tcW w:w="2200" w:type="dxa"/>
            <w:vAlign w:val="bottom"/>
          </w:tcPr>
          <w:p>
            <w:pPr>
              <w:jc w:val="center"/>
              <w:ind w:left="780"/>
              <w:spacing w:after="0"/>
              <w:rPr>
                <w:sz w:val="20"/>
                <w:szCs w:val="20"/>
                <w:color w:val="auto"/>
              </w:rPr>
            </w:pPr>
            <w:r>
              <w:rPr>
                <w:rFonts w:ascii="Courier New" w:cs="Courier New" w:eastAsia="Courier New" w:hAnsi="Courier New"/>
                <w:sz w:val="16"/>
                <w:szCs w:val="16"/>
                <w:color w:val="auto"/>
              </w:rPr>
              <w:t>France</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Manpower France SARL</w:t>
            </w:r>
          </w:p>
        </w:tc>
        <w:tc>
          <w:tcPr>
            <w:tcW w:w="2200" w:type="dxa"/>
            <w:vAlign w:val="bottom"/>
          </w:tcPr>
          <w:p>
            <w:pPr>
              <w:jc w:val="center"/>
              <w:ind w:left="780"/>
              <w:spacing w:after="0"/>
              <w:rPr>
                <w:sz w:val="20"/>
                <w:szCs w:val="20"/>
                <w:color w:val="auto"/>
              </w:rPr>
            </w:pPr>
            <w:r>
              <w:rPr>
                <w:rFonts w:ascii="Courier New" w:cs="Courier New" w:eastAsia="Courier New" w:hAnsi="Courier New"/>
                <w:sz w:val="16"/>
                <w:szCs w:val="16"/>
                <w:color w:val="auto"/>
              </w:rPr>
              <w:t>France</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Supplay S.A.</w:t>
            </w:r>
          </w:p>
        </w:tc>
        <w:tc>
          <w:tcPr>
            <w:tcW w:w="2200" w:type="dxa"/>
            <w:vAlign w:val="bottom"/>
          </w:tcPr>
          <w:p>
            <w:pPr>
              <w:jc w:val="center"/>
              <w:ind w:left="780"/>
              <w:spacing w:after="0"/>
              <w:rPr>
                <w:sz w:val="20"/>
                <w:szCs w:val="20"/>
                <w:color w:val="auto"/>
              </w:rPr>
            </w:pPr>
            <w:r>
              <w:rPr>
                <w:rFonts w:ascii="Courier New" w:cs="Courier New" w:eastAsia="Courier New" w:hAnsi="Courier New"/>
                <w:sz w:val="16"/>
                <w:szCs w:val="16"/>
                <w:color w:val="auto"/>
              </w:rPr>
              <w:t>France</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Adservice GmbH</w:t>
            </w:r>
          </w:p>
        </w:tc>
        <w:tc>
          <w:tcPr>
            <w:tcW w:w="2200" w:type="dxa"/>
            <w:vAlign w:val="bottom"/>
          </w:tcPr>
          <w:p>
            <w:pPr>
              <w:jc w:val="center"/>
              <w:ind w:left="880"/>
              <w:spacing w:after="0"/>
              <w:rPr>
                <w:sz w:val="20"/>
                <w:szCs w:val="20"/>
                <w:color w:val="auto"/>
              </w:rPr>
            </w:pPr>
            <w:r>
              <w:rPr>
                <w:rFonts w:ascii="Courier New" w:cs="Courier New" w:eastAsia="Courier New" w:hAnsi="Courier New"/>
                <w:sz w:val="16"/>
                <w:szCs w:val="16"/>
                <w:color w:val="auto"/>
              </w:rPr>
              <w:t>Germany</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Bankpower GmbH Personaldienstleistungen</w:t>
            </w:r>
          </w:p>
        </w:tc>
        <w:tc>
          <w:tcPr>
            <w:tcW w:w="2200" w:type="dxa"/>
            <w:vAlign w:val="bottom"/>
          </w:tcPr>
          <w:p>
            <w:pPr>
              <w:jc w:val="center"/>
              <w:ind w:left="880"/>
              <w:spacing w:after="0"/>
              <w:rPr>
                <w:sz w:val="20"/>
                <w:szCs w:val="20"/>
                <w:color w:val="auto"/>
              </w:rPr>
            </w:pPr>
            <w:r>
              <w:rPr>
                <w:rFonts w:ascii="Courier New" w:cs="Courier New" w:eastAsia="Courier New" w:hAnsi="Courier New"/>
                <w:sz w:val="16"/>
                <w:szCs w:val="16"/>
                <w:color w:val="auto"/>
              </w:rPr>
              <w:t>Germany</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IT@Manpower GmbH</w:t>
            </w:r>
          </w:p>
        </w:tc>
        <w:tc>
          <w:tcPr>
            <w:tcW w:w="2200" w:type="dxa"/>
            <w:vAlign w:val="bottom"/>
          </w:tcPr>
          <w:p>
            <w:pPr>
              <w:jc w:val="center"/>
              <w:ind w:left="880"/>
              <w:spacing w:after="0"/>
              <w:rPr>
                <w:sz w:val="20"/>
                <w:szCs w:val="20"/>
                <w:color w:val="auto"/>
              </w:rPr>
            </w:pPr>
            <w:r>
              <w:rPr>
                <w:rFonts w:ascii="Courier New" w:cs="Courier New" w:eastAsia="Courier New" w:hAnsi="Courier New"/>
                <w:sz w:val="16"/>
                <w:szCs w:val="16"/>
                <w:color w:val="auto"/>
              </w:rPr>
              <w:t>Germany</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Manpower GmbH Personaldienstleistungen</w:t>
            </w:r>
          </w:p>
        </w:tc>
        <w:tc>
          <w:tcPr>
            <w:tcW w:w="2200" w:type="dxa"/>
            <w:vAlign w:val="bottom"/>
          </w:tcPr>
          <w:p>
            <w:pPr>
              <w:jc w:val="center"/>
              <w:ind w:left="880"/>
              <w:spacing w:after="0"/>
              <w:rPr>
                <w:sz w:val="20"/>
                <w:szCs w:val="20"/>
                <w:color w:val="auto"/>
              </w:rPr>
            </w:pPr>
            <w:r>
              <w:rPr>
                <w:rFonts w:ascii="Courier New" w:cs="Courier New" w:eastAsia="Courier New" w:hAnsi="Courier New"/>
                <w:sz w:val="16"/>
                <w:szCs w:val="16"/>
                <w:color w:val="auto"/>
              </w:rPr>
              <w:t>Germany</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Manpower Team S.A.</w:t>
            </w:r>
          </w:p>
        </w:tc>
        <w:tc>
          <w:tcPr>
            <w:tcW w:w="2200" w:type="dxa"/>
            <w:vAlign w:val="bottom"/>
          </w:tcPr>
          <w:p>
            <w:pPr>
              <w:jc w:val="center"/>
              <w:ind w:left="780"/>
              <w:spacing w:after="0"/>
              <w:rPr>
                <w:sz w:val="20"/>
                <w:szCs w:val="20"/>
                <w:color w:val="auto"/>
              </w:rPr>
            </w:pPr>
            <w:r>
              <w:rPr>
                <w:rFonts w:ascii="Courier New" w:cs="Courier New" w:eastAsia="Courier New" w:hAnsi="Courier New"/>
                <w:sz w:val="16"/>
                <w:szCs w:val="16"/>
                <w:color w:val="auto"/>
              </w:rPr>
              <w:t>Greece</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Manpower Guatemala S.A.</w:t>
            </w:r>
          </w:p>
        </w:tc>
        <w:tc>
          <w:tcPr>
            <w:tcW w:w="2200" w:type="dxa"/>
            <w:vAlign w:val="bottom"/>
          </w:tcPr>
          <w:p>
            <w:pPr>
              <w:jc w:val="center"/>
              <w:ind w:left="880"/>
              <w:spacing w:after="0"/>
              <w:rPr>
                <w:sz w:val="20"/>
                <w:szCs w:val="20"/>
                <w:color w:val="auto"/>
              </w:rPr>
            </w:pPr>
            <w:r>
              <w:rPr>
                <w:rFonts w:ascii="Courier New" w:cs="Courier New" w:eastAsia="Courier New" w:hAnsi="Courier New"/>
                <w:sz w:val="16"/>
                <w:szCs w:val="16"/>
                <w:color w:val="auto"/>
              </w:rPr>
              <w:t>Guatemala</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Manpower Honduras S.A.</w:t>
            </w:r>
          </w:p>
        </w:tc>
        <w:tc>
          <w:tcPr>
            <w:tcW w:w="2200" w:type="dxa"/>
            <w:vAlign w:val="bottom"/>
          </w:tcPr>
          <w:p>
            <w:pPr>
              <w:jc w:val="center"/>
              <w:ind w:left="780"/>
              <w:spacing w:after="0"/>
              <w:rPr>
                <w:sz w:val="20"/>
                <w:szCs w:val="20"/>
                <w:color w:val="auto"/>
              </w:rPr>
            </w:pPr>
            <w:r>
              <w:rPr>
                <w:rFonts w:ascii="Courier New" w:cs="Courier New" w:eastAsia="Courier New" w:hAnsi="Courier New"/>
                <w:sz w:val="16"/>
                <w:szCs w:val="16"/>
                <w:color w:val="auto"/>
              </w:rPr>
              <w:t>Honduras</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Elan Computing (Asia) Limited</w:t>
            </w:r>
          </w:p>
        </w:tc>
        <w:tc>
          <w:tcPr>
            <w:tcW w:w="2200" w:type="dxa"/>
            <w:vAlign w:val="bottom"/>
          </w:tcPr>
          <w:p>
            <w:pPr>
              <w:jc w:val="center"/>
              <w:ind w:left="880"/>
              <w:spacing w:after="0"/>
              <w:rPr>
                <w:sz w:val="20"/>
                <w:szCs w:val="20"/>
                <w:color w:val="auto"/>
              </w:rPr>
            </w:pPr>
            <w:r>
              <w:rPr>
                <w:rFonts w:ascii="Courier New" w:cs="Courier New" w:eastAsia="Courier New" w:hAnsi="Courier New"/>
                <w:sz w:val="16"/>
                <w:szCs w:val="16"/>
                <w:color w:val="auto"/>
              </w:rPr>
              <w:t>Hong Kong</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Manpower Services (Hong Kong) Limited</w:t>
            </w:r>
          </w:p>
        </w:tc>
        <w:tc>
          <w:tcPr>
            <w:tcW w:w="2200" w:type="dxa"/>
            <w:vAlign w:val="bottom"/>
          </w:tcPr>
          <w:p>
            <w:pPr>
              <w:jc w:val="center"/>
              <w:ind w:left="880"/>
              <w:spacing w:after="0"/>
              <w:rPr>
                <w:sz w:val="20"/>
                <w:szCs w:val="20"/>
                <w:color w:val="auto"/>
              </w:rPr>
            </w:pPr>
            <w:r>
              <w:rPr>
                <w:rFonts w:ascii="Courier New" w:cs="Courier New" w:eastAsia="Courier New" w:hAnsi="Courier New"/>
                <w:sz w:val="16"/>
                <w:szCs w:val="16"/>
                <w:color w:val="auto"/>
              </w:rPr>
              <w:t>Hong Kong</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Manpower Swift Recruitment Services Limited</w:t>
            </w:r>
          </w:p>
        </w:tc>
        <w:tc>
          <w:tcPr>
            <w:tcW w:w="2200" w:type="dxa"/>
            <w:vAlign w:val="bottom"/>
          </w:tcPr>
          <w:p>
            <w:pPr>
              <w:jc w:val="center"/>
              <w:ind w:left="880"/>
              <w:spacing w:after="0"/>
              <w:rPr>
                <w:sz w:val="20"/>
                <w:szCs w:val="20"/>
                <w:color w:val="auto"/>
              </w:rPr>
            </w:pPr>
            <w:r>
              <w:rPr>
                <w:rFonts w:ascii="Courier New" w:cs="Courier New" w:eastAsia="Courier New" w:hAnsi="Courier New"/>
                <w:sz w:val="16"/>
                <w:szCs w:val="16"/>
                <w:color w:val="auto"/>
              </w:rPr>
              <w:t>Hong Kong</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Manpower Munkaero Szervezesi KFT</w:t>
            </w:r>
          </w:p>
        </w:tc>
        <w:tc>
          <w:tcPr>
            <w:tcW w:w="2200" w:type="dxa"/>
            <w:vAlign w:val="bottom"/>
          </w:tcPr>
          <w:p>
            <w:pPr>
              <w:jc w:val="center"/>
              <w:ind w:left="880"/>
              <w:spacing w:after="0"/>
              <w:rPr>
                <w:sz w:val="20"/>
                <w:szCs w:val="20"/>
                <w:color w:val="auto"/>
              </w:rPr>
            </w:pPr>
            <w:r>
              <w:rPr>
                <w:rFonts w:ascii="Courier New" w:cs="Courier New" w:eastAsia="Courier New" w:hAnsi="Courier New"/>
                <w:sz w:val="16"/>
                <w:szCs w:val="16"/>
                <w:color w:val="auto"/>
              </w:rPr>
              <w:t>Hungary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0" w:right="1440" w:bottom="1440" w:gutter="0" w:footer="0" w:header="0"/>
        </w:sectPr>
      </w:pPr>
    </w:p>
    <w:bookmarkStart w:id="95" w:name="page96"/>
    <w:bookmarkEnd w:id="95"/>
    <w:p>
      <w:pPr>
        <w:ind w:left="2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0" w:right="1440" w:bottom="1440" w:gutter="0" w:footer="0" w:header="0"/>
        </w:sect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Bartran, Inc.</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Complete Business Services of IL, Inc.</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Transpersonnel, Inc.</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Manpower Services India Pte. Ltd.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Elan Recruitment Limited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Manpower (Ireland) Group Limited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Manpower (Ireland) Limited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Skills Group Contract Services Limited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Skills Group Financial Services Limited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Skills Group International Limited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Adam Ltd. (Inactive)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Adi Ltd.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Career Ltd.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Hahaklai</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Bryce Testing</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Manpower (Israel) Holdings (1999) Limited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Manpower Israel Limited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Miluot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M.I.T. Manpower Info Technology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MNAM Ltd.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MPH Holdings Ltd.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Nativ 2 Ltd.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S.T.M. Technologies Ltd. (Inactive)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Market (M. A.)</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Telepower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Tirgumey Eichut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Unison Engineering Projects Ltd.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Manpower Consulting S.P.A.</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Illinois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Illinois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Illinois</w:t>
      </w: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India</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Ireland</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Ireland</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Ireland</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Ireland</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Ireland</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Ireland</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Israel</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Israel</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Israel</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Israel</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Israel</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Israel</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Israel</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Israel</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Israel</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Israel</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Israel</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Israel</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Israel</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Israel</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Israel</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Israel</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Israel</w:t>
      </w: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Italy</w:t>
      </w:r>
    </w:p>
    <w:p>
      <w:pPr>
        <w:spacing w:after="0" w:line="200" w:lineRule="exact"/>
        <w:rPr>
          <w:sz w:val="20"/>
          <w:szCs w:val="20"/>
          <w:color w:val="auto"/>
        </w:rPr>
      </w:pPr>
    </w:p>
    <w:p>
      <w:pPr>
        <w:sectPr>
          <w:pgSz w:w="11900" w:h="16838" w:orient="portrait"/>
          <w:cols w:equalWidth="0" w:num="2">
            <w:col w:w="5900" w:space="720"/>
            <w:col w:w="3599"/>
          </w:cols>
          <w:pgMar w:left="240" w:top="300" w:right="1440" w:bottom="1440" w:gutter="0" w:footer="0" w:header="0"/>
          <w:type w:val="continuous"/>
        </w:sectPr>
      </w:pPr>
    </w:p>
    <w:p>
      <w:pPr>
        <w:spacing w:after="0" w:line="200" w:lineRule="exact"/>
        <w:rPr>
          <w:sz w:val="20"/>
          <w:szCs w:val="20"/>
          <w:color w:val="auto"/>
        </w:rPr>
      </w:pPr>
    </w:p>
    <w:p>
      <w:pPr>
        <w:spacing w:after="0" w:line="34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0" w:right="1440" w:bottom="144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181"/>
        </w:trPr>
        <w:tc>
          <w:tcPr>
            <w:tcW w:w="5420" w:type="dxa"/>
            <w:vAlign w:val="bottom"/>
          </w:tcPr>
          <w:p>
            <w:pPr>
              <w:ind w:left="280"/>
              <w:spacing w:after="0"/>
              <w:rPr>
                <w:sz w:val="20"/>
                <w:szCs w:val="20"/>
                <w:color w:val="auto"/>
              </w:rPr>
            </w:pPr>
            <w:r>
              <w:rPr>
                <w:rFonts w:ascii="Courier New" w:cs="Courier New" w:eastAsia="Courier New" w:hAnsi="Courier New"/>
                <w:sz w:val="16"/>
                <w:szCs w:val="16"/>
                <w:color w:val="auto"/>
              </w:rPr>
              <w:t>4</w:t>
            </w:r>
          </w:p>
        </w:tc>
        <w:tc>
          <w:tcPr>
            <w:tcW w:w="2160" w:type="dxa"/>
            <w:vAlign w:val="bottom"/>
          </w:tcPr>
          <w:p>
            <w:pPr>
              <w:spacing w:after="0"/>
              <w:rPr>
                <w:sz w:val="15"/>
                <w:szCs w:val="15"/>
                <w:color w:val="auto"/>
              </w:rPr>
            </w:pPr>
          </w:p>
        </w:tc>
      </w:tr>
      <w:tr>
        <w:trPr>
          <w:trHeight w:val="924"/>
        </w:trPr>
        <w:tc>
          <w:tcPr>
            <w:tcW w:w="5420" w:type="dxa"/>
            <w:vAlign w:val="bottom"/>
          </w:tcPr>
          <w:p>
            <w:pPr>
              <w:spacing w:after="0"/>
              <w:rPr>
                <w:sz w:val="20"/>
                <w:szCs w:val="20"/>
                <w:color w:val="auto"/>
              </w:rPr>
            </w:pPr>
            <w:r>
              <w:rPr>
                <w:rFonts w:ascii="Courier New" w:cs="Courier New" w:eastAsia="Courier New" w:hAnsi="Courier New"/>
                <w:sz w:val="16"/>
                <w:szCs w:val="16"/>
                <w:color w:val="auto"/>
              </w:rPr>
              <w:t>Manpower Italia S.r.l.</w:t>
            </w:r>
          </w:p>
        </w:tc>
        <w:tc>
          <w:tcPr>
            <w:tcW w:w="2160" w:type="dxa"/>
            <w:vAlign w:val="bottom"/>
          </w:tcPr>
          <w:p>
            <w:pPr>
              <w:jc w:val="center"/>
              <w:ind w:left="1040"/>
              <w:spacing w:after="0"/>
              <w:rPr>
                <w:sz w:val="20"/>
                <w:szCs w:val="20"/>
                <w:color w:val="auto"/>
              </w:rPr>
            </w:pPr>
            <w:r>
              <w:rPr>
                <w:rFonts w:ascii="Courier New" w:cs="Courier New" w:eastAsia="Courier New" w:hAnsi="Courier New"/>
                <w:sz w:val="16"/>
                <w:szCs w:val="16"/>
                <w:color w:val="auto"/>
                <w:w w:val="99"/>
              </w:rPr>
              <w:t>Italy</w:t>
            </w:r>
          </w:p>
        </w:tc>
      </w:tr>
      <w:tr>
        <w:trPr>
          <w:trHeight w:val="370"/>
        </w:trPr>
        <w:tc>
          <w:tcPr>
            <w:tcW w:w="5420" w:type="dxa"/>
            <w:vAlign w:val="bottom"/>
          </w:tcPr>
          <w:p>
            <w:pPr>
              <w:spacing w:after="0"/>
              <w:rPr>
                <w:sz w:val="20"/>
                <w:szCs w:val="20"/>
                <w:color w:val="auto"/>
              </w:rPr>
            </w:pPr>
            <w:r>
              <w:rPr>
                <w:rFonts w:ascii="Courier New" w:cs="Courier New" w:eastAsia="Courier New" w:hAnsi="Courier New"/>
                <w:sz w:val="16"/>
                <w:szCs w:val="16"/>
                <w:color w:val="auto"/>
              </w:rPr>
              <w:t>Manpower S.P.A.</w:t>
            </w:r>
          </w:p>
        </w:tc>
        <w:tc>
          <w:tcPr>
            <w:tcW w:w="2160" w:type="dxa"/>
            <w:vAlign w:val="bottom"/>
          </w:tcPr>
          <w:p>
            <w:pPr>
              <w:jc w:val="center"/>
              <w:ind w:left="1040"/>
              <w:spacing w:after="0"/>
              <w:rPr>
                <w:sz w:val="20"/>
                <w:szCs w:val="20"/>
                <w:color w:val="auto"/>
              </w:rPr>
            </w:pPr>
            <w:r>
              <w:rPr>
                <w:rFonts w:ascii="Courier New" w:cs="Courier New" w:eastAsia="Courier New" w:hAnsi="Courier New"/>
                <w:sz w:val="16"/>
                <w:szCs w:val="16"/>
                <w:color w:val="auto"/>
                <w:w w:val="99"/>
              </w:rPr>
              <w:t>Italy</w:t>
            </w:r>
          </w:p>
        </w:tc>
      </w:tr>
      <w:tr>
        <w:trPr>
          <w:trHeight w:val="370"/>
        </w:trPr>
        <w:tc>
          <w:tcPr>
            <w:tcW w:w="5420" w:type="dxa"/>
            <w:vAlign w:val="bottom"/>
          </w:tcPr>
          <w:p>
            <w:pPr>
              <w:spacing w:after="0"/>
              <w:rPr>
                <w:sz w:val="20"/>
                <w:szCs w:val="20"/>
                <w:color w:val="auto"/>
              </w:rPr>
            </w:pPr>
            <w:r>
              <w:rPr>
                <w:rFonts w:ascii="Courier New" w:cs="Courier New" w:eastAsia="Courier New" w:hAnsi="Courier New"/>
                <w:sz w:val="16"/>
                <w:szCs w:val="16"/>
                <w:color w:val="auto"/>
              </w:rPr>
              <w:t>Manpower Seleform S.P.A.</w:t>
            </w:r>
          </w:p>
        </w:tc>
        <w:tc>
          <w:tcPr>
            <w:tcW w:w="2160" w:type="dxa"/>
            <w:vAlign w:val="bottom"/>
          </w:tcPr>
          <w:p>
            <w:pPr>
              <w:jc w:val="center"/>
              <w:ind w:left="1040"/>
              <w:spacing w:after="0"/>
              <w:rPr>
                <w:sz w:val="20"/>
                <w:szCs w:val="20"/>
                <w:color w:val="auto"/>
              </w:rPr>
            </w:pPr>
            <w:r>
              <w:rPr>
                <w:rFonts w:ascii="Courier New" w:cs="Courier New" w:eastAsia="Courier New" w:hAnsi="Courier New"/>
                <w:sz w:val="16"/>
                <w:szCs w:val="16"/>
                <w:color w:val="auto"/>
                <w:w w:val="99"/>
              </w:rPr>
              <w:t>Italy</w:t>
            </w:r>
          </w:p>
        </w:tc>
      </w:tr>
      <w:tr>
        <w:trPr>
          <w:trHeight w:val="370"/>
        </w:trPr>
        <w:tc>
          <w:tcPr>
            <w:tcW w:w="5420" w:type="dxa"/>
            <w:vAlign w:val="bottom"/>
          </w:tcPr>
          <w:p>
            <w:pPr>
              <w:spacing w:after="0"/>
              <w:rPr>
                <w:sz w:val="20"/>
                <w:szCs w:val="20"/>
                <w:color w:val="auto"/>
              </w:rPr>
            </w:pPr>
            <w:r>
              <w:rPr>
                <w:rFonts w:ascii="Courier New" w:cs="Courier New" w:eastAsia="Courier New" w:hAnsi="Courier New"/>
                <w:sz w:val="16"/>
                <w:szCs w:val="16"/>
                <w:color w:val="auto"/>
              </w:rPr>
              <w:t>JobSearchpower Co. Ltd.</w:t>
            </w:r>
          </w:p>
        </w:tc>
        <w:tc>
          <w:tcPr>
            <w:tcW w:w="2160" w:type="dxa"/>
            <w:vAlign w:val="bottom"/>
          </w:tcPr>
          <w:p>
            <w:pPr>
              <w:jc w:val="center"/>
              <w:ind w:left="1040"/>
              <w:spacing w:after="0"/>
              <w:rPr>
                <w:sz w:val="20"/>
                <w:szCs w:val="20"/>
                <w:color w:val="auto"/>
              </w:rPr>
            </w:pPr>
            <w:r>
              <w:rPr>
                <w:rFonts w:ascii="Courier New" w:cs="Courier New" w:eastAsia="Courier New" w:hAnsi="Courier New"/>
                <w:sz w:val="16"/>
                <w:szCs w:val="16"/>
                <w:color w:val="auto"/>
                <w:w w:val="99"/>
              </w:rPr>
              <w:t>Japan</w:t>
            </w:r>
          </w:p>
        </w:tc>
      </w:tr>
      <w:tr>
        <w:trPr>
          <w:trHeight w:val="370"/>
        </w:trPr>
        <w:tc>
          <w:tcPr>
            <w:tcW w:w="5420" w:type="dxa"/>
            <w:vAlign w:val="bottom"/>
          </w:tcPr>
          <w:p>
            <w:pPr>
              <w:spacing w:after="0"/>
              <w:rPr>
                <w:sz w:val="20"/>
                <w:szCs w:val="20"/>
                <w:color w:val="auto"/>
              </w:rPr>
            </w:pPr>
            <w:r>
              <w:rPr>
                <w:rFonts w:ascii="Courier New" w:cs="Courier New" w:eastAsia="Courier New" w:hAnsi="Courier New"/>
                <w:sz w:val="16"/>
                <w:szCs w:val="16"/>
                <w:color w:val="auto"/>
              </w:rPr>
              <w:t>Manpower Japan Co. Limited</w:t>
            </w:r>
          </w:p>
        </w:tc>
        <w:tc>
          <w:tcPr>
            <w:tcW w:w="2160" w:type="dxa"/>
            <w:vAlign w:val="bottom"/>
          </w:tcPr>
          <w:p>
            <w:pPr>
              <w:jc w:val="center"/>
              <w:ind w:left="1040"/>
              <w:spacing w:after="0"/>
              <w:rPr>
                <w:sz w:val="20"/>
                <w:szCs w:val="20"/>
                <w:color w:val="auto"/>
              </w:rPr>
            </w:pPr>
            <w:r>
              <w:rPr>
                <w:rFonts w:ascii="Courier New" w:cs="Courier New" w:eastAsia="Courier New" w:hAnsi="Courier New"/>
                <w:sz w:val="16"/>
                <w:szCs w:val="16"/>
                <w:color w:val="auto"/>
                <w:w w:val="99"/>
              </w:rPr>
              <w:t>Japan</w:t>
            </w:r>
          </w:p>
        </w:tc>
      </w:tr>
      <w:tr>
        <w:trPr>
          <w:trHeight w:val="370"/>
        </w:trPr>
        <w:tc>
          <w:tcPr>
            <w:tcW w:w="5420" w:type="dxa"/>
            <w:vAlign w:val="bottom"/>
          </w:tcPr>
          <w:p>
            <w:pPr>
              <w:spacing w:after="0"/>
              <w:rPr>
                <w:sz w:val="20"/>
                <w:szCs w:val="20"/>
                <w:color w:val="auto"/>
              </w:rPr>
            </w:pPr>
            <w:r>
              <w:rPr>
                <w:rFonts w:ascii="Courier New" w:cs="Courier New" w:eastAsia="Courier New" w:hAnsi="Courier New"/>
                <w:sz w:val="16"/>
                <w:szCs w:val="16"/>
                <w:color w:val="auto"/>
              </w:rPr>
              <w:t>Jordanian American Manpower Company W.L.L.</w:t>
            </w:r>
          </w:p>
        </w:tc>
        <w:tc>
          <w:tcPr>
            <w:tcW w:w="2160" w:type="dxa"/>
            <w:vAlign w:val="bottom"/>
          </w:tcPr>
          <w:p>
            <w:pPr>
              <w:jc w:val="center"/>
              <w:ind w:left="940"/>
              <w:spacing w:after="0"/>
              <w:rPr>
                <w:sz w:val="20"/>
                <w:szCs w:val="20"/>
                <w:color w:val="auto"/>
              </w:rPr>
            </w:pPr>
            <w:r>
              <w:rPr>
                <w:rFonts w:ascii="Courier New" w:cs="Courier New" w:eastAsia="Courier New" w:hAnsi="Courier New"/>
                <w:sz w:val="16"/>
                <w:szCs w:val="16"/>
                <w:color w:val="auto"/>
              </w:rPr>
              <w:t>Jordan</w:t>
            </w:r>
          </w:p>
        </w:tc>
      </w:tr>
      <w:tr>
        <w:trPr>
          <w:trHeight w:val="370"/>
        </w:trPr>
        <w:tc>
          <w:tcPr>
            <w:tcW w:w="5420" w:type="dxa"/>
            <w:vAlign w:val="bottom"/>
          </w:tcPr>
          <w:p>
            <w:pPr>
              <w:spacing w:after="0"/>
              <w:rPr>
                <w:sz w:val="20"/>
                <w:szCs w:val="20"/>
                <w:color w:val="auto"/>
              </w:rPr>
            </w:pPr>
            <w:r>
              <w:rPr>
                <w:rFonts w:ascii="Courier New" w:cs="Courier New" w:eastAsia="Courier New" w:hAnsi="Courier New"/>
                <w:sz w:val="16"/>
                <w:szCs w:val="16"/>
                <w:color w:val="auto"/>
              </w:rPr>
              <w:t>Support Service Specialists of Topeka, Inc.</w:t>
            </w:r>
          </w:p>
        </w:tc>
        <w:tc>
          <w:tcPr>
            <w:tcW w:w="2160" w:type="dxa"/>
            <w:vAlign w:val="bottom"/>
          </w:tcPr>
          <w:p>
            <w:pPr>
              <w:jc w:val="center"/>
              <w:ind w:left="940"/>
              <w:spacing w:after="0"/>
              <w:rPr>
                <w:sz w:val="20"/>
                <w:szCs w:val="20"/>
                <w:color w:val="auto"/>
              </w:rPr>
            </w:pPr>
            <w:r>
              <w:rPr>
                <w:rFonts w:ascii="Courier New" w:cs="Courier New" w:eastAsia="Courier New" w:hAnsi="Courier New"/>
                <w:sz w:val="16"/>
                <w:szCs w:val="16"/>
                <w:color w:val="auto"/>
              </w:rPr>
              <w:t>Kansas</w:t>
            </w:r>
          </w:p>
        </w:tc>
      </w:tr>
      <w:tr>
        <w:trPr>
          <w:trHeight w:val="370"/>
        </w:trPr>
        <w:tc>
          <w:tcPr>
            <w:tcW w:w="5420" w:type="dxa"/>
            <w:vAlign w:val="bottom"/>
          </w:tcPr>
          <w:p>
            <w:pPr>
              <w:spacing w:after="0"/>
              <w:rPr>
                <w:sz w:val="20"/>
                <w:szCs w:val="20"/>
                <w:color w:val="auto"/>
              </w:rPr>
            </w:pPr>
            <w:r>
              <w:rPr>
                <w:rFonts w:ascii="Courier New" w:cs="Courier New" w:eastAsia="Courier New" w:hAnsi="Courier New"/>
                <w:sz w:val="16"/>
                <w:szCs w:val="16"/>
                <w:color w:val="auto"/>
              </w:rPr>
              <w:t>Manpower Professional Services Inc.</w:t>
            </w:r>
          </w:p>
        </w:tc>
        <w:tc>
          <w:tcPr>
            <w:tcW w:w="2160" w:type="dxa"/>
            <w:vAlign w:val="bottom"/>
          </w:tcPr>
          <w:p>
            <w:pPr>
              <w:jc w:val="center"/>
              <w:ind w:left="1040"/>
              <w:spacing w:after="0"/>
              <w:rPr>
                <w:sz w:val="20"/>
                <w:szCs w:val="20"/>
                <w:color w:val="auto"/>
              </w:rPr>
            </w:pPr>
            <w:r>
              <w:rPr>
                <w:rFonts w:ascii="Courier New" w:cs="Courier New" w:eastAsia="Courier New" w:hAnsi="Courier New"/>
                <w:sz w:val="16"/>
                <w:szCs w:val="16"/>
                <w:color w:val="auto"/>
                <w:w w:val="99"/>
              </w:rPr>
              <w:t>Korea</w:t>
            </w:r>
          </w:p>
        </w:tc>
      </w:tr>
      <w:tr>
        <w:trPr>
          <w:trHeight w:val="370"/>
        </w:trPr>
        <w:tc>
          <w:tcPr>
            <w:tcW w:w="5420" w:type="dxa"/>
            <w:vAlign w:val="bottom"/>
          </w:tcPr>
          <w:p>
            <w:pPr>
              <w:spacing w:after="0"/>
              <w:rPr>
                <w:sz w:val="20"/>
                <w:szCs w:val="20"/>
                <w:color w:val="auto"/>
              </w:rPr>
            </w:pPr>
            <w:r>
              <w:rPr>
                <w:rFonts w:ascii="Courier New" w:cs="Courier New" w:eastAsia="Courier New" w:hAnsi="Courier New"/>
                <w:sz w:val="16"/>
                <w:szCs w:val="16"/>
                <w:color w:val="auto"/>
              </w:rPr>
              <w:t>Manpower Services Korea, Inc.</w:t>
            </w:r>
          </w:p>
        </w:tc>
        <w:tc>
          <w:tcPr>
            <w:tcW w:w="2160" w:type="dxa"/>
            <w:vAlign w:val="bottom"/>
          </w:tcPr>
          <w:p>
            <w:pPr>
              <w:jc w:val="center"/>
              <w:ind w:left="1040"/>
              <w:spacing w:after="0"/>
              <w:rPr>
                <w:sz w:val="20"/>
                <w:szCs w:val="20"/>
                <w:color w:val="auto"/>
              </w:rPr>
            </w:pPr>
            <w:r>
              <w:rPr>
                <w:rFonts w:ascii="Courier New" w:cs="Courier New" w:eastAsia="Courier New" w:hAnsi="Courier New"/>
                <w:sz w:val="16"/>
                <w:szCs w:val="16"/>
                <w:color w:val="auto"/>
                <w:w w:val="99"/>
              </w:rPr>
              <w:t>Korea</w:t>
            </w:r>
          </w:p>
        </w:tc>
      </w:tr>
      <w:tr>
        <w:trPr>
          <w:trHeight w:val="370"/>
        </w:trPr>
        <w:tc>
          <w:tcPr>
            <w:tcW w:w="5420" w:type="dxa"/>
            <w:vAlign w:val="bottom"/>
          </w:tcPr>
          <w:p>
            <w:pPr>
              <w:spacing w:after="0"/>
              <w:rPr>
                <w:sz w:val="20"/>
                <w:szCs w:val="20"/>
                <w:color w:val="auto"/>
              </w:rPr>
            </w:pPr>
            <w:r>
              <w:rPr>
                <w:rFonts w:ascii="Courier New" w:cs="Courier New" w:eastAsia="Courier New" w:hAnsi="Courier New"/>
                <w:sz w:val="16"/>
                <w:szCs w:val="16"/>
                <w:color w:val="auto"/>
              </w:rPr>
              <w:t>Manpower of Baton Rouge LLC</w:t>
            </w:r>
          </w:p>
        </w:tc>
        <w:tc>
          <w:tcPr>
            <w:tcW w:w="2160" w:type="dxa"/>
            <w:vAlign w:val="bottom"/>
          </w:tcPr>
          <w:p>
            <w:pPr>
              <w:jc w:val="center"/>
              <w:ind w:left="1040"/>
              <w:spacing w:after="0"/>
              <w:rPr>
                <w:sz w:val="20"/>
                <w:szCs w:val="20"/>
                <w:color w:val="auto"/>
              </w:rPr>
            </w:pPr>
            <w:r>
              <w:rPr>
                <w:rFonts w:ascii="Courier New" w:cs="Courier New" w:eastAsia="Courier New" w:hAnsi="Courier New"/>
                <w:sz w:val="16"/>
                <w:szCs w:val="16"/>
                <w:color w:val="auto"/>
              </w:rPr>
              <w:t>Louisiana</w:t>
            </w:r>
          </w:p>
        </w:tc>
      </w:tr>
      <w:tr>
        <w:trPr>
          <w:trHeight w:val="370"/>
        </w:trPr>
        <w:tc>
          <w:tcPr>
            <w:tcW w:w="5420" w:type="dxa"/>
            <w:vAlign w:val="bottom"/>
          </w:tcPr>
          <w:p>
            <w:pPr>
              <w:spacing w:after="0"/>
              <w:rPr>
                <w:sz w:val="20"/>
                <w:szCs w:val="20"/>
                <w:color w:val="auto"/>
              </w:rPr>
            </w:pPr>
            <w:r>
              <w:rPr>
                <w:rFonts w:ascii="Courier New" w:cs="Courier New" w:eastAsia="Courier New" w:hAnsi="Courier New"/>
                <w:sz w:val="16"/>
                <w:szCs w:val="16"/>
                <w:color w:val="auto"/>
              </w:rPr>
              <w:t>Aide Temporaire Luxembourg SARL</w:t>
            </w:r>
          </w:p>
        </w:tc>
        <w:tc>
          <w:tcPr>
            <w:tcW w:w="2160" w:type="dxa"/>
            <w:vAlign w:val="bottom"/>
          </w:tcPr>
          <w:p>
            <w:pPr>
              <w:jc w:val="center"/>
              <w:ind w:left="960"/>
              <w:spacing w:after="0"/>
              <w:rPr>
                <w:sz w:val="20"/>
                <w:szCs w:val="20"/>
                <w:color w:val="auto"/>
              </w:rPr>
            </w:pPr>
            <w:r>
              <w:rPr>
                <w:rFonts w:ascii="Courier New" w:cs="Courier New" w:eastAsia="Courier New" w:hAnsi="Courier New"/>
                <w:sz w:val="16"/>
                <w:szCs w:val="16"/>
                <w:color w:val="auto"/>
                <w:w w:val="99"/>
              </w:rPr>
              <w:t>Luxembourg</w:t>
            </w:r>
          </w:p>
        </w:tc>
      </w:tr>
      <w:tr>
        <w:trPr>
          <w:trHeight w:val="370"/>
        </w:trPr>
        <w:tc>
          <w:tcPr>
            <w:tcW w:w="5420" w:type="dxa"/>
            <w:vAlign w:val="bottom"/>
          </w:tcPr>
          <w:p>
            <w:pPr>
              <w:spacing w:after="0"/>
              <w:rPr>
                <w:sz w:val="20"/>
                <w:szCs w:val="20"/>
                <w:color w:val="auto"/>
              </w:rPr>
            </w:pPr>
            <w:r>
              <w:rPr>
                <w:rFonts w:ascii="Courier New" w:cs="Courier New" w:eastAsia="Courier New" w:hAnsi="Courier New"/>
                <w:sz w:val="16"/>
                <w:szCs w:val="16"/>
                <w:color w:val="auto"/>
              </w:rPr>
              <w:t>Agensi Pekerjaan Manpower Recruitment Sdn Bhd</w:t>
            </w:r>
          </w:p>
        </w:tc>
        <w:tc>
          <w:tcPr>
            <w:tcW w:w="2160" w:type="dxa"/>
            <w:vAlign w:val="bottom"/>
          </w:tcPr>
          <w:p>
            <w:pPr>
              <w:jc w:val="center"/>
              <w:ind w:left="940"/>
              <w:spacing w:after="0"/>
              <w:rPr>
                <w:sz w:val="20"/>
                <w:szCs w:val="20"/>
                <w:color w:val="auto"/>
              </w:rPr>
            </w:pPr>
            <w:r>
              <w:rPr>
                <w:rFonts w:ascii="Courier New" w:cs="Courier New" w:eastAsia="Courier New" w:hAnsi="Courier New"/>
                <w:sz w:val="16"/>
                <w:szCs w:val="16"/>
                <w:color w:val="auto"/>
              </w:rPr>
              <w:t>Malaysia</w:t>
            </w:r>
          </w:p>
        </w:tc>
      </w:tr>
      <w:tr>
        <w:trPr>
          <w:trHeight w:val="370"/>
        </w:trPr>
        <w:tc>
          <w:tcPr>
            <w:tcW w:w="5420" w:type="dxa"/>
            <w:vAlign w:val="bottom"/>
          </w:tcPr>
          <w:p>
            <w:pPr>
              <w:spacing w:after="0"/>
              <w:rPr>
                <w:sz w:val="20"/>
                <w:szCs w:val="20"/>
                <w:color w:val="auto"/>
              </w:rPr>
            </w:pPr>
            <w:r>
              <w:rPr>
                <w:rFonts w:ascii="Courier New" w:cs="Courier New" w:eastAsia="Courier New" w:hAnsi="Courier New"/>
                <w:sz w:val="16"/>
                <w:szCs w:val="16"/>
                <w:color w:val="auto"/>
              </w:rPr>
              <w:t>Manpower Staffing Services (Malaysia) Sdn Bhd</w:t>
            </w:r>
          </w:p>
        </w:tc>
        <w:tc>
          <w:tcPr>
            <w:tcW w:w="2160" w:type="dxa"/>
            <w:vAlign w:val="bottom"/>
          </w:tcPr>
          <w:p>
            <w:pPr>
              <w:jc w:val="center"/>
              <w:ind w:left="940"/>
              <w:spacing w:after="0"/>
              <w:rPr>
                <w:sz w:val="20"/>
                <w:szCs w:val="20"/>
                <w:color w:val="auto"/>
              </w:rPr>
            </w:pPr>
            <w:r>
              <w:rPr>
                <w:rFonts w:ascii="Courier New" w:cs="Courier New" w:eastAsia="Courier New" w:hAnsi="Courier New"/>
                <w:sz w:val="16"/>
                <w:szCs w:val="16"/>
                <w:color w:val="auto"/>
              </w:rPr>
              <w:t>Malaysia</w:t>
            </w:r>
          </w:p>
        </w:tc>
      </w:tr>
      <w:tr>
        <w:trPr>
          <w:trHeight w:val="370"/>
        </w:trPr>
        <w:tc>
          <w:tcPr>
            <w:tcW w:w="5420" w:type="dxa"/>
            <w:vAlign w:val="bottom"/>
          </w:tcPr>
          <w:p>
            <w:pPr>
              <w:spacing w:after="0"/>
              <w:rPr>
                <w:sz w:val="20"/>
                <w:szCs w:val="20"/>
                <w:color w:val="auto"/>
              </w:rPr>
            </w:pPr>
            <w:r>
              <w:rPr>
                <w:rFonts w:ascii="Courier New" w:cs="Courier New" w:eastAsia="Courier New" w:hAnsi="Courier New"/>
                <w:sz w:val="16"/>
                <w:szCs w:val="16"/>
                <w:color w:val="auto"/>
              </w:rPr>
              <w:t>Intelecto Technologico S.A. de C.V.</w:t>
            </w:r>
          </w:p>
        </w:tc>
        <w:tc>
          <w:tcPr>
            <w:tcW w:w="2160" w:type="dxa"/>
            <w:vAlign w:val="bottom"/>
          </w:tcPr>
          <w:p>
            <w:pPr>
              <w:jc w:val="center"/>
              <w:ind w:left="940"/>
              <w:spacing w:after="0"/>
              <w:rPr>
                <w:sz w:val="20"/>
                <w:szCs w:val="20"/>
                <w:color w:val="auto"/>
              </w:rPr>
            </w:pPr>
            <w:r>
              <w:rPr>
                <w:rFonts w:ascii="Courier New" w:cs="Courier New" w:eastAsia="Courier New" w:hAnsi="Courier New"/>
                <w:sz w:val="16"/>
                <w:szCs w:val="16"/>
                <w:color w:val="auto"/>
              </w:rPr>
              <w:t>Mexico</w:t>
            </w:r>
          </w:p>
        </w:tc>
      </w:tr>
      <w:tr>
        <w:trPr>
          <w:trHeight w:val="370"/>
        </w:trPr>
        <w:tc>
          <w:tcPr>
            <w:tcW w:w="5420" w:type="dxa"/>
            <w:vAlign w:val="bottom"/>
          </w:tcPr>
          <w:p>
            <w:pPr>
              <w:spacing w:after="0"/>
              <w:rPr>
                <w:sz w:val="20"/>
                <w:szCs w:val="20"/>
                <w:color w:val="auto"/>
              </w:rPr>
            </w:pPr>
            <w:r>
              <w:rPr>
                <w:rFonts w:ascii="Courier New" w:cs="Courier New" w:eastAsia="Courier New" w:hAnsi="Courier New"/>
                <w:sz w:val="16"/>
                <w:szCs w:val="16"/>
                <w:color w:val="auto"/>
              </w:rPr>
              <w:t>Manpower Corporativo S.A. de C.V.</w:t>
            </w:r>
          </w:p>
        </w:tc>
        <w:tc>
          <w:tcPr>
            <w:tcW w:w="2160" w:type="dxa"/>
            <w:vAlign w:val="bottom"/>
          </w:tcPr>
          <w:p>
            <w:pPr>
              <w:jc w:val="center"/>
              <w:ind w:left="940"/>
              <w:spacing w:after="0"/>
              <w:rPr>
                <w:sz w:val="20"/>
                <w:szCs w:val="20"/>
                <w:color w:val="auto"/>
              </w:rPr>
            </w:pPr>
            <w:r>
              <w:rPr>
                <w:rFonts w:ascii="Courier New" w:cs="Courier New" w:eastAsia="Courier New" w:hAnsi="Courier New"/>
                <w:sz w:val="16"/>
                <w:szCs w:val="16"/>
                <w:color w:val="auto"/>
              </w:rPr>
              <w:t>Mexico</w:t>
            </w:r>
          </w:p>
        </w:tc>
      </w:tr>
      <w:tr>
        <w:trPr>
          <w:trHeight w:val="370"/>
        </w:trPr>
        <w:tc>
          <w:tcPr>
            <w:tcW w:w="5420" w:type="dxa"/>
            <w:vAlign w:val="bottom"/>
          </w:tcPr>
          <w:p>
            <w:pPr>
              <w:spacing w:after="0"/>
              <w:rPr>
                <w:sz w:val="20"/>
                <w:szCs w:val="20"/>
                <w:color w:val="auto"/>
              </w:rPr>
            </w:pPr>
            <w:r>
              <w:rPr>
                <w:rFonts w:ascii="Courier New" w:cs="Courier New" w:eastAsia="Courier New" w:hAnsi="Courier New"/>
                <w:sz w:val="16"/>
                <w:szCs w:val="16"/>
                <w:color w:val="auto"/>
              </w:rPr>
              <w:t>Manpower Industrial S.A. de C.V.</w:t>
            </w:r>
          </w:p>
        </w:tc>
        <w:tc>
          <w:tcPr>
            <w:tcW w:w="2160" w:type="dxa"/>
            <w:vAlign w:val="bottom"/>
          </w:tcPr>
          <w:p>
            <w:pPr>
              <w:jc w:val="center"/>
              <w:ind w:left="940"/>
              <w:spacing w:after="0"/>
              <w:rPr>
                <w:sz w:val="20"/>
                <w:szCs w:val="20"/>
                <w:color w:val="auto"/>
              </w:rPr>
            </w:pPr>
            <w:r>
              <w:rPr>
                <w:rFonts w:ascii="Courier New" w:cs="Courier New" w:eastAsia="Courier New" w:hAnsi="Courier New"/>
                <w:sz w:val="16"/>
                <w:szCs w:val="16"/>
                <w:color w:val="auto"/>
              </w:rPr>
              <w:t>Mexico</w:t>
            </w:r>
          </w:p>
        </w:tc>
      </w:tr>
      <w:tr>
        <w:trPr>
          <w:trHeight w:val="370"/>
        </w:trPr>
        <w:tc>
          <w:tcPr>
            <w:tcW w:w="5420" w:type="dxa"/>
            <w:vAlign w:val="bottom"/>
          </w:tcPr>
          <w:p>
            <w:pPr>
              <w:spacing w:after="0"/>
              <w:rPr>
                <w:sz w:val="20"/>
                <w:szCs w:val="20"/>
                <w:color w:val="auto"/>
              </w:rPr>
            </w:pPr>
            <w:r>
              <w:rPr>
                <w:rFonts w:ascii="Courier New" w:cs="Courier New" w:eastAsia="Courier New" w:hAnsi="Courier New"/>
                <w:sz w:val="16"/>
                <w:szCs w:val="16"/>
                <w:color w:val="auto"/>
              </w:rPr>
              <w:t>Manpower Mensajeria S.A. de C.V.</w:t>
            </w:r>
          </w:p>
        </w:tc>
        <w:tc>
          <w:tcPr>
            <w:tcW w:w="2160" w:type="dxa"/>
            <w:vAlign w:val="bottom"/>
          </w:tcPr>
          <w:p>
            <w:pPr>
              <w:jc w:val="center"/>
              <w:ind w:left="940"/>
              <w:spacing w:after="0"/>
              <w:rPr>
                <w:sz w:val="20"/>
                <w:szCs w:val="20"/>
                <w:color w:val="auto"/>
              </w:rPr>
            </w:pPr>
            <w:r>
              <w:rPr>
                <w:rFonts w:ascii="Courier New" w:cs="Courier New" w:eastAsia="Courier New" w:hAnsi="Courier New"/>
                <w:sz w:val="16"/>
                <w:szCs w:val="16"/>
                <w:color w:val="auto"/>
              </w:rPr>
              <w:t>Mexico</w:t>
            </w:r>
          </w:p>
        </w:tc>
      </w:tr>
      <w:tr>
        <w:trPr>
          <w:trHeight w:val="370"/>
        </w:trPr>
        <w:tc>
          <w:tcPr>
            <w:tcW w:w="5420" w:type="dxa"/>
            <w:vAlign w:val="bottom"/>
          </w:tcPr>
          <w:p>
            <w:pPr>
              <w:spacing w:after="0"/>
              <w:rPr>
                <w:sz w:val="20"/>
                <w:szCs w:val="20"/>
                <w:color w:val="auto"/>
              </w:rPr>
            </w:pPr>
            <w:r>
              <w:rPr>
                <w:rFonts w:ascii="Courier New" w:cs="Courier New" w:eastAsia="Courier New" w:hAnsi="Courier New"/>
                <w:sz w:val="16"/>
                <w:szCs w:val="16"/>
                <w:color w:val="auto"/>
              </w:rPr>
              <w:t>Manpower S.A. de C.V.</w:t>
            </w:r>
          </w:p>
        </w:tc>
        <w:tc>
          <w:tcPr>
            <w:tcW w:w="2160" w:type="dxa"/>
            <w:vAlign w:val="bottom"/>
          </w:tcPr>
          <w:p>
            <w:pPr>
              <w:jc w:val="center"/>
              <w:ind w:left="940"/>
              <w:spacing w:after="0"/>
              <w:rPr>
                <w:sz w:val="20"/>
                <w:szCs w:val="20"/>
                <w:color w:val="auto"/>
              </w:rPr>
            </w:pPr>
            <w:r>
              <w:rPr>
                <w:rFonts w:ascii="Courier New" w:cs="Courier New" w:eastAsia="Courier New" w:hAnsi="Courier New"/>
                <w:sz w:val="16"/>
                <w:szCs w:val="16"/>
                <w:color w:val="auto"/>
              </w:rPr>
              <w:t>Mexico</w:t>
            </w:r>
          </w:p>
        </w:tc>
      </w:tr>
      <w:tr>
        <w:trPr>
          <w:trHeight w:val="370"/>
        </w:trPr>
        <w:tc>
          <w:tcPr>
            <w:tcW w:w="5420" w:type="dxa"/>
            <w:vAlign w:val="bottom"/>
          </w:tcPr>
          <w:p>
            <w:pPr>
              <w:spacing w:after="0"/>
              <w:rPr>
                <w:sz w:val="20"/>
                <w:szCs w:val="20"/>
                <w:color w:val="auto"/>
              </w:rPr>
            </w:pPr>
            <w:r>
              <w:rPr>
                <w:rFonts w:ascii="Courier New" w:cs="Courier New" w:eastAsia="Courier New" w:hAnsi="Courier New"/>
                <w:sz w:val="16"/>
                <w:szCs w:val="16"/>
                <w:color w:val="auto"/>
              </w:rPr>
              <w:t>Tecnologia Y Manufactura S.A. de C.V.</w:t>
            </w:r>
          </w:p>
        </w:tc>
        <w:tc>
          <w:tcPr>
            <w:tcW w:w="2160" w:type="dxa"/>
            <w:vAlign w:val="bottom"/>
          </w:tcPr>
          <w:p>
            <w:pPr>
              <w:jc w:val="center"/>
              <w:ind w:left="940"/>
              <w:spacing w:after="0"/>
              <w:rPr>
                <w:sz w:val="20"/>
                <w:szCs w:val="20"/>
                <w:color w:val="auto"/>
              </w:rPr>
            </w:pPr>
            <w:r>
              <w:rPr>
                <w:rFonts w:ascii="Courier New" w:cs="Courier New" w:eastAsia="Courier New" w:hAnsi="Courier New"/>
                <w:sz w:val="16"/>
                <w:szCs w:val="16"/>
                <w:color w:val="auto"/>
              </w:rPr>
              <w:t>Mexico</w:t>
            </w:r>
          </w:p>
        </w:tc>
      </w:tr>
      <w:tr>
        <w:trPr>
          <w:trHeight w:val="370"/>
        </w:trPr>
        <w:tc>
          <w:tcPr>
            <w:tcW w:w="5420" w:type="dxa"/>
            <w:vAlign w:val="bottom"/>
          </w:tcPr>
          <w:p>
            <w:pPr>
              <w:spacing w:after="0"/>
              <w:rPr>
                <w:sz w:val="20"/>
                <w:szCs w:val="20"/>
                <w:color w:val="auto"/>
              </w:rPr>
            </w:pPr>
            <w:r>
              <w:rPr>
                <w:rFonts w:ascii="Courier New" w:cs="Courier New" w:eastAsia="Courier New" w:hAnsi="Courier New"/>
                <w:sz w:val="16"/>
                <w:szCs w:val="16"/>
                <w:color w:val="auto"/>
              </w:rPr>
              <w:t>Manpower Monaco SAM</w:t>
            </w:r>
          </w:p>
        </w:tc>
        <w:tc>
          <w:tcPr>
            <w:tcW w:w="2160" w:type="dxa"/>
            <w:vAlign w:val="bottom"/>
          </w:tcPr>
          <w:p>
            <w:pPr>
              <w:jc w:val="center"/>
              <w:ind w:left="940"/>
              <w:spacing w:after="0"/>
              <w:rPr>
                <w:sz w:val="20"/>
                <w:szCs w:val="20"/>
                <w:color w:val="auto"/>
              </w:rPr>
            </w:pPr>
            <w:r>
              <w:rPr>
                <w:rFonts w:ascii="Courier New" w:cs="Courier New" w:eastAsia="Courier New" w:hAnsi="Courier New"/>
                <w:sz w:val="16"/>
                <w:szCs w:val="16"/>
                <w:color w:val="auto"/>
              </w:rPr>
              <w:t>Monaco</w:t>
            </w:r>
          </w:p>
        </w:tc>
      </w:tr>
      <w:tr>
        <w:trPr>
          <w:trHeight w:val="370"/>
        </w:trPr>
        <w:tc>
          <w:tcPr>
            <w:tcW w:w="5420" w:type="dxa"/>
            <w:vAlign w:val="bottom"/>
          </w:tcPr>
          <w:p>
            <w:pPr>
              <w:spacing w:after="0"/>
              <w:rPr>
                <w:sz w:val="20"/>
                <w:szCs w:val="20"/>
                <w:color w:val="auto"/>
              </w:rPr>
            </w:pPr>
            <w:r>
              <w:rPr>
                <w:rFonts w:ascii="Courier New" w:cs="Courier New" w:eastAsia="Courier New" w:hAnsi="Courier New"/>
                <w:sz w:val="16"/>
                <w:szCs w:val="16"/>
                <w:color w:val="auto"/>
              </w:rPr>
              <w:t>Societe Marocaine De Travail Temporaire</w:t>
            </w:r>
          </w:p>
        </w:tc>
        <w:tc>
          <w:tcPr>
            <w:tcW w:w="2160" w:type="dxa"/>
            <w:vAlign w:val="bottom"/>
          </w:tcPr>
          <w:p>
            <w:pPr>
              <w:jc w:val="center"/>
              <w:ind w:left="1040"/>
              <w:spacing w:after="0"/>
              <w:rPr>
                <w:sz w:val="20"/>
                <w:szCs w:val="20"/>
                <w:color w:val="auto"/>
              </w:rPr>
            </w:pPr>
            <w:r>
              <w:rPr>
                <w:rFonts w:ascii="Courier New" w:cs="Courier New" w:eastAsia="Courier New" w:hAnsi="Courier New"/>
                <w:sz w:val="16"/>
                <w:szCs w:val="16"/>
                <w:color w:val="auto"/>
              </w:rPr>
              <w:t>Morocco</w:t>
            </w:r>
          </w:p>
        </w:tc>
      </w:tr>
      <w:tr>
        <w:trPr>
          <w:trHeight w:val="370"/>
        </w:trPr>
        <w:tc>
          <w:tcPr>
            <w:tcW w:w="5420" w:type="dxa"/>
            <w:vAlign w:val="bottom"/>
          </w:tcPr>
          <w:p>
            <w:pPr>
              <w:spacing w:after="0"/>
              <w:rPr>
                <w:sz w:val="20"/>
                <w:szCs w:val="20"/>
                <w:color w:val="auto"/>
              </w:rPr>
            </w:pPr>
            <w:r>
              <w:rPr>
                <w:rFonts w:ascii="Courier New" w:cs="Courier New" w:eastAsia="Courier New" w:hAnsi="Courier New"/>
                <w:sz w:val="16"/>
                <w:szCs w:val="16"/>
                <w:color w:val="auto"/>
              </w:rPr>
              <w:t>Manpower Consultancy B.V.</w:t>
            </w:r>
          </w:p>
        </w:tc>
        <w:tc>
          <w:tcPr>
            <w:tcW w:w="2160" w:type="dxa"/>
            <w:vAlign w:val="bottom"/>
          </w:tcPr>
          <w:p>
            <w:pPr>
              <w:jc w:val="center"/>
              <w:ind w:left="1040"/>
              <w:spacing w:after="0"/>
              <w:rPr>
                <w:sz w:val="20"/>
                <w:szCs w:val="20"/>
                <w:color w:val="auto"/>
              </w:rPr>
            </w:pPr>
            <w:r>
              <w:rPr>
                <w:rFonts w:ascii="Courier New" w:cs="Courier New" w:eastAsia="Courier New" w:hAnsi="Courier New"/>
                <w:sz w:val="16"/>
                <w:szCs w:val="16"/>
                <w:color w:val="auto"/>
                <w:w w:val="98"/>
              </w:rPr>
              <w:t>Netherlands</w:t>
            </w:r>
          </w:p>
        </w:tc>
      </w:tr>
      <w:tr>
        <w:trPr>
          <w:trHeight w:val="370"/>
        </w:trPr>
        <w:tc>
          <w:tcPr>
            <w:tcW w:w="5420" w:type="dxa"/>
            <w:vAlign w:val="bottom"/>
          </w:tcPr>
          <w:p>
            <w:pPr>
              <w:spacing w:after="0"/>
              <w:rPr>
                <w:sz w:val="20"/>
                <w:szCs w:val="20"/>
                <w:color w:val="auto"/>
              </w:rPr>
            </w:pPr>
            <w:r>
              <w:rPr>
                <w:rFonts w:ascii="Courier New" w:cs="Courier New" w:eastAsia="Courier New" w:hAnsi="Courier New"/>
                <w:sz w:val="16"/>
                <w:szCs w:val="16"/>
                <w:color w:val="auto"/>
              </w:rPr>
              <w:t>Manpower Direkt B.V.</w:t>
            </w:r>
          </w:p>
        </w:tc>
        <w:tc>
          <w:tcPr>
            <w:tcW w:w="2160" w:type="dxa"/>
            <w:vAlign w:val="bottom"/>
          </w:tcPr>
          <w:p>
            <w:pPr>
              <w:jc w:val="center"/>
              <w:ind w:left="1040"/>
              <w:spacing w:after="0"/>
              <w:rPr>
                <w:sz w:val="20"/>
                <w:szCs w:val="20"/>
                <w:color w:val="auto"/>
              </w:rPr>
            </w:pPr>
            <w:r>
              <w:rPr>
                <w:rFonts w:ascii="Courier New" w:cs="Courier New" w:eastAsia="Courier New" w:hAnsi="Courier New"/>
                <w:sz w:val="16"/>
                <w:szCs w:val="16"/>
                <w:color w:val="auto"/>
                <w:w w:val="98"/>
              </w:rPr>
              <w:t>Netherlands</w:t>
            </w:r>
          </w:p>
        </w:tc>
      </w:tr>
      <w:tr>
        <w:trPr>
          <w:trHeight w:val="370"/>
        </w:trPr>
        <w:tc>
          <w:tcPr>
            <w:tcW w:w="5420" w:type="dxa"/>
            <w:vAlign w:val="bottom"/>
          </w:tcPr>
          <w:p>
            <w:pPr>
              <w:spacing w:after="0"/>
              <w:rPr>
                <w:sz w:val="20"/>
                <w:szCs w:val="20"/>
                <w:color w:val="auto"/>
              </w:rPr>
            </w:pPr>
            <w:r>
              <w:rPr>
                <w:rFonts w:ascii="Courier New" w:cs="Courier New" w:eastAsia="Courier New" w:hAnsi="Courier New"/>
                <w:sz w:val="16"/>
                <w:szCs w:val="16"/>
                <w:color w:val="auto"/>
              </w:rPr>
              <w:t>Manpower Industrie B.V.</w:t>
            </w:r>
          </w:p>
        </w:tc>
        <w:tc>
          <w:tcPr>
            <w:tcW w:w="2160" w:type="dxa"/>
            <w:vAlign w:val="bottom"/>
          </w:tcPr>
          <w:p>
            <w:pPr>
              <w:jc w:val="center"/>
              <w:ind w:left="1040"/>
              <w:spacing w:after="0"/>
              <w:rPr>
                <w:sz w:val="20"/>
                <w:szCs w:val="20"/>
                <w:color w:val="auto"/>
              </w:rPr>
            </w:pPr>
            <w:r>
              <w:rPr>
                <w:rFonts w:ascii="Courier New" w:cs="Courier New" w:eastAsia="Courier New" w:hAnsi="Courier New"/>
                <w:sz w:val="16"/>
                <w:szCs w:val="16"/>
                <w:color w:val="auto"/>
                <w:w w:val="98"/>
              </w:rPr>
              <w:t>Netherlands</w:t>
            </w:r>
          </w:p>
        </w:tc>
      </w:tr>
      <w:tr>
        <w:trPr>
          <w:trHeight w:val="370"/>
        </w:trPr>
        <w:tc>
          <w:tcPr>
            <w:tcW w:w="5420" w:type="dxa"/>
            <w:vAlign w:val="bottom"/>
          </w:tcPr>
          <w:p>
            <w:pPr>
              <w:spacing w:after="0"/>
              <w:rPr>
                <w:sz w:val="20"/>
                <w:szCs w:val="20"/>
                <w:color w:val="auto"/>
              </w:rPr>
            </w:pPr>
            <w:r>
              <w:rPr>
                <w:rFonts w:ascii="Courier New" w:cs="Courier New" w:eastAsia="Courier New" w:hAnsi="Courier New"/>
                <w:sz w:val="16"/>
                <w:szCs w:val="16"/>
                <w:color w:val="auto"/>
              </w:rPr>
              <w:t>Manpower Management B.V.</w:t>
            </w:r>
          </w:p>
        </w:tc>
        <w:tc>
          <w:tcPr>
            <w:tcW w:w="2160" w:type="dxa"/>
            <w:vAlign w:val="bottom"/>
          </w:tcPr>
          <w:p>
            <w:pPr>
              <w:jc w:val="center"/>
              <w:ind w:left="1040"/>
              <w:spacing w:after="0"/>
              <w:rPr>
                <w:sz w:val="20"/>
                <w:szCs w:val="20"/>
                <w:color w:val="auto"/>
              </w:rPr>
            </w:pPr>
            <w:r>
              <w:rPr>
                <w:rFonts w:ascii="Courier New" w:cs="Courier New" w:eastAsia="Courier New" w:hAnsi="Courier New"/>
                <w:sz w:val="16"/>
                <w:szCs w:val="16"/>
                <w:color w:val="auto"/>
                <w:w w:val="98"/>
              </w:rPr>
              <w:t>Netherlands</w:t>
            </w:r>
          </w:p>
        </w:tc>
      </w:tr>
      <w:tr>
        <w:trPr>
          <w:trHeight w:val="370"/>
        </w:trPr>
        <w:tc>
          <w:tcPr>
            <w:tcW w:w="5420" w:type="dxa"/>
            <w:vAlign w:val="bottom"/>
          </w:tcPr>
          <w:p>
            <w:pPr>
              <w:spacing w:after="0"/>
              <w:rPr>
                <w:sz w:val="20"/>
                <w:szCs w:val="20"/>
                <w:color w:val="auto"/>
              </w:rPr>
            </w:pPr>
            <w:r>
              <w:rPr>
                <w:rFonts w:ascii="Courier New" w:cs="Courier New" w:eastAsia="Courier New" w:hAnsi="Courier New"/>
                <w:sz w:val="16"/>
                <w:szCs w:val="16"/>
                <w:color w:val="auto"/>
              </w:rPr>
              <w:t>Manpower Nederland B.V.</w:t>
            </w:r>
          </w:p>
        </w:tc>
        <w:tc>
          <w:tcPr>
            <w:tcW w:w="2160" w:type="dxa"/>
            <w:vAlign w:val="bottom"/>
          </w:tcPr>
          <w:p>
            <w:pPr>
              <w:jc w:val="center"/>
              <w:ind w:left="1040"/>
              <w:spacing w:after="0"/>
              <w:rPr>
                <w:sz w:val="20"/>
                <w:szCs w:val="20"/>
                <w:color w:val="auto"/>
              </w:rPr>
            </w:pPr>
            <w:r>
              <w:rPr>
                <w:rFonts w:ascii="Courier New" w:cs="Courier New" w:eastAsia="Courier New" w:hAnsi="Courier New"/>
                <w:sz w:val="16"/>
                <w:szCs w:val="16"/>
                <w:color w:val="auto"/>
                <w:w w:val="98"/>
              </w:rPr>
              <w:t>Netherlands</w:t>
            </w:r>
          </w:p>
        </w:tc>
      </w:tr>
      <w:tr>
        <w:trPr>
          <w:trHeight w:val="370"/>
        </w:trPr>
        <w:tc>
          <w:tcPr>
            <w:tcW w:w="5420" w:type="dxa"/>
            <w:vAlign w:val="bottom"/>
          </w:tcPr>
          <w:p>
            <w:pPr>
              <w:spacing w:after="0"/>
              <w:rPr>
                <w:sz w:val="20"/>
                <w:szCs w:val="20"/>
                <w:color w:val="auto"/>
              </w:rPr>
            </w:pPr>
            <w:r>
              <w:rPr>
                <w:rFonts w:ascii="Courier New" w:cs="Courier New" w:eastAsia="Courier New" w:hAnsi="Courier New"/>
                <w:sz w:val="16"/>
                <w:szCs w:val="16"/>
                <w:color w:val="auto"/>
              </w:rPr>
              <w:t>Manpower Uitzendorganisatie B.V.</w:t>
            </w:r>
          </w:p>
        </w:tc>
        <w:tc>
          <w:tcPr>
            <w:tcW w:w="2160" w:type="dxa"/>
            <w:vAlign w:val="bottom"/>
          </w:tcPr>
          <w:p>
            <w:pPr>
              <w:jc w:val="center"/>
              <w:ind w:left="1040"/>
              <w:spacing w:after="0"/>
              <w:rPr>
                <w:sz w:val="20"/>
                <w:szCs w:val="20"/>
                <w:color w:val="auto"/>
              </w:rPr>
            </w:pPr>
            <w:r>
              <w:rPr>
                <w:rFonts w:ascii="Courier New" w:cs="Courier New" w:eastAsia="Courier New" w:hAnsi="Courier New"/>
                <w:sz w:val="16"/>
                <w:szCs w:val="16"/>
                <w:color w:val="auto"/>
                <w:w w:val="98"/>
              </w:rPr>
              <w:t>Netherlands</w:t>
            </w:r>
          </w:p>
        </w:tc>
      </w:tr>
      <w:tr>
        <w:trPr>
          <w:trHeight w:val="370"/>
        </w:trPr>
        <w:tc>
          <w:tcPr>
            <w:tcW w:w="5420" w:type="dxa"/>
            <w:vAlign w:val="bottom"/>
          </w:tcPr>
          <w:p>
            <w:pPr>
              <w:spacing w:after="0"/>
              <w:rPr>
                <w:sz w:val="20"/>
                <w:szCs w:val="20"/>
                <w:color w:val="auto"/>
              </w:rPr>
            </w:pPr>
            <w:r>
              <w:rPr>
                <w:rFonts w:ascii="Courier New" w:cs="Courier New" w:eastAsia="Courier New" w:hAnsi="Courier New"/>
                <w:sz w:val="16"/>
                <w:szCs w:val="16"/>
                <w:color w:val="auto"/>
              </w:rPr>
              <w:t>MP Project Support B.V.</w:t>
            </w:r>
          </w:p>
        </w:tc>
        <w:tc>
          <w:tcPr>
            <w:tcW w:w="2160" w:type="dxa"/>
            <w:vAlign w:val="bottom"/>
          </w:tcPr>
          <w:p>
            <w:pPr>
              <w:jc w:val="center"/>
              <w:ind w:left="1040"/>
              <w:spacing w:after="0"/>
              <w:rPr>
                <w:sz w:val="20"/>
                <w:szCs w:val="20"/>
                <w:color w:val="auto"/>
              </w:rPr>
            </w:pPr>
            <w:r>
              <w:rPr>
                <w:rFonts w:ascii="Courier New" w:cs="Courier New" w:eastAsia="Courier New" w:hAnsi="Courier New"/>
                <w:sz w:val="16"/>
                <w:szCs w:val="16"/>
                <w:color w:val="auto"/>
                <w:w w:val="98"/>
              </w:rPr>
              <w:t>Netherlands</w:t>
            </w:r>
          </w:p>
        </w:tc>
      </w:tr>
      <w:tr>
        <w:trPr>
          <w:trHeight w:val="370"/>
        </w:trPr>
        <w:tc>
          <w:tcPr>
            <w:tcW w:w="5420" w:type="dxa"/>
            <w:vAlign w:val="bottom"/>
          </w:tcPr>
          <w:p>
            <w:pPr>
              <w:spacing w:after="0"/>
              <w:rPr>
                <w:sz w:val="20"/>
                <w:szCs w:val="20"/>
                <w:color w:val="auto"/>
              </w:rPr>
            </w:pPr>
            <w:r>
              <w:rPr>
                <w:rFonts w:ascii="Courier New" w:cs="Courier New" w:eastAsia="Courier New" w:hAnsi="Courier New"/>
                <w:sz w:val="16"/>
                <w:szCs w:val="16"/>
                <w:color w:val="auto"/>
              </w:rPr>
              <w:t>Ultraflex B.V.</w:t>
            </w:r>
          </w:p>
        </w:tc>
        <w:tc>
          <w:tcPr>
            <w:tcW w:w="2160" w:type="dxa"/>
            <w:vAlign w:val="bottom"/>
          </w:tcPr>
          <w:p>
            <w:pPr>
              <w:jc w:val="center"/>
              <w:ind w:left="1040"/>
              <w:spacing w:after="0"/>
              <w:rPr>
                <w:sz w:val="20"/>
                <w:szCs w:val="20"/>
                <w:color w:val="auto"/>
              </w:rPr>
            </w:pPr>
            <w:r>
              <w:rPr>
                <w:rFonts w:ascii="Courier New" w:cs="Courier New" w:eastAsia="Courier New" w:hAnsi="Courier New"/>
                <w:sz w:val="16"/>
                <w:szCs w:val="16"/>
                <w:color w:val="auto"/>
                <w:w w:val="98"/>
              </w:rPr>
              <w:t>Netherlands</w:t>
            </w:r>
          </w:p>
        </w:tc>
      </w:tr>
      <w:tr>
        <w:trPr>
          <w:trHeight w:val="1109"/>
        </w:trPr>
        <w:tc>
          <w:tcPr>
            <w:tcW w:w="5420" w:type="dxa"/>
            <w:vAlign w:val="bottom"/>
          </w:tcPr>
          <w:p>
            <w:pPr>
              <w:ind w:left="3740"/>
              <w:spacing w:after="0"/>
              <w:rPr>
                <w:sz w:val="20"/>
                <w:szCs w:val="20"/>
                <w:color w:val="auto"/>
              </w:rPr>
            </w:pPr>
            <w:r>
              <w:rPr>
                <w:rFonts w:ascii="Courier New" w:cs="Courier New" w:eastAsia="Courier New" w:hAnsi="Courier New"/>
                <w:sz w:val="16"/>
                <w:szCs w:val="16"/>
                <w:color w:val="auto"/>
              </w:rPr>
              <w:t>4</w:t>
            </w:r>
          </w:p>
        </w:tc>
        <w:tc>
          <w:tcPr>
            <w:tcW w:w="2160" w:type="dxa"/>
            <w:vAlign w:val="bottom"/>
          </w:tcPr>
          <w:p>
            <w:pPr>
              <w:spacing w:after="0"/>
              <w:rPr>
                <w:sz w:val="24"/>
                <w:szCs w:val="24"/>
                <w:color w:val="auto"/>
              </w:rPr>
            </w:pPr>
          </w:p>
        </w:tc>
      </w:tr>
    </w:tbl>
    <w:p>
      <w:pPr>
        <w:sectPr>
          <w:pgSz w:w="11900" w:h="16838" w:orient="portrait"/>
          <w:cols w:equalWidth="0" w:num="1">
            <w:col w:w="10219"/>
          </w:cols>
          <w:pgMar w:left="240" w:top="300" w:right="1440"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520" w:type="dxa"/>
            <w:vAlign w:val="bottom"/>
          </w:tcPr>
          <w:p>
            <w:pPr>
              <w:ind w:left="280"/>
              <w:spacing w:after="0"/>
              <w:rPr>
                <w:sz w:val="20"/>
                <w:szCs w:val="20"/>
                <w:color w:val="auto"/>
              </w:rPr>
            </w:pPr>
            <w:r>
              <w:rPr>
                <w:rFonts w:ascii="Courier New" w:cs="Courier New" w:eastAsia="Courier New" w:hAnsi="Courier New"/>
                <w:sz w:val="16"/>
                <w:szCs w:val="16"/>
                <w:color w:val="auto"/>
              </w:rPr>
              <w:t>5</w:t>
            </w:r>
          </w:p>
        </w:tc>
        <w:tc>
          <w:tcPr>
            <w:tcW w:w="2160" w:type="dxa"/>
            <w:vAlign w:val="bottom"/>
          </w:tcPr>
          <w:p>
            <w:pPr>
              <w:spacing w:after="0"/>
              <w:rPr>
                <w:sz w:val="15"/>
                <w:szCs w:val="15"/>
                <w:color w:val="auto"/>
              </w:rPr>
            </w:pPr>
          </w:p>
        </w:tc>
      </w:tr>
      <w:tr>
        <w:trPr>
          <w:trHeight w:val="739"/>
        </w:trPr>
        <w:tc>
          <w:tcPr>
            <w:tcW w:w="5520" w:type="dxa"/>
            <w:vAlign w:val="bottom"/>
          </w:tcPr>
          <w:p>
            <w:pPr>
              <w:spacing w:after="0"/>
              <w:rPr>
                <w:sz w:val="20"/>
                <w:szCs w:val="20"/>
                <w:color w:val="auto"/>
              </w:rPr>
            </w:pPr>
            <w:r>
              <w:rPr>
                <w:rFonts w:ascii="Courier New" w:cs="Courier New" w:eastAsia="Courier New" w:hAnsi="Courier New"/>
                <w:sz w:val="16"/>
                <w:szCs w:val="16"/>
                <w:color w:val="auto"/>
              </w:rPr>
              <w:t>Ultrasearch B.V.</w:t>
            </w:r>
          </w:p>
        </w:tc>
        <w:tc>
          <w:tcPr>
            <w:tcW w:w="2160" w:type="dxa"/>
            <w:vAlign w:val="bottom"/>
          </w:tcPr>
          <w:p>
            <w:pPr>
              <w:jc w:val="center"/>
              <w:ind w:left="840"/>
              <w:spacing w:after="0"/>
              <w:rPr>
                <w:sz w:val="20"/>
                <w:szCs w:val="20"/>
                <w:color w:val="auto"/>
              </w:rPr>
            </w:pPr>
            <w:r>
              <w:rPr>
                <w:rFonts w:ascii="Courier New" w:cs="Courier New" w:eastAsia="Courier New" w:hAnsi="Courier New"/>
                <w:sz w:val="16"/>
                <w:szCs w:val="16"/>
                <w:color w:val="auto"/>
                <w:w w:val="98"/>
              </w:rPr>
              <w:t>Netherlands</w:t>
            </w:r>
          </w:p>
        </w:tc>
      </w:tr>
      <w:tr>
        <w:trPr>
          <w:trHeight w:val="370"/>
        </w:trPr>
        <w:tc>
          <w:tcPr>
            <w:tcW w:w="5520" w:type="dxa"/>
            <w:vAlign w:val="bottom"/>
          </w:tcPr>
          <w:p>
            <w:pPr>
              <w:spacing w:after="0"/>
              <w:rPr>
                <w:sz w:val="20"/>
                <w:szCs w:val="20"/>
                <w:color w:val="auto"/>
              </w:rPr>
            </w:pPr>
            <w:r>
              <w:rPr>
                <w:rFonts w:ascii="Courier New" w:cs="Courier New" w:eastAsia="Courier New" w:hAnsi="Courier New"/>
                <w:sz w:val="16"/>
                <w:szCs w:val="16"/>
                <w:color w:val="auto"/>
              </w:rPr>
              <w:t>Manpower Nouvelle Caledonie</w:t>
            </w:r>
          </w:p>
        </w:tc>
        <w:tc>
          <w:tcPr>
            <w:tcW w:w="2160" w:type="dxa"/>
            <w:vAlign w:val="bottom"/>
          </w:tcPr>
          <w:p>
            <w:pPr>
              <w:jc w:val="center"/>
              <w:ind w:left="840"/>
              <w:spacing w:after="0"/>
              <w:rPr>
                <w:sz w:val="20"/>
                <w:szCs w:val="20"/>
                <w:color w:val="auto"/>
              </w:rPr>
            </w:pPr>
            <w:r>
              <w:rPr>
                <w:rFonts w:ascii="Courier New" w:cs="Courier New" w:eastAsia="Courier New" w:hAnsi="Courier New"/>
                <w:sz w:val="16"/>
                <w:szCs w:val="16"/>
                <w:color w:val="auto"/>
                <w:w w:val="99"/>
              </w:rPr>
              <w:t>New Caledonia</w:t>
            </w:r>
          </w:p>
        </w:tc>
      </w:tr>
      <w:tr>
        <w:trPr>
          <w:trHeight w:val="370"/>
        </w:trPr>
        <w:tc>
          <w:tcPr>
            <w:tcW w:w="5520" w:type="dxa"/>
            <w:vAlign w:val="bottom"/>
          </w:tcPr>
          <w:p>
            <w:pPr>
              <w:spacing w:after="0"/>
              <w:rPr>
                <w:sz w:val="20"/>
                <w:szCs w:val="20"/>
                <w:color w:val="auto"/>
              </w:rPr>
            </w:pPr>
            <w:r>
              <w:rPr>
                <w:rFonts w:ascii="Courier New" w:cs="Courier New" w:eastAsia="Courier New" w:hAnsi="Courier New"/>
                <w:sz w:val="16"/>
                <w:szCs w:val="16"/>
                <w:color w:val="auto"/>
              </w:rPr>
              <w:t>Brecker &amp; Merryman Inc.</w:t>
            </w:r>
          </w:p>
        </w:tc>
        <w:tc>
          <w:tcPr>
            <w:tcW w:w="2160" w:type="dxa"/>
            <w:vAlign w:val="bottom"/>
          </w:tcPr>
          <w:p>
            <w:pPr>
              <w:jc w:val="center"/>
              <w:ind w:left="740"/>
              <w:spacing w:after="0"/>
              <w:rPr>
                <w:sz w:val="20"/>
                <w:szCs w:val="20"/>
                <w:color w:val="auto"/>
              </w:rPr>
            </w:pPr>
            <w:r>
              <w:rPr>
                <w:rFonts w:ascii="Courier New" w:cs="Courier New" w:eastAsia="Courier New" w:hAnsi="Courier New"/>
                <w:sz w:val="16"/>
                <w:szCs w:val="16"/>
                <w:color w:val="auto"/>
              </w:rPr>
              <w:t>New York</w:t>
            </w:r>
          </w:p>
        </w:tc>
      </w:tr>
      <w:tr>
        <w:trPr>
          <w:trHeight w:val="370"/>
        </w:trPr>
        <w:tc>
          <w:tcPr>
            <w:tcW w:w="5520" w:type="dxa"/>
            <w:vAlign w:val="bottom"/>
          </w:tcPr>
          <w:p>
            <w:pPr>
              <w:spacing w:after="0"/>
              <w:rPr>
                <w:sz w:val="20"/>
                <w:szCs w:val="20"/>
                <w:color w:val="auto"/>
              </w:rPr>
            </w:pPr>
            <w:r>
              <w:rPr>
                <w:rFonts w:ascii="Courier New" w:cs="Courier New" w:eastAsia="Courier New" w:hAnsi="Courier New"/>
                <w:sz w:val="16"/>
                <w:szCs w:val="16"/>
                <w:color w:val="auto"/>
              </w:rPr>
              <w:t>Manpower Inc. of New York</w:t>
            </w:r>
          </w:p>
        </w:tc>
        <w:tc>
          <w:tcPr>
            <w:tcW w:w="2160" w:type="dxa"/>
            <w:vAlign w:val="bottom"/>
          </w:tcPr>
          <w:p>
            <w:pPr>
              <w:jc w:val="center"/>
              <w:ind w:left="740"/>
              <w:spacing w:after="0"/>
              <w:rPr>
                <w:sz w:val="20"/>
                <w:szCs w:val="20"/>
                <w:color w:val="auto"/>
              </w:rPr>
            </w:pPr>
            <w:r>
              <w:rPr>
                <w:rFonts w:ascii="Courier New" w:cs="Courier New" w:eastAsia="Courier New" w:hAnsi="Courier New"/>
                <w:sz w:val="16"/>
                <w:szCs w:val="16"/>
                <w:color w:val="auto"/>
              </w:rPr>
              <w:t>New York</w:t>
            </w:r>
          </w:p>
        </w:tc>
      </w:tr>
      <w:tr>
        <w:trPr>
          <w:trHeight w:val="370"/>
        </w:trPr>
        <w:tc>
          <w:tcPr>
            <w:tcW w:w="5520" w:type="dxa"/>
            <w:vAlign w:val="bottom"/>
          </w:tcPr>
          <w:p>
            <w:pPr>
              <w:spacing w:after="0"/>
              <w:rPr>
                <w:sz w:val="20"/>
                <w:szCs w:val="20"/>
                <w:color w:val="auto"/>
              </w:rPr>
            </w:pPr>
            <w:r>
              <w:rPr>
                <w:rFonts w:ascii="Courier New" w:cs="Courier New" w:eastAsia="Courier New" w:hAnsi="Courier New"/>
                <w:sz w:val="16"/>
                <w:szCs w:val="16"/>
                <w:color w:val="auto"/>
              </w:rPr>
              <w:t>Manpower Services (New Zealand) Ltd.</w:t>
            </w:r>
          </w:p>
        </w:tc>
        <w:tc>
          <w:tcPr>
            <w:tcW w:w="2160" w:type="dxa"/>
            <w:vAlign w:val="bottom"/>
          </w:tcPr>
          <w:p>
            <w:pPr>
              <w:jc w:val="center"/>
              <w:ind w:left="840"/>
              <w:spacing w:after="0"/>
              <w:rPr>
                <w:sz w:val="20"/>
                <w:szCs w:val="20"/>
                <w:color w:val="auto"/>
              </w:rPr>
            </w:pPr>
            <w:r>
              <w:rPr>
                <w:rFonts w:ascii="Courier New" w:cs="Courier New" w:eastAsia="Courier New" w:hAnsi="Courier New"/>
                <w:sz w:val="16"/>
                <w:szCs w:val="16"/>
                <w:color w:val="auto"/>
                <w:w w:val="98"/>
              </w:rPr>
              <w:t>New Zealand</w:t>
            </w:r>
          </w:p>
        </w:tc>
      </w:tr>
      <w:tr>
        <w:trPr>
          <w:trHeight w:val="370"/>
        </w:trPr>
        <w:tc>
          <w:tcPr>
            <w:tcW w:w="5520" w:type="dxa"/>
            <w:vAlign w:val="bottom"/>
          </w:tcPr>
          <w:p>
            <w:pPr>
              <w:spacing w:after="0"/>
              <w:rPr>
                <w:sz w:val="20"/>
                <w:szCs w:val="20"/>
                <w:color w:val="auto"/>
              </w:rPr>
            </w:pPr>
            <w:r>
              <w:rPr>
                <w:rFonts w:ascii="Courier New" w:cs="Courier New" w:eastAsia="Courier New" w:hAnsi="Courier New"/>
                <w:sz w:val="16"/>
                <w:szCs w:val="16"/>
                <w:color w:val="auto"/>
              </w:rPr>
              <w:t>Bankpower A/S</w:t>
            </w:r>
          </w:p>
        </w:tc>
        <w:tc>
          <w:tcPr>
            <w:tcW w:w="2160" w:type="dxa"/>
            <w:vAlign w:val="bottom"/>
          </w:tcPr>
          <w:p>
            <w:pPr>
              <w:jc w:val="center"/>
              <w:ind w:left="740"/>
              <w:spacing w:after="0"/>
              <w:rPr>
                <w:sz w:val="20"/>
                <w:szCs w:val="20"/>
                <w:color w:val="auto"/>
              </w:rPr>
            </w:pPr>
            <w:r>
              <w:rPr>
                <w:rFonts w:ascii="Courier New" w:cs="Courier New" w:eastAsia="Courier New" w:hAnsi="Courier New"/>
                <w:sz w:val="16"/>
                <w:szCs w:val="16"/>
                <w:color w:val="auto"/>
              </w:rPr>
              <w:t>Norway</w:t>
            </w:r>
          </w:p>
        </w:tc>
      </w:tr>
      <w:tr>
        <w:trPr>
          <w:trHeight w:val="370"/>
        </w:trPr>
        <w:tc>
          <w:tcPr>
            <w:tcW w:w="5520" w:type="dxa"/>
            <w:vAlign w:val="bottom"/>
          </w:tcPr>
          <w:p>
            <w:pPr>
              <w:spacing w:after="0"/>
              <w:rPr>
                <w:sz w:val="20"/>
                <w:szCs w:val="20"/>
                <w:color w:val="auto"/>
              </w:rPr>
            </w:pPr>
            <w:r>
              <w:rPr>
                <w:rFonts w:ascii="Courier New" w:cs="Courier New" w:eastAsia="Courier New" w:hAnsi="Courier New"/>
                <w:sz w:val="16"/>
                <w:szCs w:val="16"/>
                <w:color w:val="auto"/>
              </w:rPr>
              <w:t>Elan Computing A/S</w:t>
            </w:r>
          </w:p>
        </w:tc>
        <w:tc>
          <w:tcPr>
            <w:tcW w:w="2160" w:type="dxa"/>
            <w:vAlign w:val="bottom"/>
          </w:tcPr>
          <w:p>
            <w:pPr>
              <w:jc w:val="center"/>
              <w:ind w:left="740"/>
              <w:spacing w:after="0"/>
              <w:rPr>
                <w:sz w:val="20"/>
                <w:szCs w:val="20"/>
                <w:color w:val="auto"/>
              </w:rPr>
            </w:pPr>
            <w:r>
              <w:rPr>
                <w:rFonts w:ascii="Courier New" w:cs="Courier New" w:eastAsia="Courier New" w:hAnsi="Courier New"/>
                <w:sz w:val="16"/>
                <w:szCs w:val="16"/>
                <w:color w:val="auto"/>
              </w:rPr>
              <w:t>Norway</w:t>
            </w:r>
          </w:p>
        </w:tc>
      </w:tr>
      <w:tr>
        <w:trPr>
          <w:trHeight w:val="370"/>
        </w:trPr>
        <w:tc>
          <w:tcPr>
            <w:tcW w:w="5520" w:type="dxa"/>
            <w:vAlign w:val="bottom"/>
          </w:tcPr>
          <w:p>
            <w:pPr>
              <w:spacing w:after="0"/>
              <w:rPr>
                <w:sz w:val="20"/>
                <w:szCs w:val="20"/>
                <w:color w:val="auto"/>
              </w:rPr>
            </w:pPr>
            <w:r>
              <w:rPr>
                <w:rFonts w:ascii="Courier New" w:cs="Courier New" w:eastAsia="Courier New" w:hAnsi="Courier New"/>
                <w:sz w:val="16"/>
                <w:szCs w:val="16"/>
                <w:color w:val="auto"/>
              </w:rPr>
              <w:t>Manpower A/S</w:t>
            </w:r>
          </w:p>
        </w:tc>
        <w:tc>
          <w:tcPr>
            <w:tcW w:w="2160" w:type="dxa"/>
            <w:vAlign w:val="bottom"/>
          </w:tcPr>
          <w:p>
            <w:pPr>
              <w:jc w:val="center"/>
              <w:ind w:left="740"/>
              <w:spacing w:after="0"/>
              <w:rPr>
                <w:sz w:val="20"/>
                <w:szCs w:val="20"/>
                <w:color w:val="auto"/>
              </w:rPr>
            </w:pPr>
            <w:r>
              <w:rPr>
                <w:rFonts w:ascii="Courier New" w:cs="Courier New" w:eastAsia="Courier New" w:hAnsi="Courier New"/>
                <w:sz w:val="16"/>
                <w:szCs w:val="16"/>
                <w:color w:val="auto"/>
              </w:rPr>
              <w:t>Norway</w:t>
            </w:r>
          </w:p>
        </w:tc>
      </w:tr>
      <w:tr>
        <w:trPr>
          <w:trHeight w:val="370"/>
        </w:trPr>
        <w:tc>
          <w:tcPr>
            <w:tcW w:w="5520" w:type="dxa"/>
            <w:vAlign w:val="bottom"/>
          </w:tcPr>
          <w:p>
            <w:pPr>
              <w:spacing w:after="0"/>
              <w:rPr>
                <w:sz w:val="20"/>
                <w:szCs w:val="20"/>
                <w:color w:val="auto"/>
              </w:rPr>
            </w:pPr>
            <w:r>
              <w:rPr>
                <w:rFonts w:ascii="Courier New" w:cs="Courier New" w:eastAsia="Courier New" w:hAnsi="Courier New"/>
                <w:sz w:val="16"/>
                <w:szCs w:val="16"/>
                <w:color w:val="auto"/>
              </w:rPr>
              <w:t>Manpower Facility Management A/S</w:t>
            </w:r>
          </w:p>
        </w:tc>
        <w:tc>
          <w:tcPr>
            <w:tcW w:w="2160" w:type="dxa"/>
            <w:vAlign w:val="bottom"/>
          </w:tcPr>
          <w:p>
            <w:pPr>
              <w:jc w:val="center"/>
              <w:ind w:left="740"/>
              <w:spacing w:after="0"/>
              <w:rPr>
                <w:sz w:val="20"/>
                <w:szCs w:val="20"/>
                <w:color w:val="auto"/>
              </w:rPr>
            </w:pPr>
            <w:r>
              <w:rPr>
                <w:rFonts w:ascii="Courier New" w:cs="Courier New" w:eastAsia="Courier New" w:hAnsi="Courier New"/>
                <w:sz w:val="16"/>
                <w:szCs w:val="16"/>
                <w:color w:val="auto"/>
              </w:rPr>
              <w:t>Norway</w:t>
            </w:r>
          </w:p>
        </w:tc>
      </w:tr>
      <w:tr>
        <w:trPr>
          <w:trHeight w:val="370"/>
        </w:trPr>
        <w:tc>
          <w:tcPr>
            <w:tcW w:w="5520" w:type="dxa"/>
            <w:vAlign w:val="bottom"/>
          </w:tcPr>
          <w:p>
            <w:pPr>
              <w:spacing w:after="0"/>
              <w:rPr>
                <w:sz w:val="20"/>
                <w:szCs w:val="20"/>
                <w:color w:val="auto"/>
              </w:rPr>
            </w:pPr>
            <w:r>
              <w:rPr>
                <w:rFonts w:ascii="Courier New" w:cs="Courier New" w:eastAsia="Courier New" w:hAnsi="Courier New"/>
                <w:sz w:val="16"/>
                <w:szCs w:val="16"/>
                <w:color w:val="auto"/>
              </w:rPr>
              <w:t>Manpower Kantineservice A/S</w:t>
            </w:r>
          </w:p>
        </w:tc>
        <w:tc>
          <w:tcPr>
            <w:tcW w:w="2160" w:type="dxa"/>
            <w:vAlign w:val="bottom"/>
          </w:tcPr>
          <w:p>
            <w:pPr>
              <w:jc w:val="center"/>
              <w:ind w:left="740"/>
              <w:spacing w:after="0"/>
              <w:rPr>
                <w:sz w:val="20"/>
                <w:szCs w:val="20"/>
                <w:color w:val="auto"/>
              </w:rPr>
            </w:pPr>
            <w:r>
              <w:rPr>
                <w:rFonts w:ascii="Courier New" w:cs="Courier New" w:eastAsia="Courier New" w:hAnsi="Courier New"/>
                <w:sz w:val="16"/>
                <w:szCs w:val="16"/>
                <w:color w:val="auto"/>
              </w:rPr>
              <w:t>Norway</w:t>
            </w:r>
          </w:p>
        </w:tc>
      </w:tr>
      <w:tr>
        <w:trPr>
          <w:trHeight w:val="370"/>
        </w:trPr>
        <w:tc>
          <w:tcPr>
            <w:tcW w:w="5520" w:type="dxa"/>
            <w:vAlign w:val="bottom"/>
          </w:tcPr>
          <w:p>
            <w:pPr>
              <w:spacing w:after="0"/>
              <w:rPr>
                <w:sz w:val="20"/>
                <w:szCs w:val="20"/>
                <w:color w:val="auto"/>
              </w:rPr>
            </w:pPr>
            <w:r>
              <w:rPr>
                <w:rFonts w:ascii="Courier New" w:cs="Courier New" w:eastAsia="Courier New" w:hAnsi="Courier New"/>
                <w:sz w:val="16"/>
                <w:szCs w:val="16"/>
                <w:color w:val="auto"/>
              </w:rPr>
              <w:t>Mediapower A/S</w:t>
            </w:r>
          </w:p>
        </w:tc>
        <w:tc>
          <w:tcPr>
            <w:tcW w:w="2160" w:type="dxa"/>
            <w:vAlign w:val="bottom"/>
          </w:tcPr>
          <w:p>
            <w:pPr>
              <w:jc w:val="center"/>
              <w:ind w:left="740"/>
              <w:spacing w:after="0"/>
              <w:rPr>
                <w:sz w:val="20"/>
                <w:szCs w:val="20"/>
                <w:color w:val="auto"/>
              </w:rPr>
            </w:pPr>
            <w:r>
              <w:rPr>
                <w:rFonts w:ascii="Courier New" w:cs="Courier New" w:eastAsia="Courier New" w:hAnsi="Courier New"/>
                <w:sz w:val="16"/>
                <w:szCs w:val="16"/>
                <w:color w:val="auto"/>
              </w:rPr>
              <w:t>Norway</w:t>
            </w:r>
          </w:p>
        </w:tc>
      </w:tr>
      <w:tr>
        <w:trPr>
          <w:trHeight w:val="370"/>
        </w:trPr>
        <w:tc>
          <w:tcPr>
            <w:tcW w:w="5520" w:type="dxa"/>
            <w:vAlign w:val="bottom"/>
          </w:tcPr>
          <w:p>
            <w:pPr>
              <w:spacing w:after="0"/>
              <w:rPr>
                <w:sz w:val="20"/>
                <w:szCs w:val="20"/>
                <w:color w:val="auto"/>
              </w:rPr>
            </w:pPr>
            <w:r>
              <w:rPr>
                <w:rFonts w:ascii="Courier New" w:cs="Courier New" w:eastAsia="Courier New" w:hAnsi="Courier New"/>
                <w:sz w:val="16"/>
                <w:szCs w:val="16"/>
                <w:color w:val="auto"/>
              </w:rPr>
              <w:t>Quality People A/S</w:t>
            </w:r>
          </w:p>
        </w:tc>
        <w:tc>
          <w:tcPr>
            <w:tcW w:w="2160" w:type="dxa"/>
            <w:vAlign w:val="bottom"/>
          </w:tcPr>
          <w:p>
            <w:pPr>
              <w:jc w:val="center"/>
              <w:ind w:left="740"/>
              <w:spacing w:after="0"/>
              <w:rPr>
                <w:sz w:val="20"/>
                <w:szCs w:val="20"/>
                <w:color w:val="auto"/>
              </w:rPr>
            </w:pPr>
            <w:r>
              <w:rPr>
                <w:rFonts w:ascii="Courier New" w:cs="Courier New" w:eastAsia="Courier New" w:hAnsi="Courier New"/>
                <w:sz w:val="16"/>
                <w:szCs w:val="16"/>
                <w:color w:val="auto"/>
              </w:rPr>
              <w:t>Norway</w:t>
            </w:r>
          </w:p>
        </w:tc>
      </w:tr>
      <w:tr>
        <w:trPr>
          <w:trHeight w:val="370"/>
        </w:trPr>
        <w:tc>
          <w:tcPr>
            <w:tcW w:w="5520" w:type="dxa"/>
            <w:vAlign w:val="bottom"/>
          </w:tcPr>
          <w:p>
            <w:pPr>
              <w:spacing w:after="0"/>
              <w:rPr>
                <w:sz w:val="20"/>
                <w:szCs w:val="20"/>
                <w:color w:val="auto"/>
              </w:rPr>
            </w:pPr>
            <w:r>
              <w:rPr>
                <w:rFonts w:ascii="Courier New" w:cs="Courier New" w:eastAsia="Courier New" w:hAnsi="Courier New"/>
                <w:sz w:val="16"/>
                <w:szCs w:val="16"/>
                <w:color w:val="auto"/>
              </w:rPr>
              <w:t>Techpower A/S</w:t>
            </w:r>
          </w:p>
        </w:tc>
        <w:tc>
          <w:tcPr>
            <w:tcW w:w="2160" w:type="dxa"/>
            <w:vAlign w:val="bottom"/>
          </w:tcPr>
          <w:p>
            <w:pPr>
              <w:jc w:val="center"/>
              <w:ind w:left="740"/>
              <w:spacing w:after="0"/>
              <w:rPr>
                <w:sz w:val="20"/>
                <w:szCs w:val="20"/>
                <w:color w:val="auto"/>
              </w:rPr>
            </w:pPr>
            <w:r>
              <w:rPr>
                <w:rFonts w:ascii="Courier New" w:cs="Courier New" w:eastAsia="Courier New" w:hAnsi="Courier New"/>
                <w:sz w:val="16"/>
                <w:szCs w:val="16"/>
                <w:color w:val="auto"/>
              </w:rPr>
              <w:t>Norway</w:t>
            </w:r>
          </w:p>
        </w:tc>
      </w:tr>
      <w:tr>
        <w:trPr>
          <w:trHeight w:val="370"/>
        </w:trPr>
        <w:tc>
          <w:tcPr>
            <w:tcW w:w="5520" w:type="dxa"/>
            <w:vAlign w:val="bottom"/>
          </w:tcPr>
          <w:p>
            <w:pPr>
              <w:spacing w:after="0"/>
              <w:rPr>
                <w:sz w:val="20"/>
                <w:szCs w:val="20"/>
                <w:color w:val="auto"/>
              </w:rPr>
            </w:pPr>
            <w:r>
              <w:rPr>
                <w:rFonts w:ascii="Courier New" w:cs="Courier New" w:eastAsia="Courier New" w:hAnsi="Courier New"/>
                <w:sz w:val="16"/>
                <w:szCs w:val="16"/>
                <w:color w:val="auto"/>
              </w:rPr>
              <w:t>Techpower Telemark A/S</w:t>
            </w:r>
          </w:p>
        </w:tc>
        <w:tc>
          <w:tcPr>
            <w:tcW w:w="2160" w:type="dxa"/>
            <w:vAlign w:val="bottom"/>
          </w:tcPr>
          <w:p>
            <w:pPr>
              <w:jc w:val="center"/>
              <w:ind w:left="740"/>
              <w:spacing w:after="0"/>
              <w:rPr>
                <w:sz w:val="20"/>
                <w:szCs w:val="20"/>
                <w:color w:val="auto"/>
              </w:rPr>
            </w:pPr>
            <w:r>
              <w:rPr>
                <w:rFonts w:ascii="Courier New" w:cs="Courier New" w:eastAsia="Courier New" w:hAnsi="Courier New"/>
                <w:sz w:val="16"/>
                <w:szCs w:val="16"/>
                <w:color w:val="auto"/>
              </w:rPr>
              <w:t>Norway</w:t>
            </w:r>
          </w:p>
        </w:tc>
      </w:tr>
      <w:tr>
        <w:trPr>
          <w:trHeight w:val="370"/>
        </w:trPr>
        <w:tc>
          <w:tcPr>
            <w:tcW w:w="5520" w:type="dxa"/>
            <w:vAlign w:val="bottom"/>
          </w:tcPr>
          <w:p>
            <w:pPr>
              <w:spacing w:after="0"/>
              <w:rPr>
                <w:sz w:val="20"/>
                <w:szCs w:val="20"/>
                <w:color w:val="auto"/>
              </w:rPr>
            </w:pPr>
            <w:r>
              <w:rPr>
                <w:rFonts w:ascii="Courier New" w:cs="Courier New" w:eastAsia="Courier New" w:hAnsi="Courier New"/>
                <w:sz w:val="16"/>
                <w:szCs w:val="16"/>
                <w:color w:val="auto"/>
              </w:rPr>
              <w:t>The Empower Group A/S</w:t>
            </w:r>
          </w:p>
        </w:tc>
        <w:tc>
          <w:tcPr>
            <w:tcW w:w="2160" w:type="dxa"/>
            <w:vAlign w:val="bottom"/>
          </w:tcPr>
          <w:p>
            <w:pPr>
              <w:jc w:val="center"/>
              <w:ind w:left="740"/>
              <w:spacing w:after="0"/>
              <w:rPr>
                <w:sz w:val="20"/>
                <w:szCs w:val="20"/>
                <w:color w:val="auto"/>
              </w:rPr>
            </w:pPr>
            <w:r>
              <w:rPr>
                <w:rFonts w:ascii="Courier New" w:cs="Courier New" w:eastAsia="Courier New" w:hAnsi="Courier New"/>
                <w:sz w:val="16"/>
                <w:szCs w:val="16"/>
                <w:color w:val="auto"/>
              </w:rPr>
              <w:t>Norway</w:t>
            </w:r>
          </w:p>
        </w:tc>
      </w:tr>
      <w:tr>
        <w:trPr>
          <w:trHeight w:val="370"/>
        </w:trPr>
        <w:tc>
          <w:tcPr>
            <w:tcW w:w="5520" w:type="dxa"/>
            <w:vAlign w:val="bottom"/>
          </w:tcPr>
          <w:p>
            <w:pPr>
              <w:spacing w:after="0"/>
              <w:rPr>
                <w:sz w:val="20"/>
                <w:szCs w:val="20"/>
                <w:color w:val="auto"/>
              </w:rPr>
            </w:pPr>
            <w:r>
              <w:rPr>
                <w:rFonts w:ascii="Courier New" w:cs="Courier New" w:eastAsia="Courier New" w:hAnsi="Courier New"/>
                <w:sz w:val="16"/>
                <w:szCs w:val="16"/>
                <w:color w:val="auto"/>
              </w:rPr>
              <w:t>Tri County Business Services, Inc.</w:t>
            </w:r>
          </w:p>
        </w:tc>
        <w:tc>
          <w:tcPr>
            <w:tcW w:w="2160" w:type="dxa"/>
            <w:vAlign w:val="bottom"/>
          </w:tcPr>
          <w:p>
            <w:pPr>
              <w:jc w:val="center"/>
              <w:ind w:left="740"/>
              <w:spacing w:after="0"/>
              <w:rPr>
                <w:sz w:val="20"/>
                <w:szCs w:val="20"/>
                <w:color w:val="auto"/>
              </w:rPr>
            </w:pPr>
            <w:r>
              <w:rPr>
                <w:rFonts w:ascii="Courier New" w:cs="Courier New" w:eastAsia="Courier New" w:hAnsi="Courier New"/>
                <w:sz w:val="16"/>
                <w:szCs w:val="16"/>
                <w:color w:val="auto"/>
                <w:w w:val="98"/>
              </w:rPr>
              <w:t>Ohio</w:t>
            </w:r>
          </w:p>
        </w:tc>
      </w:tr>
      <w:tr>
        <w:trPr>
          <w:trHeight w:val="370"/>
        </w:trPr>
        <w:tc>
          <w:tcPr>
            <w:tcW w:w="5520" w:type="dxa"/>
            <w:vAlign w:val="bottom"/>
          </w:tcPr>
          <w:p>
            <w:pPr>
              <w:spacing w:after="0"/>
              <w:rPr>
                <w:sz w:val="20"/>
                <w:szCs w:val="20"/>
                <w:color w:val="auto"/>
              </w:rPr>
            </w:pPr>
            <w:r>
              <w:rPr>
                <w:rFonts w:ascii="Courier New" w:cs="Courier New" w:eastAsia="Courier New" w:hAnsi="Courier New"/>
                <w:sz w:val="16"/>
                <w:szCs w:val="16"/>
                <w:color w:val="auto"/>
              </w:rPr>
              <w:t>Manpower Services Canada Limited</w:t>
            </w:r>
          </w:p>
        </w:tc>
        <w:tc>
          <w:tcPr>
            <w:tcW w:w="2160" w:type="dxa"/>
            <w:vAlign w:val="bottom"/>
          </w:tcPr>
          <w:p>
            <w:pPr>
              <w:jc w:val="center"/>
              <w:ind w:left="840"/>
              <w:spacing w:after="0"/>
              <w:rPr>
                <w:sz w:val="20"/>
                <w:szCs w:val="20"/>
                <w:color w:val="auto"/>
              </w:rPr>
            </w:pPr>
            <w:r>
              <w:rPr>
                <w:rFonts w:ascii="Courier New" w:cs="Courier New" w:eastAsia="Courier New" w:hAnsi="Courier New"/>
                <w:sz w:val="16"/>
                <w:szCs w:val="16"/>
                <w:color w:val="auto"/>
              </w:rPr>
              <w:t>Ontario</w:t>
            </w:r>
          </w:p>
        </w:tc>
      </w:tr>
      <w:tr>
        <w:trPr>
          <w:trHeight w:val="370"/>
        </w:trPr>
        <w:tc>
          <w:tcPr>
            <w:tcW w:w="5520" w:type="dxa"/>
            <w:vAlign w:val="bottom"/>
          </w:tcPr>
          <w:p>
            <w:pPr>
              <w:spacing w:after="0"/>
              <w:rPr>
                <w:sz w:val="20"/>
                <w:szCs w:val="20"/>
                <w:color w:val="auto"/>
              </w:rPr>
            </w:pPr>
            <w:r>
              <w:rPr>
                <w:rFonts w:ascii="Courier New" w:cs="Courier New" w:eastAsia="Courier New" w:hAnsi="Courier New"/>
                <w:sz w:val="16"/>
                <w:szCs w:val="16"/>
                <w:color w:val="auto"/>
              </w:rPr>
              <w:t>Temporales Panama S.A.</w:t>
            </w:r>
          </w:p>
        </w:tc>
        <w:tc>
          <w:tcPr>
            <w:tcW w:w="2160" w:type="dxa"/>
            <w:vAlign w:val="bottom"/>
          </w:tcPr>
          <w:p>
            <w:pPr>
              <w:jc w:val="center"/>
              <w:ind w:left="740"/>
              <w:spacing w:after="0"/>
              <w:rPr>
                <w:sz w:val="20"/>
                <w:szCs w:val="20"/>
                <w:color w:val="auto"/>
              </w:rPr>
            </w:pPr>
            <w:r>
              <w:rPr>
                <w:rFonts w:ascii="Courier New" w:cs="Courier New" w:eastAsia="Courier New" w:hAnsi="Courier New"/>
                <w:sz w:val="16"/>
                <w:szCs w:val="16"/>
                <w:color w:val="auto"/>
              </w:rPr>
              <w:t>Panama</w:t>
            </w:r>
          </w:p>
        </w:tc>
      </w:tr>
      <w:tr>
        <w:trPr>
          <w:trHeight w:val="370"/>
        </w:trPr>
        <w:tc>
          <w:tcPr>
            <w:tcW w:w="5520" w:type="dxa"/>
            <w:vAlign w:val="bottom"/>
          </w:tcPr>
          <w:p>
            <w:pPr>
              <w:spacing w:after="0"/>
              <w:rPr>
                <w:sz w:val="20"/>
                <w:szCs w:val="20"/>
                <w:color w:val="auto"/>
              </w:rPr>
            </w:pPr>
            <w:r>
              <w:rPr>
                <w:rFonts w:ascii="Courier New" w:cs="Courier New" w:eastAsia="Courier New" w:hAnsi="Courier New"/>
                <w:sz w:val="16"/>
                <w:szCs w:val="16"/>
                <w:color w:val="auto"/>
              </w:rPr>
              <w:t>Manpower Peru S.A.</w:t>
            </w:r>
          </w:p>
        </w:tc>
        <w:tc>
          <w:tcPr>
            <w:tcW w:w="2160" w:type="dxa"/>
            <w:vAlign w:val="bottom"/>
          </w:tcPr>
          <w:p>
            <w:pPr>
              <w:jc w:val="center"/>
              <w:ind w:left="740"/>
              <w:spacing w:after="0"/>
              <w:rPr>
                <w:sz w:val="20"/>
                <w:szCs w:val="20"/>
                <w:color w:val="auto"/>
              </w:rPr>
            </w:pPr>
            <w:r>
              <w:rPr>
                <w:rFonts w:ascii="Courier New" w:cs="Courier New" w:eastAsia="Courier New" w:hAnsi="Courier New"/>
                <w:sz w:val="16"/>
                <w:szCs w:val="16"/>
                <w:color w:val="auto"/>
                <w:w w:val="98"/>
              </w:rPr>
              <w:t>Peru</w:t>
            </w:r>
          </w:p>
        </w:tc>
      </w:tr>
      <w:tr>
        <w:trPr>
          <w:trHeight w:val="370"/>
        </w:trPr>
        <w:tc>
          <w:tcPr>
            <w:tcW w:w="5520" w:type="dxa"/>
            <w:vAlign w:val="bottom"/>
          </w:tcPr>
          <w:p>
            <w:pPr>
              <w:spacing w:after="0"/>
              <w:rPr>
                <w:sz w:val="20"/>
                <w:szCs w:val="20"/>
                <w:color w:val="auto"/>
              </w:rPr>
            </w:pPr>
            <w:r>
              <w:rPr>
                <w:rFonts w:ascii="Courier New" w:cs="Courier New" w:eastAsia="Courier New" w:hAnsi="Courier New"/>
                <w:sz w:val="16"/>
                <w:szCs w:val="16"/>
                <w:color w:val="auto"/>
              </w:rPr>
              <w:t>Manpower Professional Services S.A.</w:t>
            </w:r>
          </w:p>
        </w:tc>
        <w:tc>
          <w:tcPr>
            <w:tcW w:w="2160" w:type="dxa"/>
            <w:vAlign w:val="bottom"/>
          </w:tcPr>
          <w:p>
            <w:pPr>
              <w:jc w:val="center"/>
              <w:ind w:left="740"/>
              <w:spacing w:after="0"/>
              <w:rPr>
                <w:sz w:val="20"/>
                <w:szCs w:val="20"/>
                <w:color w:val="auto"/>
              </w:rPr>
            </w:pPr>
            <w:r>
              <w:rPr>
                <w:rFonts w:ascii="Courier New" w:cs="Courier New" w:eastAsia="Courier New" w:hAnsi="Courier New"/>
                <w:sz w:val="16"/>
                <w:szCs w:val="16"/>
                <w:color w:val="auto"/>
                <w:w w:val="98"/>
              </w:rPr>
              <w:t>Peru</w:t>
            </w:r>
          </w:p>
        </w:tc>
      </w:tr>
      <w:tr>
        <w:trPr>
          <w:trHeight w:val="370"/>
        </w:trPr>
        <w:tc>
          <w:tcPr>
            <w:tcW w:w="5520" w:type="dxa"/>
            <w:vAlign w:val="bottom"/>
          </w:tcPr>
          <w:p>
            <w:pPr>
              <w:spacing w:after="0"/>
              <w:rPr>
                <w:sz w:val="20"/>
                <w:szCs w:val="20"/>
                <w:color w:val="auto"/>
              </w:rPr>
            </w:pPr>
            <w:r>
              <w:rPr>
                <w:rFonts w:ascii="Courier New" w:cs="Courier New" w:eastAsia="Courier New" w:hAnsi="Courier New"/>
                <w:sz w:val="16"/>
                <w:szCs w:val="16"/>
                <w:color w:val="auto"/>
              </w:rPr>
              <w:t>Manpower Outsourcing Services Inc.</w:t>
            </w:r>
          </w:p>
        </w:tc>
        <w:tc>
          <w:tcPr>
            <w:tcW w:w="2160" w:type="dxa"/>
            <w:vAlign w:val="bottom"/>
          </w:tcPr>
          <w:p>
            <w:pPr>
              <w:jc w:val="center"/>
              <w:ind w:left="840"/>
              <w:spacing w:after="0"/>
              <w:rPr>
                <w:sz w:val="20"/>
                <w:szCs w:val="20"/>
                <w:color w:val="auto"/>
              </w:rPr>
            </w:pPr>
            <w:r>
              <w:rPr>
                <w:rFonts w:ascii="Courier New" w:cs="Courier New" w:eastAsia="Courier New" w:hAnsi="Courier New"/>
                <w:sz w:val="16"/>
                <w:szCs w:val="16"/>
                <w:color w:val="auto"/>
                <w:w w:val="98"/>
              </w:rPr>
              <w:t>Philippines</w:t>
            </w:r>
          </w:p>
        </w:tc>
      </w:tr>
      <w:tr>
        <w:trPr>
          <w:trHeight w:val="370"/>
        </w:trPr>
        <w:tc>
          <w:tcPr>
            <w:tcW w:w="5520" w:type="dxa"/>
            <w:vAlign w:val="bottom"/>
          </w:tcPr>
          <w:p>
            <w:pPr>
              <w:spacing w:after="0"/>
              <w:rPr>
                <w:sz w:val="20"/>
                <w:szCs w:val="20"/>
                <w:color w:val="auto"/>
              </w:rPr>
            </w:pPr>
            <w:r>
              <w:rPr>
                <w:rFonts w:ascii="Courier New" w:cs="Courier New" w:eastAsia="Courier New" w:hAnsi="Courier New"/>
                <w:sz w:val="16"/>
                <w:szCs w:val="16"/>
                <w:color w:val="auto"/>
              </w:rPr>
              <w:t>Prime Manpower Resources Development Inc.</w:t>
            </w:r>
          </w:p>
        </w:tc>
        <w:tc>
          <w:tcPr>
            <w:tcW w:w="2160" w:type="dxa"/>
            <w:vAlign w:val="bottom"/>
          </w:tcPr>
          <w:p>
            <w:pPr>
              <w:jc w:val="center"/>
              <w:ind w:left="840"/>
              <w:spacing w:after="0"/>
              <w:rPr>
                <w:sz w:val="20"/>
                <w:szCs w:val="20"/>
                <w:color w:val="auto"/>
              </w:rPr>
            </w:pPr>
            <w:r>
              <w:rPr>
                <w:rFonts w:ascii="Courier New" w:cs="Courier New" w:eastAsia="Courier New" w:hAnsi="Courier New"/>
                <w:sz w:val="16"/>
                <w:szCs w:val="16"/>
                <w:color w:val="auto"/>
                <w:w w:val="98"/>
              </w:rPr>
              <w:t>Philippines</w:t>
            </w:r>
          </w:p>
        </w:tc>
      </w:tr>
      <w:tr>
        <w:trPr>
          <w:trHeight w:val="370"/>
        </w:trPr>
        <w:tc>
          <w:tcPr>
            <w:tcW w:w="5520" w:type="dxa"/>
            <w:vAlign w:val="bottom"/>
          </w:tcPr>
          <w:p>
            <w:pPr>
              <w:spacing w:after="0"/>
              <w:rPr>
                <w:sz w:val="20"/>
                <w:szCs w:val="20"/>
                <w:color w:val="auto"/>
              </w:rPr>
            </w:pPr>
            <w:r>
              <w:rPr>
                <w:rFonts w:ascii="Courier New" w:cs="Courier New" w:eastAsia="Courier New" w:hAnsi="Courier New"/>
                <w:sz w:val="16"/>
                <w:szCs w:val="16"/>
                <w:color w:val="auto"/>
              </w:rPr>
              <w:t>Manpower Polska</w:t>
            </w:r>
          </w:p>
        </w:tc>
        <w:tc>
          <w:tcPr>
            <w:tcW w:w="2160" w:type="dxa"/>
            <w:vAlign w:val="bottom"/>
          </w:tcPr>
          <w:p>
            <w:pPr>
              <w:jc w:val="center"/>
              <w:ind w:left="740"/>
              <w:spacing w:after="0"/>
              <w:rPr>
                <w:sz w:val="20"/>
                <w:szCs w:val="20"/>
                <w:color w:val="auto"/>
              </w:rPr>
            </w:pPr>
            <w:r>
              <w:rPr>
                <w:rFonts w:ascii="Courier New" w:cs="Courier New" w:eastAsia="Courier New" w:hAnsi="Courier New"/>
                <w:sz w:val="16"/>
                <w:szCs w:val="16"/>
                <w:color w:val="auto"/>
              </w:rPr>
              <w:t>Poland</w:t>
            </w:r>
          </w:p>
        </w:tc>
      </w:tr>
      <w:tr>
        <w:trPr>
          <w:trHeight w:val="370"/>
        </w:trPr>
        <w:tc>
          <w:tcPr>
            <w:tcW w:w="5520" w:type="dxa"/>
            <w:vAlign w:val="bottom"/>
          </w:tcPr>
          <w:p>
            <w:pPr>
              <w:spacing w:after="0"/>
              <w:rPr>
                <w:sz w:val="20"/>
                <w:szCs w:val="20"/>
                <w:color w:val="auto"/>
              </w:rPr>
            </w:pPr>
            <w:r>
              <w:rPr>
                <w:rFonts w:ascii="Courier New" w:cs="Courier New" w:eastAsia="Courier New" w:hAnsi="Courier New"/>
                <w:sz w:val="16"/>
                <w:szCs w:val="16"/>
                <w:color w:val="auto"/>
              </w:rPr>
              <w:t>Services De Personnel Du Quebec Ltee</w:t>
            </w:r>
          </w:p>
        </w:tc>
        <w:tc>
          <w:tcPr>
            <w:tcW w:w="2160" w:type="dxa"/>
            <w:vAlign w:val="bottom"/>
          </w:tcPr>
          <w:p>
            <w:pPr>
              <w:jc w:val="center"/>
              <w:ind w:left="740"/>
              <w:spacing w:after="0"/>
              <w:rPr>
                <w:sz w:val="20"/>
                <w:szCs w:val="20"/>
                <w:color w:val="auto"/>
              </w:rPr>
            </w:pPr>
            <w:r>
              <w:rPr>
                <w:rFonts w:ascii="Courier New" w:cs="Courier New" w:eastAsia="Courier New" w:hAnsi="Courier New"/>
                <w:sz w:val="16"/>
                <w:szCs w:val="16"/>
                <w:color w:val="auto"/>
              </w:rPr>
              <w:t>Quebec</w:t>
            </w:r>
          </w:p>
        </w:tc>
      </w:tr>
      <w:tr>
        <w:trPr>
          <w:trHeight w:val="370"/>
        </w:trPr>
        <w:tc>
          <w:tcPr>
            <w:tcW w:w="5520" w:type="dxa"/>
            <w:vAlign w:val="bottom"/>
          </w:tcPr>
          <w:p>
            <w:pPr>
              <w:spacing w:after="0"/>
              <w:rPr>
                <w:sz w:val="20"/>
                <w:szCs w:val="20"/>
                <w:color w:val="auto"/>
              </w:rPr>
            </w:pPr>
            <w:r>
              <w:rPr>
                <w:rFonts w:ascii="Courier New" w:cs="Courier New" w:eastAsia="Courier New" w:hAnsi="Courier New"/>
                <w:sz w:val="16"/>
                <w:szCs w:val="16"/>
                <w:color w:val="auto"/>
              </w:rPr>
              <w:t>Manpower Reunion</w:t>
            </w:r>
          </w:p>
        </w:tc>
        <w:tc>
          <w:tcPr>
            <w:tcW w:w="2160" w:type="dxa"/>
            <w:vAlign w:val="bottom"/>
          </w:tcPr>
          <w:p>
            <w:pPr>
              <w:jc w:val="center"/>
              <w:ind w:left="740"/>
              <w:spacing w:after="0"/>
              <w:rPr>
                <w:sz w:val="20"/>
                <w:szCs w:val="20"/>
                <w:color w:val="auto"/>
              </w:rPr>
            </w:pPr>
            <w:r>
              <w:rPr>
                <w:rFonts w:ascii="Courier New" w:cs="Courier New" w:eastAsia="Courier New" w:hAnsi="Courier New"/>
                <w:sz w:val="16"/>
                <w:szCs w:val="16"/>
                <w:color w:val="auto"/>
              </w:rPr>
              <w:t>Reunioun</w:t>
            </w:r>
          </w:p>
        </w:tc>
      </w:tr>
      <w:tr>
        <w:trPr>
          <w:trHeight w:val="370"/>
        </w:trPr>
        <w:tc>
          <w:tcPr>
            <w:tcW w:w="5520" w:type="dxa"/>
            <w:vAlign w:val="bottom"/>
          </w:tcPr>
          <w:p>
            <w:pPr>
              <w:spacing w:after="0"/>
              <w:rPr>
                <w:sz w:val="20"/>
                <w:szCs w:val="20"/>
                <w:color w:val="auto"/>
              </w:rPr>
            </w:pPr>
            <w:r>
              <w:rPr>
                <w:rFonts w:ascii="Courier New" w:cs="Courier New" w:eastAsia="Courier New" w:hAnsi="Courier New"/>
                <w:sz w:val="16"/>
                <w:szCs w:val="16"/>
                <w:color w:val="auto"/>
              </w:rPr>
              <w:t>Manpower Incorporated of Providence</w:t>
            </w:r>
          </w:p>
        </w:tc>
        <w:tc>
          <w:tcPr>
            <w:tcW w:w="2160" w:type="dxa"/>
            <w:vAlign w:val="bottom"/>
          </w:tcPr>
          <w:p>
            <w:pPr>
              <w:jc w:val="center"/>
              <w:ind w:left="740"/>
              <w:spacing w:after="0"/>
              <w:rPr>
                <w:sz w:val="20"/>
                <w:szCs w:val="20"/>
                <w:color w:val="auto"/>
              </w:rPr>
            </w:pPr>
            <w:r>
              <w:rPr>
                <w:rFonts w:ascii="Courier New" w:cs="Courier New" w:eastAsia="Courier New" w:hAnsi="Courier New"/>
                <w:sz w:val="16"/>
                <w:szCs w:val="16"/>
                <w:color w:val="auto"/>
                <w:w w:val="98"/>
              </w:rPr>
              <w:t>Rhode Island</w:t>
            </w:r>
          </w:p>
        </w:tc>
      </w:tr>
      <w:tr>
        <w:trPr>
          <w:trHeight w:val="370"/>
        </w:trPr>
        <w:tc>
          <w:tcPr>
            <w:tcW w:w="5520" w:type="dxa"/>
            <w:vAlign w:val="bottom"/>
          </w:tcPr>
          <w:p>
            <w:pPr>
              <w:spacing w:after="0"/>
              <w:rPr>
                <w:sz w:val="20"/>
                <w:szCs w:val="20"/>
                <w:color w:val="auto"/>
              </w:rPr>
            </w:pPr>
            <w:r>
              <w:rPr>
                <w:rFonts w:ascii="Courier New" w:cs="Courier New" w:eastAsia="Courier New" w:hAnsi="Courier New"/>
                <w:sz w:val="16"/>
                <w:szCs w:val="16"/>
                <w:color w:val="auto"/>
              </w:rPr>
              <w:t>Manpower Staffing Services (Singapore) Pte. Ltd.</w:t>
            </w:r>
          </w:p>
        </w:tc>
        <w:tc>
          <w:tcPr>
            <w:tcW w:w="2160" w:type="dxa"/>
            <w:vAlign w:val="bottom"/>
          </w:tcPr>
          <w:p>
            <w:pPr>
              <w:jc w:val="center"/>
              <w:ind w:left="840"/>
              <w:spacing w:after="0"/>
              <w:rPr>
                <w:sz w:val="20"/>
                <w:szCs w:val="20"/>
                <w:color w:val="auto"/>
              </w:rPr>
            </w:pPr>
            <w:r>
              <w:rPr>
                <w:rFonts w:ascii="Courier New" w:cs="Courier New" w:eastAsia="Courier New" w:hAnsi="Courier New"/>
                <w:sz w:val="16"/>
                <w:szCs w:val="16"/>
                <w:color w:val="auto"/>
              </w:rPr>
              <w:t>Singapore</w:t>
            </w:r>
          </w:p>
        </w:tc>
      </w:tr>
      <w:tr>
        <w:trPr>
          <w:trHeight w:val="370"/>
        </w:trPr>
        <w:tc>
          <w:tcPr>
            <w:tcW w:w="5520" w:type="dxa"/>
            <w:vAlign w:val="bottom"/>
          </w:tcPr>
          <w:p>
            <w:pPr>
              <w:spacing w:after="0"/>
              <w:rPr>
                <w:sz w:val="20"/>
                <w:szCs w:val="20"/>
                <w:color w:val="auto"/>
              </w:rPr>
            </w:pPr>
            <w:r>
              <w:rPr>
                <w:rFonts w:ascii="Courier New" w:cs="Courier New" w:eastAsia="Courier New" w:hAnsi="Courier New"/>
                <w:sz w:val="16"/>
                <w:szCs w:val="16"/>
                <w:color w:val="auto"/>
              </w:rPr>
              <w:t>Manpower (SA) PTY LTD</w:t>
            </w:r>
          </w:p>
        </w:tc>
        <w:tc>
          <w:tcPr>
            <w:tcW w:w="2160" w:type="dxa"/>
            <w:vAlign w:val="bottom"/>
          </w:tcPr>
          <w:p>
            <w:pPr>
              <w:jc w:val="center"/>
              <w:ind w:left="740"/>
              <w:spacing w:after="0"/>
              <w:rPr>
                <w:sz w:val="20"/>
                <w:szCs w:val="20"/>
                <w:color w:val="auto"/>
              </w:rPr>
            </w:pPr>
            <w:r>
              <w:rPr>
                <w:rFonts w:ascii="Courier New" w:cs="Courier New" w:eastAsia="Courier New" w:hAnsi="Courier New"/>
                <w:sz w:val="16"/>
                <w:szCs w:val="16"/>
                <w:color w:val="auto"/>
                <w:w w:val="98"/>
              </w:rPr>
              <w:t>South Africa</w:t>
            </w:r>
          </w:p>
        </w:tc>
      </w:tr>
      <w:tr>
        <w:trPr>
          <w:trHeight w:val="924"/>
        </w:trPr>
        <w:tc>
          <w:tcPr>
            <w:tcW w:w="5520" w:type="dxa"/>
            <w:vAlign w:val="bottom"/>
          </w:tcPr>
          <w:p>
            <w:pPr>
              <w:ind w:left="3740"/>
              <w:spacing w:after="0"/>
              <w:rPr>
                <w:sz w:val="20"/>
                <w:szCs w:val="20"/>
                <w:color w:val="auto"/>
              </w:rPr>
            </w:pPr>
            <w:r>
              <w:rPr>
                <w:rFonts w:ascii="Courier New" w:cs="Courier New" w:eastAsia="Courier New" w:hAnsi="Courier New"/>
                <w:sz w:val="16"/>
                <w:szCs w:val="16"/>
                <w:color w:val="auto"/>
              </w:rPr>
              <w:t>5</w:t>
            </w:r>
          </w:p>
        </w:tc>
        <w:tc>
          <w:tcPr>
            <w:tcW w:w="2160" w:type="dxa"/>
            <w:vAlign w:val="bottom"/>
          </w:tcPr>
          <w:p>
            <w:pPr>
              <w:spacing w:after="0"/>
              <w:rPr>
                <w:sz w:val="24"/>
                <w:szCs w:val="24"/>
                <w:color w:val="auto"/>
              </w:rPr>
            </w:pPr>
          </w:p>
        </w:tc>
      </w:tr>
    </w:tbl>
    <w:p>
      <w:pPr>
        <w:sectPr>
          <w:pgSz w:w="11900" w:h="16838" w:orient="portrait"/>
          <w:cols w:equalWidth="0" w:num="1">
            <w:col w:w="10219"/>
          </w:cols>
          <w:pgMar w:left="240" w:top="300" w:right="1440"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140" w:type="dxa"/>
            <w:vAlign w:val="bottom"/>
          </w:tcPr>
          <w:p>
            <w:pPr>
              <w:ind w:left="280"/>
              <w:spacing w:after="0"/>
              <w:rPr>
                <w:sz w:val="20"/>
                <w:szCs w:val="20"/>
                <w:color w:val="auto"/>
              </w:rPr>
            </w:pPr>
            <w:r>
              <w:rPr>
                <w:rFonts w:ascii="Courier New" w:cs="Courier New" w:eastAsia="Courier New" w:hAnsi="Courier New"/>
                <w:sz w:val="16"/>
                <w:szCs w:val="16"/>
                <w:color w:val="auto"/>
              </w:rPr>
              <w:t>6</w:t>
            </w:r>
          </w:p>
        </w:tc>
        <w:tc>
          <w:tcPr>
            <w:tcW w:w="2540" w:type="dxa"/>
            <w:vAlign w:val="bottom"/>
          </w:tcPr>
          <w:p>
            <w:pPr>
              <w:spacing w:after="0"/>
              <w:rPr>
                <w:sz w:val="15"/>
                <w:szCs w:val="15"/>
                <w:color w:val="auto"/>
              </w:rPr>
            </w:pPr>
          </w:p>
        </w:tc>
      </w:tr>
      <w:tr>
        <w:trPr>
          <w:trHeight w:val="739"/>
        </w:trPr>
        <w:tc>
          <w:tcPr>
            <w:tcW w:w="5140" w:type="dxa"/>
            <w:vAlign w:val="bottom"/>
          </w:tcPr>
          <w:p>
            <w:pPr>
              <w:spacing w:after="0"/>
              <w:rPr>
                <w:sz w:val="20"/>
                <w:szCs w:val="20"/>
                <w:color w:val="auto"/>
              </w:rPr>
            </w:pPr>
            <w:r>
              <w:rPr>
                <w:rFonts w:ascii="Courier New" w:cs="Courier New" w:eastAsia="Courier New" w:hAnsi="Courier New"/>
                <w:sz w:val="16"/>
                <w:szCs w:val="16"/>
                <w:color w:val="auto"/>
              </w:rPr>
              <w:t>Link Externalizacion de Servicios S.L.</w:t>
            </w:r>
          </w:p>
        </w:tc>
        <w:tc>
          <w:tcPr>
            <w:tcW w:w="2540" w:type="dxa"/>
            <w:vAlign w:val="bottom"/>
          </w:tcPr>
          <w:p>
            <w:pPr>
              <w:jc w:val="center"/>
              <w:ind w:left="1220"/>
              <w:spacing w:after="0"/>
              <w:rPr>
                <w:sz w:val="20"/>
                <w:szCs w:val="20"/>
                <w:color w:val="auto"/>
              </w:rPr>
            </w:pPr>
            <w:r>
              <w:rPr>
                <w:rFonts w:ascii="Courier New" w:cs="Courier New" w:eastAsia="Courier New" w:hAnsi="Courier New"/>
                <w:sz w:val="16"/>
                <w:szCs w:val="16"/>
                <w:color w:val="auto"/>
                <w:w w:val="99"/>
              </w:rPr>
              <w:t>Spain</w:t>
            </w:r>
          </w:p>
        </w:tc>
      </w:tr>
      <w:tr>
        <w:trPr>
          <w:trHeight w:val="370"/>
        </w:trPr>
        <w:tc>
          <w:tcPr>
            <w:tcW w:w="5140" w:type="dxa"/>
            <w:vAlign w:val="bottom"/>
          </w:tcPr>
          <w:p>
            <w:pPr>
              <w:spacing w:after="0"/>
              <w:rPr>
                <w:sz w:val="20"/>
                <w:szCs w:val="20"/>
                <w:color w:val="auto"/>
              </w:rPr>
            </w:pPr>
            <w:r>
              <w:rPr>
                <w:rFonts w:ascii="Courier New" w:cs="Courier New" w:eastAsia="Courier New" w:hAnsi="Courier New"/>
                <w:sz w:val="16"/>
                <w:szCs w:val="16"/>
                <w:color w:val="auto"/>
              </w:rPr>
              <w:t>Manpower Team E.T.T., S.A.</w:t>
            </w:r>
          </w:p>
        </w:tc>
        <w:tc>
          <w:tcPr>
            <w:tcW w:w="2540" w:type="dxa"/>
            <w:vAlign w:val="bottom"/>
          </w:tcPr>
          <w:p>
            <w:pPr>
              <w:jc w:val="center"/>
              <w:ind w:left="1220"/>
              <w:spacing w:after="0"/>
              <w:rPr>
                <w:sz w:val="20"/>
                <w:szCs w:val="20"/>
                <w:color w:val="auto"/>
              </w:rPr>
            </w:pPr>
            <w:r>
              <w:rPr>
                <w:rFonts w:ascii="Courier New" w:cs="Courier New" w:eastAsia="Courier New" w:hAnsi="Courier New"/>
                <w:sz w:val="16"/>
                <w:szCs w:val="16"/>
                <w:color w:val="auto"/>
                <w:w w:val="99"/>
              </w:rPr>
              <w:t>Spain</w:t>
            </w:r>
          </w:p>
        </w:tc>
      </w:tr>
      <w:tr>
        <w:trPr>
          <w:trHeight w:val="370"/>
        </w:trPr>
        <w:tc>
          <w:tcPr>
            <w:tcW w:w="5140" w:type="dxa"/>
            <w:vAlign w:val="bottom"/>
          </w:tcPr>
          <w:p>
            <w:pPr>
              <w:spacing w:after="0"/>
              <w:rPr>
                <w:sz w:val="20"/>
                <w:szCs w:val="20"/>
                <w:color w:val="auto"/>
              </w:rPr>
            </w:pPr>
            <w:r>
              <w:rPr>
                <w:rFonts w:ascii="Courier New" w:cs="Courier New" w:eastAsia="Courier New" w:hAnsi="Courier New"/>
                <w:sz w:val="16"/>
                <w:szCs w:val="16"/>
                <w:color w:val="auto"/>
              </w:rPr>
              <w:t>Bohin &amp; Stromberg Chefsrekrytering AB</w:t>
            </w:r>
          </w:p>
        </w:tc>
        <w:tc>
          <w:tcPr>
            <w:tcW w:w="2540" w:type="dxa"/>
            <w:vAlign w:val="bottom"/>
          </w:tcPr>
          <w:p>
            <w:pPr>
              <w:jc w:val="center"/>
              <w:ind w:left="1120"/>
              <w:spacing w:after="0"/>
              <w:rPr>
                <w:sz w:val="20"/>
                <w:szCs w:val="20"/>
                <w:color w:val="auto"/>
              </w:rPr>
            </w:pPr>
            <w:r>
              <w:rPr>
                <w:rFonts w:ascii="Courier New" w:cs="Courier New" w:eastAsia="Courier New" w:hAnsi="Courier New"/>
                <w:sz w:val="16"/>
                <w:szCs w:val="16"/>
                <w:color w:val="auto"/>
              </w:rPr>
              <w:t>Sweden</w:t>
            </w:r>
          </w:p>
        </w:tc>
      </w:tr>
      <w:tr>
        <w:trPr>
          <w:trHeight w:val="370"/>
        </w:trPr>
        <w:tc>
          <w:tcPr>
            <w:tcW w:w="5140" w:type="dxa"/>
            <w:vAlign w:val="bottom"/>
          </w:tcPr>
          <w:p>
            <w:pPr>
              <w:spacing w:after="0"/>
              <w:rPr>
                <w:sz w:val="20"/>
                <w:szCs w:val="20"/>
                <w:color w:val="auto"/>
              </w:rPr>
            </w:pPr>
            <w:r>
              <w:rPr>
                <w:rFonts w:ascii="Courier New" w:cs="Courier New" w:eastAsia="Courier New" w:hAnsi="Courier New"/>
                <w:sz w:val="16"/>
                <w:szCs w:val="16"/>
                <w:color w:val="auto"/>
              </w:rPr>
              <w:t>Empowergroup AB</w:t>
            </w:r>
          </w:p>
        </w:tc>
        <w:tc>
          <w:tcPr>
            <w:tcW w:w="2540" w:type="dxa"/>
            <w:vAlign w:val="bottom"/>
          </w:tcPr>
          <w:p>
            <w:pPr>
              <w:jc w:val="center"/>
              <w:ind w:left="1120"/>
              <w:spacing w:after="0"/>
              <w:rPr>
                <w:sz w:val="20"/>
                <w:szCs w:val="20"/>
                <w:color w:val="auto"/>
              </w:rPr>
            </w:pPr>
            <w:r>
              <w:rPr>
                <w:rFonts w:ascii="Courier New" w:cs="Courier New" w:eastAsia="Courier New" w:hAnsi="Courier New"/>
                <w:sz w:val="16"/>
                <w:szCs w:val="16"/>
                <w:color w:val="auto"/>
              </w:rPr>
              <w:t>Sweden</w:t>
            </w:r>
          </w:p>
        </w:tc>
      </w:tr>
      <w:tr>
        <w:trPr>
          <w:trHeight w:val="370"/>
        </w:trPr>
        <w:tc>
          <w:tcPr>
            <w:tcW w:w="5140" w:type="dxa"/>
            <w:vAlign w:val="bottom"/>
          </w:tcPr>
          <w:p>
            <w:pPr>
              <w:spacing w:after="0"/>
              <w:rPr>
                <w:sz w:val="20"/>
                <w:szCs w:val="20"/>
                <w:color w:val="auto"/>
              </w:rPr>
            </w:pPr>
            <w:r>
              <w:rPr>
                <w:rFonts w:ascii="Courier New" w:cs="Courier New" w:eastAsia="Courier New" w:hAnsi="Courier New"/>
                <w:sz w:val="16"/>
                <w:szCs w:val="16"/>
                <w:color w:val="auto"/>
              </w:rPr>
              <w:t>GrowPower AB</w:t>
            </w:r>
          </w:p>
        </w:tc>
        <w:tc>
          <w:tcPr>
            <w:tcW w:w="2540" w:type="dxa"/>
            <w:vAlign w:val="bottom"/>
          </w:tcPr>
          <w:p>
            <w:pPr>
              <w:jc w:val="center"/>
              <w:ind w:left="1120"/>
              <w:spacing w:after="0"/>
              <w:rPr>
                <w:sz w:val="20"/>
                <w:szCs w:val="20"/>
                <w:color w:val="auto"/>
              </w:rPr>
            </w:pPr>
            <w:r>
              <w:rPr>
                <w:rFonts w:ascii="Courier New" w:cs="Courier New" w:eastAsia="Courier New" w:hAnsi="Courier New"/>
                <w:sz w:val="16"/>
                <w:szCs w:val="16"/>
                <w:color w:val="auto"/>
              </w:rPr>
              <w:t>Sweden</w:t>
            </w:r>
          </w:p>
        </w:tc>
      </w:tr>
      <w:tr>
        <w:trPr>
          <w:trHeight w:val="370"/>
        </w:trPr>
        <w:tc>
          <w:tcPr>
            <w:tcW w:w="5140" w:type="dxa"/>
            <w:vAlign w:val="bottom"/>
          </w:tcPr>
          <w:p>
            <w:pPr>
              <w:spacing w:after="0"/>
              <w:rPr>
                <w:sz w:val="20"/>
                <w:szCs w:val="20"/>
                <w:color w:val="auto"/>
              </w:rPr>
            </w:pPr>
            <w:r>
              <w:rPr>
                <w:rFonts w:ascii="Courier New" w:cs="Courier New" w:eastAsia="Courier New" w:hAnsi="Courier New"/>
                <w:sz w:val="16"/>
                <w:szCs w:val="16"/>
                <w:color w:val="auto"/>
              </w:rPr>
              <w:t>JKW Servicenter AB</w:t>
            </w:r>
          </w:p>
        </w:tc>
        <w:tc>
          <w:tcPr>
            <w:tcW w:w="2540" w:type="dxa"/>
            <w:vAlign w:val="bottom"/>
          </w:tcPr>
          <w:p>
            <w:pPr>
              <w:jc w:val="center"/>
              <w:ind w:left="1120"/>
              <w:spacing w:after="0"/>
              <w:rPr>
                <w:sz w:val="20"/>
                <w:szCs w:val="20"/>
                <w:color w:val="auto"/>
              </w:rPr>
            </w:pPr>
            <w:r>
              <w:rPr>
                <w:rFonts w:ascii="Courier New" w:cs="Courier New" w:eastAsia="Courier New" w:hAnsi="Courier New"/>
                <w:sz w:val="16"/>
                <w:szCs w:val="16"/>
                <w:color w:val="auto"/>
              </w:rPr>
              <w:t>Sweden</w:t>
            </w:r>
          </w:p>
        </w:tc>
      </w:tr>
      <w:tr>
        <w:trPr>
          <w:trHeight w:val="370"/>
        </w:trPr>
        <w:tc>
          <w:tcPr>
            <w:tcW w:w="5140" w:type="dxa"/>
            <w:vAlign w:val="bottom"/>
          </w:tcPr>
          <w:p>
            <w:pPr>
              <w:spacing w:after="0"/>
              <w:rPr>
                <w:sz w:val="20"/>
                <w:szCs w:val="20"/>
                <w:color w:val="auto"/>
              </w:rPr>
            </w:pPr>
            <w:r>
              <w:rPr>
                <w:rFonts w:ascii="Courier New" w:cs="Courier New" w:eastAsia="Courier New" w:hAnsi="Courier New"/>
                <w:sz w:val="16"/>
                <w:szCs w:val="16"/>
                <w:color w:val="auto"/>
              </w:rPr>
              <w:t>Manpower AB</w:t>
            </w:r>
          </w:p>
        </w:tc>
        <w:tc>
          <w:tcPr>
            <w:tcW w:w="2540" w:type="dxa"/>
            <w:vAlign w:val="bottom"/>
          </w:tcPr>
          <w:p>
            <w:pPr>
              <w:jc w:val="center"/>
              <w:ind w:left="1120"/>
              <w:spacing w:after="0"/>
              <w:rPr>
                <w:sz w:val="20"/>
                <w:szCs w:val="20"/>
                <w:color w:val="auto"/>
              </w:rPr>
            </w:pPr>
            <w:r>
              <w:rPr>
                <w:rFonts w:ascii="Courier New" w:cs="Courier New" w:eastAsia="Courier New" w:hAnsi="Courier New"/>
                <w:sz w:val="16"/>
                <w:szCs w:val="16"/>
                <w:color w:val="auto"/>
              </w:rPr>
              <w:t>Sweden</w:t>
            </w:r>
          </w:p>
        </w:tc>
      </w:tr>
      <w:tr>
        <w:trPr>
          <w:trHeight w:val="370"/>
        </w:trPr>
        <w:tc>
          <w:tcPr>
            <w:tcW w:w="5140" w:type="dxa"/>
            <w:vAlign w:val="bottom"/>
          </w:tcPr>
          <w:p>
            <w:pPr>
              <w:spacing w:after="0"/>
              <w:rPr>
                <w:sz w:val="20"/>
                <w:szCs w:val="20"/>
                <w:color w:val="auto"/>
              </w:rPr>
            </w:pPr>
            <w:r>
              <w:rPr>
                <w:rFonts w:ascii="Courier New" w:cs="Courier New" w:eastAsia="Courier New" w:hAnsi="Courier New"/>
                <w:sz w:val="16"/>
                <w:szCs w:val="16"/>
                <w:color w:val="auto"/>
              </w:rPr>
              <w:t>Manpower Industriprojekt AB</w:t>
            </w:r>
          </w:p>
        </w:tc>
        <w:tc>
          <w:tcPr>
            <w:tcW w:w="2540" w:type="dxa"/>
            <w:vAlign w:val="bottom"/>
          </w:tcPr>
          <w:p>
            <w:pPr>
              <w:jc w:val="center"/>
              <w:ind w:left="1120"/>
              <w:spacing w:after="0"/>
              <w:rPr>
                <w:sz w:val="20"/>
                <w:szCs w:val="20"/>
                <w:color w:val="auto"/>
              </w:rPr>
            </w:pPr>
            <w:r>
              <w:rPr>
                <w:rFonts w:ascii="Courier New" w:cs="Courier New" w:eastAsia="Courier New" w:hAnsi="Courier New"/>
                <w:sz w:val="16"/>
                <w:szCs w:val="16"/>
                <w:color w:val="auto"/>
              </w:rPr>
              <w:t>Sweden</w:t>
            </w:r>
          </w:p>
        </w:tc>
      </w:tr>
      <w:tr>
        <w:trPr>
          <w:trHeight w:val="370"/>
        </w:trPr>
        <w:tc>
          <w:tcPr>
            <w:tcW w:w="5140" w:type="dxa"/>
            <w:vAlign w:val="bottom"/>
          </w:tcPr>
          <w:p>
            <w:pPr>
              <w:spacing w:after="0"/>
              <w:rPr>
                <w:sz w:val="20"/>
                <w:szCs w:val="20"/>
                <w:color w:val="auto"/>
              </w:rPr>
            </w:pPr>
            <w:r>
              <w:rPr>
                <w:rFonts w:ascii="Courier New" w:cs="Courier New" w:eastAsia="Courier New" w:hAnsi="Courier New"/>
                <w:sz w:val="16"/>
                <w:szCs w:val="16"/>
                <w:color w:val="auto"/>
              </w:rPr>
              <w:t>Manpower KB</w:t>
            </w:r>
          </w:p>
        </w:tc>
        <w:tc>
          <w:tcPr>
            <w:tcW w:w="2540" w:type="dxa"/>
            <w:vAlign w:val="bottom"/>
          </w:tcPr>
          <w:p>
            <w:pPr>
              <w:jc w:val="center"/>
              <w:ind w:left="1120"/>
              <w:spacing w:after="0"/>
              <w:rPr>
                <w:sz w:val="20"/>
                <w:szCs w:val="20"/>
                <w:color w:val="auto"/>
              </w:rPr>
            </w:pPr>
            <w:r>
              <w:rPr>
                <w:rFonts w:ascii="Courier New" w:cs="Courier New" w:eastAsia="Courier New" w:hAnsi="Courier New"/>
                <w:sz w:val="16"/>
                <w:szCs w:val="16"/>
                <w:color w:val="auto"/>
              </w:rPr>
              <w:t>Sweden</w:t>
            </w:r>
          </w:p>
        </w:tc>
      </w:tr>
      <w:tr>
        <w:trPr>
          <w:trHeight w:val="370"/>
        </w:trPr>
        <w:tc>
          <w:tcPr>
            <w:tcW w:w="5140" w:type="dxa"/>
            <w:vAlign w:val="bottom"/>
          </w:tcPr>
          <w:p>
            <w:pPr>
              <w:spacing w:after="0"/>
              <w:rPr>
                <w:sz w:val="20"/>
                <w:szCs w:val="20"/>
                <w:color w:val="auto"/>
              </w:rPr>
            </w:pPr>
            <w:r>
              <w:rPr>
                <w:rFonts w:ascii="Courier New" w:cs="Courier New" w:eastAsia="Courier New" w:hAnsi="Courier New"/>
                <w:sz w:val="16"/>
                <w:szCs w:val="16"/>
                <w:color w:val="auto"/>
              </w:rPr>
              <w:t>Manpower Outsourcing AB</w:t>
            </w:r>
          </w:p>
        </w:tc>
        <w:tc>
          <w:tcPr>
            <w:tcW w:w="2540" w:type="dxa"/>
            <w:vAlign w:val="bottom"/>
          </w:tcPr>
          <w:p>
            <w:pPr>
              <w:jc w:val="center"/>
              <w:ind w:left="1120"/>
              <w:spacing w:after="0"/>
              <w:rPr>
                <w:sz w:val="20"/>
                <w:szCs w:val="20"/>
                <w:color w:val="auto"/>
              </w:rPr>
            </w:pPr>
            <w:r>
              <w:rPr>
                <w:rFonts w:ascii="Courier New" w:cs="Courier New" w:eastAsia="Courier New" w:hAnsi="Courier New"/>
                <w:sz w:val="16"/>
                <w:szCs w:val="16"/>
                <w:color w:val="auto"/>
              </w:rPr>
              <w:t>Sweden</w:t>
            </w:r>
          </w:p>
        </w:tc>
      </w:tr>
      <w:tr>
        <w:trPr>
          <w:trHeight w:val="370"/>
        </w:trPr>
        <w:tc>
          <w:tcPr>
            <w:tcW w:w="5140" w:type="dxa"/>
            <w:vAlign w:val="bottom"/>
          </w:tcPr>
          <w:p>
            <w:pPr>
              <w:spacing w:after="0"/>
              <w:rPr>
                <w:sz w:val="20"/>
                <w:szCs w:val="20"/>
                <w:color w:val="auto"/>
              </w:rPr>
            </w:pPr>
            <w:r>
              <w:rPr>
                <w:rFonts w:ascii="Courier New" w:cs="Courier New" w:eastAsia="Courier New" w:hAnsi="Courier New"/>
                <w:sz w:val="16"/>
                <w:szCs w:val="16"/>
                <w:color w:val="auto"/>
              </w:rPr>
              <w:t>Manpower Sverige AB</w:t>
            </w:r>
          </w:p>
        </w:tc>
        <w:tc>
          <w:tcPr>
            <w:tcW w:w="2540" w:type="dxa"/>
            <w:vAlign w:val="bottom"/>
          </w:tcPr>
          <w:p>
            <w:pPr>
              <w:jc w:val="center"/>
              <w:ind w:left="1120"/>
              <w:spacing w:after="0"/>
              <w:rPr>
                <w:sz w:val="20"/>
                <w:szCs w:val="20"/>
                <w:color w:val="auto"/>
              </w:rPr>
            </w:pPr>
            <w:r>
              <w:rPr>
                <w:rFonts w:ascii="Courier New" w:cs="Courier New" w:eastAsia="Courier New" w:hAnsi="Courier New"/>
                <w:sz w:val="16"/>
                <w:szCs w:val="16"/>
                <w:color w:val="auto"/>
              </w:rPr>
              <w:t>Sweden</w:t>
            </w:r>
          </w:p>
        </w:tc>
      </w:tr>
      <w:tr>
        <w:trPr>
          <w:trHeight w:val="370"/>
        </w:trPr>
        <w:tc>
          <w:tcPr>
            <w:tcW w:w="5140" w:type="dxa"/>
            <w:vAlign w:val="bottom"/>
          </w:tcPr>
          <w:p>
            <w:pPr>
              <w:spacing w:after="0"/>
              <w:rPr>
                <w:sz w:val="20"/>
                <w:szCs w:val="20"/>
                <w:color w:val="auto"/>
              </w:rPr>
            </w:pPr>
            <w:r>
              <w:rPr>
                <w:rFonts w:ascii="Courier New" w:cs="Courier New" w:eastAsia="Courier New" w:hAnsi="Courier New"/>
                <w:sz w:val="16"/>
                <w:szCs w:val="16"/>
                <w:color w:val="auto"/>
              </w:rPr>
              <w:t>Resurspoolen Norden AB</w:t>
            </w:r>
          </w:p>
        </w:tc>
        <w:tc>
          <w:tcPr>
            <w:tcW w:w="2540" w:type="dxa"/>
            <w:vAlign w:val="bottom"/>
          </w:tcPr>
          <w:p>
            <w:pPr>
              <w:jc w:val="center"/>
              <w:ind w:left="1120"/>
              <w:spacing w:after="0"/>
              <w:rPr>
                <w:sz w:val="20"/>
                <w:szCs w:val="20"/>
                <w:color w:val="auto"/>
              </w:rPr>
            </w:pPr>
            <w:r>
              <w:rPr>
                <w:rFonts w:ascii="Courier New" w:cs="Courier New" w:eastAsia="Courier New" w:hAnsi="Courier New"/>
                <w:sz w:val="16"/>
                <w:szCs w:val="16"/>
                <w:color w:val="auto"/>
              </w:rPr>
              <w:t>Sweden</w:t>
            </w:r>
          </w:p>
        </w:tc>
      </w:tr>
      <w:tr>
        <w:trPr>
          <w:trHeight w:val="370"/>
        </w:trPr>
        <w:tc>
          <w:tcPr>
            <w:tcW w:w="5140" w:type="dxa"/>
            <w:vAlign w:val="bottom"/>
          </w:tcPr>
          <w:p>
            <w:pPr>
              <w:spacing w:after="0"/>
              <w:rPr>
                <w:sz w:val="20"/>
                <w:szCs w:val="20"/>
                <w:color w:val="auto"/>
              </w:rPr>
            </w:pPr>
            <w:r>
              <w:rPr>
                <w:rFonts w:ascii="Courier New" w:cs="Courier New" w:eastAsia="Courier New" w:hAnsi="Courier New"/>
                <w:sz w:val="16"/>
                <w:szCs w:val="16"/>
                <w:color w:val="auto"/>
              </w:rPr>
              <w:t>Allegra Finanz AG</w:t>
            </w:r>
          </w:p>
        </w:tc>
        <w:tc>
          <w:tcPr>
            <w:tcW w:w="2540" w:type="dxa"/>
            <w:vAlign w:val="bottom"/>
          </w:tcPr>
          <w:p>
            <w:pPr>
              <w:jc w:val="center"/>
              <w:ind w:left="1220"/>
              <w:spacing w:after="0"/>
              <w:rPr>
                <w:sz w:val="20"/>
                <w:szCs w:val="20"/>
                <w:color w:val="auto"/>
              </w:rPr>
            </w:pPr>
            <w:r>
              <w:rPr>
                <w:rFonts w:ascii="Courier New" w:cs="Courier New" w:eastAsia="Courier New" w:hAnsi="Courier New"/>
                <w:sz w:val="16"/>
                <w:szCs w:val="16"/>
                <w:color w:val="auto"/>
                <w:w w:val="98"/>
              </w:rPr>
              <w:t>Switzerland</w:t>
            </w:r>
          </w:p>
        </w:tc>
      </w:tr>
      <w:tr>
        <w:trPr>
          <w:trHeight w:val="370"/>
        </w:trPr>
        <w:tc>
          <w:tcPr>
            <w:tcW w:w="5140" w:type="dxa"/>
            <w:vAlign w:val="bottom"/>
          </w:tcPr>
          <w:p>
            <w:pPr>
              <w:spacing w:after="0"/>
              <w:rPr>
                <w:sz w:val="20"/>
                <w:szCs w:val="20"/>
                <w:color w:val="auto"/>
              </w:rPr>
            </w:pPr>
            <w:r>
              <w:rPr>
                <w:rFonts w:ascii="Courier New" w:cs="Courier New" w:eastAsia="Courier New" w:hAnsi="Courier New"/>
                <w:sz w:val="16"/>
                <w:szCs w:val="16"/>
                <w:color w:val="auto"/>
              </w:rPr>
              <w:t>Caden Corporation S.A.</w:t>
            </w:r>
          </w:p>
        </w:tc>
        <w:tc>
          <w:tcPr>
            <w:tcW w:w="2540" w:type="dxa"/>
            <w:vAlign w:val="bottom"/>
          </w:tcPr>
          <w:p>
            <w:pPr>
              <w:jc w:val="center"/>
              <w:ind w:left="1220"/>
              <w:spacing w:after="0"/>
              <w:rPr>
                <w:sz w:val="20"/>
                <w:szCs w:val="20"/>
                <w:color w:val="auto"/>
              </w:rPr>
            </w:pPr>
            <w:r>
              <w:rPr>
                <w:rFonts w:ascii="Courier New" w:cs="Courier New" w:eastAsia="Courier New" w:hAnsi="Courier New"/>
                <w:sz w:val="16"/>
                <w:szCs w:val="16"/>
                <w:color w:val="auto"/>
                <w:w w:val="98"/>
              </w:rPr>
              <w:t>Switzerland</w:t>
            </w:r>
          </w:p>
        </w:tc>
      </w:tr>
      <w:tr>
        <w:trPr>
          <w:trHeight w:val="370"/>
        </w:trPr>
        <w:tc>
          <w:tcPr>
            <w:tcW w:w="5140" w:type="dxa"/>
            <w:vAlign w:val="bottom"/>
          </w:tcPr>
          <w:p>
            <w:pPr>
              <w:spacing w:after="0"/>
              <w:rPr>
                <w:sz w:val="20"/>
                <w:szCs w:val="20"/>
                <w:color w:val="auto"/>
              </w:rPr>
            </w:pPr>
            <w:r>
              <w:rPr>
                <w:rFonts w:ascii="Courier New" w:cs="Courier New" w:eastAsia="Courier New" w:hAnsi="Courier New"/>
                <w:sz w:val="16"/>
                <w:szCs w:val="16"/>
                <w:color w:val="auto"/>
              </w:rPr>
              <w:t>M.S.A.</w:t>
            </w:r>
          </w:p>
        </w:tc>
        <w:tc>
          <w:tcPr>
            <w:tcW w:w="2540" w:type="dxa"/>
            <w:vAlign w:val="bottom"/>
          </w:tcPr>
          <w:p>
            <w:pPr>
              <w:jc w:val="center"/>
              <w:ind w:left="1220"/>
              <w:spacing w:after="0"/>
              <w:rPr>
                <w:sz w:val="20"/>
                <w:szCs w:val="20"/>
                <w:color w:val="auto"/>
              </w:rPr>
            </w:pPr>
            <w:r>
              <w:rPr>
                <w:rFonts w:ascii="Courier New" w:cs="Courier New" w:eastAsia="Courier New" w:hAnsi="Courier New"/>
                <w:sz w:val="16"/>
                <w:szCs w:val="16"/>
                <w:color w:val="auto"/>
                <w:w w:val="98"/>
              </w:rPr>
              <w:t>Switzerland</w:t>
            </w:r>
          </w:p>
        </w:tc>
      </w:tr>
      <w:tr>
        <w:trPr>
          <w:trHeight w:val="370"/>
        </w:trPr>
        <w:tc>
          <w:tcPr>
            <w:tcW w:w="5140" w:type="dxa"/>
            <w:vAlign w:val="bottom"/>
          </w:tcPr>
          <w:p>
            <w:pPr>
              <w:spacing w:after="0"/>
              <w:rPr>
                <w:sz w:val="20"/>
                <w:szCs w:val="20"/>
                <w:color w:val="auto"/>
              </w:rPr>
            </w:pPr>
            <w:r>
              <w:rPr>
                <w:rFonts w:ascii="Courier New" w:cs="Courier New" w:eastAsia="Courier New" w:hAnsi="Courier New"/>
                <w:sz w:val="16"/>
                <w:szCs w:val="16"/>
                <w:color w:val="auto"/>
              </w:rPr>
              <w:t>Manpower AG</w:t>
            </w:r>
          </w:p>
        </w:tc>
        <w:tc>
          <w:tcPr>
            <w:tcW w:w="2540" w:type="dxa"/>
            <w:vAlign w:val="bottom"/>
          </w:tcPr>
          <w:p>
            <w:pPr>
              <w:jc w:val="center"/>
              <w:ind w:left="1220"/>
              <w:spacing w:after="0"/>
              <w:rPr>
                <w:sz w:val="20"/>
                <w:szCs w:val="20"/>
                <w:color w:val="auto"/>
              </w:rPr>
            </w:pPr>
            <w:r>
              <w:rPr>
                <w:rFonts w:ascii="Courier New" w:cs="Courier New" w:eastAsia="Courier New" w:hAnsi="Courier New"/>
                <w:sz w:val="16"/>
                <w:szCs w:val="16"/>
                <w:color w:val="auto"/>
                <w:w w:val="98"/>
              </w:rPr>
              <w:t>Switzerland</w:t>
            </w:r>
          </w:p>
        </w:tc>
      </w:tr>
      <w:tr>
        <w:trPr>
          <w:trHeight w:val="370"/>
        </w:trPr>
        <w:tc>
          <w:tcPr>
            <w:tcW w:w="5140" w:type="dxa"/>
            <w:vAlign w:val="bottom"/>
          </w:tcPr>
          <w:p>
            <w:pPr>
              <w:spacing w:after="0"/>
              <w:rPr>
                <w:sz w:val="20"/>
                <w:szCs w:val="20"/>
                <w:color w:val="auto"/>
              </w:rPr>
            </w:pPr>
            <w:r>
              <w:rPr>
                <w:rFonts w:ascii="Courier New" w:cs="Courier New" w:eastAsia="Courier New" w:hAnsi="Courier New"/>
                <w:sz w:val="16"/>
                <w:szCs w:val="16"/>
                <w:color w:val="auto"/>
              </w:rPr>
              <w:t>Manpower Holding AG</w:t>
            </w:r>
          </w:p>
        </w:tc>
        <w:tc>
          <w:tcPr>
            <w:tcW w:w="2540" w:type="dxa"/>
            <w:vAlign w:val="bottom"/>
          </w:tcPr>
          <w:p>
            <w:pPr>
              <w:jc w:val="center"/>
              <w:ind w:left="1220"/>
              <w:spacing w:after="0"/>
              <w:rPr>
                <w:sz w:val="20"/>
                <w:szCs w:val="20"/>
                <w:color w:val="auto"/>
              </w:rPr>
            </w:pPr>
            <w:r>
              <w:rPr>
                <w:rFonts w:ascii="Courier New" w:cs="Courier New" w:eastAsia="Courier New" w:hAnsi="Courier New"/>
                <w:sz w:val="16"/>
                <w:szCs w:val="16"/>
                <w:color w:val="auto"/>
                <w:w w:val="98"/>
              </w:rPr>
              <w:t>Switzerland</w:t>
            </w:r>
          </w:p>
        </w:tc>
      </w:tr>
      <w:tr>
        <w:trPr>
          <w:trHeight w:val="370"/>
        </w:trPr>
        <w:tc>
          <w:tcPr>
            <w:tcW w:w="5140" w:type="dxa"/>
            <w:vAlign w:val="bottom"/>
          </w:tcPr>
          <w:p>
            <w:pPr>
              <w:spacing w:after="0"/>
              <w:rPr>
                <w:sz w:val="20"/>
                <w:szCs w:val="20"/>
                <w:color w:val="auto"/>
              </w:rPr>
            </w:pPr>
            <w:r>
              <w:rPr>
                <w:rFonts w:ascii="Courier New" w:cs="Courier New" w:eastAsia="Courier New" w:hAnsi="Courier New"/>
                <w:sz w:val="16"/>
                <w:szCs w:val="16"/>
                <w:color w:val="auto"/>
              </w:rPr>
              <w:t>Manpower HR Management S.A.</w:t>
            </w:r>
          </w:p>
        </w:tc>
        <w:tc>
          <w:tcPr>
            <w:tcW w:w="2540" w:type="dxa"/>
            <w:vAlign w:val="bottom"/>
          </w:tcPr>
          <w:p>
            <w:pPr>
              <w:jc w:val="center"/>
              <w:ind w:left="1220"/>
              <w:spacing w:after="0"/>
              <w:rPr>
                <w:sz w:val="20"/>
                <w:szCs w:val="20"/>
                <w:color w:val="auto"/>
              </w:rPr>
            </w:pPr>
            <w:r>
              <w:rPr>
                <w:rFonts w:ascii="Courier New" w:cs="Courier New" w:eastAsia="Courier New" w:hAnsi="Courier New"/>
                <w:sz w:val="16"/>
                <w:szCs w:val="16"/>
                <w:color w:val="auto"/>
                <w:w w:val="98"/>
              </w:rPr>
              <w:t>Switzerland</w:t>
            </w:r>
          </w:p>
        </w:tc>
      </w:tr>
      <w:tr>
        <w:trPr>
          <w:trHeight w:val="370"/>
        </w:trPr>
        <w:tc>
          <w:tcPr>
            <w:tcW w:w="5140" w:type="dxa"/>
            <w:vAlign w:val="bottom"/>
          </w:tcPr>
          <w:p>
            <w:pPr>
              <w:spacing w:after="0"/>
              <w:rPr>
                <w:sz w:val="20"/>
                <w:szCs w:val="20"/>
                <w:color w:val="auto"/>
              </w:rPr>
            </w:pPr>
            <w:r>
              <w:rPr>
                <w:rFonts w:ascii="Courier New" w:cs="Courier New" w:eastAsia="Courier New" w:hAnsi="Courier New"/>
                <w:sz w:val="16"/>
                <w:szCs w:val="16"/>
                <w:color w:val="auto"/>
              </w:rPr>
              <w:t>Worklink AG</w:t>
            </w:r>
          </w:p>
        </w:tc>
        <w:tc>
          <w:tcPr>
            <w:tcW w:w="2540" w:type="dxa"/>
            <w:vAlign w:val="bottom"/>
          </w:tcPr>
          <w:p>
            <w:pPr>
              <w:jc w:val="center"/>
              <w:ind w:left="1220"/>
              <w:spacing w:after="0"/>
              <w:rPr>
                <w:sz w:val="20"/>
                <w:szCs w:val="20"/>
                <w:color w:val="auto"/>
              </w:rPr>
            </w:pPr>
            <w:r>
              <w:rPr>
                <w:rFonts w:ascii="Courier New" w:cs="Courier New" w:eastAsia="Courier New" w:hAnsi="Courier New"/>
                <w:sz w:val="16"/>
                <w:szCs w:val="16"/>
                <w:color w:val="auto"/>
                <w:w w:val="98"/>
              </w:rPr>
              <w:t>Switzerland</w:t>
            </w:r>
          </w:p>
        </w:tc>
      </w:tr>
      <w:tr>
        <w:trPr>
          <w:trHeight w:val="370"/>
        </w:trPr>
        <w:tc>
          <w:tcPr>
            <w:tcW w:w="5140" w:type="dxa"/>
            <w:vAlign w:val="bottom"/>
          </w:tcPr>
          <w:p>
            <w:pPr>
              <w:spacing w:after="0"/>
              <w:rPr>
                <w:sz w:val="20"/>
                <w:szCs w:val="20"/>
                <w:color w:val="auto"/>
              </w:rPr>
            </w:pPr>
            <w:r>
              <w:rPr>
                <w:rFonts w:ascii="Courier New" w:cs="Courier New" w:eastAsia="Courier New" w:hAnsi="Courier New"/>
                <w:sz w:val="16"/>
                <w:szCs w:val="16"/>
                <w:color w:val="auto"/>
              </w:rPr>
              <w:t>Manpower Services (Taiwan) Co., Ltd.</w:t>
            </w:r>
          </w:p>
        </w:tc>
        <w:tc>
          <w:tcPr>
            <w:tcW w:w="2540" w:type="dxa"/>
            <w:vAlign w:val="bottom"/>
          </w:tcPr>
          <w:p>
            <w:pPr>
              <w:jc w:val="center"/>
              <w:ind w:left="1120"/>
              <w:spacing w:after="0"/>
              <w:rPr>
                <w:sz w:val="20"/>
                <w:szCs w:val="20"/>
                <w:color w:val="auto"/>
              </w:rPr>
            </w:pPr>
            <w:r>
              <w:rPr>
                <w:rFonts w:ascii="Courier New" w:cs="Courier New" w:eastAsia="Courier New" w:hAnsi="Courier New"/>
                <w:sz w:val="16"/>
                <w:szCs w:val="16"/>
                <w:color w:val="auto"/>
              </w:rPr>
              <w:t>Taiwan</w:t>
            </w:r>
          </w:p>
        </w:tc>
      </w:tr>
      <w:tr>
        <w:trPr>
          <w:trHeight w:val="370"/>
        </w:trPr>
        <w:tc>
          <w:tcPr>
            <w:tcW w:w="5140" w:type="dxa"/>
            <w:vAlign w:val="bottom"/>
          </w:tcPr>
          <w:p>
            <w:pPr>
              <w:spacing w:after="0"/>
              <w:rPr>
                <w:sz w:val="20"/>
                <w:szCs w:val="20"/>
                <w:color w:val="auto"/>
              </w:rPr>
            </w:pPr>
            <w:r>
              <w:rPr>
                <w:rFonts w:ascii="Courier New" w:cs="Courier New" w:eastAsia="Courier New" w:hAnsi="Courier New"/>
                <w:sz w:val="16"/>
                <w:szCs w:val="16"/>
                <w:color w:val="auto"/>
              </w:rPr>
              <w:t>HR Staffing LLC</w:t>
            </w:r>
          </w:p>
        </w:tc>
        <w:tc>
          <w:tcPr>
            <w:tcW w:w="2540" w:type="dxa"/>
            <w:vAlign w:val="bottom"/>
          </w:tcPr>
          <w:p>
            <w:pPr>
              <w:jc w:val="center"/>
              <w:ind w:left="1220"/>
              <w:spacing w:after="0"/>
              <w:rPr>
                <w:sz w:val="20"/>
                <w:szCs w:val="20"/>
                <w:color w:val="auto"/>
              </w:rPr>
            </w:pPr>
            <w:r>
              <w:rPr>
                <w:rFonts w:ascii="Courier New" w:cs="Courier New" w:eastAsia="Courier New" w:hAnsi="Courier New"/>
                <w:sz w:val="16"/>
                <w:szCs w:val="16"/>
                <w:color w:val="auto"/>
                <w:w w:val="99"/>
              </w:rPr>
              <w:t>Texas</w:t>
            </w:r>
          </w:p>
        </w:tc>
      </w:tr>
      <w:tr>
        <w:trPr>
          <w:trHeight w:val="370"/>
        </w:trPr>
        <w:tc>
          <w:tcPr>
            <w:tcW w:w="5140" w:type="dxa"/>
            <w:vAlign w:val="bottom"/>
          </w:tcPr>
          <w:p>
            <w:pPr>
              <w:spacing w:after="0"/>
              <w:rPr>
                <w:sz w:val="20"/>
                <w:szCs w:val="20"/>
                <w:color w:val="auto"/>
              </w:rPr>
            </w:pPr>
            <w:r>
              <w:rPr>
                <w:rFonts w:ascii="Courier New" w:cs="Courier New" w:eastAsia="Courier New" w:hAnsi="Courier New"/>
                <w:sz w:val="16"/>
                <w:szCs w:val="16"/>
                <w:color w:val="auto"/>
              </w:rPr>
              <w:t>Manpower Surawongse Recruitment Co., Ltd.</w:t>
            </w:r>
          </w:p>
        </w:tc>
        <w:tc>
          <w:tcPr>
            <w:tcW w:w="2540" w:type="dxa"/>
            <w:vAlign w:val="bottom"/>
          </w:tcPr>
          <w:p>
            <w:pPr>
              <w:jc w:val="center"/>
              <w:ind w:left="1120"/>
              <w:spacing w:after="0"/>
              <w:rPr>
                <w:sz w:val="20"/>
                <w:szCs w:val="20"/>
                <w:color w:val="auto"/>
              </w:rPr>
            </w:pPr>
            <w:r>
              <w:rPr>
                <w:rFonts w:ascii="Courier New" w:cs="Courier New" w:eastAsia="Courier New" w:hAnsi="Courier New"/>
                <w:sz w:val="16"/>
                <w:szCs w:val="16"/>
                <w:color w:val="auto"/>
              </w:rPr>
              <w:t>Thailand</w:t>
            </w:r>
          </w:p>
        </w:tc>
      </w:tr>
      <w:tr>
        <w:trPr>
          <w:trHeight w:val="370"/>
        </w:trPr>
        <w:tc>
          <w:tcPr>
            <w:tcW w:w="5140" w:type="dxa"/>
            <w:vAlign w:val="bottom"/>
          </w:tcPr>
          <w:p>
            <w:pPr>
              <w:spacing w:after="0"/>
              <w:rPr>
                <w:sz w:val="20"/>
                <w:szCs w:val="20"/>
                <w:color w:val="auto"/>
              </w:rPr>
            </w:pPr>
            <w:r>
              <w:rPr>
                <w:rFonts w:ascii="Courier New" w:cs="Courier New" w:eastAsia="Courier New" w:hAnsi="Courier New"/>
                <w:sz w:val="16"/>
                <w:szCs w:val="16"/>
                <w:color w:val="auto"/>
              </w:rPr>
              <w:t>Skillpower Services (Thailand) Co., Ltd.</w:t>
            </w:r>
          </w:p>
        </w:tc>
        <w:tc>
          <w:tcPr>
            <w:tcW w:w="2540" w:type="dxa"/>
            <w:vAlign w:val="bottom"/>
          </w:tcPr>
          <w:p>
            <w:pPr>
              <w:jc w:val="center"/>
              <w:ind w:left="1120"/>
              <w:spacing w:after="0"/>
              <w:rPr>
                <w:sz w:val="20"/>
                <w:szCs w:val="20"/>
                <w:color w:val="auto"/>
              </w:rPr>
            </w:pPr>
            <w:r>
              <w:rPr>
                <w:rFonts w:ascii="Courier New" w:cs="Courier New" w:eastAsia="Courier New" w:hAnsi="Courier New"/>
                <w:sz w:val="16"/>
                <w:szCs w:val="16"/>
                <w:color w:val="auto"/>
              </w:rPr>
              <w:t>Thailand</w:t>
            </w:r>
          </w:p>
        </w:tc>
      </w:tr>
      <w:tr>
        <w:trPr>
          <w:trHeight w:val="370"/>
        </w:trPr>
        <w:tc>
          <w:tcPr>
            <w:tcW w:w="5140" w:type="dxa"/>
            <w:vAlign w:val="bottom"/>
          </w:tcPr>
          <w:p>
            <w:pPr>
              <w:spacing w:after="0"/>
              <w:rPr>
                <w:sz w:val="20"/>
                <w:szCs w:val="20"/>
                <w:color w:val="auto"/>
              </w:rPr>
            </w:pPr>
            <w:r>
              <w:rPr>
                <w:rFonts w:ascii="Courier New" w:cs="Courier New" w:eastAsia="Courier New" w:hAnsi="Courier New"/>
                <w:sz w:val="16"/>
                <w:szCs w:val="16"/>
                <w:color w:val="auto"/>
              </w:rPr>
              <w:t>Manpower Tunisie</w:t>
            </w:r>
          </w:p>
        </w:tc>
        <w:tc>
          <w:tcPr>
            <w:tcW w:w="2540" w:type="dxa"/>
            <w:vAlign w:val="bottom"/>
          </w:tcPr>
          <w:p>
            <w:pPr>
              <w:jc w:val="center"/>
              <w:ind w:left="1220"/>
              <w:spacing w:after="0"/>
              <w:rPr>
                <w:sz w:val="20"/>
                <w:szCs w:val="20"/>
                <w:color w:val="auto"/>
              </w:rPr>
            </w:pPr>
            <w:r>
              <w:rPr>
                <w:rFonts w:ascii="Courier New" w:cs="Courier New" w:eastAsia="Courier New" w:hAnsi="Courier New"/>
                <w:sz w:val="16"/>
                <w:szCs w:val="16"/>
                <w:color w:val="auto"/>
              </w:rPr>
              <w:t>Tunisia</w:t>
            </w:r>
          </w:p>
        </w:tc>
      </w:tr>
      <w:tr>
        <w:trPr>
          <w:trHeight w:val="370"/>
        </w:trPr>
        <w:tc>
          <w:tcPr>
            <w:tcW w:w="5140" w:type="dxa"/>
            <w:vAlign w:val="bottom"/>
          </w:tcPr>
          <w:p>
            <w:pPr>
              <w:spacing w:after="0"/>
              <w:rPr>
                <w:sz w:val="20"/>
                <w:szCs w:val="20"/>
                <w:color w:val="auto"/>
              </w:rPr>
            </w:pPr>
            <w:r>
              <w:rPr>
                <w:rFonts w:ascii="Courier New" w:cs="Courier New" w:eastAsia="Courier New" w:hAnsi="Courier New"/>
                <w:sz w:val="16"/>
                <w:szCs w:val="16"/>
                <w:color w:val="auto"/>
              </w:rPr>
              <w:t>Bafin (UK) Limited (Inactive)</w:t>
            </w:r>
          </w:p>
        </w:tc>
        <w:tc>
          <w:tcPr>
            <w:tcW w:w="2540" w:type="dxa"/>
            <w:vAlign w:val="bottom"/>
          </w:tcPr>
          <w:p>
            <w:pPr>
              <w:jc w:val="center"/>
              <w:ind w:left="1120"/>
              <w:spacing w:after="0"/>
              <w:rPr>
                <w:sz w:val="20"/>
                <w:szCs w:val="20"/>
                <w:color w:val="auto"/>
              </w:rPr>
            </w:pPr>
            <w:r>
              <w:rPr>
                <w:rFonts w:ascii="Courier New" w:cs="Courier New" w:eastAsia="Courier New" w:hAnsi="Courier New"/>
                <w:sz w:val="16"/>
                <w:szCs w:val="16"/>
                <w:color w:val="auto"/>
                <w:w w:val="99"/>
              </w:rPr>
              <w:t>United Kingdom</w:t>
            </w:r>
          </w:p>
        </w:tc>
      </w:tr>
      <w:tr>
        <w:trPr>
          <w:trHeight w:val="370"/>
        </w:trPr>
        <w:tc>
          <w:tcPr>
            <w:tcW w:w="5140" w:type="dxa"/>
            <w:vAlign w:val="bottom"/>
          </w:tcPr>
          <w:p>
            <w:pPr>
              <w:spacing w:after="0"/>
              <w:rPr>
                <w:sz w:val="20"/>
                <w:szCs w:val="20"/>
                <w:color w:val="auto"/>
              </w:rPr>
            </w:pPr>
            <w:r>
              <w:rPr>
                <w:rFonts w:ascii="Courier New" w:cs="Courier New" w:eastAsia="Courier New" w:hAnsi="Courier New"/>
                <w:sz w:val="16"/>
                <w:szCs w:val="16"/>
                <w:color w:val="auto"/>
              </w:rPr>
              <w:t>Bafin Holdings</w:t>
            </w:r>
          </w:p>
        </w:tc>
        <w:tc>
          <w:tcPr>
            <w:tcW w:w="2540" w:type="dxa"/>
            <w:vAlign w:val="bottom"/>
          </w:tcPr>
          <w:p>
            <w:pPr>
              <w:jc w:val="center"/>
              <w:ind w:left="1120"/>
              <w:spacing w:after="0"/>
              <w:rPr>
                <w:sz w:val="20"/>
                <w:szCs w:val="20"/>
                <w:color w:val="auto"/>
              </w:rPr>
            </w:pPr>
            <w:r>
              <w:rPr>
                <w:rFonts w:ascii="Courier New" w:cs="Courier New" w:eastAsia="Courier New" w:hAnsi="Courier New"/>
                <w:sz w:val="16"/>
                <w:szCs w:val="16"/>
                <w:color w:val="auto"/>
                <w:w w:val="99"/>
              </w:rPr>
              <w:t>United Kingdom</w:t>
            </w:r>
          </w:p>
        </w:tc>
      </w:tr>
      <w:tr>
        <w:trPr>
          <w:trHeight w:val="370"/>
        </w:trPr>
        <w:tc>
          <w:tcPr>
            <w:tcW w:w="5140" w:type="dxa"/>
            <w:vAlign w:val="bottom"/>
          </w:tcPr>
          <w:p>
            <w:pPr>
              <w:spacing w:after="0"/>
              <w:rPr>
                <w:sz w:val="20"/>
                <w:szCs w:val="20"/>
                <w:color w:val="auto"/>
              </w:rPr>
            </w:pPr>
            <w:r>
              <w:rPr>
                <w:rFonts w:ascii="Courier New" w:cs="Courier New" w:eastAsia="Courier New" w:hAnsi="Courier New"/>
                <w:sz w:val="16"/>
                <w:szCs w:val="16"/>
                <w:color w:val="auto"/>
              </w:rPr>
              <w:t>Bafin Services Limited</w:t>
            </w:r>
          </w:p>
        </w:tc>
        <w:tc>
          <w:tcPr>
            <w:tcW w:w="2540" w:type="dxa"/>
            <w:vAlign w:val="bottom"/>
          </w:tcPr>
          <w:p>
            <w:pPr>
              <w:jc w:val="center"/>
              <w:ind w:left="1120"/>
              <w:spacing w:after="0"/>
              <w:rPr>
                <w:sz w:val="20"/>
                <w:szCs w:val="20"/>
                <w:color w:val="auto"/>
              </w:rPr>
            </w:pPr>
            <w:r>
              <w:rPr>
                <w:rFonts w:ascii="Courier New" w:cs="Courier New" w:eastAsia="Courier New" w:hAnsi="Courier New"/>
                <w:sz w:val="16"/>
                <w:szCs w:val="16"/>
                <w:color w:val="auto"/>
                <w:w w:val="99"/>
              </w:rPr>
              <w:t>United Kingdom</w:t>
            </w:r>
          </w:p>
        </w:tc>
      </w:tr>
      <w:tr>
        <w:trPr>
          <w:trHeight w:val="370"/>
        </w:trPr>
        <w:tc>
          <w:tcPr>
            <w:tcW w:w="5140" w:type="dxa"/>
            <w:vAlign w:val="bottom"/>
          </w:tcPr>
          <w:p>
            <w:pPr>
              <w:spacing w:after="0"/>
              <w:rPr>
                <w:sz w:val="20"/>
                <w:szCs w:val="20"/>
                <w:color w:val="auto"/>
              </w:rPr>
            </w:pPr>
            <w:r>
              <w:rPr>
                <w:rFonts w:ascii="Courier New" w:cs="Courier New" w:eastAsia="Courier New" w:hAnsi="Courier New"/>
                <w:sz w:val="16"/>
                <w:szCs w:val="16"/>
                <w:color w:val="auto"/>
              </w:rPr>
              <w:t>Brook Street Bureau PLC</w:t>
            </w:r>
          </w:p>
        </w:tc>
        <w:tc>
          <w:tcPr>
            <w:tcW w:w="2540" w:type="dxa"/>
            <w:vAlign w:val="bottom"/>
          </w:tcPr>
          <w:p>
            <w:pPr>
              <w:jc w:val="center"/>
              <w:ind w:left="1120"/>
              <w:spacing w:after="0"/>
              <w:rPr>
                <w:sz w:val="20"/>
                <w:szCs w:val="20"/>
                <w:color w:val="auto"/>
              </w:rPr>
            </w:pPr>
            <w:r>
              <w:rPr>
                <w:rFonts w:ascii="Courier New" w:cs="Courier New" w:eastAsia="Courier New" w:hAnsi="Courier New"/>
                <w:sz w:val="16"/>
                <w:szCs w:val="16"/>
                <w:color w:val="auto"/>
                <w:w w:val="99"/>
              </w:rPr>
              <w:t>United Kingdom</w:t>
            </w:r>
          </w:p>
        </w:tc>
      </w:tr>
      <w:tr>
        <w:trPr>
          <w:trHeight w:val="370"/>
        </w:trPr>
        <w:tc>
          <w:tcPr>
            <w:tcW w:w="5140" w:type="dxa"/>
            <w:vAlign w:val="bottom"/>
          </w:tcPr>
          <w:p>
            <w:pPr>
              <w:spacing w:after="0"/>
              <w:rPr>
                <w:sz w:val="20"/>
                <w:szCs w:val="20"/>
                <w:color w:val="auto"/>
              </w:rPr>
            </w:pPr>
            <w:r>
              <w:rPr>
                <w:rFonts w:ascii="Courier New" w:cs="Courier New" w:eastAsia="Courier New" w:hAnsi="Courier New"/>
                <w:sz w:val="16"/>
                <w:szCs w:val="16"/>
                <w:color w:val="auto"/>
              </w:rPr>
              <w:t>Brook Street ( UK) Limited</w:t>
            </w:r>
          </w:p>
        </w:tc>
        <w:tc>
          <w:tcPr>
            <w:tcW w:w="2540" w:type="dxa"/>
            <w:vAlign w:val="bottom"/>
          </w:tcPr>
          <w:p>
            <w:pPr>
              <w:jc w:val="center"/>
              <w:ind w:left="1120"/>
              <w:spacing w:after="0"/>
              <w:rPr>
                <w:sz w:val="20"/>
                <w:szCs w:val="20"/>
                <w:color w:val="auto"/>
              </w:rPr>
            </w:pPr>
            <w:r>
              <w:rPr>
                <w:rFonts w:ascii="Courier New" w:cs="Courier New" w:eastAsia="Courier New" w:hAnsi="Courier New"/>
                <w:sz w:val="16"/>
                <w:szCs w:val="16"/>
                <w:color w:val="auto"/>
                <w:w w:val="99"/>
              </w:rPr>
              <w:t>United Kingdom</w:t>
            </w:r>
          </w:p>
        </w:tc>
      </w:tr>
      <w:tr>
        <w:trPr>
          <w:trHeight w:val="739"/>
        </w:trPr>
        <w:tc>
          <w:tcPr>
            <w:tcW w:w="5140" w:type="dxa"/>
            <w:vAlign w:val="bottom"/>
          </w:tcPr>
          <w:p>
            <w:pPr>
              <w:ind w:left="3740"/>
              <w:spacing w:after="0"/>
              <w:rPr>
                <w:sz w:val="20"/>
                <w:szCs w:val="20"/>
                <w:color w:val="auto"/>
              </w:rPr>
            </w:pPr>
            <w:r>
              <w:rPr>
                <w:rFonts w:ascii="Courier New" w:cs="Courier New" w:eastAsia="Courier New" w:hAnsi="Courier New"/>
                <w:sz w:val="16"/>
                <w:szCs w:val="16"/>
                <w:color w:val="auto"/>
              </w:rPr>
              <w:t>6</w:t>
            </w:r>
          </w:p>
        </w:tc>
        <w:tc>
          <w:tcPr>
            <w:tcW w:w="2540" w:type="dxa"/>
            <w:vAlign w:val="bottom"/>
          </w:tcPr>
          <w:p>
            <w:pPr>
              <w:spacing w:after="0"/>
              <w:rPr>
                <w:sz w:val="24"/>
                <w:szCs w:val="24"/>
                <w:color w:val="auto"/>
              </w:rPr>
            </w:pPr>
          </w:p>
        </w:tc>
      </w:tr>
    </w:tbl>
    <w:p>
      <w:pPr>
        <w:sectPr>
          <w:pgSz w:w="11900" w:h="16838" w:orient="portrait"/>
          <w:cols w:equalWidth="0" w:num="1">
            <w:col w:w="10219"/>
          </w:cols>
          <w:pgMar w:left="240" w:top="300" w:right="1440" w:bottom="1440" w:gutter="0" w:footer="0" w:header="0"/>
        </w:sectPr>
      </w:pPr>
    </w:p>
    <w:bookmarkStart w:id="99" w:name="page100"/>
    <w:bookmarkEnd w:id="99"/>
    <w:p>
      <w:pPr>
        <w:ind w:left="2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0"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BS Project Services Limited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Challoners Limited (Inactive)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Services Associated Ltd.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DP Support Services Limited (Inactive)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Elan Group Limited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Elan Computing Limited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Elan Computing (Midlands) Limited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Elan Computing (Northern) Limited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Elan Computing (Scotland) Limited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Extrastaff Limited (Inactive)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Ferribush Limited (Inactive)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Girlpower Limited. (Inactive)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House of Catalyst Limited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Manpower Contract Services Limited. (Inactive)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Manpower (Hemel) Limited (Inactive)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Manpower (Ireland) Limited (Inactive)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Manpower IT Services Limited (Inactive)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Manpower Nominees Limited (Inactive)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Manpower Public Limited Company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Manpower Resources Limited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Manpower Services Ltd. (Inactive)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Manpower Strategic Services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Manpower (UK) Limited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Overdrive Limited (Inactive)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Psyconsult International Limited (Inactive)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Roco Limited (Inactive)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Salespower Limited (Inactive)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Tamar Limited (Inactive)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209" w:lineRule="exact"/>
        <w:rPr>
          <w:sz w:val="20"/>
          <w:szCs w:val="20"/>
          <w:color w:val="auto"/>
        </w:rPr>
      </w:pPr>
    </w:p>
    <w:p>
      <w:pPr>
        <w:sectPr>
          <w:pgSz w:w="11900" w:h="16838" w:orient="portrait"/>
          <w:cols w:equalWidth="0" w:num="2">
            <w:col w:w="5620" w:space="720"/>
            <w:col w:w="3879"/>
          </w:cols>
          <w:pgMar w:left="240" w:top="300" w:right="1440" w:bottom="1440" w:gutter="0" w:footer="0" w:header="0"/>
          <w:type w:val="continuous"/>
        </w:sectPr>
      </w:pPr>
    </w:p>
    <w:p>
      <w:pPr>
        <w:spacing w:after="0" w:line="35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0" w:right="1440" w:bottom="144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181"/>
        </w:trPr>
        <w:tc>
          <w:tcPr>
            <w:tcW w:w="5660" w:type="dxa"/>
            <w:vAlign w:val="bottom"/>
          </w:tcPr>
          <w:p>
            <w:pPr>
              <w:ind w:left="280"/>
              <w:spacing w:after="0"/>
              <w:rPr>
                <w:sz w:val="20"/>
                <w:szCs w:val="20"/>
                <w:color w:val="auto"/>
              </w:rPr>
            </w:pPr>
            <w:r>
              <w:rPr>
                <w:rFonts w:ascii="Courier New" w:cs="Courier New" w:eastAsia="Courier New" w:hAnsi="Courier New"/>
                <w:sz w:val="16"/>
                <w:szCs w:val="16"/>
                <w:color w:val="auto"/>
              </w:rPr>
              <w:t>8</w:t>
            </w:r>
          </w:p>
        </w:tc>
        <w:tc>
          <w:tcPr>
            <w:tcW w:w="2020" w:type="dxa"/>
            <w:vAlign w:val="bottom"/>
          </w:tcPr>
          <w:p>
            <w:pPr>
              <w:spacing w:after="0"/>
              <w:rPr>
                <w:sz w:val="15"/>
                <w:szCs w:val="15"/>
                <w:color w:val="auto"/>
              </w:rPr>
            </w:pPr>
          </w:p>
        </w:tc>
      </w:tr>
      <w:tr>
        <w:trPr>
          <w:trHeight w:val="739"/>
        </w:trPr>
        <w:tc>
          <w:tcPr>
            <w:tcW w:w="5660" w:type="dxa"/>
            <w:vAlign w:val="bottom"/>
          </w:tcPr>
          <w:p>
            <w:pPr>
              <w:spacing w:after="0"/>
              <w:rPr>
                <w:sz w:val="20"/>
                <w:szCs w:val="20"/>
                <w:color w:val="auto"/>
              </w:rPr>
            </w:pPr>
            <w:r>
              <w:rPr>
                <w:rFonts w:ascii="Courier New" w:cs="Courier New" w:eastAsia="Courier New" w:hAnsi="Courier New"/>
                <w:sz w:val="16"/>
                <w:szCs w:val="16"/>
                <w:color w:val="auto"/>
              </w:rPr>
              <w:t>Temp Finance &amp; Accounting Service Limited (Inactive)</w:t>
            </w:r>
          </w:p>
        </w:tc>
        <w:tc>
          <w:tcPr>
            <w:tcW w:w="2020" w:type="dxa"/>
            <w:vAlign w:val="bottom"/>
          </w:tcPr>
          <w:p>
            <w:pPr>
              <w:ind w:left="680"/>
              <w:spacing w:after="0"/>
              <w:rPr>
                <w:sz w:val="20"/>
                <w:szCs w:val="20"/>
                <w:color w:val="auto"/>
              </w:rPr>
            </w:pPr>
            <w:r>
              <w:rPr>
                <w:rFonts w:ascii="Courier New" w:cs="Courier New" w:eastAsia="Courier New" w:hAnsi="Courier New"/>
                <w:sz w:val="16"/>
                <w:szCs w:val="16"/>
                <w:color w:val="auto"/>
                <w:w w:val="98"/>
              </w:rPr>
              <w:t>United Kingdom</w:t>
            </w:r>
          </w:p>
        </w:tc>
      </w:tr>
      <w:tr>
        <w:trPr>
          <w:trHeight w:val="370"/>
        </w:trPr>
        <w:tc>
          <w:tcPr>
            <w:tcW w:w="5660" w:type="dxa"/>
            <w:vAlign w:val="bottom"/>
          </w:tcPr>
          <w:p>
            <w:pPr>
              <w:spacing w:after="0"/>
              <w:rPr>
                <w:sz w:val="20"/>
                <w:szCs w:val="20"/>
                <w:color w:val="auto"/>
              </w:rPr>
            </w:pPr>
            <w:r>
              <w:rPr>
                <w:rFonts w:ascii="Courier New" w:cs="Courier New" w:eastAsia="Courier New" w:hAnsi="Courier New"/>
                <w:sz w:val="16"/>
                <w:szCs w:val="16"/>
                <w:color w:val="auto"/>
              </w:rPr>
              <w:t>The Empower Group Ltd.</w:t>
            </w:r>
          </w:p>
        </w:tc>
        <w:tc>
          <w:tcPr>
            <w:tcW w:w="2020" w:type="dxa"/>
            <w:vAlign w:val="bottom"/>
          </w:tcPr>
          <w:p>
            <w:pPr>
              <w:ind w:left="680"/>
              <w:spacing w:after="0"/>
              <w:rPr>
                <w:sz w:val="20"/>
                <w:szCs w:val="20"/>
                <w:color w:val="auto"/>
              </w:rPr>
            </w:pPr>
            <w:r>
              <w:rPr>
                <w:rFonts w:ascii="Courier New" w:cs="Courier New" w:eastAsia="Courier New" w:hAnsi="Courier New"/>
                <w:sz w:val="16"/>
                <w:szCs w:val="16"/>
                <w:color w:val="auto"/>
                <w:w w:val="98"/>
              </w:rPr>
              <w:t>United Kingdom</w:t>
            </w:r>
          </w:p>
        </w:tc>
      </w:tr>
      <w:tr>
        <w:trPr>
          <w:trHeight w:val="370"/>
        </w:trPr>
        <w:tc>
          <w:tcPr>
            <w:tcW w:w="5660" w:type="dxa"/>
            <w:vAlign w:val="bottom"/>
          </w:tcPr>
          <w:p>
            <w:pPr>
              <w:spacing w:after="0"/>
              <w:rPr>
                <w:sz w:val="20"/>
                <w:szCs w:val="20"/>
                <w:color w:val="auto"/>
              </w:rPr>
            </w:pPr>
            <w:r>
              <w:rPr>
                <w:rFonts w:ascii="Courier New" w:cs="Courier New" w:eastAsia="Courier New" w:hAnsi="Courier New"/>
                <w:sz w:val="16"/>
                <w:szCs w:val="16"/>
                <w:color w:val="auto"/>
              </w:rPr>
              <w:t>Total Staff Recruitment Limited (Inactive)</w:t>
            </w:r>
          </w:p>
        </w:tc>
        <w:tc>
          <w:tcPr>
            <w:tcW w:w="2020" w:type="dxa"/>
            <w:vAlign w:val="bottom"/>
          </w:tcPr>
          <w:p>
            <w:pPr>
              <w:ind w:left="680"/>
              <w:spacing w:after="0"/>
              <w:rPr>
                <w:sz w:val="20"/>
                <w:szCs w:val="20"/>
                <w:color w:val="auto"/>
              </w:rPr>
            </w:pPr>
            <w:r>
              <w:rPr>
                <w:rFonts w:ascii="Courier New" w:cs="Courier New" w:eastAsia="Courier New" w:hAnsi="Courier New"/>
                <w:sz w:val="16"/>
                <w:szCs w:val="16"/>
                <w:color w:val="auto"/>
                <w:w w:val="98"/>
              </w:rPr>
              <w:t>United Kingdom</w:t>
            </w:r>
          </w:p>
        </w:tc>
      </w:tr>
      <w:tr>
        <w:trPr>
          <w:trHeight w:val="370"/>
        </w:trPr>
        <w:tc>
          <w:tcPr>
            <w:tcW w:w="5660" w:type="dxa"/>
            <w:vAlign w:val="bottom"/>
          </w:tcPr>
          <w:p>
            <w:pPr>
              <w:spacing w:after="0"/>
              <w:rPr>
                <w:sz w:val="20"/>
                <w:szCs w:val="20"/>
                <w:color w:val="auto"/>
              </w:rPr>
            </w:pPr>
            <w:r>
              <w:rPr>
                <w:rFonts w:ascii="Courier New" w:cs="Courier New" w:eastAsia="Courier New" w:hAnsi="Courier New"/>
                <w:sz w:val="16"/>
                <w:szCs w:val="16"/>
                <w:color w:val="auto"/>
              </w:rPr>
              <w:t>Aris Sociedad Anonima</w:t>
            </w:r>
          </w:p>
        </w:tc>
        <w:tc>
          <w:tcPr>
            <w:tcW w:w="2020" w:type="dxa"/>
            <w:vAlign w:val="bottom"/>
          </w:tcPr>
          <w:p>
            <w:pPr>
              <w:jc w:val="center"/>
              <w:ind w:left="700"/>
              <w:spacing w:after="0"/>
              <w:rPr>
                <w:sz w:val="20"/>
                <w:szCs w:val="20"/>
                <w:color w:val="auto"/>
              </w:rPr>
            </w:pPr>
            <w:r>
              <w:rPr>
                <w:rFonts w:ascii="Courier New" w:cs="Courier New" w:eastAsia="Courier New" w:hAnsi="Courier New"/>
                <w:sz w:val="16"/>
                <w:szCs w:val="16"/>
                <w:color w:val="auto"/>
              </w:rPr>
              <w:t>Uruguay</w:t>
            </w:r>
          </w:p>
        </w:tc>
      </w:tr>
      <w:tr>
        <w:trPr>
          <w:trHeight w:val="370"/>
        </w:trPr>
        <w:tc>
          <w:tcPr>
            <w:tcW w:w="5660" w:type="dxa"/>
            <w:vAlign w:val="bottom"/>
          </w:tcPr>
          <w:p>
            <w:pPr>
              <w:spacing w:after="0"/>
              <w:rPr>
                <w:sz w:val="20"/>
                <w:szCs w:val="20"/>
                <w:color w:val="auto"/>
              </w:rPr>
            </w:pPr>
            <w:r>
              <w:rPr>
                <w:rFonts w:ascii="Courier New" w:cs="Courier New" w:eastAsia="Courier New" w:hAnsi="Courier New"/>
                <w:sz w:val="16"/>
                <w:szCs w:val="16"/>
                <w:color w:val="auto"/>
              </w:rPr>
              <w:t>Manpower de Venezuela C.A.</w:t>
            </w:r>
          </w:p>
        </w:tc>
        <w:tc>
          <w:tcPr>
            <w:tcW w:w="2020" w:type="dxa"/>
            <w:vAlign w:val="bottom"/>
          </w:tcPr>
          <w:p>
            <w:pPr>
              <w:jc w:val="center"/>
              <w:ind w:left="700"/>
              <w:spacing w:after="0"/>
              <w:rPr>
                <w:sz w:val="20"/>
                <w:szCs w:val="20"/>
                <w:color w:val="auto"/>
              </w:rPr>
            </w:pPr>
            <w:r>
              <w:rPr>
                <w:rFonts w:ascii="Courier New" w:cs="Courier New" w:eastAsia="Courier New" w:hAnsi="Courier New"/>
                <w:sz w:val="16"/>
                <w:szCs w:val="16"/>
                <w:color w:val="auto"/>
              </w:rPr>
              <w:t>Venezuela</w:t>
            </w:r>
          </w:p>
        </w:tc>
      </w:tr>
      <w:tr>
        <w:trPr>
          <w:trHeight w:val="370"/>
        </w:trPr>
        <w:tc>
          <w:tcPr>
            <w:tcW w:w="5660" w:type="dxa"/>
            <w:vAlign w:val="bottom"/>
          </w:tcPr>
          <w:p>
            <w:pPr>
              <w:spacing w:after="0"/>
              <w:rPr>
                <w:sz w:val="20"/>
                <w:szCs w:val="20"/>
                <w:color w:val="auto"/>
              </w:rPr>
            </w:pPr>
            <w:r>
              <w:rPr>
                <w:rFonts w:ascii="Courier New" w:cs="Courier New" w:eastAsia="Courier New" w:hAnsi="Courier New"/>
                <w:sz w:val="16"/>
                <w:szCs w:val="16"/>
                <w:color w:val="auto"/>
              </w:rPr>
              <w:t>Manpower Holdings Inc.</w:t>
            </w:r>
          </w:p>
        </w:tc>
        <w:tc>
          <w:tcPr>
            <w:tcW w:w="2020" w:type="dxa"/>
            <w:vAlign w:val="bottom"/>
          </w:tcPr>
          <w:p>
            <w:pPr>
              <w:jc w:val="center"/>
              <w:ind w:left="700"/>
              <w:spacing w:after="0"/>
              <w:rPr>
                <w:sz w:val="20"/>
                <w:szCs w:val="20"/>
                <w:color w:val="auto"/>
              </w:rPr>
            </w:pPr>
            <w:r>
              <w:rPr>
                <w:rFonts w:ascii="Courier New" w:cs="Courier New" w:eastAsia="Courier New" w:hAnsi="Courier New"/>
                <w:sz w:val="16"/>
                <w:szCs w:val="16"/>
                <w:color w:val="auto"/>
              </w:rPr>
              <w:t>Wisconsin</w:t>
            </w:r>
          </w:p>
        </w:tc>
      </w:tr>
      <w:tr>
        <w:trPr>
          <w:trHeight w:val="370"/>
        </w:trPr>
        <w:tc>
          <w:tcPr>
            <w:tcW w:w="5660" w:type="dxa"/>
            <w:vAlign w:val="bottom"/>
          </w:tcPr>
          <w:p>
            <w:pPr>
              <w:spacing w:after="0"/>
              <w:rPr>
                <w:sz w:val="20"/>
                <w:szCs w:val="20"/>
                <w:color w:val="auto"/>
              </w:rPr>
            </w:pPr>
            <w:r>
              <w:rPr>
                <w:rFonts w:ascii="Courier New" w:cs="Courier New" w:eastAsia="Courier New" w:hAnsi="Courier New"/>
                <w:sz w:val="16"/>
                <w:szCs w:val="16"/>
                <w:color w:val="auto"/>
              </w:rPr>
              <w:t>Manpower Nominees Inc.</w:t>
            </w:r>
          </w:p>
        </w:tc>
        <w:tc>
          <w:tcPr>
            <w:tcW w:w="2020" w:type="dxa"/>
            <w:vAlign w:val="bottom"/>
          </w:tcPr>
          <w:p>
            <w:pPr>
              <w:jc w:val="center"/>
              <w:ind w:left="700"/>
              <w:spacing w:after="0"/>
              <w:rPr>
                <w:sz w:val="20"/>
                <w:szCs w:val="20"/>
                <w:color w:val="auto"/>
              </w:rPr>
            </w:pPr>
            <w:r>
              <w:rPr>
                <w:rFonts w:ascii="Courier New" w:cs="Courier New" w:eastAsia="Courier New" w:hAnsi="Courier New"/>
                <w:sz w:val="16"/>
                <w:szCs w:val="16"/>
                <w:color w:val="auto"/>
              </w:rPr>
              <w:t>Wisconsin</w:t>
            </w:r>
          </w:p>
        </w:tc>
      </w:tr>
      <w:tr>
        <w:trPr>
          <w:trHeight w:val="370"/>
        </w:trPr>
        <w:tc>
          <w:tcPr>
            <w:tcW w:w="5660" w:type="dxa"/>
            <w:vAlign w:val="bottom"/>
          </w:tcPr>
          <w:p>
            <w:pPr>
              <w:spacing w:after="0"/>
              <w:rPr>
                <w:sz w:val="20"/>
                <w:szCs w:val="20"/>
                <w:color w:val="auto"/>
              </w:rPr>
            </w:pPr>
            <w:r>
              <w:rPr>
                <w:rFonts w:ascii="Courier New" w:cs="Courier New" w:eastAsia="Courier New" w:hAnsi="Courier New"/>
                <w:sz w:val="16"/>
                <w:szCs w:val="16"/>
                <w:color w:val="auto"/>
              </w:rPr>
              <w:t>Manpower of Indiana Limited Partnership</w:t>
            </w:r>
          </w:p>
        </w:tc>
        <w:tc>
          <w:tcPr>
            <w:tcW w:w="2020" w:type="dxa"/>
            <w:vAlign w:val="bottom"/>
          </w:tcPr>
          <w:p>
            <w:pPr>
              <w:jc w:val="center"/>
              <w:ind w:left="700"/>
              <w:spacing w:after="0"/>
              <w:rPr>
                <w:sz w:val="20"/>
                <w:szCs w:val="20"/>
                <w:color w:val="auto"/>
              </w:rPr>
            </w:pPr>
            <w:r>
              <w:rPr>
                <w:rFonts w:ascii="Courier New" w:cs="Courier New" w:eastAsia="Courier New" w:hAnsi="Courier New"/>
                <w:sz w:val="16"/>
                <w:szCs w:val="16"/>
                <w:color w:val="auto"/>
              </w:rPr>
              <w:t>Wisconsin</w:t>
            </w:r>
          </w:p>
        </w:tc>
      </w:tr>
      <w:tr>
        <w:trPr>
          <w:trHeight w:val="370"/>
        </w:trPr>
        <w:tc>
          <w:tcPr>
            <w:tcW w:w="5660" w:type="dxa"/>
            <w:vAlign w:val="bottom"/>
          </w:tcPr>
          <w:p>
            <w:pPr>
              <w:spacing w:after="0"/>
              <w:rPr>
                <w:sz w:val="20"/>
                <w:szCs w:val="20"/>
                <w:color w:val="auto"/>
              </w:rPr>
            </w:pPr>
            <w:r>
              <w:rPr>
                <w:rFonts w:ascii="Courier New" w:cs="Courier New" w:eastAsia="Courier New" w:hAnsi="Courier New"/>
                <w:sz w:val="16"/>
                <w:szCs w:val="16"/>
                <w:color w:val="auto"/>
              </w:rPr>
              <w:t>Manpower of Texas Limited Partnership</w:t>
            </w:r>
          </w:p>
        </w:tc>
        <w:tc>
          <w:tcPr>
            <w:tcW w:w="2020" w:type="dxa"/>
            <w:vAlign w:val="bottom"/>
          </w:tcPr>
          <w:p>
            <w:pPr>
              <w:jc w:val="center"/>
              <w:ind w:left="700"/>
              <w:spacing w:after="0"/>
              <w:rPr>
                <w:sz w:val="20"/>
                <w:szCs w:val="20"/>
                <w:color w:val="auto"/>
              </w:rPr>
            </w:pPr>
            <w:r>
              <w:rPr>
                <w:rFonts w:ascii="Courier New" w:cs="Courier New" w:eastAsia="Courier New" w:hAnsi="Courier New"/>
                <w:sz w:val="16"/>
                <w:szCs w:val="16"/>
                <w:color w:val="auto"/>
              </w:rPr>
              <w:t>Wisconsin</w:t>
            </w:r>
          </w:p>
        </w:tc>
      </w:tr>
      <w:tr>
        <w:trPr>
          <w:trHeight w:val="370"/>
        </w:trPr>
        <w:tc>
          <w:tcPr>
            <w:tcW w:w="5660" w:type="dxa"/>
            <w:vAlign w:val="bottom"/>
          </w:tcPr>
          <w:p>
            <w:pPr>
              <w:spacing w:after="0"/>
              <w:rPr>
                <w:sz w:val="20"/>
                <w:szCs w:val="20"/>
                <w:color w:val="auto"/>
              </w:rPr>
            </w:pPr>
            <w:r>
              <w:rPr>
                <w:rFonts w:ascii="Courier New" w:cs="Courier New" w:eastAsia="Courier New" w:hAnsi="Courier New"/>
                <w:sz w:val="16"/>
                <w:szCs w:val="16"/>
                <w:color w:val="auto"/>
              </w:rPr>
              <w:t>Manpower Professional Services Inc.</w:t>
            </w:r>
          </w:p>
        </w:tc>
        <w:tc>
          <w:tcPr>
            <w:tcW w:w="2020" w:type="dxa"/>
            <w:vAlign w:val="bottom"/>
          </w:tcPr>
          <w:p>
            <w:pPr>
              <w:jc w:val="center"/>
              <w:ind w:left="700"/>
              <w:spacing w:after="0"/>
              <w:rPr>
                <w:sz w:val="20"/>
                <w:szCs w:val="20"/>
                <w:color w:val="auto"/>
              </w:rPr>
            </w:pPr>
            <w:r>
              <w:rPr>
                <w:rFonts w:ascii="Courier New" w:cs="Courier New" w:eastAsia="Courier New" w:hAnsi="Courier New"/>
                <w:sz w:val="16"/>
                <w:szCs w:val="16"/>
                <w:color w:val="auto"/>
              </w:rPr>
              <w:t>Wisconsin</w:t>
            </w:r>
          </w:p>
        </w:tc>
      </w:tr>
      <w:tr>
        <w:trPr>
          <w:trHeight w:val="370"/>
        </w:trPr>
        <w:tc>
          <w:tcPr>
            <w:tcW w:w="5660" w:type="dxa"/>
            <w:vAlign w:val="bottom"/>
          </w:tcPr>
          <w:p>
            <w:pPr>
              <w:spacing w:after="0"/>
              <w:rPr>
                <w:sz w:val="20"/>
                <w:szCs w:val="20"/>
                <w:color w:val="auto"/>
              </w:rPr>
            </w:pPr>
            <w:r>
              <w:rPr>
                <w:rFonts w:ascii="Courier New" w:cs="Courier New" w:eastAsia="Courier New" w:hAnsi="Courier New"/>
                <w:sz w:val="16"/>
                <w:szCs w:val="16"/>
                <w:color w:val="auto"/>
              </w:rPr>
              <w:t>Manpower Professional Staffing Services Inc.</w:t>
            </w:r>
          </w:p>
        </w:tc>
        <w:tc>
          <w:tcPr>
            <w:tcW w:w="2020" w:type="dxa"/>
            <w:vAlign w:val="bottom"/>
          </w:tcPr>
          <w:p>
            <w:pPr>
              <w:jc w:val="center"/>
              <w:ind w:left="700"/>
              <w:spacing w:after="0"/>
              <w:rPr>
                <w:sz w:val="20"/>
                <w:szCs w:val="20"/>
                <w:color w:val="auto"/>
              </w:rPr>
            </w:pPr>
            <w:r>
              <w:rPr>
                <w:rFonts w:ascii="Courier New" w:cs="Courier New" w:eastAsia="Courier New" w:hAnsi="Courier New"/>
                <w:sz w:val="16"/>
                <w:szCs w:val="16"/>
                <w:color w:val="auto"/>
              </w:rPr>
              <w:t>Wisconsin</w:t>
            </w:r>
          </w:p>
        </w:tc>
      </w:tr>
      <w:tr>
        <w:trPr>
          <w:trHeight w:val="370"/>
        </w:trPr>
        <w:tc>
          <w:tcPr>
            <w:tcW w:w="5660" w:type="dxa"/>
            <w:vAlign w:val="bottom"/>
          </w:tcPr>
          <w:p>
            <w:pPr>
              <w:spacing w:after="0"/>
              <w:rPr>
                <w:sz w:val="20"/>
                <w:szCs w:val="20"/>
                <w:color w:val="auto"/>
              </w:rPr>
            </w:pPr>
            <w:r>
              <w:rPr>
                <w:rFonts w:ascii="Courier New" w:cs="Courier New" w:eastAsia="Courier New" w:hAnsi="Courier New"/>
                <w:sz w:val="16"/>
                <w:szCs w:val="16"/>
                <w:color w:val="auto"/>
              </w:rPr>
              <w:t>Manpower Texas Holdings LLC</w:t>
            </w:r>
          </w:p>
        </w:tc>
        <w:tc>
          <w:tcPr>
            <w:tcW w:w="2020" w:type="dxa"/>
            <w:vAlign w:val="bottom"/>
          </w:tcPr>
          <w:p>
            <w:pPr>
              <w:jc w:val="center"/>
              <w:ind w:left="700"/>
              <w:spacing w:after="0"/>
              <w:rPr>
                <w:sz w:val="20"/>
                <w:szCs w:val="20"/>
                <w:color w:val="auto"/>
              </w:rPr>
            </w:pPr>
            <w:r>
              <w:rPr>
                <w:rFonts w:ascii="Courier New" w:cs="Courier New" w:eastAsia="Courier New" w:hAnsi="Courier New"/>
                <w:sz w:val="16"/>
                <w:szCs w:val="16"/>
                <w:color w:val="auto"/>
              </w:rPr>
              <w:t>Wisconsin</w:t>
            </w:r>
          </w:p>
        </w:tc>
      </w:tr>
      <w:tr>
        <w:trPr>
          <w:trHeight w:val="370"/>
        </w:trPr>
        <w:tc>
          <w:tcPr>
            <w:tcW w:w="5660" w:type="dxa"/>
            <w:vAlign w:val="bottom"/>
          </w:tcPr>
          <w:p>
            <w:pPr>
              <w:spacing w:after="0"/>
              <w:rPr>
                <w:sz w:val="20"/>
                <w:szCs w:val="20"/>
                <w:color w:val="auto"/>
              </w:rPr>
            </w:pPr>
            <w:r>
              <w:rPr>
                <w:rFonts w:ascii="Courier New" w:cs="Courier New" w:eastAsia="Courier New" w:hAnsi="Courier New"/>
                <w:sz w:val="16"/>
                <w:szCs w:val="16"/>
                <w:color w:val="auto"/>
              </w:rPr>
              <w:t>North Avenue Commerce Center LLC</w:t>
            </w:r>
          </w:p>
        </w:tc>
        <w:tc>
          <w:tcPr>
            <w:tcW w:w="2020" w:type="dxa"/>
            <w:vAlign w:val="bottom"/>
          </w:tcPr>
          <w:p>
            <w:pPr>
              <w:jc w:val="center"/>
              <w:ind w:left="700"/>
              <w:spacing w:after="0"/>
              <w:rPr>
                <w:sz w:val="20"/>
                <w:szCs w:val="20"/>
                <w:color w:val="auto"/>
              </w:rPr>
            </w:pPr>
            <w:r>
              <w:rPr>
                <w:rFonts w:ascii="Courier New" w:cs="Courier New" w:eastAsia="Courier New" w:hAnsi="Courier New"/>
                <w:sz w:val="16"/>
                <w:szCs w:val="16"/>
                <w:color w:val="auto"/>
              </w:rPr>
              <w:t>Wisconsin</w:t>
            </w:r>
          </w:p>
        </w:tc>
      </w:tr>
      <w:tr>
        <w:trPr>
          <w:trHeight w:val="370"/>
        </w:trPr>
        <w:tc>
          <w:tcPr>
            <w:tcW w:w="5660" w:type="dxa"/>
            <w:vAlign w:val="bottom"/>
          </w:tcPr>
          <w:p>
            <w:pPr>
              <w:spacing w:after="0"/>
              <w:rPr>
                <w:sz w:val="20"/>
                <w:szCs w:val="20"/>
                <w:color w:val="auto"/>
              </w:rPr>
            </w:pPr>
            <w:r>
              <w:rPr>
                <w:rFonts w:ascii="Courier New" w:cs="Courier New" w:eastAsia="Courier New" w:hAnsi="Courier New"/>
                <w:sz w:val="16"/>
                <w:szCs w:val="16"/>
                <w:color w:val="auto"/>
              </w:rPr>
              <w:t>North Avenue Commerce Center Phase II LLC</w:t>
            </w:r>
          </w:p>
        </w:tc>
        <w:tc>
          <w:tcPr>
            <w:tcW w:w="2020" w:type="dxa"/>
            <w:vAlign w:val="bottom"/>
          </w:tcPr>
          <w:p>
            <w:pPr>
              <w:jc w:val="center"/>
              <w:ind w:left="700"/>
              <w:spacing w:after="0"/>
              <w:rPr>
                <w:sz w:val="20"/>
                <w:szCs w:val="20"/>
                <w:color w:val="auto"/>
              </w:rPr>
            </w:pPr>
            <w:r>
              <w:rPr>
                <w:rFonts w:ascii="Courier New" w:cs="Courier New" w:eastAsia="Courier New" w:hAnsi="Courier New"/>
                <w:sz w:val="16"/>
                <w:szCs w:val="16"/>
                <w:color w:val="auto"/>
              </w:rPr>
              <w:t>Wisconsin</w:t>
            </w:r>
          </w:p>
        </w:tc>
      </w:tr>
      <w:tr>
        <w:trPr>
          <w:trHeight w:val="370"/>
        </w:trPr>
        <w:tc>
          <w:tcPr>
            <w:tcW w:w="5660" w:type="dxa"/>
            <w:vAlign w:val="bottom"/>
          </w:tcPr>
          <w:p>
            <w:pPr>
              <w:spacing w:after="0"/>
              <w:rPr>
                <w:sz w:val="20"/>
                <w:szCs w:val="20"/>
                <w:color w:val="auto"/>
              </w:rPr>
            </w:pPr>
            <w:r>
              <w:rPr>
                <w:rFonts w:ascii="Courier New" w:cs="Courier New" w:eastAsia="Courier New" w:hAnsi="Courier New"/>
                <w:sz w:val="16"/>
                <w:szCs w:val="16"/>
                <w:color w:val="auto"/>
              </w:rPr>
              <w:t>Signature Graphics of Milwaukee, Inc.</w:t>
            </w:r>
          </w:p>
        </w:tc>
        <w:tc>
          <w:tcPr>
            <w:tcW w:w="2020" w:type="dxa"/>
            <w:vAlign w:val="bottom"/>
          </w:tcPr>
          <w:p>
            <w:pPr>
              <w:jc w:val="center"/>
              <w:ind w:left="700"/>
              <w:spacing w:after="0"/>
              <w:rPr>
                <w:sz w:val="20"/>
                <w:szCs w:val="20"/>
                <w:color w:val="auto"/>
              </w:rPr>
            </w:pPr>
            <w:r>
              <w:rPr>
                <w:rFonts w:ascii="Courier New" w:cs="Courier New" w:eastAsia="Courier New" w:hAnsi="Courier New"/>
                <w:sz w:val="16"/>
                <w:szCs w:val="16"/>
                <w:color w:val="auto"/>
              </w:rPr>
              <w:t>Wisconsin</w:t>
            </w:r>
          </w:p>
        </w:tc>
      </w:tr>
      <w:tr>
        <w:trPr>
          <w:trHeight w:val="924"/>
        </w:trPr>
        <w:tc>
          <w:tcPr>
            <w:tcW w:w="5660" w:type="dxa"/>
            <w:vAlign w:val="bottom"/>
          </w:tcPr>
          <w:p>
            <w:pPr>
              <w:ind w:left="3740"/>
              <w:spacing w:after="0"/>
              <w:rPr>
                <w:sz w:val="20"/>
                <w:szCs w:val="20"/>
                <w:color w:val="auto"/>
              </w:rPr>
            </w:pPr>
            <w:r>
              <w:rPr>
                <w:rFonts w:ascii="Courier New" w:cs="Courier New" w:eastAsia="Courier New" w:hAnsi="Courier New"/>
                <w:sz w:val="16"/>
                <w:szCs w:val="16"/>
                <w:color w:val="auto"/>
              </w:rPr>
              <w:t>8</w:t>
            </w:r>
          </w:p>
        </w:tc>
        <w:tc>
          <w:tcPr>
            <w:tcW w:w="2020" w:type="dxa"/>
            <w:vAlign w:val="bottom"/>
          </w:tcPr>
          <w:p>
            <w:pPr>
              <w:spacing w:after="0"/>
              <w:rPr>
                <w:sz w:val="24"/>
                <w:szCs w:val="24"/>
                <w:color w:val="auto"/>
              </w:rPr>
            </w:pPr>
          </w:p>
        </w:tc>
      </w:tr>
    </w:tbl>
    <w:p>
      <w:pPr>
        <w:sectPr>
          <w:pgSz w:w="11900" w:h="16838" w:orient="portrait"/>
          <w:cols w:equalWidth="0" w:num="1">
            <w:col w:w="10219"/>
          </w:cols>
          <w:pgMar w:left="240" w:top="300" w:right="1440" w:bottom="1440" w:gutter="0" w:footer="0" w:header="0"/>
        </w:sectPr>
      </w:pPr>
    </w:p>
    <w:bookmarkStart w:id="101" w:name="page102"/>
    <w:bookmarkEnd w:id="101"/>
    <w:p>
      <w:pPr>
        <w:ind w:left="28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24</w:t>
      </w:r>
    </w:p>
    <w:p>
      <w:pPr>
        <w:spacing w:after="0" w:line="373"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POWER OF ATTORNEY FOR ANNUAL REPORT ON FORM 10-K</w:t>
      </w:r>
    </w:p>
    <w:p>
      <w:pPr>
        <w:spacing w:after="0" w:line="375"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Each of the undersigned directors of Manpower Inc. (the "Company") hereby constitutes and appoints Jeffrey A. Joerres and Michael J. Van Handel, and each of them, the undersigned's true and lawful attorney-in-fact and agent, with full power of substitution and resubstitution, for the undersigned and in the undersigned's name, place and stead, in any and all capacities, to sign for the undersigned and in the undersigned's name in the capacity as a director of the Company the Annual Report on Form 10-K for the Company's fiscal year ended December 31, 2000,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193" w:lineRule="exact"/>
        <w:rPr>
          <w:sz w:val="20"/>
          <w:szCs w:val="20"/>
          <w:color w:val="auto"/>
        </w:rPr>
      </w:pPr>
    </w:p>
    <w:p>
      <w:pPr>
        <w:ind w:right="2639" w:firstLine="576"/>
        <w:spacing w:after="0" w:line="243" w:lineRule="auto"/>
        <w:rPr>
          <w:sz w:val="20"/>
          <w:szCs w:val="20"/>
          <w:color w:val="auto"/>
        </w:rPr>
      </w:pPr>
      <w:r>
        <w:rPr>
          <w:rFonts w:ascii="Courier New" w:cs="Courier New" w:eastAsia="Courier New" w:hAnsi="Courier New"/>
          <w:sz w:val="16"/>
          <w:szCs w:val="16"/>
          <w:color w:val="auto"/>
        </w:rPr>
        <w:t>IN WITNESS WHEREOF, the undersigned have each executed this Power of Attorney for Annual Report on Form 10-K, on one or more counterparts, this 23rd day of March, 2001.</w:t>
      </w:r>
    </w:p>
    <w:p>
      <w:pPr>
        <w:sectPr>
          <w:pgSz w:w="11900" w:h="16838" w:orient="portrait"/>
          <w:cols w:equalWidth="0" w:num="1">
            <w:col w:w="10219"/>
          </w:cols>
          <w:pgMar w:left="240" w:top="140"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 John R. Walter</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John R. Walter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Dudley J. Godfrey,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Dudley J. Godfrey, Jr.</w:t>
      </w:r>
    </w:p>
    <w:p>
      <w:pPr>
        <w:spacing w:after="0" w:line="200" w:lineRule="exact"/>
        <w:rPr>
          <w:sz w:val="20"/>
          <w:szCs w:val="20"/>
          <w:color w:val="auto"/>
        </w:rPr>
      </w:pPr>
    </w:p>
    <w:p>
      <w:pPr>
        <w:sectPr>
          <w:pgSz w:w="11900" w:h="16838" w:orient="portrait"/>
          <w:cols w:equalWidth="0" w:num="2">
            <w:col w:w="4280" w:space="720"/>
            <w:col w:w="5219"/>
          </w:cols>
          <w:pgMar w:left="240" w:top="140" w:right="1440" w:bottom="1440" w:gutter="0" w:footer="0" w:header="0"/>
          <w:type w:val="continuous"/>
        </w:sectPr>
      </w:pPr>
    </w:p>
    <w:p>
      <w:pPr>
        <w:spacing w:after="0" w:line="173"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 Jeffrey A. Joerres</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Jeffrey A. Joerres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 Ira Harris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 Ira Harris</w:t>
      </w:r>
    </w:p>
    <w:p>
      <w:pPr>
        <w:spacing w:after="0" w:line="200" w:lineRule="exact"/>
        <w:rPr>
          <w:sz w:val="20"/>
          <w:szCs w:val="20"/>
          <w:color w:val="auto"/>
        </w:rPr>
      </w:pPr>
    </w:p>
    <w:p>
      <w:pPr>
        <w:sectPr>
          <w:pgSz w:w="11900" w:h="16838" w:orient="portrait"/>
          <w:cols w:equalWidth="0" w:num="2">
            <w:col w:w="4280" w:space="720"/>
            <w:col w:w="5219"/>
          </w:cols>
          <w:pgMar w:left="240" w:top="140" w:right="1440" w:bottom="1440" w:gutter="0" w:footer="0" w:header="0"/>
          <w:type w:val="continuous"/>
        </w:sectPr>
      </w:pPr>
    </w:p>
    <w:p>
      <w:pPr>
        <w:spacing w:after="0" w:line="173"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 Marvin B. Goodman</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Marvin B. Goodman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Newton N. Minow</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Newton N. Minow</w:t>
      </w:r>
    </w:p>
    <w:p>
      <w:pPr>
        <w:spacing w:after="0" w:line="200" w:lineRule="exact"/>
        <w:rPr>
          <w:sz w:val="20"/>
          <w:szCs w:val="20"/>
          <w:color w:val="auto"/>
        </w:rPr>
      </w:pPr>
    </w:p>
    <w:p>
      <w:pPr>
        <w:sectPr>
          <w:pgSz w:w="11900" w:h="16838" w:orient="portrait"/>
          <w:cols w:equalWidth="0" w:num="2">
            <w:col w:w="4280" w:space="720"/>
            <w:col w:w="5219"/>
          </w:cols>
          <w:pgMar w:left="240" w:top="140" w:right="1440" w:bottom="1440" w:gutter="0" w:footer="0" w:header="0"/>
          <w:type w:val="continuous"/>
        </w:sectPr>
      </w:pPr>
    </w:p>
    <w:p>
      <w:pPr>
        <w:spacing w:after="0" w:line="173"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 Terry A. Hueneke</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Terry A. Hueneke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Dennis Stevenson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Dennis Stevenson</w:t>
      </w:r>
    </w:p>
    <w:p>
      <w:pPr>
        <w:spacing w:after="0" w:line="200" w:lineRule="exact"/>
        <w:rPr>
          <w:sz w:val="20"/>
          <w:szCs w:val="20"/>
          <w:color w:val="auto"/>
        </w:rPr>
      </w:pPr>
    </w:p>
    <w:p>
      <w:pPr>
        <w:sectPr>
          <w:pgSz w:w="11900" w:h="16838" w:orient="portrait"/>
          <w:cols w:equalWidth="0" w:num="2">
            <w:col w:w="4280" w:space="720"/>
            <w:col w:w="5219"/>
          </w:cols>
          <w:pgMar w:left="240" w:top="140" w:right="1440" w:bottom="1440" w:gutter="0" w:footer="0" w:header="0"/>
          <w:type w:val="continuous"/>
        </w:sectPr>
      </w:pPr>
    </w:p>
    <w:p>
      <w:pPr>
        <w:spacing w:after="0" w:line="173"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 Gilbert Palay</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Gilbert Palay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Edward J. Zore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Edward J. Zore</w:t>
      </w:r>
    </w:p>
    <w:p>
      <w:pPr>
        <w:spacing w:after="0" w:line="200" w:lineRule="exact"/>
        <w:rPr>
          <w:sz w:val="20"/>
          <w:szCs w:val="20"/>
          <w:color w:val="auto"/>
        </w:rPr>
      </w:pPr>
    </w:p>
    <w:p>
      <w:pPr>
        <w:sectPr>
          <w:pgSz w:w="11900" w:h="16838" w:orient="portrait"/>
          <w:cols w:equalWidth="0" w:num="2">
            <w:col w:w="4280" w:space="720"/>
            <w:col w:w="5219"/>
          </w:cols>
          <w:pgMar w:left="240" w:top="140" w:right="1440" w:bottom="1440" w:gutter="0" w:footer="0" w:header="0"/>
          <w:type w:val="continuous"/>
        </w:sectPr>
      </w:pPr>
    </w:p>
    <w:p>
      <w:pPr>
        <w:spacing w:after="0" w:line="173"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 Nancy Brinker</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Nancy Brinker</w:t>
      </w:r>
    </w:p>
    <w:sectPr>
      <w:pgSz w:w="11900" w:h="16838" w:orient="portrait"/>
      <w:cols w:equalWidth="0" w:num="1">
        <w:col w:w="10219"/>
      </w:cols>
      <w:pgMar w:left="240" w:top="1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upperLetter"/>
      <w:start w:val="24"/>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lowerRoman"/>
      <w:start w:val="2"/>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1)"/>
      <w:numFmt w:val="lowerLetter"/>
      <w:start w:val="1"/>
    </w:lvl>
  </w:abstractNum>
  <w:abstractNum w:abstractNumId="5">
    <w:nsid w:val="628C895D"/>
    <w:multiLevelType w:val="hybridMultilevel"/>
    <w:lvl w:ilvl="0">
      <w:lvlJc w:val="left"/>
      <w:lvlText w:val="(%1)"/>
      <w:numFmt w:val="lowerLetter"/>
      <w:start w:val="2"/>
    </w:lvl>
  </w:abstractNum>
  <w:abstractNum w:abstractNumId="6">
    <w:nsid w:val="333AB105"/>
    <w:multiLevelType w:val="hybridMultilevel"/>
    <w:lvl w:ilvl="0">
      <w:lvlJc w:val="left"/>
      <w:lvlText w:val="(%1)"/>
      <w:numFmt w:val="lowerLetter"/>
      <w:start w:val="3"/>
    </w:lvl>
  </w:abstractNum>
  <w:abstractNum w:abstractNumId="7">
    <w:nsid w:val="721DA317"/>
    <w:multiLevelType w:val="hybridMultilevel"/>
    <w:lvl w:ilvl="0">
      <w:lvlJc w:val="left"/>
      <w:lvlText w:val="%1"/>
      <w:numFmt w:val="decimal"/>
      <w:start w:val="13"/>
    </w:lvl>
  </w:abstractNum>
  <w:abstractNum w:abstractNumId="8">
    <w:nsid w:val="2443A858"/>
    <w:multiLevelType w:val="hybridMultilevel"/>
    <w:lvl w:ilvl="0">
      <w:lvlJc w:val="left"/>
      <w:lvlText w:val="**"/>
      <w:numFmt w:val="bullet"/>
      <w:start w:val="1"/>
    </w:lvl>
    <w:lvl w:ilvl="1">
      <w:lvlJc w:val="left"/>
      <w:lvlText w:val="%2"/>
      <w:numFmt w:val="decimal"/>
      <w:start w:val="23"/>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1)"/>
      <w:numFmt w:val="lowerLetter"/>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1)"/>
      <w:numFmt w:val="lowerLetter"/>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1)"/>
      <w:numFmt w:val="lowerLetter"/>
      <w:start w:val="2"/>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1)"/>
      <w:numFmt w:val="lowerLetter"/>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2019-12-20T03:33:12Z</dcterms:created>
  <dcterms:modified xsi:type="dcterms:W3CDTF">2019-12-20T03:33:12Z</dcterms:modified>
</cp:coreProperties>
</file>