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COURTOIS JEAN PHILIPPE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u w:val="single" w:color="auto"/>
                  <w:color w:val="0000EE"/>
                </w:rPr>
                <w:t>ManpowerGroup Inc.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90.18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1,941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-2945765</wp:posOffset>
            </wp:positionV>
            <wp:extent cx="7033260" cy="29883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988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2021 and will be settled in shares of ManpowerGroup common stock on a 1 for 1 basis on the earlier of January 1, 2024 or within 30 days after the reporting person's termination of service as a director, except as otherwise provided in the "Terms and Conditions" (as defined below).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2020.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3102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2021-01-05T16:25:42Z</dcterms:created>
  <dcterms:modified xsi:type="dcterms:W3CDTF">2021-01-05T16:25:42Z</dcterms:modified>
</cp:coreProperties>
</file>