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82"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October 19, 2004</w:t>
      </w:r>
    </w:p>
    <w:p>
      <w:pPr>
        <w:spacing w:after="0" w:line="26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70"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3780" w:type="dxa"/>
            <w:vAlign w:val="bottom"/>
          </w:tcPr>
          <w:p>
            <w:pPr>
              <w:jc w:val="center"/>
              <w:ind w:right="2102"/>
              <w:spacing w:after="0"/>
              <w:rPr>
                <w:sz w:val="20"/>
                <w:szCs w:val="20"/>
                <w:color w:val="auto"/>
              </w:rPr>
            </w:pPr>
            <w:r>
              <w:rPr>
                <w:rFonts w:ascii="Arial" w:cs="Arial" w:eastAsia="Arial" w:hAnsi="Arial"/>
                <w:sz w:val="18"/>
                <w:szCs w:val="18"/>
                <w:b w:val="1"/>
                <w:bCs w:val="1"/>
                <w:color w:val="auto"/>
                <w:w w:val="84"/>
              </w:rPr>
              <w:t>Wisconsin</w:t>
            </w:r>
          </w:p>
        </w:tc>
        <w:tc>
          <w:tcPr>
            <w:tcW w:w="1820" w:type="dxa"/>
            <w:vAlign w:val="bottom"/>
          </w:tcPr>
          <w:p>
            <w:pPr>
              <w:jc w:val="center"/>
              <w:ind w:right="326"/>
              <w:spacing w:after="0"/>
              <w:rPr>
                <w:sz w:val="20"/>
                <w:szCs w:val="20"/>
                <w:color w:val="auto"/>
              </w:rPr>
            </w:pPr>
            <w:r>
              <w:rPr>
                <w:rFonts w:ascii="Arial" w:cs="Arial" w:eastAsia="Arial" w:hAnsi="Arial"/>
                <w:sz w:val="18"/>
                <w:szCs w:val="18"/>
                <w:b w:val="1"/>
                <w:bCs w:val="1"/>
                <w:color w:val="auto"/>
                <w:w w:val="87"/>
              </w:rPr>
              <w:t>1-10686</w:t>
            </w:r>
          </w:p>
        </w:tc>
        <w:tc>
          <w:tcPr>
            <w:tcW w:w="2980" w:type="dxa"/>
            <w:vAlign w:val="bottom"/>
          </w:tcPr>
          <w:p>
            <w:pPr>
              <w:jc w:val="center"/>
              <w:ind w:left="1864"/>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3780" w:type="dxa"/>
            <w:vAlign w:val="bottom"/>
          </w:tcPr>
          <w:p>
            <w:pPr>
              <w:jc w:val="center"/>
              <w:ind w:right="21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1820" w:type="dxa"/>
            <w:vAlign w:val="bottom"/>
          </w:tcPr>
          <w:p>
            <w:pPr>
              <w:jc w:val="center"/>
              <w:ind w:right="3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98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780" w:type="dxa"/>
            <w:vAlign w:val="bottom"/>
          </w:tcPr>
          <w:p>
            <w:pPr>
              <w:jc w:val="center"/>
              <w:ind w:right="2102"/>
              <w:spacing w:after="0"/>
              <w:rPr>
                <w:sz w:val="20"/>
                <w:szCs w:val="20"/>
                <w:color w:val="auto"/>
              </w:rPr>
            </w:pPr>
            <w:r>
              <w:rPr>
                <w:rFonts w:ascii="Arial" w:cs="Arial" w:eastAsia="Arial" w:hAnsi="Arial"/>
                <w:sz w:val="14"/>
                <w:szCs w:val="14"/>
                <w:b w:val="1"/>
                <w:bCs w:val="1"/>
                <w:color w:val="auto"/>
                <w:w w:val="89"/>
              </w:rPr>
              <w:t>of Incorporation)</w:t>
            </w:r>
          </w:p>
        </w:tc>
        <w:tc>
          <w:tcPr>
            <w:tcW w:w="1820" w:type="dxa"/>
            <w:vAlign w:val="bottom"/>
          </w:tcPr>
          <w:p>
            <w:pPr>
              <w:jc w:val="center"/>
              <w:ind w:right="326"/>
              <w:spacing w:after="0"/>
              <w:rPr>
                <w:sz w:val="20"/>
                <w:szCs w:val="20"/>
                <w:color w:val="auto"/>
              </w:rPr>
            </w:pPr>
            <w:r>
              <w:rPr>
                <w:rFonts w:ascii="Arial" w:cs="Arial" w:eastAsia="Arial" w:hAnsi="Arial"/>
                <w:sz w:val="14"/>
                <w:szCs w:val="14"/>
                <w:b w:val="1"/>
                <w:bCs w:val="1"/>
                <w:color w:val="auto"/>
                <w:w w:val="91"/>
              </w:rPr>
              <w:t>File Number)</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87"/>
              </w:rPr>
              <w:t>Identification No.)</w:t>
            </w:r>
          </w:p>
        </w:tc>
      </w:tr>
      <w:tr>
        <w:trPr>
          <w:trHeight w:val="499"/>
        </w:trPr>
        <w:tc>
          <w:tcPr>
            <w:tcW w:w="3780" w:type="dxa"/>
            <w:vAlign w:val="bottom"/>
          </w:tcPr>
          <w:p>
            <w:pPr>
              <w:jc w:val="center"/>
              <w:ind w:left="802"/>
              <w:spacing w:after="0"/>
              <w:rPr>
                <w:sz w:val="20"/>
                <w:szCs w:val="20"/>
                <w:color w:val="auto"/>
              </w:rPr>
            </w:pPr>
            <w:r>
              <w:rPr>
                <w:rFonts w:ascii="Arial" w:cs="Arial" w:eastAsia="Arial" w:hAnsi="Arial"/>
                <w:sz w:val="18"/>
                <w:szCs w:val="18"/>
                <w:b w:val="1"/>
                <w:bCs w:val="1"/>
                <w:color w:val="auto"/>
                <w:w w:val="89"/>
              </w:rPr>
              <w:t>5301 North Ironwood Road</w:t>
            </w:r>
          </w:p>
        </w:tc>
        <w:tc>
          <w:tcPr>
            <w:tcW w:w="18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1"/>
        </w:trPr>
        <w:tc>
          <w:tcPr>
            <w:tcW w:w="3780" w:type="dxa"/>
            <w:vAlign w:val="bottom"/>
          </w:tcPr>
          <w:p>
            <w:pPr>
              <w:jc w:val="center"/>
              <w:ind w:left="802"/>
              <w:spacing w:after="0"/>
              <w:rPr>
                <w:sz w:val="20"/>
                <w:szCs w:val="20"/>
                <w:color w:val="auto"/>
              </w:rPr>
            </w:pPr>
            <w:r>
              <w:rPr>
                <w:rFonts w:ascii="Arial" w:cs="Arial" w:eastAsia="Arial" w:hAnsi="Arial"/>
                <w:sz w:val="18"/>
                <w:szCs w:val="18"/>
                <w:b w:val="1"/>
                <w:bCs w:val="1"/>
                <w:color w:val="auto"/>
                <w:w w:val="89"/>
              </w:rPr>
              <w:t>Milwaukee, Wisconsin</w:t>
            </w:r>
          </w:p>
        </w:tc>
        <w:tc>
          <w:tcPr>
            <w:tcW w:w="1820" w:type="dxa"/>
            <w:vAlign w:val="bottom"/>
          </w:tcPr>
          <w:p>
            <w:pPr>
              <w:spacing w:after="0"/>
              <w:rPr>
                <w:sz w:val="20"/>
                <w:szCs w:val="20"/>
                <w:color w:val="auto"/>
              </w:rPr>
            </w:pPr>
          </w:p>
        </w:tc>
        <w:tc>
          <w:tcPr>
            <w:tcW w:w="2980" w:type="dxa"/>
            <w:vAlign w:val="bottom"/>
          </w:tcPr>
          <w:p>
            <w:pPr>
              <w:jc w:val="right"/>
              <w:ind w:right="1644"/>
              <w:spacing w:after="0"/>
              <w:rPr>
                <w:sz w:val="20"/>
                <w:szCs w:val="20"/>
                <w:color w:val="auto"/>
              </w:rPr>
            </w:pPr>
            <w:r>
              <w:rPr>
                <w:rFonts w:ascii="Arial" w:cs="Arial" w:eastAsia="Arial" w:hAnsi="Arial"/>
                <w:sz w:val="18"/>
                <w:szCs w:val="18"/>
                <w:b w:val="1"/>
                <w:bCs w:val="1"/>
                <w:color w:val="auto"/>
              </w:rPr>
              <w:t>53217</w:t>
            </w:r>
          </w:p>
        </w:tc>
      </w:tr>
      <w:tr>
        <w:trPr>
          <w:trHeight w:val="174"/>
        </w:trPr>
        <w:tc>
          <w:tcPr>
            <w:tcW w:w="3780" w:type="dxa"/>
            <w:vAlign w:val="bottom"/>
          </w:tcPr>
          <w:p>
            <w:pPr>
              <w:jc w:val="center"/>
              <w:ind w:left="80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820" w:type="dxa"/>
            <w:vAlign w:val="bottom"/>
          </w:tcPr>
          <w:p>
            <w:pPr>
              <w:spacing w:after="0"/>
              <w:rPr>
                <w:sz w:val="15"/>
                <w:szCs w:val="15"/>
                <w:color w:val="auto"/>
              </w:rPr>
            </w:pPr>
          </w:p>
        </w:tc>
        <w:tc>
          <w:tcPr>
            <w:tcW w:w="2980" w:type="dxa"/>
            <w:vAlign w:val="bottom"/>
          </w:tcPr>
          <w:p>
            <w:pPr>
              <w:jc w:val="center"/>
              <w:ind w:right="824"/>
              <w:spacing w:after="0"/>
              <w:rPr>
                <w:sz w:val="20"/>
                <w:szCs w:val="20"/>
                <w:color w:val="auto"/>
              </w:rPr>
            </w:pPr>
            <w:r>
              <w:rPr>
                <w:rFonts w:ascii="Arial" w:cs="Arial" w:eastAsia="Arial" w:hAnsi="Arial"/>
                <w:sz w:val="14"/>
                <w:szCs w:val="14"/>
                <w:b w:val="1"/>
                <w:bCs w:val="1"/>
                <w:color w:val="auto"/>
                <w:w w:val="92"/>
              </w:rPr>
              <w:t>(Zip Code)</w:t>
            </w:r>
          </w:p>
        </w:tc>
      </w:tr>
    </w:tbl>
    <w:p>
      <w:pPr>
        <w:spacing w:after="0" w:line="276"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290195</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8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6" w:right="6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19, 2004, we issued a press release announcing our results of operations for the three and nine-month period ended September 30, 2004. A copy of the press release is attached hereto as Exhibit 99.1 and is incorporated herein by reference.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7.01 Regulation FD Disclosure</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October 19, 2004, we are making available certain operating unit results for 2004 and 2003 that identify Jefferson Wells as a separate reportable segment. Jefferson Wells was previously included in our Other Operations segment and historical amounts have been restated to conform to the current year presentation. A copy of these operating unit results is attached hereto as Exhibit 99.2 and is incorporated herein by reference.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Exhibits.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w w:val="87"/>
              </w:rPr>
              <w:t>Exhibit No.</w:t>
            </w:r>
          </w:p>
        </w:tc>
        <w:tc>
          <w:tcPr>
            <w:tcW w:w="30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r>
      <w:tr>
        <w:trPr>
          <w:trHeight w:val="309"/>
        </w:trPr>
        <w:tc>
          <w:tcPr>
            <w:tcW w:w="880" w:type="dxa"/>
            <w:vAlign w:val="bottom"/>
          </w:tcPr>
          <w:p>
            <w:pPr>
              <w:jc w:val="right"/>
              <w:ind w:right="199"/>
              <w:spacing w:after="0"/>
              <w:rPr>
                <w:sz w:val="20"/>
                <w:szCs w:val="20"/>
                <w:color w:val="auto"/>
              </w:rPr>
            </w:pPr>
            <w:r>
              <w:rPr>
                <w:rFonts w:ascii="Arial" w:cs="Arial" w:eastAsia="Arial" w:hAnsi="Arial"/>
                <w:sz w:val="18"/>
                <w:szCs w:val="18"/>
                <w:color w:val="auto"/>
              </w:rPr>
              <w:t>99.1</w:t>
            </w:r>
          </w:p>
        </w:tc>
        <w:tc>
          <w:tcPr>
            <w:tcW w:w="3040" w:type="dxa"/>
            <w:vAlign w:val="bottom"/>
            <w:gridSpan w:val="3"/>
          </w:tcPr>
          <w:p>
            <w:pPr>
              <w:ind w:left="380"/>
              <w:spacing w:after="0"/>
              <w:rPr>
                <w:sz w:val="20"/>
                <w:szCs w:val="20"/>
                <w:color w:val="auto"/>
              </w:rPr>
            </w:pPr>
            <w:r>
              <w:rPr>
                <w:rFonts w:ascii="Arial" w:cs="Arial" w:eastAsia="Arial" w:hAnsi="Arial"/>
                <w:sz w:val="18"/>
                <w:szCs w:val="18"/>
                <w:color w:val="auto"/>
                <w:w w:val="84"/>
              </w:rPr>
              <w:t>Press Release dated October 19, 2004</w:t>
            </w:r>
          </w:p>
        </w:tc>
      </w:tr>
      <w:tr>
        <w:trPr>
          <w:trHeight w:val="222"/>
        </w:trPr>
        <w:tc>
          <w:tcPr>
            <w:tcW w:w="880" w:type="dxa"/>
            <w:vAlign w:val="bottom"/>
          </w:tcPr>
          <w:p>
            <w:pPr>
              <w:jc w:val="right"/>
              <w:ind w:right="199"/>
              <w:spacing w:after="0"/>
              <w:rPr>
                <w:sz w:val="20"/>
                <w:szCs w:val="20"/>
                <w:color w:val="auto"/>
              </w:rPr>
            </w:pPr>
            <w:r>
              <w:rPr>
                <w:rFonts w:ascii="Arial" w:cs="Arial" w:eastAsia="Arial" w:hAnsi="Arial"/>
                <w:sz w:val="18"/>
                <w:szCs w:val="18"/>
                <w:color w:val="auto"/>
              </w:rPr>
              <w:t>99.2</w:t>
            </w:r>
          </w:p>
        </w:tc>
        <w:tc>
          <w:tcPr>
            <w:tcW w:w="3040" w:type="dxa"/>
            <w:vAlign w:val="bottom"/>
            <w:gridSpan w:val="3"/>
          </w:tcPr>
          <w:p>
            <w:pPr>
              <w:ind w:left="380"/>
              <w:spacing w:after="0"/>
              <w:rPr>
                <w:sz w:val="20"/>
                <w:szCs w:val="20"/>
                <w:color w:val="auto"/>
              </w:rPr>
            </w:pPr>
            <w:r>
              <w:rPr>
                <w:rFonts w:ascii="Arial" w:cs="Arial" w:eastAsia="Arial" w:hAnsi="Arial"/>
                <w:sz w:val="18"/>
                <w:szCs w:val="18"/>
                <w:color w:val="auto"/>
              </w:rPr>
              <w:t>Operating Unit Results</w:t>
            </w:r>
          </w:p>
        </w:tc>
      </w:tr>
    </w:tbl>
    <w:p>
      <w:pPr>
        <w:sectPr>
          <w:pgSz w:w="11900" w:h="16838" w:orient="portrait"/>
          <w:cols w:equalWidth="0" w:num="1">
            <w:col w:w="11060"/>
          </w:cols>
          <w:pgMar w:left="240" w:top="280" w:right="599" w:bottom="1440" w:gutter="0" w:footer="0" w:header="0"/>
        </w:sectPr>
      </w:pPr>
    </w:p>
    <w:bookmarkStart w:id="2" w:name="page3"/>
    <w:bookmarkEnd w:id="2"/>
    <w:p>
      <w:pPr>
        <w:jc w:val="center"/>
        <w:ind w:right="-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October 19, 2004</w:t>
      </w:r>
      <w:r>
        <w:rPr>
          <w:sz w:val="20"/>
          <w:szCs w:val="20"/>
          <w:color w:val="auto"/>
        </w:rPr>
        <w:tab/>
      </w:r>
      <w:r>
        <w:rPr>
          <w:rFonts w:ascii="Arial" w:cs="Arial" w:eastAsia="Arial" w:hAnsi="Arial"/>
          <w:sz w:val="16"/>
          <w:szCs w:val="16"/>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375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 and Secretary</w:t>
      </w:r>
    </w:p>
    <w:p>
      <w:pPr>
        <w:sectPr>
          <w:pgSz w:w="11900" w:h="16838" w:orient="portrait"/>
          <w:cols w:equalWidth="0" w:num="1">
            <w:col w:w="10600"/>
          </w:cols>
          <w:pgMar w:left="240" w:top="274" w:right="10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w w:val="87"/>
              </w:rPr>
              <w:t>Exhibit No.</w:t>
            </w:r>
          </w:p>
        </w:tc>
        <w:tc>
          <w:tcPr>
            <w:tcW w:w="42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r>
      <w:tr>
        <w:trPr>
          <w:trHeight w:val="309"/>
        </w:trPr>
        <w:tc>
          <w:tcPr>
            <w:tcW w:w="880" w:type="dxa"/>
            <w:vAlign w:val="bottom"/>
          </w:tcPr>
          <w:p>
            <w:pPr>
              <w:jc w:val="right"/>
              <w:ind w:right="199"/>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84"/>
              </w:rPr>
              <w:t>Press Release dated October 19, 2004</w:t>
            </w:r>
          </w:p>
        </w:tc>
      </w:tr>
      <w:tr>
        <w:trPr>
          <w:trHeight w:val="222"/>
        </w:trPr>
        <w:tc>
          <w:tcPr>
            <w:tcW w:w="880" w:type="dxa"/>
            <w:vAlign w:val="bottom"/>
          </w:tcPr>
          <w:p>
            <w:pPr>
              <w:jc w:val="right"/>
              <w:ind w:right="199"/>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Operating Unit Results</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logo]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FURTHER INFORMATION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CONTACT:</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Mike Van Handel</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(414) 906-6305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MMEDIATE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Reports 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Quarter 2004 Results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MILWAUKEE, WI, USA, October 19, 2004 – Manpower Inc. (NYSE: MAN) today reported that net income for the three months ended September 30, 2004 increased 91 percent to $83.4 million, or 89 cents per diluted share, from $43.8 million, or 56 cents per diluted share, a year earlier. Revenues for the third quarter totaled $3.9 billion, an increase of 22 percent from the year-earlier period.</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Results for the third quarter were positively affected by relatively stronger foreign currencies compared to the prior year period. On a constant currency basis, earnings per diluted share for the quarter were 85 cents on a 14 percent revenue increase. Included in the quarter was an $8 million adjustment to the income tax provision, resulting in a favorable impact on diluted earnings per share of 8 cents.</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strong third quarter profit is a result of solid performances across several geographies and business units,” said Jeffrey A. Joerres, Manpower Chairman and CEO. “We are encouraged by the sustainable progress that we are making in our staffing and specialty businesses. The strength of the business models and demand from the market continue to enhance our long-term optimism.</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“Leading the way in growth of both revenue and profit for the third quarter is Jefferson Wells, our professional financial services firm, with more than a tripling of revenue and a profit of $25.1 million. Operations in Europe are also performing well, with revenue in our EMEA segment up 20% and profit up 80%, both in constant currency.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8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Reports 3</w:t>
      </w:r>
      <w:r>
        <w:rPr>
          <w:rFonts w:ascii="Arial" w:cs="Arial" w:eastAsia="Arial" w:hAnsi="Arial"/>
          <w:sz w:val="20"/>
          <w:szCs w:val="20"/>
          <w:b w:val="1"/>
          <w:bCs w:val="1"/>
          <w:color w:val="auto"/>
          <w:vertAlign w:val="superscript"/>
        </w:rPr>
        <w:t>rd</w:t>
      </w:r>
      <w:r>
        <w:rPr>
          <w:rFonts w:ascii="Arial" w:cs="Arial" w:eastAsia="Arial" w:hAnsi="Arial"/>
          <w:sz w:val="16"/>
          <w:szCs w:val="16"/>
          <w:b w:val="1"/>
          <w:bCs w:val="1"/>
          <w:color w:val="auto"/>
        </w:rPr>
        <w:t xml:space="preserve"> Quarter 2004/Page 2</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Joerres added, “The Manpower team is executing superbly, which is driving the quarter’s results and setting the stage for positive long-term prospects.</w:t>
      </w:r>
    </w:p>
    <w:p>
      <w:pPr>
        <w:spacing w:after="0" w:line="18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we look ahead to the fourth quarter, we are anticipating our diluted earnings per share will be between 69 and 73 cents. This includes an estimated favorable impact from currency of 2 cents and dilution from our convertible debentures of 3 cents.”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income for the nine months ended September 30, 2004 totaled $176.1 million or $1.91 per diluted share, an increase of 101 percent from $87.8 million, or $1.12 per diluted share in 2003. Revenues for the nine-month period were $10.9 billion, an increase of 22% from the prior year. On a constant currency basis, earnings per diluted share for the nine-month period were $1.80 on a 13 percent revenue increase.</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previously discussed income tax adjustment of 8 cents per diluted share, the results for the nine-month period also include a first quarter non-recurring gain of $14.2 million ($10.2 million net of income taxes), or 12 cents per diluted share, primarily related to the gain on the sale of an equity interest in a European internet job board.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conjunction with its third quarter earnings release, Manpower will broadcast its conference call live over the Internet on October 19, 2004 at 8:00 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CDT (9:00 a.m. EDT). Interested parties are invited to listen by logging on to </w:t>
      </w:r>
      <w:r>
        <w:rPr>
          <w:rFonts w:ascii="Arial" w:cs="Arial" w:eastAsia="Arial" w:hAnsi="Arial"/>
          <w:sz w:val="18"/>
          <w:szCs w:val="18"/>
          <w:u w:val="single" w:color="auto"/>
          <w:color w:val="auto"/>
        </w:rPr>
        <w:t>http://investor.manpower.com</w:t>
      </w:r>
      <w:r>
        <w:rPr>
          <w:rFonts w:ascii="Arial" w:cs="Arial" w:eastAsia="Arial" w:hAnsi="Arial"/>
          <w:sz w:val="18"/>
          <w:szCs w:val="18"/>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auto"/>
        </w:rPr>
        <w:t>http://investor.manpower.com.</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 Inc.</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and organizational consulting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company operates under the brand names of Right Management Consultants, Jefferson Wells, Elan and Brook Street. More information on Manpower Inc. is available at </w:t>
      </w:r>
      <w:r>
        <w:rPr>
          <w:rFonts w:ascii="Arial" w:cs="Arial" w:eastAsia="Arial" w:hAnsi="Arial"/>
          <w:sz w:val="16"/>
          <w:szCs w:val="16"/>
          <w:u w:val="single" w:color="auto"/>
          <w:color w:val="auto"/>
        </w:rPr>
        <w:t>www.manpower.com</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Reports 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Quarter 2004/Page 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‘Forward-Looking Statements’ in its Annual Report on Form 10-K for the year ended December 31, 2003, which information is incorporated herein by reference.</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8"/>
              </w:rPr>
              <w:t>Three Months Ended September 30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3,203.2</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3,172.7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2,653.6</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19.6%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470.8</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27.7%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69.7%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34.1%</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-1373505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-1373505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-1373505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-1373505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-1373505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-1373505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-1073150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-1073150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-1073150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-1073150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-1073150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-1073150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-773430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-773430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-773430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-773430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-773430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-773430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-473075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-473075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-473075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-473075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-473075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-473075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-172720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-172720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from services include fees received from our franchise offices of $8.9 million and $6.9 million for the three months ended September 30, 2004 and 2003, respectively. These fees are primarily based on revenues generated by the franchise offices, which were $397.0 million and $314.0 million for the three months ended September 30, 2004 and 2003, respectively.</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Unit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0"/>
              </w:rPr>
              <w:t>Three Months Ended September 30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United States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500.6</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1,279.1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1,305.4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993.1</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Right (b)</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3,900.8</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3,203.2</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Interest and other expenses (c)</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-2557145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-2557145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-2557145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-2557145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-2557145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-2557145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39878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20" w:hanging="452"/>
        <w:spacing w:after="0" w:line="28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the related franchise offices of $6.3 million and $5.6 million for the three months ended September 30, 2004 and 2003, respectively. These fees are primarily based on revenues generated by the franchise offices, which were $318.4 million and $261.4 million for the three months ended September 30, 2004 and 2003, respectively.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operations of Right Management Consultants, Inc., since its acquisition in January 2004, and the Empower Group.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components of interest and other expense (income) were:</w:t>
      </w:r>
    </w:p>
    <w:p>
      <w:pPr>
        <w:spacing w:after="0" w:line="16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Interest income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(2.2)</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 losses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Miscellaneous, net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(0.3)</w:t>
            </w:r>
          </w:p>
        </w:tc>
      </w:tr>
      <w:tr>
        <w:trPr>
          <w:trHeight w:val="102"/>
        </w:trPr>
        <w:tc>
          <w:tcPr>
            <w:tcW w:w="3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9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r>
      <w:tr>
        <w:trPr>
          <w:trHeight w:val="132"/>
        </w:trPr>
        <w:tc>
          <w:tcPr>
            <w:tcW w:w="3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28702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8"/>
              </w:rPr>
              <w:t>Nine Months Ended September 30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10,857.3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8,895.3</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8,833.4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7,358.2</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1,537.1</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1,745.6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1,368.3</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27.6%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-36.2%</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84.2%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57.7%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76.1%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-1373505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-1373505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-1373505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-1373505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-1373505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-1373505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-1073150</wp:posOffset>
            </wp:positionV>
            <wp:extent cx="4584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-1073150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-1073150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-1073150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-773430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-773430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-773430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-773430</wp:posOffset>
            </wp:positionV>
            <wp:extent cx="39878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-473075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-473075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-473075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-473075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-473075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-473075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-172720</wp:posOffset>
            </wp:positionV>
            <wp:extent cx="4584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-172720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jc w:val="both"/>
        <w:ind w:left="460" w:right="1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from services include fees received from our franchise offices of $25.0 million and $18.8 million for the nine months ended September 30, 2004 and 2003, respectively. These fees are primarily based on revenues generated by the franchise offices, which were $1,068.9 million and $874.8 million for the nine months ended September 30, 2004 and 2003, respectively.</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Unit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0"/>
              </w:rPr>
              <w:t>Nine Months Ended September 30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420"/>
              <w:spacing w:after="0"/>
              <w:rPr>
                <w:sz w:val="20"/>
                <w:szCs w:val="20"/>
                <w:color w:val="auto"/>
              </w:rPr>
            </w:pPr>
            <w:r>
              <w:rPr>
                <w:rFonts w:ascii="Arial" w:cs="Arial" w:eastAsia="Arial" w:hAnsi="Arial"/>
                <w:sz w:val="18"/>
                <w:szCs w:val="18"/>
                <w:color w:val="auto"/>
              </w:rPr>
              <w:t>United States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1,523.7</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1,448.0</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3,405.7</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42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3,648.5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2,830.7</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420"/>
              <w:spacing w:after="0"/>
              <w:rPr>
                <w:sz w:val="20"/>
                <w:szCs w:val="20"/>
                <w:color w:val="auto"/>
              </w:rPr>
            </w:pPr>
            <w:r>
              <w:rPr>
                <w:rFonts w:ascii="Arial" w:cs="Arial" w:eastAsia="Arial" w:hAnsi="Arial"/>
                <w:sz w:val="18"/>
                <w:szCs w:val="18"/>
                <w:color w:val="auto"/>
              </w:rPr>
              <w:t>Right (b)</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1,306.4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1,062.9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10,857.3</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8,895.3</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35.5%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42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112.9%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420"/>
              <w:spacing w:after="0"/>
              <w:rPr>
                <w:sz w:val="20"/>
                <w:szCs w:val="20"/>
                <w:color w:val="auto"/>
              </w:rPr>
            </w:pPr>
            <w:r>
              <w:rPr>
                <w:rFonts w:ascii="Arial" w:cs="Arial" w:eastAsia="Arial" w:hAnsi="Arial"/>
                <w:sz w:val="18"/>
                <w:szCs w:val="18"/>
                <w:color w:val="auto"/>
              </w:rPr>
              <w:t>Right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Corporate expenses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Interest and other expenses (c)</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-2557145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-2557145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-2557145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-2557145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-2557145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-2557145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-172720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-172720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-172720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0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 fees received from the related franchise offices of $18.3 million and $15.7 million for the nine months ended September 30, 2004 and 2003, respectively. These fees are primarily based on revenues generated by the franchise offices, which were $871.1 million and $739.4 million for the nine months ended September 30, 2004 and 2003, respectively.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operations of Right Management Consultants, Inc., since its acquisition in January 2004, and the Empower Group.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components of interest and other expense (income) were:</w:t>
      </w:r>
    </w:p>
    <w:p>
      <w:pPr>
        <w:spacing w:after="0" w:line="16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$31.0</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(10.3)</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102"/>
        </w:trPr>
        <w:tc>
          <w:tcPr>
            <w:tcW w:w="5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$27.2</w:t>
            </w:r>
          </w:p>
        </w:tc>
        <w:tc>
          <w:tcPr>
            <w:tcW w:w="60" w:type="dxa"/>
            <w:vAlign w:val="bottom"/>
            <w:shd w:val="clear" w:color="auto" w:fill="CCEEFF"/>
          </w:tcPr>
          <w:p>
            <w:pPr>
              <w:spacing w:after="0"/>
              <w:rPr>
                <w:sz w:val="18"/>
                <w:szCs w:val="18"/>
                <w:color w:val="auto"/>
              </w:rPr>
            </w:pPr>
          </w:p>
        </w:tc>
      </w:tr>
      <w:tr>
        <w:trPr>
          <w:trHeight w:val="132"/>
        </w:trPr>
        <w:tc>
          <w:tcPr>
            <w:tcW w:w="5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1"/>
              </w:rPr>
              <w:t>Sep. 30</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3,071.0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2,609.4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Future income tax benefits</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3,798.0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1,245.7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Investments in licensees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1,527.0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buildings, leasehold improvements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442.3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property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5,532.2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Employee compensation payable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Accrued payroll taxes and insurance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495.1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Value added taxes payable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Short-term borrowings and current maturities of long-term debt</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2,484.8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liabilities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1,011.3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2,296.1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2,036.1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5,532.2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-3794125</wp:posOffset>
            </wp:positionV>
            <wp:extent cx="64706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-3794125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60325</wp:posOffset>
            </wp:positionV>
            <wp:extent cx="960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2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$ 176.1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jc w:val="right"/>
              <w:spacing w:after="0"/>
              <w:rPr>
                <w:sz w:val="20"/>
                <w:szCs w:val="20"/>
                <w:color w:val="auto"/>
              </w:rPr>
            </w:pPr>
            <w:r>
              <w:rPr>
                <w:rFonts w:ascii="Arial" w:cs="Arial" w:eastAsia="Arial" w:hAnsi="Arial"/>
                <w:sz w:val="18"/>
                <w:szCs w:val="18"/>
                <w:color w:val="auto"/>
              </w:rPr>
              <w:t>62.6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discount on convertible debentures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Other non-operating gains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2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218.4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Cash provided by operating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Proceeds from sale of an equity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Cash used by investing activities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Net borrowings (repayments) of short-term facilities and long-term debt</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and purchase plans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Cash provided (used) by financing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426.2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Unit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identifies Jefferson Wells as a separate reportable segment. Jefferson Wells was previously included in our Other Operations segment and historical amounts have been restated to conform to the current year presentation.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1,136.5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954.6</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3,334.1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2,678.7</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1,278.3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1,172.0</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1,202.2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131.2%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3,622.4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3,013.4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240.0%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-4385945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-4385945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-4385945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-4385945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-4385945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-4385945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-2979420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-2979420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-2979420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-2979420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-2979420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-2979420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-1435735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-1435735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-1435735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-1435735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-1435735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-1435735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Unit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Revenues from Services:</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France</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2,414.8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2,126.6</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EMEA</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1,837.6</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683.2</w:t>
            </w:r>
          </w:p>
        </w:tc>
        <w:tc>
          <w:tcPr>
            <w:tcW w:w="22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25.6%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5,692.1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29.6%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EMEA</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128.6%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Right</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Revenues from Services:</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France</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4,638.8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EMEA</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3,920.2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1,476.4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EMEA</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Right</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60" w:type="dxa"/>
            <w:vAlign w:val="bottom"/>
            <w:vMerge w:val="restart"/>
          </w:tcPr>
          <w:p>
            <w:pPr>
              <w:jc w:val="right"/>
              <w:ind w:right="18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-4682490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-4682490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-4682490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-4682490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-4682490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-4682490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-3275965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-3275965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-3275965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-3275965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-3275965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-3275965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-1732280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-1732280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-1732280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48450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4505" cy="298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2019-12-20T17:16:38Z</dcterms:created>
  <dcterms:modified xsi:type="dcterms:W3CDTF">2019-12-20T17:16:38Z</dcterms:modified>
</cp:coreProperties>
</file>