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24, 2017</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ind w:right="20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On July 24, 2017, we issued a press release announcing our results of operations for the three month and six month periods ended June 30, 2017.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260" w:type="dxa"/>
            <w:vAlign w:val="bottom"/>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auto"/>
              </w:rPr>
              <w:t>99.1</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Press Release dated July 24, 2017</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99.2</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Presentation materials for July 24, 2017 conference call</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July 24,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880" w:type="dxa"/>
            <w:vAlign w:val="bottom"/>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99.1</w:t>
            </w:r>
          </w:p>
        </w:tc>
        <w:tc>
          <w:tcPr>
            <w:tcW w:w="9880" w:type="dxa"/>
            <w:vAlign w:val="bottom"/>
          </w:tcPr>
          <w:p>
            <w:pPr>
              <w:ind w:left="760"/>
              <w:spacing w:after="0"/>
              <w:rPr>
                <w:sz w:val="20"/>
                <w:szCs w:val="20"/>
                <w:color w:val="auto"/>
              </w:rPr>
            </w:pPr>
            <w:r>
              <w:rPr>
                <w:rFonts w:ascii="Arial" w:cs="Arial" w:eastAsia="Arial" w:hAnsi="Arial"/>
                <w:sz w:val="16"/>
                <w:szCs w:val="16"/>
                <w:color w:val="auto"/>
              </w:rPr>
              <w:t>Press Release dated July 24, 2017</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99.2</w:t>
            </w:r>
          </w:p>
        </w:tc>
        <w:tc>
          <w:tcPr>
            <w:tcW w:w="9880" w:type="dxa"/>
            <w:vAlign w:val="bottom"/>
          </w:tcPr>
          <w:p>
            <w:pPr>
              <w:ind w:left="760"/>
              <w:spacing w:after="0"/>
              <w:rPr>
                <w:sz w:val="20"/>
                <w:szCs w:val="20"/>
                <w:color w:val="auto"/>
              </w:rPr>
            </w:pPr>
            <w:r>
              <w:rPr>
                <w:rFonts w:ascii="Arial" w:cs="Arial" w:eastAsia="Arial" w:hAnsi="Arial"/>
                <w:sz w:val="16"/>
                <w:szCs w:val="16"/>
                <w:color w:val="auto"/>
              </w:rPr>
              <w:t>Presentation materials for July 24, 2017 conference call</w:t>
            </w: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 McGinnis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+1.414.906.7977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25"/>
          <w:szCs w:val="25"/>
          <w:b w:val="1"/>
          <w:bCs w:val="1"/>
          <w:color w:val="auto"/>
          <w:vertAlign w:val="superscript"/>
        </w:rPr>
        <w:t>nd</w:t>
      </w:r>
      <w:r>
        <w:rPr>
          <w:rFonts w:ascii="Arial" w:cs="Arial" w:eastAsia="Arial" w:hAnsi="Arial"/>
          <w:sz w:val="19"/>
          <w:szCs w:val="19"/>
          <w:b w:val="1"/>
          <w:bCs w:val="1"/>
          <w:color w:val="auto"/>
        </w:rPr>
        <w:t xml:space="preserve"> Quarter and First Half 2017 Results</w:t>
      </w:r>
    </w:p>
    <w:p>
      <w:pPr>
        <w:spacing w:after="0" w:line="175" w:lineRule="exact"/>
        <w:rPr>
          <w:sz w:val="20"/>
          <w:szCs w:val="20"/>
          <w:color w:val="auto"/>
        </w:rPr>
      </w:pPr>
    </w:p>
    <w:p>
      <w:pPr>
        <w:ind w:right="20"/>
        <w:spacing w:after="0" w:line="358" w:lineRule="auto"/>
        <w:rPr>
          <w:sz w:val="20"/>
          <w:szCs w:val="20"/>
          <w:color w:val="auto"/>
        </w:rPr>
      </w:pPr>
      <w:r>
        <w:rPr>
          <w:rFonts w:ascii="Arial" w:cs="Arial" w:eastAsia="Arial" w:hAnsi="Arial"/>
          <w:sz w:val="18"/>
          <w:szCs w:val="18"/>
          <w:b w:val="1"/>
          <w:bCs w:val="1"/>
          <w:color w:val="auto"/>
        </w:rPr>
        <w:t xml:space="preserve">MILWAUKEE, July 24, 2017 -- </w:t>
      </w:r>
      <w:r>
        <w:rPr>
          <w:rFonts w:ascii="Arial" w:cs="Arial" w:eastAsia="Arial" w:hAnsi="Arial"/>
          <w:sz w:val="18"/>
          <w:szCs w:val="18"/>
          <w:color w:val="auto"/>
        </w:rPr>
        <w:t>ManpowerGroup (NYSE: MAN) today reported that net earnings for the three months ended June 30, 2017 were</w:t>
      </w:r>
      <w:r>
        <w:rPr>
          <w:rFonts w:ascii="Arial" w:cs="Arial" w:eastAsia="Arial" w:hAnsi="Arial"/>
          <w:sz w:val="18"/>
          <w:szCs w:val="18"/>
          <w:b w:val="1"/>
          <w:bCs w:val="1"/>
          <w:color w:val="auto"/>
        </w:rPr>
        <w:t xml:space="preserve"> </w:t>
      </w:r>
      <w:r>
        <w:rPr>
          <w:rFonts w:ascii="Arial" w:cs="Arial" w:eastAsia="Arial" w:hAnsi="Arial"/>
          <w:sz w:val="18"/>
          <w:szCs w:val="18"/>
          <w:color w:val="auto"/>
        </w:rPr>
        <w:t>$117.0 million, or $1.72 per diluted share compared to net earnings of $115.4 million, or $1.60 per diluted share in the prior year period. Revenues for the second quarter were $5.2 billion, an increase of 3% from the prior year period.</w:t>
      </w:r>
    </w:p>
    <w:p>
      <w:pPr>
        <w:ind w:left="560"/>
        <w:spacing w:after="0"/>
        <w:rPr>
          <w:sz w:val="20"/>
          <w:szCs w:val="20"/>
          <w:color w:val="auto"/>
        </w:rPr>
      </w:pPr>
      <w:r>
        <w:rPr>
          <w:rFonts w:ascii="Arial" w:cs="Arial" w:eastAsia="Arial" w:hAnsi="Arial"/>
          <w:sz w:val="18"/>
          <w:szCs w:val="18"/>
          <w:color w:val="auto"/>
        </w:rPr>
        <w:t>The current year quarter included restructuring charges which reduced earnings per share by 10 cents.</w:t>
      </w:r>
    </w:p>
    <w:p>
      <w:pPr>
        <w:spacing w:after="0" w:line="95" w:lineRule="exact"/>
        <w:rPr>
          <w:sz w:val="20"/>
          <w:szCs w:val="20"/>
          <w:color w:val="auto"/>
        </w:rPr>
      </w:pPr>
    </w:p>
    <w:p>
      <w:pPr>
        <w:ind w:right="180" w:firstLine="579"/>
        <w:spacing w:after="0" w:line="349" w:lineRule="auto"/>
        <w:rPr>
          <w:sz w:val="20"/>
          <w:szCs w:val="20"/>
          <w:color w:val="auto"/>
        </w:rPr>
      </w:pPr>
      <w:r>
        <w:rPr>
          <w:rFonts w:ascii="Arial" w:cs="Arial" w:eastAsia="Arial" w:hAnsi="Arial"/>
          <w:sz w:val="18"/>
          <w:szCs w:val="18"/>
          <w:color w:val="auto"/>
        </w:rPr>
        <w:t>Financial results in the quarter were impacted by the stronger U.S. dollar relative to several foreign currencies compared to the prior year period. On a constant currency basis, revenues increased 6% and earnings per share increased 9%. Earnings per share in the quarter were negatively impacted 3 cents by changes in foreign currencies compared to the prior year, or 4 cents excluding the restructuring charges.</w:t>
      </w:r>
    </w:p>
    <w:p>
      <w:pPr>
        <w:spacing w:after="0" w:line="2" w:lineRule="exact"/>
        <w:rPr>
          <w:sz w:val="20"/>
          <w:szCs w:val="20"/>
          <w:color w:val="auto"/>
        </w:rPr>
      </w:pPr>
    </w:p>
    <w:p>
      <w:pPr>
        <w:ind w:firstLine="579"/>
        <w:spacing w:after="0" w:line="370" w:lineRule="auto"/>
        <w:rPr>
          <w:sz w:val="20"/>
          <w:szCs w:val="20"/>
          <w:color w:val="auto"/>
        </w:rPr>
      </w:pPr>
      <w:r>
        <w:rPr>
          <w:rFonts w:ascii="Arial" w:cs="Arial" w:eastAsia="Arial" w:hAnsi="Arial"/>
          <w:sz w:val="17"/>
          <w:szCs w:val="17"/>
          <w:color w:val="auto"/>
        </w:rPr>
        <w:t>ManpowerGroup Chairman &amp; CEO Jonas Prising said, “We are pleased with our strong second quarter results. The labor markets continue to improve in Europe and across the globe, which is a good foundation for continued profitable growth as we head into the second part of 2017.</w:t>
      </w:r>
    </w:p>
    <w:p>
      <w:pPr>
        <w:ind w:right="160" w:firstLine="555"/>
        <w:spacing w:after="0" w:line="349" w:lineRule="auto"/>
        <w:rPr>
          <w:sz w:val="20"/>
          <w:szCs w:val="20"/>
          <w:color w:val="auto"/>
        </w:rPr>
      </w:pPr>
      <w:r>
        <w:rPr>
          <w:rFonts w:ascii="Arial" w:cs="Arial" w:eastAsia="Arial" w:hAnsi="Arial"/>
          <w:sz w:val="18"/>
          <w:szCs w:val="18"/>
          <w:color w:val="auto"/>
        </w:rPr>
        <w:t>“The improving market conditions were spread across the geographies where we operate, and revenue growth was strong in a number of our countries, with our teams in France, Italy, Mexico and Poland leading the way.</w:t>
      </w:r>
    </w:p>
    <w:p>
      <w:pPr>
        <w:spacing w:after="0" w:line="1" w:lineRule="exact"/>
        <w:rPr>
          <w:sz w:val="20"/>
          <w:szCs w:val="20"/>
          <w:color w:val="auto"/>
        </w:rPr>
      </w:pPr>
    </w:p>
    <w:p>
      <w:pPr>
        <w:ind w:right="480" w:firstLine="555"/>
        <w:spacing w:after="0" w:line="349" w:lineRule="auto"/>
        <w:rPr>
          <w:sz w:val="20"/>
          <w:szCs w:val="20"/>
          <w:color w:val="auto"/>
        </w:rPr>
      </w:pPr>
      <w:r>
        <w:rPr>
          <w:rFonts w:ascii="Arial" w:cs="Arial" w:eastAsia="Arial" w:hAnsi="Arial"/>
          <w:sz w:val="18"/>
          <w:szCs w:val="18"/>
          <w:color w:val="auto"/>
        </w:rPr>
        <w:t>“We anticipate the third quarter diluted earnings per share to be in the range of $1.90 to $1.98, which includes an estimated favorable currency impact of 2 cents,” Prising stated.</w:t>
      </w:r>
    </w:p>
    <w:p>
      <w:pPr>
        <w:spacing w:after="0" w:line="1" w:lineRule="exact"/>
        <w:rPr>
          <w:sz w:val="20"/>
          <w:szCs w:val="20"/>
          <w:color w:val="auto"/>
        </w:rPr>
      </w:pPr>
    </w:p>
    <w:p>
      <w:pPr>
        <w:ind w:right="20" w:firstLine="555"/>
        <w:spacing w:after="0" w:line="352" w:lineRule="auto"/>
        <w:rPr>
          <w:sz w:val="20"/>
          <w:szCs w:val="20"/>
          <w:color w:val="auto"/>
        </w:rPr>
      </w:pPr>
      <w:r>
        <w:rPr>
          <w:rFonts w:ascii="Arial" w:cs="Arial" w:eastAsia="Arial" w:hAnsi="Arial"/>
          <w:sz w:val="18"/>
          <w:szCs w:val="18"/>
          <w:color w:val="auto"/>
        </w:rPr>
        <w:t>Net earnings for the six months ended June 30, 2017 were $191.4 million, or $2.80 per diluted share compared to net earnings of $187.1 million, or $2.57 per diluted share in the prior year. The year to date period included restructuring charges which reduced earnings per share by 41 cents and discrete income tax benefits in the first quarter which increased earnings per share by 19</w:t>
      </w:r>
    </w:p>
    <w:p>
      <w:pPr>
        <w:sectPr>
          <w:pgSz w:w="11900" w:h="16838" w:orient="portrait"/>
          <w:cols w:equalWidth="0" w:num="1">
            <w:col w:w="11440"/>
          </w:cols>
          <w:pgMar w:left="240" w:top="533"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cents. Revenues for the six-month period were $9.9 billion, an increase of 3% from the prior year or an increase of 6% in constant currency.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rates had an unfavorable impact of 6 cents per share for the six-month period.</w:t>
      </w:r>
    </w:p>
    <w:p>
      <w:pPr>
        <w:spacing w:after="0" w:line="95" w:lineRule="exact"/>
        <w:rPr>
          <w:sz w:val="20"/>
          <w:szCs w:val="20"/>
          <w:color w:val="auto"/>
        </w:rPr>
      </w:pPr>
    </w:p>
    <w:p>
      <w:pPr>
        <w:ind w:right="20" w:firstLine="579"/>
        <w:spacing w:after="0" w:line="349" w:lineRule="auto"/>
        <w:rPr>
          <w:sz w:val="20"/>
          <w:szCs w:val="20"/>
          <w:color w:val="auto"/>
        </w:rPr>
      </w:pPr>
      <w:r>
        <w:rPr>
          <w:rFonts w:ascii="Arial" w:cs="Arial" w:eastAsia="Arial" w:hAnsi="Arial"/>
          <w:sz w:val="18"/>
          <w:szCs w:val="18"/>
          <w:color w:val="auto"/>
        </w:rPr>
        <w:t xml:space="preserve">In conjunction with its second quarter earnings release, ManpowerGroup will broadcast its conference call live over the Internet on July 24, 2017 at 7:30 a.m. CDT (8:30 a.m. EDT). Interested parties are invited to listen to the webcast and view the presentation 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over 400,000 clients and connect 3+ million people to meaningful, sustainable work across a wide range of industries and skills. Our expert family of brands - Manpower®, Experis®, Right Management® and ManpowerGroup® Solutions - creates substantially more value for candidates and clients across 80 countries and territories and has done so for nearly 70 years. In 2017, ManpowerGroup was named one of the World's Most Ethical Companies for the seventh consecutive year and one of Fortune's Most Admired Companies, confirming our position as the most trusted and admired brand in the industry. See how ManpowerGroup is powering the future of work: </w:t>
      </w:r>
      <w:r>
        <w:rPr>
          <w:rFonts w:ascii="Arial" w:cs="Arial" w:eastAsia="Arial" w:hAnsi="Arial"/>
          <w:sz w:val="16"/>
          <w:szCs w:val="16"/>
          <w:u w:val="single" w:color="auto"/>
          <w:color w:val="1155CC"/>
        </w:rPr>
        <w:t>www.manpowergroup.com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2016, which information is incorporated herein by reference.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20"/>
          </w:cols>
          <w:pgMar w:left="240" w:top="595"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w w:val="98"/>
              </w:rPr>
              <w:t>Three Months Ended June 30</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5,174.8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5,022.1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4,313.1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4,161.4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3.6 %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667.1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664.7</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0.3 %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1.6 %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-4.4 %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8.1 %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71.6</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-5.9 %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-5.8 %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6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$5.8 million and $5.7 million for the three months ended June 30, 2017 and 2016, respectively. These fees are primarily based on revenues generated by the franchise offices, which were $247.3 million and $261.2 million for the three months ended June 30, 2017 and 2016,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w w:val="98"/>
              </w:rPr>
              <w:t>Three Months Ended June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725.3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355.7</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8.3 %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10.6 %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1,081.0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1,252.2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299.8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22.2 %</w:t>
            </w:r>
          </w:p>
        </w:tc>
        <w:tc>
          <w:tcPr>
            <w:tcW w:w="1060" w:type="dxa"/>
            <w:vAlign w:val="bottom"/>
          </w:tcPr>
          <w:p>
            <w:pPr>
              <w:jc w:val="right"/>
              <w:spacing w:after="0"/>
              <w:rPr>
                <w:sz w:val="20"/>
                <w:szCs w:val="20"/>
                <w:color w:val="auto"/>
              </w:rPr>
            </w:pPr>
            <w:r>
              <w:rPr>
                <w:rFonts w:ascii="Arial" w:cs="Arial" w:eastAsia="Arial" w:hAnsi="Arial"/>
                <w:sz w:val="16"/>
                <w:szCs w:val="16"/>
                <w:color w:val="auto"/>
              </w:rPr>
              <w:t>25.2 %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379.4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2,135.7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1,931.4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10.6 %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1,322.3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614.6</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4.7 %</w:t>
            </w:r>
          </w:p>
        </w:tc>
        <w:tc>
          <w:tcPr>
            <w:tcW w:w="106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5,174.8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5,022.1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-6.0 %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21.0 %</w:t>
            </w:r>
          </w:p>
        </w:tc>
        <w:tc>
          <w:tcPr>
            <w:tcW w:w="1060" w:type="dxa"/>
            <w:vAlign w:val="bottom"/>
          </w:tcPr>
          <w:p>
            <w:pPr>
              <w:jc w:val="right"/>
              <w:spacing w:after="0"/>
              <w:rPr>
                <w:sz w:val="20"/>
                <w:szCs w:val="20"/>
                <w:color w:val="auto"/>
              </w:rPr>
            </w:pPr>
            <w:r>
              <w:rPr>
                <w:rFonts w:ascii="Arial" w:cs="Arial" w:eastAsia="Arial" w:hAnsi="Arial"/>
                <w:sz w:val="16"/>
                <w:szCs w:val="16"/>
                <w:color w:val="auto"/>
              </w:rPr>
              <w:t>24.0 %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102.3</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7.9 %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10.1 %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4.7 %</w:t>
            </w:r>
          </w:p>
        </w:tc>
        <w:tc>
          <w:tcPr>
            <w:tcW w:w="106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0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$3.6 million for both the three months ended June 30, 2017 and 2016. These fees are primarily based on revenues generated by the franchise offices, which were $155.6 million and $170.9 million for the three months ended June 30, 2017 and 2016,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Six Months Ended June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9,609.8</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8,282.5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7,975.3</w:t>
            </w:r>
          </w:p>
        </w:tc>
        <w:tc>
          <w:tcPr>
            <w:tcW w:w="202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6.7 %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1,649.5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1,634.5</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1,327.9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1,306.8</w:t>
            </w:r>
          </w:p>
        </w:tc>
        <w:tc>
          <w:tcPr>
            <w:tcW w:w="202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327.7</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23.0</w:t>
            </w:r>
          </w:p>
        </w:tc>
        <w:tc>
          <w:tcPr>
            <w:tcW w:w="202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10.2 %</w:t>
            </w: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304.7</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117.6</w:t>
            </w:r>
          </w:p>
        </w:tc>
        <w:tc>
          <w:tcPr>
            <w:tcW w:w="202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-10.8 %</w:t>
            </w: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187.1</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w:t>
            </w:r>
          </w:p>
        </w:tc>
        <w:tc>
          <w:tcPr>
            <w:tcW w:w="202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9.3 %</w:t>
            </w:r>
          </w:p>
        </w:tc>
        <w:tc>
          <w:tcPr>
            <w:tcW w:w="106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72.2</w:t>
            </w:r>
          </w:p>
        </w:tc>
        <w:tc>
          <w:tcPr>
            <w:tcW w:w="202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-6.4 %</w:t>
            </w:r>
          </w:p>
        </w:tc>
        <w:tc>
          <w:tcPr>
            <w:tcW w:w="106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72.9</w:t>
            </w:r>
          </w:p>
        </w:tc>
        <w:tc>
          <w:tcPr>
            <w:tcW w:w="2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-6.4 %</w:t>
            </w: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2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$11.1 million and $10.9 million for the six months ended June 30, 2017 and 2016, respectively. These fees are primarily based on revenues generated by the franchise offices, which were $486.4 million and $489.0 million for the six months ended June 30, 2017 and 2016, respectively.</w:t>
      </w:r>
    </w:p>
    <w:p>
      <w:pPr>
        <w:sectPr>
          <w:pgSz w:w="11900" w:h="16838" w:orient="portrait"/>
          <w:cols w:equalWidth="0" w:num="1">
            <w:col w:w="11240"/>
          </w:cols>
          <w:pgMar w:left="340" w:top="67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840"/>
              <w:spacing w:after="0"/>
              <w:rPr>
                <w:sz w:val="20"/>
                <w:szCs w:val="20"/>
                <w:color w:val="auto"/>
              </w:rPr>
            </w:pPr>
            <w:r>
              <w:rPr>
                <w:rFonts w:ascii="Arial" w:cs="Arial" w:eastAsia="Arial" w:hAnsi="Arial"/>
                <w:sz w:val="16"/>
                <w:szCs w:val="16"/>
                <w:b w:val="1"/>
                <w:bCs w:val="1"/>
                <w:color w:val="auto"/>
              </w:rPr>
              <w:t>Six Months Ended June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1,428.4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698.5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7.4 %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9.6 %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2,126.9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2,331.0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562.9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17.4 %</w:t>
            </w:r>
          </w:p>
        </w:tc>
        <w:tc>
          <w:tcPr>
            <w:tcW w:w="1060" w:type="dxa"/>
            <w:vAlign w:val="bottom"/>
          </w:tcPr>
          <w:p>
            <w:pPr>
              <w:jc w:val="right"/>
              <w:spacing w:after="0"/>
              <w:rPr>
                <w:sz w:val="20"/>
                <w:szCs w:val="20"/>
                <w:color w:val="auto"/>
              </w:rPr>
            </w:pPr>
            <w:r>
              <w:rPr>
                <w:rFonts w:ascii="Arial" w:cs="Arial" w:eastAsia="Arial" w:hAnsi="Arial"/>
                <w:sz w:val="16"/>
                <w:szCs w:val="16"/>
                <w:color w:val="auto"/>
              </w:rPr>
              <w:t>20.9 %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725.2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3,939.6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3,619.1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8.9 %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2,536.2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1,275.8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1,190.8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7.1 %</w:t>
            </w:r>
          </w:p>
        </w:tc>
        <w:tc>
          <w:tcPr>
            <w:tcW w:w="106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9,932.0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9,609.8</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-0.4 %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17.7 %</w:t>
            </w:r>
          </w:p>
        </w:tc>
        <w:tc>
          <w:tcPr>
            <w:tcW w:w="1060" w:type="dxa"/>
            <w:vAlign w:val="bottom"/>
          </w:tcPr>
          <w:p>
            <w:pPr>
              <w:jc w:val="right"/>
              <w:spacing w:after="0"/>
              <w:rPr>
                <w:sz w:val="20"/>
                <w:szCs w:val="20"/>
                <w:color w:val="auto"/>
              </w:rPr>
            </w:pPr>
            <w:r>
              <w:rPr>
                <w:rFonts w:ascii="Arial" w:cs="Arial" w:eastAsia="Arial" w:hAnsi="Arial"/>
                <w:sz w:val="16"/>
                <w:szCs w:val="16"/>
                <w:color w:val="auto"/>
              </w:rPr>
              <w:t>21.2 %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10.0 %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-37.1 %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41.5</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4.6 %</w:t>
            </w:r>
          </w:p>
        </w:tc>
        <w:tc>
          <w:tcPr>
            <w:tcW w:w="106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398.0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304.7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40" w:hanging="9"/>
        <w:spacing w:after="0" w:line="265"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$7.1 million and $7.0 million for the six months ended June 30, 2017 and 2016, respectively. These fees are primarily based on revenues generate by the franchise offices, which were $323.3 million and $331.7 million for the six months ended June 30, 2017 and 2016,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 30</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2016</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4,927.4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4,413.1</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121.3</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5,621.1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5,132.9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1,239.9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294.4</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759.7</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2,294.0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567.0</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451.5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419.7</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147.3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8,139.5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1,914.4</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208.1</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398.6</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649.2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3,658.8</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785.6</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683.4</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1,469.0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3,227.2</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2,291.3</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(2,731.7)</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2,361.9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84.5</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2,446.4</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8,139.5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7,574.2</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Six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left="500"/>
              <w:spacing w:after="0"/>
              <w:rPr>
                <w:sz w:val="20"/>
                <w:szCs w:val="20"/>
                <w:color w:val="auto"/>
              </w:rPr>
            </w:pPr>
            <w:r>
              <w:rPr>
                <w:rFonts w:ascii="Arial" w:cs="Arial" w:eastAsia="Arial" w:hAnsi="Arial"/>
                <w:sz w:val="16"/>
                <w:szCs w:val="16"/>
                <w:color w:val="auto"/>
                <w:w w:val="93"/>
              </w:rPr>
              <w:t>(Unaudited)</w:t>
            </w: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187.1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98.5</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262.1</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the sale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r>
      <w:tr>
        <w:trPr>
          <w:trHeight w:val="245"/>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24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(376.5)</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598.5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730.5</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546.3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2019-12-05T18:26:40Z</dcterms:created>
  <dcterms:modified xsi:type="dcterms:W3CDTF">2019-12-05T18:26:40Z</dcterms:modified>
</cp:coreProperties>
</file>