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ManpowerGroup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56418H100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56418H100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431,151.00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6,020,038.00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6,020,038.00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80"/>
          </w:cols>
          <w:pgMar w:left="320" w:top="166" w:right="439" w:bottom="0" w:gutter="0" w:footer="0" w:header="0"/>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As of that date, The Vanguard Group, Inc. no longer performs portfolio management services or administers proxy voting. In accordance with SEC Release No. 34-39538 (January 12, 1998), The Vanguard Group, Inc. anticipates that certain subsidiaries or business divisions of subsidiaries of The Vanguard Group, Inc., that currently have, or are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ManpowerGroup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100 Manpower Place, Milwaukee, WI, 53212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56418H100</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44" w:lineRule="exact"/>
        <w:rPr>
          <w:sz w:val="20"/>
          <w:szCs w:val="20"/>
          <w:color w:val="auto"/>
        </w:rPr>
      </w:pPr>
    </w:p>
    <w:p>
      <w:pPr>
        <w:ind w:left="40"/>
        <w:spacing w:after="0"/>
        <w:tabs>
          <w:tab w:leader="none" w:pos="946"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ectPr>
          <w:pgSz w:w="11900" w:h="16838" w:orient="portrait"/>
          <w:cols w:equalWidth="0" w:num="1">
            <w:col w:w="11140"/>
          </w:cols>
          <w:pgMar w:left="320" w:top="166" w:right="439" w:bottom="0" w:gutter="0" w:footer="0" w:header="0"/>
          <w:type w:val="continuous"/>
        </w:sectPr>
      </w:pPr>
    </w:p>
    <w:bookmarkStart w:id="2" w:name="page3"/>
    <w:bookmarkEnd w:id="2"/>
    <w:p>
      <w:pPr>
        <w:spacing w:after="0" w:line="35"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6020038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7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431151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6020038</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74"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01/30/2026</w:t>
      </w:r>
    </w:p>
    <w:sectPr>
      <w:pgSz w:w="11900" w:h="16838" w:orient="portrait"/>
      <w:cols w:equalWidth="0" w:num="1">
        <w:col w:w="10920"/>
      </w:cols>
      <w:pgMar w:left="580" w:top="13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2026-01-30T14:25:42Z</dcterms:created>
  <dcterms:modified xsi:type="dcterms:W3CDTF">2026-01-30T14:25:42Z</dcterms:modified>
</cp:coreProperties>
</file>