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114300</wp:posOffset>
            </wp:positionH>
            <wp:positionV relativeFrom="paragraph">
              <wp:posOffset>219710</wp:posOffset>
            </wp:positionV>
            <wp:extent cx="6913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262255</wp:posOffset>
            </wp:positionV>
            <wp:extent cx="6913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7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370" w:lineRule="exact"/>
        <w:rPr>
          <w:sz w:val="24"/>
          <w:szCs w:val="24"/>
          <w:color w:val="auto"/>
        </w:rPr>
      </w:pPr>
    </w:p>
    <w:p>
      <w:pPr>
        <w:ind w:left="180"/>
        <w:spacing w:after="0" w:line="207" w:lineRule="exact"/>
        <w:tabs>
          <w:tab w:leader="none" w:pos="33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7" w:lineRule="exact"/>
        <w:rPr>
          <w:sz w:val="24"/>
          <w:szCs w:val="24"/>
          <w:color w:val="auto"/>
        </w:rPr>
      </w:pPr>
    </w:p>
    <w:p>
      <w:pPr>
        <w:ind w:left="720" w:hanging="540"/>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09" w:lineRule="exact"/>
        <w:rPr>
          <w:rFonts w:ascii="MS PGothic" w:cs="MS PGothic" w:eastAsia="MS PGothic" w:hAnsi="MS PGothic"/>
          <w:sz w:val="18"/>
          <w:szCs w:val="18"/>
          <w:color w:val="auto"/>
        </w:rPr>
      </w:pPr>
    </w:p>
    <w:p>
      <w:pPr>
        <w:ind w:left="720" w:hanging="540"/>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7" w:lineRule="exact"/>
        <w:rPr>
          <w:sz w:val="24"/>
          <w:szCs w:val="24"/>
          <w:color w:val="auto"/>
        </w:rPr>
      </w:pPr>
    </w:p>
    <w:p>
      <w:pPr>
        <w:ind w:left="720" w:hanging="540"/>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3" w:lineRule="exact"/>
        <w:rPr>
          <w:sz w:val="24"/>
          <w:szCs w:val="24"/>
          <w:color w:val="auto"/>
        </w:rPr>
      </w:pPr>
    </w:p>
    <w:p>
      <w:pPr>
        <w:ind w:left="720" w:hanging="540"/>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720" w:hanging="540"/>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9"/>
          <w:szCs w:val="39"/>
          <w:b w:val="1"/>
          <w:bCs w:val="1"/>
          <w:color w:val="auto"/>
        </w:rPr>
        <w:t>MANPOWERGROUP INC.</w:t>
      </w:r>
    </w:p>
    <w:p>
      <w:pPr>
        <w:spacing w:after="0" w:line="4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47" w:lineRule="exact"/>
        <w:rPr>
          <w:sz w:val="24"/>
          <w:szCs w:val="24"/>
          <w:color w:val="auto"/>
        </w:rPr>
      </w:pPr>
    </w:p>
    <w:p>
      <w:pPr>
        <w:ind w:left="600" w:hanging="420"/>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7" w:lineRule="exact"/>
        <w:rPr>
          <w:sz w:val="24"/>
          <w:szCs w:val="24"/>
          <w:color w:val="auto"/>
        </w:rPr>
      </w:pPr>
    </w:p>
    <w:p>
      <w:pPr>
        <w:ind w:left="600" w:hanging="420"/>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6" w:lineRule="exact"/>
        <w:rPr>
          <w:rFonts w:ascii="MS PGothic" w:cs="MS PGothic" w:eastAsia="MS PGothic" w:hAnsi="MS PGothic"/>
          <w:sz w:val="18"/>
          <w:szCs w:val="18"/>
          <w:color w:val="auto"/>
        </w:rPr>
      </w:pPr>
    </w:p>
    <w:p>
      <w:pPr>
        <w:ind w:left="600" w:hanging="420"/>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114300</wp:posOffset>
            </wp:positionH>
            <wp:positionV relativeFrom="paragraph">
              <wp:posOffset>176530</wp:posOffset>
            </wp:positionV>
            <wp:extent cx="6913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219075</wp:posOffset>
            </wp:positionV>
            <wp:extent cx="6913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210185</wp:posOffset>
            </wp:positionV>
            <wp:extent cx="7086600" cy="9150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915035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210185</wp:posOffset>
            </wp:positionV>
            <wp:extent cx="7086600" cy="9150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9150350"/>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60960</wp:posOffset>
            </wp:positionV>
            <wp:extent cx="691388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213360</wp:posOffset>
            </wp:positionV>
            <wp:extent cx="1465580" cy="262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5580" cy="262890"/>
                    </a:xfrm>
                    <a:prstGeom prst="rect">
                      <a:avLst/>
                    </a:prstGeom>
                    <a:noFill/>
                  </pic:spPr>
                </pic:pic>
              </a:graphicData>
            </a:graphic>
          </wp:anchor>
        </w:drawing>
      </w:r>
    </w:p>
    <w:p>
      <w:pPr>
        <w:spacing w:after="0" w:line="388" w:lineRule="exact"/>
        <w:rPr>
          <w:sz w:val="20"/>
          <w:szCs w:val="20"/>
          <w:color w:val="auto"/>
        </w:rPr>
      </w:pPr>
    </w:p>
    <w:p>
      <w:pPr>
        <w:ind w:left="3020"/>
        <w:spacing w:after="0"/>
        <w:rPr>
          <w:sz w:val="20"/>
          <w:szCs w:val="20"/>
          <w:color w:val="auto"/>
        </w:rPr>
      </w:pPr>
      <w:r>
        <w:rPr>
          <w:rFonts w:ascii="Arial" w:cs="Arial" w:eastAsia="Arial" w:hAnsi="Arial"/>
          <w:sz w:val="20"/>
          <w:szCs w:val="20"/>
          <w:color w:val="5D89B4"/>
        </w:rPr>
        <w:t>   ManpowerGroup Inc.  |   100 Manpower Place  |  Milwaukee, Wisconsin 53212</w:t>
      </w:r>
    </w:p>
    <w:p>
      <w:pPr>
        <w:spacing w:after="0" w:line="30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2024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273685</wp:posOffset>
            </wp:positionV>
            <wp:extent cx="330200" cy="313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0" cy="313690"/>
                    </a:xfrm>
                    <a:prstGeom prst="rect">
                      <a:avLst/>
                    </a:prstGeom>
                    <a:noFill/>
                  </pic:spPr>
                </pic:pic>
              </a:graphicData>
            </a:graphic>
          </wp:anchor>
        </w:drawing>
        <w:drawing>
          <wp:anchor simplePos="0" relativeHeight="251657728" behindDoc="1" locked="0" layoutInCell="0" allowOverlap="1">
            <wp:simplePos x="0" y="0"/>
            <wp:positionH relativeFrom="column">
              <wp:posOffset>2486660</wp:posOffset>
            </wp:positionH>
            <wp:positionV relativeFrom="paragraph">
              <wp:posOffset>265430</wp:posOffset>
            </wp:positionV>
            <wp:extent cx="321945" cy="321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945" cy="3219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273685</wp:posOffset>
            </wp:positionV>
            <wp:extent cx="194945" cy="313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945" cy="31369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248285</wp:posOffset>
            </wp:positionV>
            <wp:extent cx="245745" cy="33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745" cy="33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000" w:type="dxa"/>
        <w:tblCellMar>
          <w:top w:w="0" w:type="dxa"/>
          <w:left w:w="0" w:type="dxa"/>
          <w:bottom w:w="0" w:type="dxa"/>
          <w:right w:w="0" w:type="dxa"/>
        </w:tblCellMar>
      </w:tblPr>
      <w:tr>
        <w:trPr>
          <w:trHeight w:val="295"/>
        </w:trPr>
        <w:tc>
          <w:tcPr>
            <w:tcW w:w="1760" w:type="dxa"/>
            <w:vAlign w:val="bottom"/>
          </w:tcPr>
          <w:p>
            <w:pPr>
              <w:jc w:val="center"/>
              <w:ind w:right="811"/>
              <w:spacing w:after="0"/>
              <w:rPr>
                <w:sz w:val="20"/>
                <w:szCs w:val="20"/>
                <w:color w:val="auto"/>
              </w:rPr>
            </w:pPr>
            <w:r>
              <w:rPr>
                <w:rFonts w:ascii="Arial" w:cs="Arial" w:eastAsia="Arial" w:hAnsi="Arial"/>
                <w:sz w:val="21"/>
                <w:szCs w:val="21"/>
                <w:b w:val="1"/>
                <w:bCs w:val="1"/>
                <w:color w:val="auto"/>
              </w:rPr>
              <w:t>Date</w:t>
            </w:r>
          </w:p>
        </w:tc>
        <w:tc>
          <w:tcPr>
            <w:tcW w:w="2520" w:type="dxa"/>
            <w:vAlign w:val="bottom"/>
          </w:tcPr>
          <w:p>
            <w:pPr>
              <w:jc w:val="center"/>
              <w:ind w:left="207"/>
              <w:spacing w:after="0"/>
              <w:rPr>
                <w:sz w:val="20"/>
                <w:szCs w:val="20"/>
                <w:color w:val="auto"/>
              </w:rPr>
            </w:pPr>
            <w:r>
              <w:rPr>
                <w:rFonts w:ascii="Arial" w:cs="Arial" w:eastAsia="Arial" w:hAnsi="Arial"/>
                <w:sz w:val="21"/>
                <w:szCs w:val="21"/>
                <w:b w:val="1"/>
                <w:bCs w:val="1"/>
                <w:color w:val="auto"/>
              </w:rPr>
              <w:t>Time</w:t>
            </w:r>
          </w:p>
        </w:tc>
        <w:tc>
          <w:tcPr>
            <w:tcW w:w="3280" w:type="dxa"/>
            <w:vAlign w:val="bottom"/>
          </w:tcPr>
          <w:p>
            <w:pPr>
              <w:jc w:val="center"/>
              <w:ind w:left="73"/>
              <w:spacing w:after="0"/>
              <w:rPr>
                <w:sz w:val="20"/>
                <w:szCs w:val="20"/>
                <w:color w:val="auto"/>
              </w:rPr>
            </w:pPr>
            <w:r>
              <w:rPr>
                <w:rFonts w:ascii="Arial" w:cs="Arial" w:eastAsia="Arial" w:hAnsi="Arial"/>
                <w:sz w:val="21"/>
                <w:szCs w:val="21"/>
                <w:b w:val="1"/>
                <w:bCs w:val="1"/>
                <w:color w:val="auto"/>
              </w:rPr>
              <w:t>Virtual Meeting</w:t>
            </w:r>
          </w:p>
        </w:tc>
        <w:tc>
          <w:tcPr>
            <w:tcW w:w="1980" w:type="dxa"/>
            <w:vAlign w:val="bottom"/>
          </w:tcPr>
          <w:p>
            <w:pPr>
              <w:jc w:val="center"/>
              <w:ind w:left="351"/>
              <w:spacing w:after="0"/>
              <w:rPr>
                <w:sz w:val="20"/>
                <w:szCs w:val="20"/>
                <w:color w:val="auto"/>
              </w:rPr>
            </w:pPr>
            <w:r>
              <w:rPr>
                <w:rFonts w:ascii="Arial" w:cs="Arial" w:eastAsia="Arial" w:hAnsi="Arial"/>
                <w:sz w:val="21"/>
                <w:szCs w:val="21"/>
                <w:b w:val="1"/>
                <w:bCs w:val="1"/>
                <w:color w:val="auto"/>
              </w:rPr>
              <w:t>Record Date</w:t>
            </w:r>
          </w:p>
        </w:tc>
      </w:tr>
      <w:tr>
        <w:trPr>
          <w:trHeight w:val="226"/>
        </w:trPr>
        <w:tc>
          <w:tcPr>
            <w:tcW w:w="1760" w:type="dxa"/>
            <w:vAlign w:val="bottom"/>
          </w:tcPr>
          <w:p>
            <w:pPr>
              <w:jc w:val="center"/>
              <w:ind w:right="791"/>
              <w:spacing w:after="0"/>
              <w:rPr>
                <w:sz w:val="20"/>
                <w:szCs w:val="20"/>
                <w:color w:val="auto"/>
              </w:rPr>
            </w:pPr>
            <w:r>
              <w:rPr>
                <w:rFonts w:ascii="Arial" w:cs="Arial" w:eastAsia="Arial" w:hAnsi="Arial"/>
                <w:sz w:val="16"/>
                <w:szCs w:val="16"/>
                <w:color w:val="auto"/>
                <w:w w:val="98"/>
              </w:rPr>
              <w:t>Friday</w:t>
            </w:r>
          </w:p>
        </w:tc>
        <w:tc>
          <w:tcPr>
            <w:tcW w:w="2520" w:type="dxa"/>
            <w:vAlign w:val="bottom"/>
          </w:tcPr>
          <w:p>
            <w:pPr>
              <w:jc w:val="center"/>
              <w:ind w:left="207"/>
              <w:spacing w:after="0"/>
              <w:rPr>
                <w:sz w:val="20"/>
                <w:szCs w:val="20"/>
                <w:color w:val="auto"/>
              </w:rPr>
            </w:pPr>
            <w:r>
              <w:rPr>
                <w:rFonts w:ascii="Arial" w:cs="Arial" w:eastAsia="Arial" w:hAnsi="Arial"/>
                <w:sz w:val="16"/>
                <w:szCs w:val="16"/>
                <w:color w:val="auto"/>
              </w:rPr>
              <w:t>8:00 a.m. CDT</w:t>
            </w:r>
          </w:p>
        </w:tc>
        <w:tc>
          <w:tcPr>
            <w:tcW w:w="3280" w:type="dxa"/>
            <w:vAlign w:val="bottom"/>
          </w:tcPr>
          <w:p>
            <w:pPr>
              <w:jc w:val="center"/>
              <w:ind w:left="73"/>
              <w:spacing w:after="0"/>
              <w:rPr>
                <w:sz w:val="20"/>
                <w:szCs w:val="20"/>
                <w:color w:val="auto"/>
              </w:rPr>
            </w:pPr>
            <w:r>
              <w:rPr>
                <w:rFonts w:ascii="Arial" w:cs="Arial" w:eastAsia="Arial" w:hAnsi="Arial"/>
                <w:sz w:val="16"/>
                <w:szCs w:val="16"/>
                <w:color w:val="auto"/>
              </w:rPr>
              <w:t>This year’s meeting is a virtual</w:t>
            </w:r>
          </w:p>
        </w:tc>
        <w:tc>
          <w:tcPr>
            <w:tcW w:w="1980" w:type="dxa"/>
            <w:vAlign w:val="bottom"/>
          </w:tcPr>
          <w:p>
            <w:pPr>
              <w:jc w:val="center"/>
              <w:ind w:left="351"/>
              <w:spacing w:after="0"/>
              <w:rPr>
                <w:sz w:val="20"/>
                <w:szCs w:val="20"/>
                <w:color w:val="auto"/>
              </w:rPr>
            </w:pPr>
            <w:r>
              <w:rPr>
                <w:rFonts w:ascii="Arial" w:cs="Arial" w:eastAsia="Arial" w:hAnsi="Arial"/>
                <w:sz w:val="16"/>
                <w:szCs w:val="16"/>
                <w:color w:val="auto"/>
                <w:w w:val="99"/>
              </w:rPr>
              <w:t>The close of business</w:t>
            </w:r>
          </w:p>
        </w:tc>
      </w:tr>
      <w:tr>
        <w:trPr>
          <w:trHeight w:val="187"/>
        </w:trPr>
        <w:tc>
          <w:tcPr>
            <w:tcW w:w="1760" w:type="dxa"/>
            <w:vAlign w:val="bottom"/>
          </w:tcPr>
          <w:p>
            <w:pPr>
              <w:jc w:val="center"/>
              <w:ind w:right="791"/>
              <w:spacing w:after="0"/>
              <w:rPr>
                <w:sz w:val="20"/>
                <w:szCs w:val="20"/>
                <w:color w:val="auto"/>
              </w:rPr>
            </w:pPr>
            <w:r>
              <w:rPr>
                <w:rFonts w:ascii="Arial" w:cs="Arial" w:eastAsia="Arial" w:hAnsi="Arial"/>
                <w:sz w:val="16"/>
                <w:szCs w:val="16"/>
                <w:color w:val="auto"/>
                <w:w w:val="99"/>
              </w:rPr>
              <w:t>May 3, 2024</w:t>
            </w:r>
          </w:p>
        </w:tc>
        <w:tc>
          <w:tcPr>
            <w:tcW w:w="2520" w:type="dxa"/>
            <w:vAlign w:val="bottom"/>
          </w:tcPr>
          <w:p>
            <w:pPr>
              <w:spacing w:after="0"/>
              <w:rPr>
                <w:sz w:val="16"/>
                <w:szCs w:val="16"/>
                <w:color w:val="auto"/>
              </w:rPr>
            </w:pPr>
          </w:p>
        </w:tc>
        <w:tc>
          <w:tcPr>
            <w:tcW w:w="3280" w:type="dxa"/>
            <w:vAlign w:val="bottom"/>
          </w:tcPr>
          <w:p>
            <w:pPr>
              <w:jc w:val="center"/>
              <w:ind w:left="73"/>
              <w:spacing w:after="0"/>
              <w:rPr>
                <w:sz w:val="20"/>
                <w:szCs w:val="20"/>
                <w:color w:val="auto"/>
              </w:rPr>
            </w:pPr>
            <w:r>
              <w:rPr>
                <w:rFonts w:ascii="Arial" w:cs="Arial" w:eastAsia="Arial" w:hAnsi="Arial"/>
                <w:sz w:val="16"/>
                <w:szCs w:val="16"/>
                <w:color w:val="auto"/>
              </w:rPr>
              <w:t>shareholders meeting at</w:t>
            </w:r>
          </w:p>
        </w:tc>
        <w:tc>
          <w:tcPr>
            <w:tcW w:w="1980" w:type="dxa"/>
            <w:vAlign w:val="bottom"/>
          </w:tcPr>
          <w:p>
            <w:pPr>
              <w:jc w:val="center"/>
              <w:ind w:left="351"/>
              <w:spacing w:after="0"/>
              <w:rPr>
                <w:sz w:val="20"/>
                <w:szCs w:val="20"/>
                <w:color w:val="auto"/>
              </w:rPr>
            </w:pPr>
            <w:r>
              <w:rPr>
                <w:rFonts w:ascii="Arial" w:cs="Arial" w:eastAsia="Arial" w:hAnsi="Arial"/>
                <w:sz w:val="16"/>
                <w:szCs w:val="16"/>
                <w:color w:val="auto"/>
                <w:w w:val="99"/>
              </w:rPr>
              <w:t>February 23, 2024</w:t>
            </w:r>
          </w:p>
        </w:tc>
      </w:tr>
      <w:tr>
        <w:trPr>
          <w:trHeight w:val="211"/>
        </w:trPr>
        <w:tc>
          <w:tcPr>
            <w:tcW w:w="1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80" w:type="dxa"/>
            <w:vAlign w:val="bottom"/>
          </w:tcPr>
          <w:p>
            <w:pPr>
              <w:jc w:val="center"/>
              <w:ind w:left="73"/>
              <w:spacing w:after="0"/>
              <w:rPr>
                <w:sz w:val="20"/>
                <w:szCs w:val="20"/>
                <w:color w:val="auto"/>
              </w:rPr>
            </w:pPr>
            <w:r>
              <w:rPr>
                <w:rFonts w:ascii="Arial" w:cs="Arial" w:eastAsia="Arial" w:hAnsi="Arial"/>
                <w:sz w:val="16"/>
                <w:szCs w:val="16"/>
                <w:color w:val="auto"/>
                <w:w w:val="99"/>
              </w:rPr>
              <w:t>www.meetnow.global/MPJX244</w:t>
            </w:r>
          </w:p>
        </w:tc>
        <w:tc>
          <w:tcPr>
            <w:tcW w:w="1980" w:type="dxa"/>
            <w:vAlign w:val="bottom"/>
          </w:tcPr>
          <w:p>
            <w:pPr>
              <w:spacing w:after="0"/>
              <w:rPr>
                <w:sz w:val="18"/>
                <w:szCs w:val="18"/>
                <w:color w:val="auto"/>
              </w:rPr>
            </w:pPr>
          </w:p>
        </w:tc>
      </w:tr>
    </w:tbl>
    <w:p>
      <w:pPr>
        <w:spacing w:after="0" w:line="29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-73025</wp:posOffset>
            </wp:positionV>
            <wp:extent cx="422783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27830" cy="50800"/>
                    </a:xfrm>
                    <a:prstGeom prst="rect">
                      <a:avLst/>
                    </a:prstGeom>
                    <a:noFill/>
                  </pic:spPr>
                </pic:pic>
              </a:graphicData>
            </a:graphic>
          </wp:anchor>
        </w:drawing>
      </w:r>
    </w:p>
    <w:p>
      <w:pPr>
        <w:spacing w:after="0" w:line="100" w:lineRule="exact"/>
        <w:rPr>
          <w:sz w:val="20"/>
          <w:szCs w:val="20"/>
          <w:color w:val="auto"/>
        </w:rPr>
      </w:pPr>
    </w:p>
    <w:p>
      <w:pPr>
        <w:ind w:left="180" w:right="420"/>
        <w:spacing w:after="0" w:line="259" w:lineRule="auto"/>
        <w:rPr>
          <w:sz w:val="20"/>
          <w:szCs w:val="20"/>
          <w:color w:val="auto"/>
        </w:rPr>
      </w:pPr>
      <w:r>
        <w:rPr>
          <w:rFonts w:ascii="Arial" w:cs="Arial" w:eastAsia="Arial" w:hAnsi="Arial"/>
          <w:sz w:val="15"/>
          <w:szCs w:val="15"/>
          <w:color w:val="auto"/>
        </w:rPr>
        <w:t>Whether or not you plan to attend the meeting, it is important that your shares are represented and voted. If you are a shareholder of record (“registered shareholder”), we urge you to vote in advance of the meeting using one of the advance voting methods below. You can vote by any of the following methods: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720" w:type="dxa"/>
            <w:vAlign w:val="bottom"/>
          </w:tcPr>
          <w:p>
            <w:pPr>
              <w:jc w:val="center"/>
              <w:ind w:right="259"/>
              <w:spacing w:after="0"/>
              <w:rPr>
                <w:sz w:val="20"/>
                <w:szCs w:val="20"/>
                <w:color w:val="auto"/>
              </w:rPr>
            </w:pPr>
            <w:r>
              <w:rPr>
                <w:rFonts w:ascii="Arial" w:cs="Arial" w:eastAsia="Arial" w:hAnsi="Arial"/>
                <w:sz w:val="18"/>
                <w:szCs w:val="18"/>
                <w:b w:val="1"/>
                <w:bCs w:val="1"/>
                <w:color w:val="5D89B4"/>
                <w:w w:val="97"/>
              </w:rPr>
              <w:t>By Internet:</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5D89B4"/>
                <w:w w:val="96"/>
              </w:rPr>
              <w:t>By Phone: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5D89B4"/>
                <w:w w:val="98"/>
              </w:rPr>
              <w:t>By Mail:</w:t>
            </w:r>
          </w:p>
        </w:tc>
        <w:tc>
          <w:tcPr>
            <w:tcW w:w="1740" w:type="dxa"/>
            <w:vAlign w:val="bottom"/>
          </w:tcPr>
          <w:p>
            <w:pPr>
              <w:jc w:val="center"/>
              <w:ind w:left="318"/>
              <w:spacing w:after="0"/>
              <w:rPr>
                <w:sz w:val="20"/>
                <w:szCs w:val="20"/>
                <w:color w:val="auto"/>
              </w:rPr>
            </w:pPr>
            <w:r>
              <w:rPr>
                <w:rFonts w:ascii="Arial" w:cs="Arial" w:eastAsia="Arial" w:hAnsi="Arial"/>
                <w:sz w:val="18"/>
                <w:szCs w:val="18"/>
                <w:b w:val="1"/>
                <w:bCs w:val="1"/>
                <w:color w:val="5D89B4"/>
                <w:w w:val="99"/>
              </w:rPr>
              <w:t>By QR Code:</w:t>
            </w:r>
          </w:p>
        </w:tc>
      </w:tr>
      <w:tr>
        <w:trPr>
          <w:trHeight w:val="187"/>
        </w:trPr>
        <w:tc>
          <w:tcPr>
            <w:tcW w:w="2720" w:type="dxa"/>
            <w:vAlign w:val="bottom"/>
          </w:tcPr>
          <w:p>
            <w:pPr>
              <w:jc w:val="center"/>
              <w:ind w:right="259"/>
              <w:spacing w:after="0"/>
              <w:rPr>
                <w:sz w:val="20"/>
                <w:szCs w:val="20"/>
                <w:color w:val="auto"/>
              </w:rPr>
            </w:pPr>
            <w:r>
              <w:rPr>
                <w:rFonts w:ascii="Arial" w:cs="Arial" w:eastAsia="Arial" w:hAnsi="Arial"/>
                <w:sz w:val="16"/>
                <w:szCs w:val="16"/>
                <w:color w:val="auto"/>
                <w:w w:val="99"/>
              </w:rPr>
              <w:t>Prior to the 2024 Annual Meeting,</w:t>
            </w:r>
          </w:p>
        </w:tc>
        <w:tc>
          <w:tcPr>
            <w:tcW w:w="2400" w:type="dxa"/>
            <w:vAlign w:val="bottom"/>
          </w:tcPr>
          <w:p>
            <w:pPr>
              <w:jc w:val="center"/>
              <w:spacing w:after="0"/>
              <w:rPr>
                <w:sz w:val="20"/>
                <w:szCs w:val="20"/>
                <w:color w:val="auto"/>
              </w:rPr>
            </w:pPr>
            <w:r>
              <w:rPr>
                <w:rFonts w:ascii="Arial" w:cs="Arial" w:eastAsia="Arial" w:hAnsi="Arial"/>
                <w:sz w:val="16"/>
                <w:szCs w:val="16"/>
                <w:color w:val="auto"/>
              </w:rPr>
              <w:t>1-800-652-VOTE (8683)</w:t>
            </w:r>
          </w:p>
        </w:tc>
        <w:tc>
          <w:tcPr>
            <w:tcW w:w="3340" w:type="dxa"/>
            <w:vAlign w:val="bottom"/>
          </w:tcPr>
          <w:p>
            <w:pPr>
              <w:jc w:val="center"/>
              <w:spacing w:after="0"/>
              <w:rPr>
                <w:sz w:val="20"/>
                <w:szCs w:val="20"/>
                <w:color w:val="auto"/>
              </w:rPr>
            </w:pPr>
            <w:r>
              <w:rPr>
                <w:rFonts w:ascii="Arial" w:cs="Arial" w:eastAsia="Arial" w:hAnsi="Arial"/>
                <w:sz w:val="16"/>
                <w:szCs w:val="16"/>
                <w:color w:val="auto"/>
              </w:rPr>
              <w:t>Complete, sign and</w:t>
            </w:r>
          </w:p>
        </w:tc>
        <w:tc>
          <w:tcPr>
            <w:tcW w:w="1740" w:type="dxa"/>
            <w:vAlign w:val="bottom"/>
          </w:tcPr>
          <w:p>
            <w:pPr>
              <w:jc w:val="center"/>
              <w:ind w:left="318"/>
              <w:spacing w:after="0"/>
              <w:rPr>
                <w:sz w:val="20"/>
                <w:szCs w:val="20"/>
                <w:color w:val="auto"/>
              </w:rPr>
            </w:pPr>
            <w:r>
              <w:rPr>
                <w:rFonts w:ascii="Arial" w:cs="Arial" w:eastAsia="Arial" w:hAnsi="Arial"/>
                <w:sz w:val="16"/>
                <w:szCs w:val="16"/>
                <w:color w:val="auto"/>
              </w:rPr>
              <w:t>Scan this QR code</w:t>
            </w:r>
          </w:p>
        </w:tc>
      </w:tr>
      <w:tr>
        <w:trPr>
          <w:trHeight w:val="187"/>
        </w:trPr>
        <w:tc>
          <w:tcPr>
            <w:tcW w:w="2720" w:type="dxa"/>
            <w:vAlign w:val="bottom"/>
          </w:tcPr>
          <w:p>
            <w:pPr>
              <w:jc w:val="center"/>
              <w:ind w:right="239"/>
              <w:spacing w:after="0"/>
              <w:rPr>
                <w:sz w:val="20"/>
                <w:szCs w:val="20"/>
                <w:color w:val="auto"/>
              </w:rPr>
            </w:pPr>
            <w:r>
              <w:rPr>
                <w:rFonts w:ascii="Arial" w:cs="Arial" w:eastAsia="Arial" w:hAnsi="Arial"/>
                <w:sz w:val="16"/>
                <w:szCs w:val="16"/>
                <w:color w:val="auto"/>
              </w:rPr>
              <w:t>vote your shares online at</w:t>
            </w:r>
          </w:p>
        </w:tc>
        <w:tc>
          <w:tcPr>
            <w:tcW w:w="2400" w:type="dxa"/>
            <w:vAlign w:val="bottom"/>
          </w:tcPr>
          <w:p>
            <w:pPr>
              <w:jc w:val="center"/>
              <w:spacing w:after="0"/>
              <w:rPr>
                <w:sz w:val="20"/>
                <w:szCs w:val="20"/>
                <w:color w:val="auto"/>
              </w:rPr>
            </w:pPr>
            <w:r>
              <w:rPr>
                <w:rFonts w:ascii="Arial" w:cs="Arial" w:eastAsia="Arial" w:hAnsi="Arial"/>
                <w:sz w:val="16"/>
                <w:szCs w:val="16"/>
                <w:color w:val="auto"/>
              </w:rPr>
              <w:t>within the USA, US</w:t>
            </w:r>
          </w:p>
        </w:tc>
        <w:tc>
          <w:tcPr>
            <w:tcW w:w="3340" w:type="dxa"/>
            <w:vAlign w:val="bottom"/>
          </w:tcPr>
          <w:p>
            <w:pPr>
              <w:jc w:val="center"/>
              <w:spacing w:after="0"/>
              <w:rPr>
                <w:sz w:val="20"/>
                <w:szCs w:val="20"/>
                <w:color w:val="auto"/>
              </w:rPr>
            </w:pPr>
            <w:r>
              <w:rPr>
                <w:rFonts w:ascii="Arial" w:cs="Arial" w:eastAsia="Arial" w:hAnsi="Arial"/>
                <w:sz w:val="16"/>
                <w:szCs w:val="16"/>
                <w:color w:val="auto"/>
              </w:rPr>
              <w:t>return proxy card in the postage-paid</w:t>
            </w:r>
          </w:p>
        </w:tc>
        <w:tc>
          <w:tcPr>
            <w:tcW w:w="1740" w:type="dxa"/>
            <w:vAlign w:val="bottom"/>
          </w:tcPr>
          <w:p>
            <w:pPr>
              <w:jc w:val="center"/>
              <w:ind w:left="318"/>
              <w:spacing w:after="0"/>
              <w:rPr>
                <w:sz w:val="20"/>
                <w:szCs w:val="20"/>
                <w:color w:val="auto"/>
              </w:rPr>
            </w:pPr>
            <w:r>
              <w:rPr>
                <w:rFonts w:ascii="Arial" w:cs="Arial" w:eastAsia="Arial" w:hAnsi="Arial"/>
                <w:sz w:val="16"/>
                <w:szCs w:val="16"/>
                <w:color w:val="auto"/>
              </w:rPr>
              <w:t>24/7 to vote with</w:t>
            </w:r>
          </w:p>
        </w:tc>
      </w:tr>
      <w:tr>
        <w:trPr>
          <w:trHeight w:val="211"/>
        </w:trPr>
        <w:tc>
          <w:tcPr>
            <w:tcW w:w="2720" w:type="dxa"/>
            <w:vAlign w:val="bottom"/>
          </w:tcPr>
          <w:p>
            <w:pPr>
              <w:jc w:val="center"/>
              <w:ind w:right="259"/>
              <w:spacing w:after="0"/>
              <w:rPr>
                <w:sz w:val="20"/>
                <w:szCs w:val="20"/>
                <w:color w:val="auto"/>
              </w:rPr>
            </w:pPr>
            <w:r>
              <w:rPr>
                <w:rFonts w:ascii="Arial" w:cs="Arial" w:eastAsia="Arial" w:hAnsi="Arial"/>
                <w:sz w:val="16"/>
                <w:szCs w:val="16"/>
                <w:color w:val="auto"/>
                <w:w w:val="99"/>
              </w:rPr>
              <w:t>www.envisionreports.com/MAN</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territories and Canada</w:t>
            </w:r>
          </w:p>
        </w:tc>
        <w:tc>
          <w:tcPr>
            <w:tcW w:w="3340" w:type="dxa"/>
            <w:vAlign w:val="bottom"/>
          </w:tcPr>
          <w:p>
            <w:pPr>
              <w:jc w:val="center"/>
              <w:spacing w:after="0"/>
              <w:rPr>
                <w:sz w:val="20"/>
                <w:szCs w:val="20"/>
                <w:color w:val="auto"/>
              </w:rPr>
            </w:pPr>
            <w:r>
              <w:rPr>
                <w:rFonts w:ascii="Arial" w:cs="Arial" w:eastAsia="Arial" w:hAnsi="Arial"/>
                <w:sz w:val="16"/>
                <w:szCs w:val="16"/>
                <w:color w:val="auto"/>
              </w:rPr>
              <w:t>envelope provided</w:t>
            </w:r>
          </w:p>
        </w:tc>
        <w:tc>
          <w:tcPr>
            <w:tcW w:w="1740" w:type="dxa"/>
            <w:vAlign w:val="bottom"/>
          </w:tcPr>
          <w:p>
            <w:pPr>
              <w:jc w:val="center"/>
              <w:ind w:left="318"/>
              <w:spacing w:after="0"/>
              <w:rPr>
                <w:sz w:val="20"/>
                <w:szCs w:val="20"/>
                <w:color w:val="auto"/>
              </w:rPr>
            </w:pPr>
            <w:r>
              <w:rPr>
                <w:rFonts w:ascii="Arial" w:cs="Arial" w:eastAsia="Arial" w:hAnsi="Arial"/>
                <w:sz w:val="16"/>
                <w:szCs w:val="16"/>
                <w:color w:val="auto"/>
              </w:rPr>
              <w:t>your mobile device</w:t>
            </w:r>
          </w:p>
        </w:tc>
      </w:tr>
      <w:tr>
        <w:trPr>
          <w:trHeight w:val="283"/>
        </w:trPr>
        <w:tc>
          <w:tcPr>
            <w:tcW w:w="2720" w:type="dxa"/>
            <w:vAlign w:val="bottom"/>
          </w:tcPr>
          <w:p>
            <w:pPr>
              <w:jc w:val="center"/>
              <w:ind w:right="259"/>
              <w:spacing w:after="0"/>
              <w:rPr>
                <w:sz w:val="20"/>
                <w:szCs w:val="20"/>
                <w:color w:val="auto"/>
              </w:rPr>
            </w:pPr>
            <w:r>
              <w:rPr>
                <w:rFonts w:ascii="Arial" w:cs="Arial" w:eastAsia="Arial" w:hAnsi="Arial"/>
                <w:sz w:val="16"/>
                <w:szCs w:val="16"/>
                <w:color w:val="auto"/>
              </w:rPr>
              <w:t>During the 2024 Annual Meeting,</w:t>
            </w:r>
          </w:p>
        </w:tc>
        <w:tc>
          <w:tcPr>
            <w:tcW w:w="2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7"/>
        </w:trPr>
        <w:tc>
          <w:tcPr>
            <w:tcW w:w="2720" w:type="dxa"/>
            <w:vAlign w:val="bottom"/>
          </w:tcPr>
          <w:p>
            <w:pPr>
              <w:jc w:val="center"/>
              <w:ind w:right="239"/>
              <w:spacing w:after="0"/>
              <w:rPr>
                <w:sz w:val="20"/>
                <w:szCs w:val="20"/>
                <w:color w:val="auto"/>
              </w:rPr>
            </w:pPr>
            <w:r>
              <w:rPr>
                <w:rFonts w:ascii="Arial" w:cs="Arial" w:eastAsia="Arial" w:hAnsi="Arial"/>
                <w:sz w:val="16"/>
                <w:szCs w:val="16"/>
                <w:color w:val="auto"/>
              </w:rPr>
              <w:t>vote your shares online at</w:t>
            </w:r>
          </w:p>
        </w:tc>
        <w:tc>
          <w:tcPr>
            <w:tcW w:w="24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1"/>
        </w:trPr>
        <w:tc>
          <w:tcPr>
            <w:tcW w:w="2720" w:type="dxa"/>
            <w:vAlign w:val="bottom"/>
          </w:tcPr>
          <w:p>
            <w:pPr>
              <w:jc w:val="center"/>
              <w:ind w:right="239"/>
              <w:spacing w:after="0"/>
              <w:rPr>
                <w:sz w:val="20"/>
                <w:szCs w:val="20"/>
                <w:color w:val="auto"/>
              </w:rPr>
            </w:pPr>
            <w:r>
              <w:rPr>
                <w:rFonts w:ascii="Arial" w:cs="Arial" w:eastAsia="Arial" w:hAnsi="Arial"/>
                <w:sz w:val="16"/>
                <w:szCs w:val="16"/>
                <w:color w:val="auto"/>
                <w:w w:val="99"/>
              </w:rPr>
              <w:t>www.meetnow.global/MPJX244</w:t>
            </w:r>
          </w:p>
        </w:tc>
        <w:tc>
          <w:tcPr>
            <w:tcW w:w="2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6019800</wp:posOffset>
            </wp:positionH>
            <wp:positionV relativeFrom="paragraph">
              <wp:posOffset>-285115</wp:posOffset>
            </wp:positionV>
            <wp:extent cx="372745" cy="372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2745" cy="372745"/>
                    </a:xfrm>
                    <a:prstGeom prst="rect">
                      <a:avLst/>
                    </a:prstGeom>
                    <a:noFill/>
                  </pic:spPr>
                </pic:pic>
              </a:graphicData>
            </a:graphic>
          </wp:anchor>
        </w:drawing>
      </w:r>
    </w:p>
    <w:p>
      <w:pPr>
        <w:spacing w:after="0" w:line="326" w:lineRule="exact"/>
        <w:rPr>
          <w:sz w:val="20"/>
          <w:szCs w:val="20"/>
          <w:color w:val="auto"/>
        </w:rPr>
      </w:pPr>
    </w:p>
    <w:p>
      <w:pPr>
        <w:ind w:left="180" w:right="80"/>
        <w:spacing w:after="0" w:line="241" w:lineRule="auto"/>
        <w:rPr>
          <w:sz w:val="20"/>
          <w:szCs w:val="20"/>
          <w:color w:val="auto"/>
        </w:rPr>
      </w:pPr>
      <w:r>
        <w:rPr>
          <w:rFonts w:ascii="Arial" w:cs="Arial" w:eastAsia="Arial" w:hAnsi="Arial"/>
          <w:sz w:val="15"/>
          <w:szCs w:val="15"/>
          <w:color w:val="auto"/>
        </w:rPr>
        <w:t>All registered shareholders and those holding legal proxy will still be able to vote online during the meeting, even if they previously submitted their proxy. If your shares are held in street name through a bank, broker or other holder of record (“beneficial holder”), you will receive instructions from the holder of record that you must follow in order for your shares to be voted.</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Items of Business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172085</wp:posOffset>
            </wp:positionV>
            <wp:extent cx="6913880" cy="296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13880" cy="296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260"/>
        <w:spacing w:after="0"/>
        <w:tabs>
          <w:tab w:leader="none" w:pos="1920" w:val="left"/>
        </w:tabs>
        <w:rPr>
          <w:sz w:val="20"/>
          <w:szCs w:val="20"/>
          <w:color w:val="auto"/>
        </w:rPr>
      </w:pPr>
      <w:r>
        <w:rPr>
          <w:rFonts w:ascii="Arial" w:cs="Arial" w:eastAsia="Arial" w:hAnsi="Arial"/>
          <w:sz w:val="14"/>
          <w:szCs w:val="14"/>
          <w:b w:val="1"/>
          <w:bCs w:val="1"/>
          <w:color w:val="5D89B4"/>
        </w:rPr>
        <w:t>PROPOSAL</w:t>
      </w:r>
      <w:r>
        <w:rPr>
          <w:sz w:val="20"/>
          <w:szCs w:val="20"/>
          <w:color w:val="auto"/>
        </w:rPr>
        <w:tab/>
      </w:r>
      <w:r>
        <w:rPr>
          <w:rFonts w:ascii="Arial" w:cs="Arial" w:eastAsia="Arial" w:hAnsi="Arial"/>
          <w:sz w:val="14"/>
          <w:szCs w:val="14"/>
          <w:b w:val="1"/>
          <w:bCs w:val="1"/>
          <w:color w:val="5D89B4"/>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-205740</wp:posOffset>
            </wp:positionV>
            <wp:extent cx="6176645" cy="254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6645" cy="254000"/>
                    </a:xfrm>
                    <a:prstGeom prst="rect">
                      <a:avLst/>
                    </a:prstGeom>
                    <a:noFill/>
                  </pic:spPr>
                </pic:pic>
              </a:graphicData>
            </a:graphic>
          </wp:anchor>
        </w:drawing>
      </w:r>
    </w:p>
    <w:p>
      <w:pPr>
        <w:spacing w:after="0" w:line="148" w:lineRule="exact"/>
        <w:rPr>
          <w:sz w:val="20"/>
          <w:szCs w:val="20"/>
          <w:color w:val="auto"/>
        </w:rPr>
      </w:pPr>
    </w:p>
    <w:p>
      <w:pPr>
        <w:ind w:left="1940" w:right="280" w:hanging="1234"/>
        <w:spacing w:after="0" w:line="180" w:lineRule="auto"/>
        <w:tabs>
          <w:tab w:leader="none" w:pos="1940" w:val="left"/>
        </w:tabs>
        <w:numPr>
          <w:ilvl w:val="0"/>
          <w:numId w:val="6"/>
        </w:numPr>
        <w:rPr>
          <w:rFonts w:ascii="Arial" w:cs="Arial" w:eastAsia="Arial" w:hAnsi="Arial"/>
          <w:sz w:val="32"/>
          <w:szCs w:val="32"/>
          <w:b w:val="1"/>
          <w:bCs w:val="1"/>
          <w:color w:val="5D89B4"/>
          <w:vertAlign w:val="subscript"/>
        </w:rPr>
      </w:pPr>
      <w:r>
        <w:rPr>
          <w:rFonts w:ascii="Arial" w:cs="Arial" w:eastAsia="Arial" w:hAnsi="Arial"/>
          <w:sz w:val="14"/>
          <w:szCs w:val="14"/>
          <w:color w:val="auto"/>
        </w:rPr>
        <w:t>To elect eleven individuals nominated by the Board of Directors of ManpowerGroup to serve until 2025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62230</wp:posOffset>
            </wp:positionV>
            <wp:extent cx="69138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jc w:val="center"/>
              <w:ind w:right="247"/>
              <w:spacing w:after="0"/>
              <w:rPr>
                <w:sz w:val="20"/>
                <w:szCs w:val="20"/>
                <w:color w:val="auto"/>
              </w:rPr>
            </w:pPr>
            <w:r>
              <w:rPr>
                <w:rFonts w:ascii="Arial" w:cs="Arial" w:eastAsia="Arial" w:hAnsi="Arial"/>
                <w:sz w:val="14"/>
                <w:szCs w:val="14"/>
                <w:b w:val="1"/>
                <w:bCs w:val="1"/>
                <w:color w:val="5D89B4"/>
              </w:rPr>
              <w:t>BOARD VOTE</w:t>
            </w:r>
          </w:p>
        </w:tc>
        <w:tc>
          <w:tcPr>
            <w:tcW w:w="1720" w:type="dxa"/>
            <w:vAlign w:val="bottom"/>
          </w:tcPr>
          <w:p>
            <w:pPr>
              <w:jc w:val="center"/>
              <w:ind w:left="247"/>
              <w:spacing w:after="0"/>
              <w:rPr>
                <w:sz w:val="20"/>
                <w:szCs w:val="20"/>
                <w:color w:val="auto"/>
              </w:rPr>
            </w:pPr>
            <w:r>
              <w:rPr>
                <w:rFonts w:ascii="Arial" w:cs="Arial" w:eastAsia="Arial" w:hAnsi="Arial"/>
                <w:sz w:val="14"/>
                <w:szCs w:val="14"/>
                <w:b w:val="1"/>
                <w:bCs w:val="1"/>
                <w:color w:val="5D89B4"/>
              </w:rPr>
              <w:t>PAGE REFERENCE</w:t>
            </w:r>
          </w:p>
        </w:tc>
      </w:tr>
      <w:tr>
        <w:trPr>
          <w:trHeight w:val="208"/>
        </w:trPr>
        <w:tc>
          <w:tcPr>
            <w:tcW w:w="1760" w:type="dxa"/>
            <w:vAlign w:val="bottom"/>
          </w:tcPr>
          <w:p>
            <w:pPr>
              <w:jc w:val="center"/>
              <w:ind w:right="267"/>
              <w:spacing w:after="0"/>
              <w:rPr>
                <w:sz w:val="20"/>
                <w:szCs w:val="20"/>
                <w:color w:val="auto"/>
              </w:rPr>
            </w:pPr>
            <w:r>
              <w:rPr>
                <w:rFonts w:ascii="Arial" w:cs="Arial" w:eastAsia="Arial" w:hAnsi="Arial"/>
                <w:sz w:val="14"/>
                <w:szCs w:val="14"/>
                <w:b w:val="1"/>
                <w:bCs w:val="1"/>
                <w:color w:val="5D89B4"/>
              </w:rPr>
              <w:t>RECOMMENDATION</w:t>
            </w:r>
          </w:p>
        </w:tc>
        <w:tc>
          <w:tcPr>
            <w:tcW w:w="1720" w:type="dxa"/>
            <w:vAlign w:val="bottom"/>
          </w:tcPr>
          <w:p>
            <w:pPr>
              <w:jc w:val="center"/>
              <w:ind w:left="247"/>
              <w:spacing w:after="0"/>
              <w:rPr>
                <w:sz w:val="20"/>
                <w:szCs w:val="20"/>
                <w:color w:val="auto"/>
              </w:rPr>
            </w:pPr>
            <w:r>
              <w:rPr>
                <w:rFonts w:ascii="Arial" w:cs="Arial" w:eastAsia="Arial" w:hAnsi="Arial"/>
                <w:sz w:val="14"/>
                <w:szCs w:val="14"/>
                <w:b w:val="1"/>
                <w:bCs w:val="1"/>
                <w:color w:val="5D89B4"/>
              </w:rPr>
              <w:t>(FOR MORE DETAIL)</w:t>
            </w:r>
          </w:p>
        </w:tc>
      </w:tr>
      <w:tr>
        <w:trPr>
          <w:trHeight w:val="358"/>
        </w:trPr>
        <w:tc>
          <w:tcPr>
            <w:tcW w:w="1760" w:type="dxa"/>
            <w:vAlign w:val="bottom"/>
          </w:tcPr>
          <w:p>
            <w:pPr>
              <w:jc w:val="center"/>
              <w:ind w:right="247"/>
              <w:spacing w:after="0"/>
              <w:rPr>
                <w:sz w:val="20"/>
                <w:szCs w:val="20"/>
                <w:color w:val="auto"/>
              </w:rPr>
            </w:pPr>
            <w:r>
              <w:rPr>
                <w:rFonts w:ascii="Arial" w:cs="Arial" w:eastAsia="Arial" w:hAnsi="Arial"/>
                <w:sz w:val="15"/>
                <w:szCs w:val="15"/>
                <w:color w:val="auto"/>
                <w:w w:val="98"/>
              </w:rPr>
              <w:t>FOR each of</w:t>
            </w:r>
          </w:p>
        </w:tc>
        <w:tc>
          <w:tcPr>
            <w:tcW w:w="1720" w:type="dxa"/>
            <w:vAlign w:val="bottom"/>
          </w:tcPr>
          <w:p>
            <w:pPr>
              <w:jc w:val="center"/>
              <w:ind w:left="247"/>
              <w:spacing w:after="0"/>
              <w:rPr>
                <w:sz w:val="20"/>
                <w:szCs w:val="20"/>
                <w:color w:val="auto"/>
              </w:rPr>
            </w:pPr>
            <w:r>
              <w:rPr>
                <w:rFonts w:ascii="Arial" w:cs="Arial" w:eastAsia="Arial" w:hAnsi="Arial"/>
                <w:sz w:val="15"/>
                <w:szCs w:val="15"/>
                <w:color w:val="auto"/>
                <w:w w:val="95"/>
              </w:rPr>
              <w:t>81</w:t>
            </w:r>
          </w:p>
        </w:tc>
      </w:tr>
      <w:tr>
        <w:trPr>
          <w:trHeight w:val="199"/>
        </w:trPr>
        <w:tc>
          <w:tcPr>
            <w:tcW w:w="1760" w:type="dxa"/>
            <w:vAlign w:val="bottom"/>
          </w:tcPr>
          <w:p>
            <w:pPr>
              <w:jc w:val="center"/>
              <w:ind w:right="247"/>
              <w:spacing w:after="0"/>
              <w:rPr>
                <w:sz w:val="20"/>
                <w:szCs w:val="20"/>
                <w:color w:val="auto"/>
              </w:rPr>
            </w:pPr>
            <w:r>
              <w:rPr>
                <w:rFonts w:ascii="Arial" w:cs="Arial" w:eastAsia="Arial" w:hAnsi="Arial"/>
                <w:sz w:val="15"/>
                <w:szCs w:val="15"/>
                <w:color w:val="auto"/>
                <w:w w:val="99"/>
              </w:rPr>
              <w:t>the director nominees</w:t>
            </w:r>
          </w:p>
        </w:tc>
        <w:tc>
          <w:tcPr>
            <w:tcW w:w="1720" w:type="dxa"/>
            <w:vAlign w:val="bottom"/>
          </w:tcPr>
          <w:p>
            <w:pPr>
              <w:spacing w:after="0"/>
              <w:rPr>
                <w:sz w:val="17"/>
                <w:szCs w:val="17"/>
                <w:color w:val="auto"/>
              </w:rPr>
            </w:pPr>
          </w:p>
        </w:tc>
      </w:tr>
    </w:tbl>
    <w:p>
      <w:pPr>
        <w:spacing w:after="0" w:line="164" w:lineRule="exact"/>
        <w:rPr>
          <w:sz w:val="20"/>
          <w:szCs w:val="20"/>
          <w:color w:val="auto"/>
        </w:rPr>
      </w:pPr>
    </w:p>
    <w:p>
      <w:pPr>
        <w:sectPr>
          <w:pgSz w:w="11900" w:h="16838" w:orient="portrait"/>
          <w:cols w:equalWidth="0" w:num="2">
            <w:col w:w="6860" w:space="720"/>
            <w:col w:w="3480"/>
          </w:cols>
          <w:pgMar w:left="320" w:top="480" w:right="519" w:bottom="1440" w:gutter="0" w:footer="0" w:header="0"/>
          <w:type w:val="continuous"/>
        </w:sectPr>
      </w:pPr>
    </w:p>
    <w:tbl>
      <w:tblPr>
        <w:tblLayout w:type="fixed"/>
        <w:tblInd w:w="180" w:type="dxa"/>
        <w:tblCellMar>
          <w:top w:w="0" w:type="dxa"/>
          <w:left w:w="0" w:type="dxa"/>
          <w:bottom w:w="0" w:type="dxa"/>
          <w:right w:w="0" w:type="dxa"/>
        </w:tblCellMar>
      </w:tblPr>
      <w:tr>
        <w:trPr>
          <w:trHeight w:val="187"/>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2</w:t>
            </w:r>
          </w:p>
        </w:tc>
        <w:tc>
          <w:tcPr>
            <w:tcW w:w="6200" w:type="dxa"/>
            <w:vAlign w:val="bottom"/>
          </w:tcPr>
          <w:p>
            <w:pPr>
              <w:ind w:left="560"/>
              <w:spacing w:after="0"/>
              <w:rPr>
                <w:sz w:val="20"/>
                <w:szCs w:val="20"/>
                <w:color w:val="auto"/>
              </w:rPr>
            </w:pPr>
            <w:r>
              <w:rPr>
                <w:rFonts w:ascii="Arial" w:cs="Arial" w:eastAsia="Arial" w:hAnsi="Arial"/>
                <w:sz w:val="16"/>
                <w:szCs w:val="16"/>
                <w:color w:val="auto"/>
              </w:rPr>
              <w:t>To ratify the appointment of Deloitte &amp; Touche LLP as our independent</w:t>
            </w:r>
          </w:p>
        </w:tc>
        <w:tc>
          <w:tcPr>
            <w:tcW w:w="1780" w:type="dxa"/>
            <w:vAlign w:val="bottom"/>
            <w:vMerge w:val="restart"/>
          </w:tcPr>
          <w:p>
            <w:pPr>
              <w:ind w:left="560"/>
              <w:spacing w:after="0"/>
              <w:rPr>
                <w:sz w:val="20"/>
                <w:szCs w:val="20"/>
                <w:color w:val="auto"/>
              </w:rPr>
            </w:pPr>
            <w:r>
              <w:rPr>
                <w:rFonts w:ascii="Arial" w:cs="Arial" w:eastAsia="Arial" w:hAnsi="Arial"/>
                <w:sz w:val="15"/>
                <w:szCs w:val="15"/>
                <w:color w:val="auto"/>
              </w:rPr>
              <w:t>FOR</w:t>
            </w:r>
          </w:p>
        </w:tc>
        <w:tc>
          <w:tcPr>
            <w:tcW w:w="1700" w:type="dxa"/>
            <w:vAlign w:val="bottom"/>
            <w:vMerge w:val="restart"/>
          </w:tcPr>
          <w:p>
            <w:pPr>
              <w:jc w:val="right"/>
              <w:ind w:right="544"/>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6200" w:type="dxa"/>
            <w:vAlign w:val="bottom"/>
            <w:vMerge w:val="restart"/>
          </w:tcPr>
          <w:p>
            <w:pPr>
              <w:ind w:left="560"/>
              <w:spacing w:after="0"/>
              <w:rPr>
                <w:sz w:val="20"/>
                <w:szCs w:val="20"/>
                <w:color w:val="auto"/>
              </w:rPr>
            </w:pPr>
            <w:r>
              <w:rPr>
                <w:rFonts w:ascii="Arial" w:cs="Arial" w:eastAsia="Arial" w:hAnsi="Arial"/>
                <w:sz w:val="16"/>
                <w:szCs w:val="16"/>
                <w:color w:val="auto"/>
              </w:rPr>
              <w:t>auditors for 2024;</w:t>
            </w:r>
          </w:p>
        </w:tc>
        <w:tc>
          <w:tcPr>
            <w:tcW w:w="178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00" w:type="dxa"/>
            <w:vAlign w:val="bottom"/>
          </w:tcPr>
          <w:p>
            <w:pPr>
              <w:spacing w:after="0"/>
              <w:rPr>
                <w:sz w:val="5"/>
                <w:szCs w:val="5"/>
                <w:color w:val="auto"/>
              </w:rPr>
            </w:pPr>
          </w:p>
        </w:tc>
        <w:tc>
          <w:tcPr>
            <w:tcW w:w="62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200" w:type="dxa"/>
            <w:vAlign w:val="bottom"/>
            <w:tcBorders>
              <w:bottom w:val="single" w:sz="8" w:color="5D89B4"/>
            </w:tcBorders>
          </w:tcPr>
          <w:p>
            <w:pPr>
              <w:spacing w:after="0"/>
              <w:rPr>
                <w:sz w:val="8"/>
                <w:szCs w:val="8"/>
                <w:color w:val="auto"/>
              </w:rPr>
            </w:pPr>
          </w:p>
        </w:tc>
        <w:tc>
          <w:tcPr>
            <w:tcW w:w="6200" w:type="dxa"/>
            <w:vAlign w:val="bottom"/>
            <w:tcBorders>
              <w:bottom w:val="single" w:sz="8" w:color="5D89B4"/>
            </w:tcBorders>
          </w:tcPr>
          <w:p>
            <w:pPr>
              <w:spacing w:after="0"/>
              <w:rPr>
                <w:sz w:val="8"/>
                <w:szCs w:val="8"/>
                <w:color w:val="auto"/>
              </w:rPr>
            </w:pPr>
          </w:p>
        </w:tc>
        <w:tc>
          <w:tcPr>
            <w:tcW w:w="1780" w:type="dxa"/>
            <w:vAlign w:val="bottom"/>
            <w:tcBorders>
              <w:bottom w:val="single" w:sz="8" w:color="5D89B4"/>
            </w:tcBorders>
          </w:tcPr>
          <w:p>
            <w:pPr>
              <w:spacing w:after="0"/>
              <w:rPr>
                <w:sz w:val="8"/>
                <w:szCs w:val="8"/>
                <w:color w:val="auto"/>
              </w:rPr>
            </w:pPr>
          </w:p>
        </w:tc>
        <w:tc>
          <w:tcPr>
            <w:tcW w:w="170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3</w:t>
            </w:r>
          </w:p>
        </w:tc>
        <w:tc>
          <w:tcPr>
            <w:tcW w:w="6200" w:type="dxa"/>
            <w:vAlign w:val="bottom"/>
          </w:tcPr>
          <w:p>
            <w:pPr>
              <w:ind w:left="560"/>
              <w:spacing w:after="0"/>
              <w:rPr>
                <w:sz w:val="20"/>
                <w:szCs w:val="20"/>
                <w:color w:val="auto"/>
              </w:rPr>
            </w:pPr>
            <w:r>
              <w:rPr>
                <w:rFonts w:ascii="Arial" w:cs="Arial" w:eastAsia="Arial" w:hAnsi="Arial"/>
                <w:sz w:val="16"/>
                <w:szCs w:val="16"/>
                <w:color w:val="auto"/>
              </w:rPr>
              <w:t>To hold an advisory vote on approval of the compensation of our named</w:t>
            </w:r>
          </w:p>
        </w:tc>
        <w:tc>
          <w:tcPr>
            <w:tcW w:w="1780" w:type="dxa"/>
            <w:vAlign w:val="bottom"/>
            <w:vMerge w:val="restart"/>
          </w:tcPr>
          <w:p>
            <w:pPr>
              <w:ind w:left="560"/>
              <w:spacing w:after="0"/>
              <w:rPr>
                <w:sz w:val="20"/>
                <w:szCs w:val="20"/>
                <w:color w:val="auto"/>
              </w:rPr>
            </w:pPr>
            <w:r>
              <w:rPr>
                <w:rFonts w:ascii="Arial" w:cs="Arial" w:eastAsia="Arial" w:hAnsi="Arial"/>
                <w:sz w:val="15"/>
                <w:szCs w:val="15"/>
                <w:color w:val="auto"/>
              </w:rPr>
              <w:t>FOR</w:t>
            </w:r>
          </w:p>
        </w:tc>
        <w:tc>
          <w:tcPr>
            <w:tcW w:w="1700" w:type="dxa"/>
            <w:vAlign w:val="bottom"/>
            <w:vMerge w:val="restart"/>
          </w:tcPr>
          <w:p>
            <w:pPr>
              <w:jc w:val="right"/>
              <w:ind w:right="544"/>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6200" w:type="dxa"/>
            <w:vAlign w:val="bottom"/>
            <w:vMerge w:val="restart"/>
          </w:tcPr>
          <w:p>
            <w:pPr>
              <w:ind w:left="560"/>
              <w:spacing w:after="0"/>
              <w:rPr>
                <w:sz w:val="20"/>
                <w:szCs w:val="20"/>
                <w:color w:val="auto"/>
              </w:rPr>
            </w:pPr>
            <w:r>
              <w:rPr>
                <w:rFonts w:ascii="Arial" w:cs="Arial" w:eastAsia="Arial" w:hAnsi="Arial"/>
                <w:sz w:val="16"/>
                <w:szCs w:val="16"/>
                <w:color w:val="auto"/>
              </w:rPr>
              <w:t>executive officers; and</w:t>
            </w:r>
          </w:p>
        </w:tc>
        <w:tc>
          <w:tcPr>
            <w:tcW w:w="178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00" w:type="dxa"/>
            <w:vAlign w:val="bottom"/>
          </w:tcPr>
          <w:p>
            <w:pPr>
              <w:spacing w:after="0"/>
              <w:rPr>
                <w:sz w:val="5"/>
                <w:szCs w:val="5"/>
                <w:color w:val="auto"/>
              </w:rPr>
            </w:pPr>
          </w:p>
        </w:tc>
        <w:tc>
          <w:tcPr>
            <w:tcW w:w="62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200" w:type="dxa"/>
            <w:vAlign w:val="bottom"/>
            <w:tcBorders>
              <w:bottom w:val="single" w:sz="8" w:color="5D89B4"/>
            </w:tcBorders>
          </w:tcPr>
          <w:p>
            <w:pPr>
              <w:spacing w:after="0"/>
              <w:rPr>
                <w:sz w:val="8"/>
                <w:szCs w:val="8"/>
                <w:color w:val="auto"/>
              </w:rPr>
            </w:pPr>
          </w:p>
        </w:tc>
        <w:tc>
          <w:tcPr>
            <w:tcW w:w="6200" w:type="dxa"/>
            <w:vAlign w:val="bottom"/>
            <w:tcBorders>
              <w:bottom w:val="single" w:sz="8" w:color="5D89B4"/>
            </w:tcBorders>
          </w:tcPr>
          <w:p>
            <w:pPr>
              <w:spacing w:after="0"/>
              <w:rPr>
                <w:sz w:val="8"/>
                <w:szCs w:val="8"/>
                <w:color w:val="auto"/>
              </w:rPr>
            </w:pPr>
          </w:p>
        </w:tc>
        <w:tc>
          <w:tcPr>
            <w:tcW w:w="1780" w:type="dxa"/>
            <w:vAlign w:val="bottom"/>
            <w:tcBorders>
              <w:bottom w:val="single" w:sz="8" w:color="5D89B4"/>
            </w:tcBorders>
          </w:tcPr>
          <w:p>
            <w:pPr>
              <w:spacing w:after="0"/>
              <w:rPr>
                <w:sz w:val="8"/>
                <w:szCs w:val="8"/>
                <w:color w:val="auto"/>
              </w:rPr>
            </w:pPr>
          </w:p>
        </w:tc>
        <w:tc>
          <w:tcPr>
            <w:tcW w:w="170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940" w:hanging="1234"/>
        <w:spacing w:after="0"/>
        <w:tabs>
          <w:tab w:leader="none" w:pos="1940" w:val="left"/>
        </w:tabs>
        <w:numPr>
          <w:ilvl w:val="0"/>
          <w:numId w:val="7"/>
        </w:numPr>
        <w:rPr>
          <w:rFonts w:ascii="Arial" w:cs="Arial" w:eastAsia="Arial" w:hAnsi="Arial"/>
          <w:sz w:val="20"/>
          <w:szCs w:val="20"/>
          <w:b w:val="1"/>
          <w:bCs w:val="1"/>
          <w:color w:val="5D89B4"/>
        </w:rPr>
      </w:pPr>
      <w:r>
        <w:rPr>
          <w:rFonts w:ascii="Arial" w:cs="Arial" w:eastAsia="Arial" w:hAnsi="Arial"/>
          <w:sz w:val="16"/>
          <w:szCs w:val="16"/>
          <w:color w:val="auto"/>
        </w:rPr>
        <w:t>To transact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61595</wp:posOffset>
            </wp:positionV>
            <wp:extent cx="69138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6" w:lineRule="exact"/>
        <w:rPr>
          <w:sz w:val="20"/>
          <w:szCs w:val="20"/>
          <w:color w:val="auto"/>
        </w:rPr>
      </w:pPr>
    </w:p>
    <w:p>
      <w:pPr>
        <w:ind w:left="180" w:right="340"/>
        <w:spacing w:after="0" w:line="259" w:lineRule="auto"/>
        <w:rPr>
          <w:sz w:val="20"/>
          <w:szCs w:val="20"/>
          <w:color w:val="auto"/>
        </w:rPr>
      </w:pPr>
      <w:r>
        <w:rPr>
          <w:rFonts w:ascii="Arial" w:cs="Arial" w:eastAsia="Arial" w:hAnsi="Arial"/>
          <w:sz w:val="15"/>
          <w:szCs w:val="15"/>
          <w:color w:val="auto"/>
        </w:rPr>
        <w:t>Holders of a majority of the outstanding shares must be present in person or by proxy in order for the annual meeting to be held. For purposes of our meeting, people who attend virtually will be considered in-person.</w:t>
      </w:r>
    </w:p>
    <w:p>
      <w:pPr>
        <w:spacing w:after="0" w:line="165" w:lineRule="exact"/>
        <w:rPr>
          <w:sz w:val="20"/>
          <w:szCs w:val="20"/>
          <w:color w:val="auto"/>
        </w:rPr>
      </w:pPr>
    </w:p>
    <w:p>
      <w:pPr>
        <w:ind w:left="180" w:right="260"/>
        <w:spacing w:after="0" w:line="278" w:lineRule="auto"/>
        <w:rPr>
          <w:sz w:val="20"/>
          <w:szCs w:val="20"/>
          <w:color w:val="auto"/>
        </w:rPr>
      </w:pPr>
      <w:r>
        <w:rPr>
          <w:rFonts w:ascii="Arial" w:cs="Arial" w:eastAsia="Arial" w:hAnsi="Arial"/>
          <w:sz w:val="16"/>
          <w:szCs w:val="16"/>
          <w:b w:val="1"/>
          <w:bCs w:val="1"/>
          <w:color w:val="5D89B4"/>
        </w:rPr>
        <w:t xml:space="preserve">Important Notice Regarding the Availability of Proxy Materials for the Annual Meeting of Shareholders to be held on May 3, 2024: </w:t>
      </w:r>
      <w:r>
        <w:rPr>
          <w:rFonts w:ascii="Arial" w:cs="Arial" w:eastAsia="Arial" w:hAnsi="Arial"/>
          <w:sz w:val="16"/>
          <w:szCs w:val="16"/>
          <w:color w:val="5D89B4"/>
        </w:rPr>
        <w:t>The annual</w:t>
      </w:r>
      <w:r>
        <w:rPr>
          <w:rFonts w:ascii="Arial" w:cs="Arial" w:eastAsia="Arial" w:hAnsi="Arial"/>
          <w:sz w:val="16"/>
          <w:szCs w:val="16"/>
          <w:b w:val="1"/>
          <w:bCs w:val="1"/>
          <w:color w:val="5D89B4"/>
        </w:rPr>
        <w:t xml:space="preserve"> </w:t>
      </w:r>
      <w:r>
        <w:rPr>
          <w:rFonts w:ascii="Arial" w:cs="Arial" w:eastAsia="Arial" w:hAnsi="Arial"/>
          <w:sz w:val="16"/>
          <w:szCs w:val="16"/>
          <w:color w:val="5D89B4"/>
        </w:rPr>
        <w:t>report on Form 10-K and proxy statement of ManpowerGroup are available for review at www.envisionreports.com/MAN.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By Order of the Board of Directors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Richard Buchband, Secretary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104140</wp:posOffset>
            </wp:positionV>
            <wp:extent cx="69138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42"/>
          <w:szCs w:val="42"/>
          <w:b w:val="1"/>
          <w:bCs w:val="1"/>
          <w:color w:val="5D89B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68580</wp:posOffset>
            </wp:positionV>
            <wp:extent cx="691388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3880" cy="33655"/>
                    </a:xfrm>
                    <a:prstGeom prst="rect">
                      <a:avLst/>
                    </a:prstGeom>
                    <a:noFill/>
                  </pic:spPr>
                </pic:pic>
              </a:graphicData>
            </a:graphic>
          </wp:anchor>
        </w:drawing>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-97790</wp:posOffset>
            </wp:positionV>
            <wp:extent cx="6913880" cy="6142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3880" cy="614235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53" w:lineRule="exact"/>
        <w:rPr>
          <w:sz w:val="20"/>
          <w:szCs w:val="20"/>
          <w:color w:val="auto"/>
        </w:rPr>
      </w:pPr>
    </w:p>
    <w:p>
      <w:pPr>
        <w:ind w:left="1560"/>
        <w:spacing w:after="0"/>
        <w:rPr>
          <w:sz w:val="20"/>
          <w:szCs w:val="20"/>
          <w:color w:val="auto"/>
        </w:rPr>
      </w:pPr>
      <w:r>
        <w:rPr>
          <w:rFonts w:ascii="Arial" w:cs="Arial" w:eastAsia="Arial" w:hAnsi="Arial"/>
          <w:sz w:val="28"/>
          <w:szCs w:val="28"/>
          <w:color w:val="5D89B4"/>
        </w:rPr>
        <w:t>Proxy</w:t>
      </w:r>
    </w:p>
    <w:p>
      <w:pPr>
        <w:spacing w:after="0" w:line="40" w:lineRule="exact"/>
        <w:rPr>
          <w:sz w:val="20"/>
          <w:szCs w:val="20"/>
          <w:color w:val="auto"/>
        </w:rPr>
      </w:pPr>
    </w:p>
    <w:p>
      <w:pPr>
        <w:ind w:left="1560"/>
        <w:spacing w:after="0"/>
        <w:rPr>
          <w:sz w:val="20"/>
          <w:szCs w:val="20"/>
          <w:color w:val="auto"/>
        </w:rPr>
      </w:pPr>
      <w:r>
        <w:rPr>
          <w:rFonts w:ascii="Arial" w:cs="Arial" w:eastAsia="Arial" w:hAnsi="Arial"/>
          <w:sz w:val="28"/>
          <w:szCs w:val="28"/>
          <w:color w:val="5D89B4"/>
        </w:rPr>
        <w:t>Summary</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tabs>
          <w:tab w:leader="none" w:pos="6340" w:val="left"/>
        </w:tabs>
        <w:rPr>
          <w:sz w:val="20"/>
          <w:szCs w:val="20"/>
          <w:color w:val="auto"/>
        </w:rPr>
      </w:pPr>
      <w:r>
        <w:rPr>
          <w:rFonts w:ascii="Arial" w:cs="Arial" w:eastAsia="Arial" w:hAnsi="Arial"/>
          <w:sz w:val="16"/>
          <w:szCs w:val="16"/>
          <w:u w:val="single" w:color="auto"/>
          <w:color w:val="0000EE"/>
        </w:rPr>
        <w:t>2024 Proxy Statement Summary</w:t>
      </w:r>
      <w:r>
        <w:rPr>
          <w:sz w:val="20"/>
          <w:szCs w:val="20"/>
          <w:color w:val="auto"/>
        </w:rPr>
        <w:tab/>
      </w:r>
      <w:r>
        <w:rPr>
          <w:rFonts w:ascii="Arial" w:cs="Arial" w:eastAsia="Arial" w:hAnsi="Arial"/>
          <w:sz w:val="14"/>
          <w:szCs w:val="14"/>
          <w:b w:val="1"/>
          <w:bCs w:val="1"/>
          <w:color w:val="auto"/>
        </w:rPr>
        <w:t>i</w:t>
      </w:r>
    </w:p>
    <w:p>
      <w:pPr>
        <w:spacing w:after="0" w:line="542" w:lineRule="exact"/>
        <w:rPr>
          <w:sz w:val="20"/>
          <w:szCs w:val="20"/>
          <w:color w:val="auto"/>
        </w:rPr>
      </w:pPr>
    </w:p>
    <w:p>
      <w:pPr>
        <w:sectPr>
          <w:pgSz w:w="11900" w:h="16838" w:orient="portrait"/>
          <w:cols w:equalWidth="0" w:num="2">
            <w:col w:w="3900" w:space="720"/>
            <w:col w:w="6440"/>
          </w:cols>
          <w:pgMar w:left="320" w:top="480" w:right="519" w:bottom="1440" w:gutter="0" w:footer="0" w:header="0"/>
          <w:type w:val="continuous"/>
        </w:sectPr>
      </w:pPr>
    </w:p>
    <w:tbl>
      <w:tblPr>
        <w:tblLayout w:type="fixed"/>
        <w:tblInd w:w="18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100" w:type="dxa"/>
            <w:vAlign w:val="bottom"/>
            <w:tcBorders>
              <w:bottom w:val="single" w:sz="8" w:color="5D89B4"/>
            </w:tcBorders>
            <w:shd w:val="clear" w:color="auto" w:fill="EAEAEA"/>
          </w:tcPr>
          <w:p>
            <w:pPr>
              <w:spacing w:after="0"/>
              <w:rPr>
                <w:sz w:val="16"/>
                <w:szCs w:val="16"/>
                <w:color w:val="auto"/>
              </w:rPr>
            </w:pPr>
          </w:p>
        </w:tc>
        <w:tc>
          <w:tcPr>
            <w:tcW w:w="980" w:type="dxa"/>
            <w:vAlign w:val="bottom"/>
            <w:tcBorders>
              <w:bottom w:val="single" w:sz="8" w:color="5D89B4"/>
            </w:tcBorders>
            <w:shd w:val="clear" w:color="auto" w:fill="EAEAEA"/>
          </w:tcPr>
          <w:p>
            <w:pPr>
              <w:spacing w:after="0"/>
              <w:rPr>
                <w:sz w:val="16"/>
                <w:szCs w:val="16"/>
                <w:color w:val="auto"/>
              </w:rPr>
            </w:pPr>
          </w:p>
        </w:tc>
        <w:tc>
          <w:tcPr>
            <w:tcW w:w="3040" w:type="dxa"/>
            <w:vAlign w:val="bottom"/>
            <w:tcBorders>
              <w:bottom w:val="single" w:sz="8" w:color="5D89B4"/>
            </w:tcBorders>
            <w:shd w:val="clear" w:color="auto" w:fill="EAEAEA"/>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160" w:type="dxa"/>
            <w:vAlign w:val="bottom"/>
            <w:tcBorders>
              <w:bottom w:val="single" w:sz="8" w:color="5D89B4"/>
            </w:tcBorders>
          </w:tcPr>
          <w:p>
            <w:pPr>
              <w:spacing w:after="0"/>
              <w:rPr>
                <w:sz w:val="16"/>
                <w:szCs w:val="16"/>
                <w:color w:val="auto"/>
              </w:rPr>
            </w:pPr>
          </w:p>
        </w:tc>
        <w:tc>
          <w:tcPr>
            <w:tcW w:w="7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8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20" w:type="dxa"/>
            <w:vAlign w:val="bottom"/>
            <w:tcBorders>
              <w:bottom w:val="single" w:sz="8" w:color="5D89B4"/>
            </w:tcBorders>
          </w:tcPr>
          <w:p>
            <w:pPr>
              <w:spacing w:after="0"/>
              <w:rPr>
                <w:sz w:val="16"/>
                <w:szCs w:val="16"/>
                <w:color w:val="auto"/>
              </w:rPr>
            </w:pPr>
          </w:p>
        </w:tc>
        <w:tc>
          <w:tcPr>
            <w:tcW w:w="146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0"/>
                <w:szCs w:val="20"/>
                <w:color w:val="auto"/>
              </w:rPr>
            </w:pPr>
            <w:r>
              <w:rPr>
                <w:rFonts w:ascii="Arial" w:cs="Arial" w:eastAsia="Arial" w:hAnsi="Arial"/>
                <w:sz w:val="15"/>
                <w:szCs w:val="15"/>
                <w:color w:val="auto"/>
              </w:rPr>
              <w:t> </w:t>
            </w:r>
          </w:p>
        </w:tc>
        <w:tc>
          <w:tcPr>
            <w:tcW w:w="1080" w:type="dxa"/>
            <w:vAlign w:val="bottom"/>
            <w:gridSpan w:val="2"/>
            <w:vMerge w:val="restart"/>
            <w:shd w:val="clear" w:color="auto" w:fill="EAEAEA"/>
          </w:tcPr>
          <w:p>
            <w:pPr>
              <w:jc w:val="right"/>
              <w:spacing w:after="0" w:line="1458" w:lineRule="exact"/>
              <w:rPr>
                <w:sz w:val="20"/>
                <w:szCs w:val="20"/>
                <w:color w:val="auto"/>
              </w:rPr>
            </w:pPr>
            <w:r>
              <w:rPr>
                <w:rFonts w:ascii="Arial" w:cs="Arial" w:eastAsia="Arial" w:hAnsi="Arial"/>
                <w:sz w:val="137"/>
                <w:szCs w:val="137"/>
                <w:color w:val="5D89B4"/>
                <w:shd w:val="clear" w:color="auto" w:fill="EAEAEA"/>
              </w:rPr>
              <w:t>1</w:t>
            </w:r>
          </w:p>
        </w:tc>
        <w:tc>
          <w:tcPr>
            <w:tcW w:w="3040" w:type="dxa"/>
            <w:vAlign w:val="bottom"/>
            <w:shd w:val="clear" w:color="auto" w:fill="EAEAEA"/>
          </w:tcPr>
          <w:p>
            <w:pPr>
              <w:ind w:left="100"/>
              <w:spacing w:after="0"/>
              <w:rPr>
                <w:sz w:val="20"/>
                <w:szCs w:val="20"/>
                <w:color w:val="auto"/>
              </w:rPr>
            </w:pPr>
            <w:r>
              <w:rPr>
                <w:rFonts w:ascii="Arial" w:cs="Arial" w:eastAsia="Arial" w:hAnsi="Arial"/>
                <w:sz w:val="28"/>
                <w:szCs w:val="28"/>
                <w:color w:val="5D89B4"/>
              </w:rPr>
              <w:t>Board of</w:t>
            </w:r>
          </w:p>
        </w:tc>
        <w:tc>
          <w:tcPr>
            <w:tcW w:w="100" w:type="dxa"/>
            <w:vAlign w:val="bottom"/>
          </w:tcPr>
          <w:p>
            <w:pPr>
              <w:spacing w:after="0"/>
              <w:rPr>
                <w:sz w:val="24"/>
                <w:szCs w:val="24"/>
                <w:color w:val="auto"/>
              </w:rPr>
            </w:pPr>
          </w:p>
        </w:tc>
        <w:tc>
          <w:tcPr>
            <w:tcW w:w="5000" w:type="dxa"/>
            <w:vAlign w:val="bottom"/>
            <w:gridSpan w:val="12"/>
          </w:tcPr>
          <w:p>
            <w:pPr>
              <w:ind w:left="20"/>
              <w:spacing w:after="0"/>
              <w:rPr>
                <w:sz w:val="20"/>
                <w:szCs w:val="20"/>
                <w:color w:val="auto"/>
              </w:rPr>
            </w:pPr>
            <w:r>
              <w:rPr>
                <w:rFonts w:ascii="Arial" w:cs="Arial" w:eastAsia="Arial" w:hAnsi="Arial"/>
                <w:sz w:val="16"/>
                <w:szCs w:val="16"/>
                <w:color w:val="0000EE"/>
              </w:rPr>
              <w:t>Director Nominee Biographies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gridSpan w:val="2"/>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0" w:type="dxa"/>
            <w:vAlign w:val="bottom"/>
          </w:tcPr>
          <w:p>
            <w:pPr>
              <w:spacing w:after="0"/>
              <w:rPr>
                <w:sz w:val="21"/>
                <w:szCs w:val="21"/>
                <w:color w:val="auto"/>
              </w:rPr>
            </w:pPr>
          </w:p>
        </w:tc>
        <w:tc>
          <w:tcPr>
            <w:tcW w:w="1080" w:type="dxa"/>
            <w:vAlign w:val="bottom"/>
            <w:tcBorders>
              <w:bottom w:val="single" w:sz="8" w:color="EAEAEA"/>
            </w:tcBorders>
            <w:gridSpan w:val="2"/>
            <w:vMerge w:val="continue"/>
            <w:shd w:val="clear" w:color="auto" w:fill="EAEAEA"/>
          </w:tcPr>
          <w:p>
            <w:pPr>
              <w:spacing w:after="0"/>
              <w:rPr>
                <w:sz w:val="21"/>
                <w:szCs w:val="21"/>
                <w:color w:val="auto"/>
              </w:rPr>
            </w:pPr>
          </w:p>
        </w:tc>
        <w:tc>
          <w:tcPr>
            <w:tcW w:w="3040" w:type="dxa"/>
            <w:vAlign w:val="bottom"/>
            <w:tcBorders>
              <w:bottom w:val="single" w:sz="8" w:color="EAEAEA"/>
            </w:tcBorders>
            <w:vMerge w:val="restart"/>
            <w:shd w:val="clear" w:color="auto" w:fill="EAEAEA"/>
          </w:tcPr>
          <w:p>
            <w:pPr>
              <w:ind w:left="100"/>
              <w:spacing w:after="0"/>
              <w:rPr>
                <w:sz w:val="20"/>
                <w:szCs w:val="20"/>
                <w:color w:val="auto"/>
              </w:rPr>
            </w:pPr>
            <w:r>
              <w:rPr>
                <w:rFonts w:ascii="Arial" w:cs="Arial" w:eastAsia="Arial" w:hAnsi="Arial"/>
                <w:sz w:val="28"/>
                <w:szCs w:val="28"/>
                <w:color w:val="5D89B4"/>
              </w:rPr>
              <w:t>Directors</w:t>
            </w:r>
          </w:p>
        </w:tc>
        <w:tc>
          <w:tcPr>
            <w:tcW w:w="100" w:type="dxa"/>
            <w:vAlign w:val="bottom"/>
          </w:tcPr>
          <w:p>
            <w:pPr>
              <w:spacing w:after="0"/>
              <w:rPr>
                <w:sz w:val="21"/>
                <w:szCs w:val="21"/>
                <w:color w:val="auto"/>
              </w:rPr>
            </w:pPr>
          </w:p>
        </w:tc>
        <w:tc>
          <w:tcPr>
            <w:tcW w:w="3580" w:type="dxa"/>
            <w:vAlign w:val="bottom"/>
            <w:tcBorders>
              <w:bottom w:val="single" w:sz="8" w:color="0000EE"/>
            </w:tcBorders>
            <w:gridSpan w:val="9"/>
          </w:tcPr>
          <w:p>
            <w:pPr>
              <w:ind w:left="20"/>
              <w:spacing w:after="0"/>
              <w:rPr>
                <w:sz w:val="20"/>
                <w:szCs w:val="20"/>
                <w:color w:val="auto"/>
              </w:rPr>
            </w:pPr>
            <w:r>
              <w:rPr>
                <w:rFonts w:ascii="Arial" w:cs="Arial" w:eastAsia="Arial" w:hAnsi="Arial"/>
                <w:sz w:val="16"/>
                <w:szCs w:val="16"/>
                <w:color w:val="0000EE"/>
                <w:w w:val="99"/>
              </w:rPr>
              <w:t>Composition and Qualifications of Board Members</w:t>
            </w:r>
          </w:p>
        </w:tc>
        <w:tc>
          <w:tcPr>
            <w:tcW w:w="1420" w:type="dxa"/>
            <w:vAlign w:val="bottom"/>
            <w:gridSpan w:val="3"/>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1080" w:type="dxa"/>
            <w:vAlign w:val="bottom"/>
            <w:gridSpan w:val="2"/>
            <w:vMerge w:val="continue"/>
            <w:shd w:val="clear" w:color="auto" w:fill="EAEAEA"/>
          </w:tcPr>
          <w:p>
            <w:pPr>
              <w:spacing w:after="0"/>
              <w:rPr>
                <w:sz w:val="20"/>
                <w:szCs w:val="20"/>
                <w:color w:val="auto"/>
              </w:rPr>
            </w:pPr>
          </w:p>
        </w:tc>
        <w:tc>
          <w:tcPr>
            <w:tcW w:w="3040" w:type="dxa"/>
            <w:vAlign w:val="bottom"/>
            <w:vMerge w:val="continue"/>
            <w:shd w:val="clear" w:color="auto" w:fill="EAEAEA"/>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gridSpan w:val="12"/>
            <w:vMerge w:val="restart"/>
          </w:tcPr>
          <w:p>
            <w:pPr>
              <w:ind w:left="20"/>
              <w:spacing w:after="0"/>
              <w:rPr>
                <w:sz w:val="20"/>
                <w:szCs w:val="20"/>
                <w:color w:val="auto"/>
              </w:rPr>
            </w:pPr>
            <w:r>
              <w:rPr>
                <w:rFonts w:ascii="Arial" w:cs="Arial" w:eastAsia="Arial" w:hAnsi="Arial"/>
                <w:sz w:val="16"/>
                <w:szCs w:val="16"/>
                <w:color w:val="0000EE"/>
              </w:rPr>
              <w:t>Board Diversity and Tenure</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1080" w:type="dxa"/>
            <w:vAlign w:val="bottom"/>
            <w:gridSpan w:val="2"/>
            <w:vMerge w:val="continue"/>
            <w:shd w:val="clear" w:color="auto" w:fill="EAEAEA"/>
          </w:tcPr>
          <w:p>
            <w:pPr>
              <w:spacing w:after="0"/>
              <w:rPr>
                <w:sz w:val="2"/>
                <w:szCs w:val="2"/>
                <w:color w:val="auto"/>
              </w:rPr>
            </w:pPr>
          </w:p>
        </w:tc>
        <w:tc>
          <w:tcPr>
            <w:tcW w:w="3040" w:type="dxa"/>
            <w:vAlign w:val="bottom"/>
            <w:shd w:val="clear" w:color="auto" w:fill="EAEAEA"/>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gridSpan w:val="1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80" w:type="dxa"/>
            <w:vAlign w:val="bottom"/>
            <w:gridSpan w:val="2"/>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0" w:type="dxa"/>
            <w:vAlign w:val="bottom"/>
          </w:tcPr>
          <w:p>
            <w:pPr>
              <w:spacing w:after="0"/>
              <w:rPr>
                <w:sz w:val="22"/>
                <w:szCs w:val="22"/>
                <w:color w:val="auto"/>
              </w:rPr>
            </w:pPr>
          </w:p>
        </w:tc>
        <w:tc>
          <w:tcPr>
            <w:tcW w:w="1080" w:type="dxa"/>
            <w:vAlign w:val="bottom"/>
            <w:tcBorders>
              <w:bottom w:val="single" w:sz="8" w:color="EAEAEA"/>
            </w:tcBorders>
            <w:gridSpan w:val="2"/>
            <w:vMerge w:val="continue"/>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tcBorders>
              <w:bottom w:val="single" w:sz="8" w:color="0000EE"/>
            </w:tcBorders>
            <w:gridSpan w:val="6"/>
          </w:tcPr>
          <w:p>
            <w:pPr>
              <w:ind w:left="20"/>
              <w:spacing w:after="0"/>
              <w:rPr>
                <w:sz w:val="20"/>
                <w:szCs w:val="20"/>
                <w:color w:val="auto"/>
              </w:rPr>
            </w:pPr>
            <w:r>
              <w:rPr>
                <w:rFonts w:ascii="Arial" w:cs="Arial" w:eastAsia="Arial" w:hAnsi="Arial"/>
                <w:sz w:val="16"/>
                <w:szCs w:val="16"/>
                <w:color w:val="0000EE"/>
                <w:w w:val="99"/>
              </w:rPr>
              <w:t>Director Compensation for 2023</w:t>
            </w:r>
          </w:p>
        </w:tc>
        <w:tc>
          <w:tcPr>
            <w:tcW w:w="2700" w:type="dxa"/>
            <w:vAlign w:val="bottom"/>
            <w:gridSpan w:val="6"/>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1080" w:type="dxa"/>
            <w:vAlign w:val="bottom"/>
            <w:gridSpan w:val="2"/>
            <w:vMerge w:val="continue"/>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000" w:type="dxa"/>
            <w:vAlign w:val="bottom"/>
            <w:gridSpan w:val="12"/>
          </w:tcPr>
          <w:p>
            <w:pPr>
              <w:ind w:left="20"/>
              <w:spacing w:after="0"/>
              <w:rPr>
                <w:sz w:val="20"/>
                <w:szCs w:val="20"/>
                <w:color w:val="auto"/>
              </w:rPr>
            </w:pPr>
            <w:r>
              <w:rPr>
                <w:rFonts w:ascii="Arial" w:cs="Arial" w:eastAsia="Arial" w:hAnsi="Arial"/>
                <w:sz w:val="16"/>
                <w:szCs w:val="16"/>
                <w:color w:val="0000EE"/>
              </w:rPr>
              <w:t>Non-Employee Director Stock Ownership Guidelines</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00" w:type="dxa"/>
            <w:vAlign w:val="bottom"/>
            <w:tcBorders>
              <w:top w:val="single" w:sz="8" w:color="EAEAEA"/>
              <w:bottom w:val="single" w:sz="8" w:color="5D89B4"/>
            </w:tcBorders>
            <w:shd w:val="clear" w:color="auto" w:fill="EAEAEA"/>
          </w:tcPr>
          <w:p>
            <w:pPr>
              <w:spacing w:after="0"/>
              <w:rPr>
                <w:sz w:val="20"/>
                <w:szCs w:val="20"/>
                <w:color w:val="auto"/>
              </w:rPr>
            </w:pPr>
          </w:p>
        </w:tc>
        <w:tc>
          <w:tcPr>
            <w:tcW w:w="980" w:type="dxa"/>
            <w:vAlign w:val="bottom"/>
            <w:tcBorders>
              <w:top w:val="single" w:sz="8" w:color="EAEAEA"/>
              <w:bottom w:val="single" w:sz="8" w:color="5D89B4"/>
            </w:tcBorders>
            <w:shd w:val="clear" w:color="auto" w:fill="EAEAEA"/>
          </w:tcPr>
          <w:p>
            <w:pPr>
              <w:spacing w:after="0"/>
              <w:rPr>
                <w:sz w:val="20"/>
                <w:szCs w:val="20"/>
                <w:color w:val="auto"/>
              </w:rPr>
            </w:pPr>
          </w:p>
        </w:tc>
        <w:tc>
          <w:tcPr>
            <w:tcW w:w="3040" w:type="dxa"/>
            <w:vAlign w:val="bottom"/>
            <w:tcBorders>
              <w:top w:val="single" w:sz="8" w:color="EAEAEA"/>
              <w:bottom w:val="single" w:sz="8" w:color="5D89B4"/>
            </w:tcBorders>
            <w:shd w:val="clear" w:color="auto" w:fill="EAEAEA"/>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1160" w:type="dxa"/>
            <w:vAlign w:val="bottom"/>
            <w:tcBorders>
              <w:top w:val="single" w:sz="8" w:color="0000EE"/>
              <w:bottom w:val="single" w:sz="8" w:color="5D89B4"/>
            </w:tcBorders>
          </w:tcPr>
          <w:p>
            <w:pPr>
              <w:spacing w:after="0"/>
              <w:rPr>
                <w:sz w:val="20"/>
                <w:szCs w:val="20"/>
                <w:color w:val="auto"/>
              </w:rPr>
            </w:pPr>
          </w:p>
        </w:tc>
        <w:tc>
          <w:tcPr>
            <w:tcW w:w="780" w:type="dxa"/>
            <w:vAlign w:val="bottom"/>
            <w:tcBorders>
              <w:top w:val="single" w:sz="8" w:color="0000EE"/>
              <w:bottom w:val="single" w:sz="8" w:color="5D89B4"/>
            </w:tcBorders>
          </w:tcPr>
          <w:p>
            <w:pPr>
              <w:spacing w:after="0"/>
              <w:rPr>
                <w:sz w:val="20"/>
                <w:szCs w:val="20"/>
                <w:color w:val="auto"/>
              </w:rPr>
            </w:pPr>
          </w:p>
        </w:tc>
        <w:tc>
          <w:tcPr>
            <w:tcW w:w="20" w:type="dxa"/>
            <w:vAlign w:val="bottom"/>
            <w:tcBorders>
              <w:top w:val="single" w:sz="8" w:color="0000EE"/>
              <w:bottom w:val="single" w:sz="8" w:color="5D89B4"/>
            </w:tcBorders>
          </w:tcPr>
          <w:p>
            <w:pPr>
              <w:spacing w:after="0"/>
              <w:rPr>
                <w:sz w:val="20"/>
                <w:szCs w:val="20"/>
                <w:color w:val="auto"/>
              </w:rPr>
            </w:pPr>
          </w:p>
        </w:tc>
        <w:tc>
          <w:tcPr>
            <w:tcW w:w="180" w:type="dxa"/>
            <w:vAlign w:val="bottom"/>
            <w:tcBorders>
              <w:top w:val="single" w:sz="8" w:color="0000EE"/>
              <w:bottom w:val="single" w:sz="8" w:color="5D89B4"/>
            </w:tcBorders>
          </w:tcPr>
          <w:p>
            <w:pPr>
              <w:spacing w:after="0"/>
              <w:rPr>
                <w:sz w:val="20"/>
                <w:szCs w:val="20"/>
                <w:color w:val="auto"/>
              </w:rPr>
            </w:pPr>
          </w:p>
        </w:tc>
        <w:tc>
          <w:tcPr>
            <w:tcW w:w="140" w:type="dxa"/>
            <w:vAlign w:val="bottom"/>
            <w:tcBorders>
              <w:top w:val="single" w:sz="8" w:color="0000EE"/>
              <w:bottom w:val="single" w:sz="8" w:color="5D89B4"/>
            </w:tcBorders>
          </w:tcPr>
          <w:p>
            <w:pPr>
              <w:spacing w:after="0"/>
              <w:rPr>
                <w:sz w:val="20"/>
                <w:szCs w:val="20"/>
                <w:color w:val="auto"/>
              </w:rPr>
            </w:pPr>
          </w:p>
        </w:tc>
        <w:tc>
          <w:tcPr>
            <w:tcW w:w="20" w:type="dxa"/>
            <w:vAlign w:val="bottom"/>
            <w:tcBorders>
              <w:top w:val="single" w:sz="8" w:color="0000EE"/>
              <w:bottom w:val="single" w:sz="8" w:color="5D89B4"/>
            </w:tcBorders>
          </w:tcPr>
          <w:p>
            <w:pPr>
              <w:spacing w:after="0"/>
              <w:rPr>
                <w:sz w:val="20"/>
                <w:szCs w:val="20"/>
                <w:color w:val="auto"/>
              </w:rPr>
            </w:pPr>
          </w:p>
        </w:tc>
        <w:tc>
          <w:tcPr>
            <w:tcW w:w="240" w:type="dxa"/>
            <w:vAlign w:val="bottom"/>
            <w:tcBorders>
              <w:top w:val="single" w:sz="8" w:color="0000EE"/>
              <w:bottom w:val="single" w:sz="8" w:color="5D89B4"/>
            </w:tcBorders>
          </w:tcPr>
          <w:p>
            <w:pPr>
              <w:spacing w:after="0"/>
              <w:rPr>
                <w:sz w:val="20"/>
                <w:szCs w:val="20"/>
                <w:color w:val="auto"/>
              </w:rPr>
            </w:pPr>
          </w:p>
        </w:tc>
        <w:tc>
          <w:tcPr>
            <w:tcW w:w="240" w:type="dxa"/>
            <w:vAlign w:val="bottom"/>
            <w:tcBorders>
              <w:top w:val="single" w:sz="8" w:color="0000EE"/>
              <w:bottom w:val="single" w:sz="8" w:color="5D89B4"/>
            </w:tcBorders>
          </w:tcPr>
          <w:p>
            <w:pPr>
              <w:spacing w:after="0"/>
              <w:rPr>
                <w:sz w:val="20"/>
                <w:szCs w:val="20"/>
                <w:color w:val="auto"/>
              </w:rPr>
            </w:pPr>
          </w:p>
        </w:tc>
        <w:tc>
          <w:tcPr>
            <w:tcW w:w="800" w:type="dxa"/>
            <w:vAlign w:val="bottom"/>
            <w:tcBorders>
              <w:top w:val="single" w:sz="8" w:color="0000EE"/>
              <w:bottom w:val="single" w:sz="8" w:color="5D89B4"/>
            </w:tcBorders>
          </w:tcPr>
          <w:p>
            <w:pPr>
              <w:spacing w:after="0"/>
              <w:rPr>
                <w:sz w:val="20"/>
                <w:szCs w:val="20"/>
                <w:color w:val="auto"/>
              </w:rPr>
            </w:pPr>
          </w:p>
        </w:tc>
        <w:tc>
          <w:tcPr>
            <w:tcW w:w="140" w:type="dxa"/>
            <w:vAlign w:val="bottom"/>
            <w:tcBorders>
              <w:top w:val="single" w:sz="8" w:color="0000EE"/>
              <w:bottom w:val="single" w:sz="8" w:color="5D89B4"/>
            </w:tcBorders>
          </w:tcPr>
          <w:p>
            <w:pPr>
              <w:spacing w:after="0"/>
              <w:rPr>
                <w:sz w:val="20"/>
                <w:szCs w:val="20"/>
                <w:color w:val="auto"/>
              </w:rPr>
            </w:pPr>
          </w:p>
        </w:tc>
        <w:tc>
          <w:tcPr>
            <w:tcW w:w="60" w:type="dxa"/>
            <w:vAlign w:val="bottom"/>
            <w:tcBorders>
              <w:bottom w:val="single" w:sz="8" w:color="5D89B4"/>
            </w:tcBorders>
          </w:tcPr>
          <w:p>
            <w:pPr>
              <w:spacing w:after="0"/>
              <w:rPr>
                <w:sz w:val="20"/>
                <w:szCs w:val="20"/>
                <w:color w:val="auto"/>
              </w:rPr>
            </w:pPr>
          </w:p>
        </w:tc>
        <w:tc>
          <w:tcPr>
            <w:tcW w:w="1220" w:type="dxa"/>
            <w:vAlign w:val="bottom"/>
            <w:tcBorders>
              <w:bottom w:val="single" w:sz="8" w:color="5D89B4"/>
            </w:tcBorders>
          </w:tcPr>
          <w:p>
            <w:pPr>
              <w:spacing w:after="0"/>
              <w:rPr>
                <w:sz w:val="20"/>
                <w:szCs w:val="20"/>
                <w:color w:val="auto"/>
              </w:rPr>
            </w:pPr>
          </w:p>
        </w:tc>
        <w:tc>
          <w:tcPr>
            <w:tcW w:w="1460" w:type="dxa"/>
            <w:vAlign w:val="bottom"/>
            <w:tcBorders>
              <w:bottom w:val="single" w:sz="8" w:color="5D89B4"/>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0"/>
                <w:szCs w:val="20"/>
                <w:color w:val="auto"/>
              </w:rPr>
            </w:pPr>
            <w:r>
              <w:rPr>
                <w:rFonts w:ascii="Arial" w:cs="Arial" w:eastAsia="Arial" w:hAnsi="Arial"/>
                <w:sz w:val="15"/>
                <w:szCs w:val="15"/>
                <w:color w:val="auto"/>
              </w:rPr>
              <w:t> </w:t>
            </w:r>
          </w:p>
        </w:tc>
        <w:tc>
          <w:tcPr>
            <w:tcW w:w="100" w:type="dxa"/>
            <w:vAlign w:val="bottom"/>
            <w:shd w:val="clear" w:color="auto" w:fill="EAEAEA"/>
          </w:tcPr>
          <w:p>
            <w:pPr>
              <w:spacing w:after="0"/>
              <w:rPr>
                <w:sz w:val="24"/>
                <w:szCs w:val="24"/>
                <w:color w:val="auto"/>
              </w:rPr>
            </w:pPr>
          </w:p>
        </w:tc>
        <w:tc>
          <w:tcPr>
            <w:tcW w:w="980" w:type="dxa"/>
            <w:vAlign w:val="bottom"/>
            <w:vMerge w:val="restart"/>
            <w:shd w:val="clear" w:color="auto" w:fill="EAEAEA"/>
          </w:tcPr>
          <w:p>
            <w:pPr>
              <w:jc w:val="right"/>
              <w:spacing w:after="0" w:line="1458" w:lineRule="exact"/>
              <w:rPr>
                <w:sz w:val="20"/>
                <w:szCs w:val="20"/>
                <w:color w:val="auto"/>
              </w:rPr>
            </w:pPr>
            <w:r>
              <w:rPr>
                <w:rFonts w:ascii="Arial" w:cs="Arial" w:eastAsia="Arial" w:hAnsi="Arial"/>
                <w:sz w:val="137"/>
                <w:szCs w:val="137"/>
                <w:color w:val="5D89B4"/>
                <w:w w:val="97"/>
                <w:shd w:val="clear" w:color="auto" w:fill="EAEAEA"/>
              </w:rPr>
              <w:t>2</w:t>
            </w:r>
          </w:p>
        </w:tc>
        <w:tc>
          <w:tcPr>
            <w:tcW w:w="3040" w:type="dxa"/>
            <w:vAlign w:val="bottom"/>
            <w:shd w:val="clear" w:color="auto" w:fill="EAEAEA"/>
          </w:tcPr>
          <w:p>
            <w:pPr>
              <w:ind w:left="100"/>
              <w:spacing w:after="0"/>
              <w:rPr>
                <w:sz w:val="20"/>
                <w:szCs w:val="20"/>
                <w:color w:val="auto"/>
              </w:rPr>
            </w:pPr>
            <w:r>
              <w:rPr>
                <w:rFonts w:ascii="Arial" w:cs="Arial" w:eastAsia="Arial" w:hAnsi="Arial"/>
                <w:sz w:val="28"/>
                <w:szCs w:val="28"/>
                <w:color w:val="5D89B4"/>
              </w:rPr>
              <w:t>Governance &amp;</w:t>
            </w:r>
          </w:p>
        </w:tc>
        <w:tc>
          <w:tcPr>
            <w:tcW w:w="100" w:type="dxa"/>
            <w:vAlign w:val="bottom"/>
          </w:tcPr>
          <w:p>
            <w:pPr>
              <w:spacing w:after="0"/>
              <w:rPr>
                <w:sz w:val="24"/>
                <w:szCs w:val="24"/>
                <w:color w:val="auto"/>
              </w:rPr>
            </w:pPr>
          </w:p>
        </w:tc>
        <w:tc>
          <w:tcPr>
            <w:tcW w:w="5000" w:type="dxa"/>
            <w:vAlign w:val="bottom"/>
            <w:gridSpan w:val="12"/>
          </w:tcPr>
          <w:p>
            <w:pPr>
              <w:ind w:left="20"/>
              <w:spacing w:after="0"/>
              <w:rPr>
                <w:sz w:val="20"/>
                <w:szCs w:val="20"/>
                <w:color w:val="auto"/>
              </w:rPr>
            </w:pPr>
            <w:r>
              <w:rPr>
                <w:rFonts w:ascii="Arial" w:cs="Arial" w:eastAsia="Arial" w:hAnsi="Arial"/>
                <w:sz w:val="16"/>
                <w:szCs w:val="16"/>
                <w:color w:val="0000EE"/>
              </w:rPr>
              <w:t>Board Leadership Structure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100" w:type="dxa"/>
            <w:vAlign w:val="bottom"/>
            <w:tcBorders>
              <w:top w:val="single" w:sz="8" w:color="EAEAEA"/>
            </w:tcBorders>
            <w:shd w:val="clear" w:color="auto" w:fill="EAEAEA"/>
          </w:tcPr>
          <w:p>
            <w:pPr>
              <w:spacing w:after="0"/>
              <w:rPr>
                <w:sz w:val="21"/>
                <w:szCs w:val="21"/>
                <w:color w:val="auto"/>
              </w:rPr>
            </w:pPr>
          </w:p>
        </w:tc>
        <w:tc>
          <w:tcPr>
            <w:tcW w:w="980" w:type="dxa"/>
            <w:vAlign w:val="bottom"/>
            <w:tcBorders>
              <w:top w:val="single" w:sz="8" w:color="EAEAEA"/>
            </w:tcBorders>
            <w:vMerge w:val="continue"/>
            <w:shd w:val="clear" w:color="auto" w:fill="EAEAEA"/>
          </w:tcPr>
          <w:p>
            <w:pPr>
              <w:spacing w:after="0"/>
              <w:rPr>
                <w:sz w:val="21"/>
                <w:szCs w:val="21"/>
                <w:color w:val="auto"/>
              </w:rPr>
            </w:pPr>
          </w:p>
        </w:tc>
        <w:tc>
          <w:tcPr>
            <w:tcW w:w="3040" w:type="dxa"/>
            <w:vAlign w:val="bottom"/>
            <w:tcBorders>
              <w:top w:val="single" w:sz="8" w:color="EAEAEA"/>
            </w:tcBorders>
            <w:vMerge w:val="restart"/>
            <w:shd w:val="clear" w:color="auto" w:fill="EAEAEA"/>
          </w:tcPr>
          <w:p>
            <w:pPr>
              <w:ind w:left="100"/>
              <w:spacing w:after="0"/>
              <w:rPr>
                <w:sz w:val="20"/>
                <w:szCs w:val="20"/>
                <w:color w:val="auto"/>
              </w:rPr>
            </w:pPr>
            <w:r>
              <w:rPr>
                <w:rFonts w:ascii="Arial" w:cs="Arial" w:eastAsia="Arial" w:hAnsi="Arial"/>
                <w:sz w:val="28"/>
                <w:szCs w:val="28"/>
                <w:color w:val="5D89B4"/>
              </w:rPr>
              <w:t>Sustainability</w:t>
            </w:r>
          </w:p>
        </w:tc>
        <w:tc>
          <w:tcPr>
            <w:tcW w:w="100" w:type="dxa"/>
            <w:vAlign w:val="bottom"/>
          </w:tcPr>
          <w:p>
            <w:pPr>
              <w:spacing w:after="0"/>
              <w:rPr>
                <w:sz w:val="21"/>
                <w:szCs w:val="21"/>
                <w:color w:val="auto"/>
              </w:rPr>
            </w:pPr>
          </w:p>
        </w:tc>
        <w:tc>
          <w:tcPr>
            <w:tcW w:w="1960" w:type="dxa"/>
            <w:vAlign w:val="bottom"/>
            <w:tcBorders>
              <w:top w:val="single" w:sz="8" w:color="0000EE"/>
            </w:tcBorders>
            <w:gridSpan w:val="3"/>
          </w:tcPr>
          <w:p>
            <w:pPr>
              <w:ind w:left="20"/>
              <w:spacing w:after="0"/>
              <w:rPr>
                <w:sz w:val="20"/>
                <w:szCs w:val="20"/>
                <w:color w:val="auto"/>
              </w:rPr>
            </w:pPr>
            <w:r>
              <w:rPr>
                <w:rFonts w:ascii="Arial" w:cs="Arial" w:eastAsia="Arial" w:hAnsi="Arial"/>
                <w:sz w:val="16"/>
                <w:szCs w:val="16"/>
                <w:color w:val="0000EE"/>
              </w:rPr>
              <w:t>Board Oversight</w:t>
            </w:r>
          </w:p>
        </w:tc>
        <w:tc>
          <w:tcPr>
            <w:tcW w:w="3040" w:type="dxa"/>
            <w:vAlign w:val="bottom"/>
            <w:gridSpan w:val="9"/>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980" w:type="dxa"/>
            <w:vAlign w:val="bottom"/>
            <w:vMerge w:val="continue"/>
            <w:shd w:val="clear" w:color="auto" w:fill="EAEAEA"/>
          </w:tcPr>
          <w:p>
            <w:pPr>
              <w:spacing w:after="0" w:line="20" w:lineRule="exact"/>
              <w:rPr>
                <w:sz w:val="1"/>
                <w:szCs w:val="1"/>
                <w:color w:val="auto"/>
              </w:rPr>
            </w:pPr>
          </w:p>
        </w:tc>
        <w:tc>
          <w:tcPr>
            <w:tcW w:w="3040" w:type="dxa"/>
            <w:vAlign w:val="bottom"/>
            <w:vMerge w:val="continue"/>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0" w:type="dxa"/>
            <w:vAlign w:val="bottom"/>
          </w:tcPr>
          <w:p>
            <w:pPr>
              <w:spacing w:after="0"/>
              <w:rPr>
                <w:sz w:val="20"/>
                <w:szCs w:val="20"/>
                <w:color w:val="auto"/>
              </w:rPr>
            </w:pPr>
          </w:p>
        </w:tc>
        <w:tc>
          <w:tcPr>
            <w:tcW w:w="100" w:type="dxa"/>
            <w:vAlign w:val="bottom"/>
            <w:shd w:val="clear" w:color="auto" w:fill="EAEAEA"/>
          </w:tcPr>
          <w:p>
            <w:pPr>
              <w:spacing w:after="0"/>
              <w:rPr>
                <w:sz w:val="20"/>
                <w:szCs w:val="20"/>
                <w:color w:val="auto"/>
              </w:rPr>
            </w:pPr>
          </w:p>
        </w:tc>
        <w:tc>
          <w:tcPr>
            <w:tcW w:w="980" w:type="dxa"/>
            <w:vAlign w:val="bottom"/>
            <w:vMerge w:val="continue"/>
            <w:shd w:val="clear" w:color="auto" w:fill="EAEAEA"/>
          </w:tcPr>
          <w:p>
            <w:pPr>
              <w:spacing w:after="0"/>
              <w:rPr>
                <w:sz w:val="20"/>
                <w:szCs w:val="20"/>
                <w:color w:val="auto"/>
              </w:rPr>
            </w:pPr>
          </w:p>
        </w:tc>
        <w:tc>
          <w:tcPr>
            <w:tcW w:w="3040" w:type="dxa"/>
            <w:vAlign w:val="bottom"/>
            <w:vMerge w:val="continue"/>
            <w:shd w:val="clear" w:color="auto" w:fill="EAEAEA"/>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gridSpan w:val="12"/>
            <w:vMerge w:val="restart"/>
          </w:tcPr>
          <w:p>
            <w:pPr>
              <w:ind w:left="20"/>
              <w:spacing w:after="0"/>
              <w:rPr>
                <w:sz w:val="20"/>
                <w:szCs w:val="20"/>
                <w:color w:val="auto"/>
              </w:rPr>
            </w:pPr>
            <w:r>
              <w:rPr>
                <w:rFonts w:ascii="Arial" w:cs="Arial" w:eastAsia="Arial" w:hAnsi="Arial"/>
                <w:sz w:val="16"/>
                <w:szCs w:val="16"/>
                <w:color w:val="0000EE"/>
              </w:rPr>
              <w:t>Independent Compensation Consultant</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100" w:type="dxa"/>
            <w:vAlign w:val="bottom"/>
            <w:shd w:val="clear" w:color="auto" w:fill="EAEAEA"/>
          </w:tcPr>
          <w:p>
            <w:pPr>
              <w:spacing w:after="0"/>
              <w:rPr>
                <w:sz w:val="2"/>
                <w:szCs w:val="2"/>
                <w:color w:val="auto"/>
              </w:rPr>
            </w:pPr>
          </w:p>
        </w:tc>
        <w:tc>
          <w:tcPr>
            <w:tcW w:w="980" w:type="dxa"/>
            <w:vAlign w:val="bottom"/>
            <w:vMerge w:val="continue"/>
            <w:shd w:val="clear" w:color="auto" w:fill="EAEAEA"/>
          </w:tcPr>
          <w:p>
            <w:pPr>
              <w:spacing w:after="0"/>
              <w:rPr>
                <w:sz w:val="2"/>
                <w:szCs w:val="2"/>
                <w:color w:val="auto"/>
              </w:rPr>
            </w:pPr>
          </w:p>
        </w:tc>
        <w:tc>
          <w:tcPr>
            <w:tcW w:w="3040" w:type="dxa"/>
            <w:vAlign w:val="bottom"/>
            <w:shd w:val="clear" w:color="auto" w:fill="EAEAEA"/>
          </w:tcPr>
          <w:p>
            <w:pPr>
              <w:spacing w:after="0"/>
              <w:rPr>
                <w:sz w:val="2"/>
                <w:szCs w:val="2"/>
                <w:color w:val="auto"/>
              </w:rPr>
            </w:pPr>
          </w:p>
        </w:tc>
        <w:tc>
          <w:tcPr>
            <w:tcW w:w="100" w:type="dxa"/>
            <w:vAlign w:val="bottom"/>
          </w:tcPr>
          <w:p>
            <w:pPr>
              <w:spacing w:after="0"/>
              <w:rPr>
                <w:sz w:val="2"/>
                <w:szCs w:val="2"/>
                <w:color w:val="auto"/>
              </w:rPr>
            </w:pPr>
          </w:p>
        </w:tc>
        <w:tc>
          <w:tcPr>
            <w:tcW w:w="5000" w:type="dxa"/>
            <w:vAlign w:val="bottom"/>
            <w:gridSpan w:val="1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980" w:type="dxa"/>
            <w:vAlign w:val="bottom"/>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0" w:type="dxa"/>
            <w:vAlign w:val="bottom"/>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980" w:type="dxa"/>
            <w:vAlign w:val="bottom"/>
            <w:tcBorders>
              <w:bottom w:val="single" w:sz="8" w:color="EAEAEA"/>
            </w:tcBorders>
            <w:vMerge w:val="continue"/>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3780" w:type="dxa"/>
            <w:vAlign w:val="bottom"/>
            <w:tcBorders>
              <w:bottom w:val="single" w:sz="8" w:color="0000EE"/>
            </w:tcBorders>
            <w:gridSpan w:val="11"/>
          </w:tcPr>
          <w:p>
            <w:pPr>
              <w:ind w:left="20"/>
              <w:spacing w:after="0"/>
              <w:rPr>
                <w:sz w:val="20"/>
                <w:szCs w:val="20"/>
                <w:color w:val="auto"/>
              </w:rPr>
            </w:pPr>
            <w:r>
              <w:rPr>
                <w:rFonts w:ascii="Arial" w:cs="Arial" w:eastAsia="Arial" w:hAnsi="Arial"/>
                <w:sz w:val="16"/>
                <w:szCs w:val="16"/>
                <w:color w:val="0000EE"/>
                <w:w w:val="99"/>
              </w:rPr>
              <w:t>Board Independence and Related Party Transactions</w:t>
            </w:r>
          </w:p>
        </w:tc>
        <w:tc>
          <w:tcPr>
            <w:tcW w:w="1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100" w:type="dxa"/>
            <w:vAlign w:val="bottom"/>
            <w:tcBorders>
              <w:bottom w:val="single" w:sz="8" w:color="EAEAEA"/>
            </w:tcBorders>
            <w:shd w:val="clear" w:color="auto" w:fill="EAEAEA"/>
          </w:tcPr>
          <w:p>
            <w:pPr>
              <w:spacing w:after="0"/>
              <w:rPr>
                <w:sz w:val="22"/>
                <w:szCs w:val="22"/>
                <w:color w:val="auto"/>
              </w:rPr>
            </w:pPr>
          </w:p>
        </w:tc>
        <w:tc>
          <w:tcPr>
            <w:tcW w:w="980" w:type="dxa"/>
            <w:vAlign w:val="bottom"/>
            <w:tcBorders>
              <w:bottom w:val="single" w:sz="8" w:color="EAEAEA"/>
            </w:tcBorders>
            <w:vMerge w:val="continue"/>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Borders>
              <w:bottom w:val="single" w:sz="8" w:color="0000EE"/>
            </w:tcBorders>
            <w:gridSpan w:val="5"/>
          </w:tcPr>
          <w:p>
            <w:pPr>
              <w:ind w:left="20"/>
              <w:spacing w:after="0"/>
              <w:rPr>
                <w:sz w:val="20"/>
                <w:szCs w:val="20"/>
                <w:color w:val="auto"/>
              </w:rPr>
            </w:pPr>
            <w:r>
              <w:rPr>
                <w:rFonts w:ascii="Arial" w:cs="Arial" w:eastAsia="Arial" w:hAnsi="Arial"/>
                <w:sz w:val="16"/>
                <w:szCs w:val="16"/>
                <w:color w:val="0000EE"/>
                <w:w w:val="99"/>
              </w:rPr>
              <w:t>Communicating With Our Board</w:t>
            </w:r>
          </w:p>
        </w:tc>
        <w:tc>
          <w:tcPr>
            <w:tcW w:w="2720" w:type="dxa"/>
            <w:vAlign w:val="bottom"/>
            <w:gridSpan w:val="7"/>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980" w:type="dxa"/>
            <w:vAlign w:val="bottom"/>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000" w:type="dxa"/>
            <w:vAlign w:val="bottom"/>
            <w:gridSpan w:val="12"/>
          </w:tcPr>
          <w:p>
            <w:pPr>
              <w:ind w:left="20"/>
              <w:spacing w:after="0"/>
              <w:rPr>
                <w:sz w:val="20"/>
                <w:szCs w:val="20"/>
                <w:color w:val="auto"/>
              </w:rPr>
            </w:pPr>
            <w:r>
              <w:rPr>
                <w:rFonts w:ascii="Arial" w:cs="Arial" w:eastAsia="Arial" w:hAnsi="Arial"/>
                <w:sz w:val="16"/>
                <w:szCs w:val="16"/>
                <w:color w:val="0000EE"/>
              </w:rPr>
              <w:t>Meetings and Committees of the Board</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100" w:type="dxa"/>
            <w:vAlign w:val="bottom"/>
            <w:tcBorders>
              <w:top w:val="single" w:sz="8" w:color="EAEAEA"/>
            </w:tcBorders>
            <w:shd w:val="clear" w:color="auto" w:fill="EAEAEA"/>
          </w:tcPr>
          <w:p>
            <w:pPr>
              <w:spacing w:after="0"/>
              <w:rPr>
                <w:sz w:val="22"/>
                <w:szCs w:val="22"/>
                <w:color w:val="auto"/>
              </w:rPr>
            </w:pPr>
          </w:p>
        </w:tc>
        <w:tc>
          <w:tcPr>
            <w:tcW w:w="980" w:type="dxa"/>
            <w:vAlign w:val="bottom"/>
            <w:tcBorders>
              <w:top w:val="single" w:sz="8" w:color="EAEAEA"/>
            </w:tcBorders>
            <w:shd w:val="clear" w:color="auto" w:fill="EAEAEA"/>
          </w:tcPr>
          <w:p>
            <w:pPr>
              <w:spacing w:after="0"/>
              <w:rPr>
                <w:sz w:val="22"/>
                <w:szCs w:val="22"/>
                <w:color w:val="auto"/>
              </w:rPr>
            </w:pPr>
          </w:p>
        </w:tc>
        <w:tc>
          <w:tcPr>
            <w:tcW w:w="3040" w:type="dxa"/>
            <w:vAlign w:val="bottom"/>
            <w:tcBorders>
              <w:top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780" w:type="dxa"/>
            <w:vAlign w:val="bottom"/>
            <w:tcBorders>
              <w:top w:val="single" w:sz="8" w:color="0000EE"/>
            </w:tcBorders>
            <w:gridSpan w:val="8"/>
          </w:tcPr>
          <w:p>
            <w:pPr>
              <w:ind w:left="20"/>
              <w:spacing w:after="0"/>
              <w:rPr>
                <w:sz w:val="20"/>
                <w:szCs w:val="20"/>
                <w:color w:val="auto"/>
              </w:rPr>
            </w:pPr>
            <w:r>
              <w:rPr>
                <w:rFonts w:ascii="Arial" w:cs="Arial" w:eastAsia="Arial" w:hAnsi="Arial"/>
                <w:sz w:val="16"/>
                <w:szCs w:val="16"/>
                <w:color w:val="0000EE"/>
              </w:rPr>
              <w:t>Board Effectiveness and Evaluation</w:t>
            </w:r>
          </w:p>
        </w:tc>
        <w:tc>
          <w:tcPr>
            <w:tcW w:w="2220" w:type="dxa"/>
            <w:vAlign w:val="bottom"/>
            <w:gridSpan w:val="4"/>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Borders>
              <w:top w:val="single" w:sz="8" w:color="EAEAEA"/>
            </w:tcBorders>
            <w:shd w:val="clear" w:color="auto" w:fill="EAEAEA"/>
          </w:tcPr>
          <w:p>
            <w:pPr>
              <w:spacing w:after="0" w:line="20" w:lineRule="exact"/>
              <w:rPr>
                <w:sz w:val="1"/>
                <w:szCs w:val="1"/>
                <w:color w:val="auto"/>
              </w:rPr>
            </w:pPr>
          </w:p>
        </w:tc>
        <w:tc>
          <w:tcPr>
            <w:tcW w:w="980" w:type="dxa"/>
            <w:vAlign w:val="bottom"/>
            <w:tcBorders>
              <w:top w:val="single" w:sz="8" w:color="EAEAEA"/>
            </w:tcBorders>
            <w:shd w:val="clear" w:color="auto" w:fill="EAEAEA"/>
          </w:tcPr>
          <w:p>
            <w:pPr>
              <w:spacing w:after="0" w:line="20" w:lineRule="exact"/>
              <w:rPr>
                <w:sz w:val="1"/>
                <w:szCs w:val="1"/>
                <w:color w:val="auto"/>
              </w:rPr>
            </w:pPr>
          </w:p>
        </w:tc>
        <w:tc>
          <w:tcPr>
            <w:tcW w:w="3040" w:type="dxa"/>
            <w:vAlign w:val="bottom"/>
            <w:tcBorders>
              <w:top w:val="single" w:sz="8" w:color="EAEAEA"/>
            </w:tcBorders>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480" w:right="519" w:bottom="1440" w:gutter="0" w:footer="0" w:header="0"/>
          <w:type w:val="continuous"/>
        </w:sectPr>
      </w:pPr>
    </w:p>
    <w:p>
      <w:pPr>
        <w:spacing w:after="0" w:line="195" w:lineRule="exact"/>
        <w:rPr>
          <w:sz w:val="20"/>
          <w:szCs w:val="20"/>
          <w:color w:val="auto"/>
        </w:rPr>
      </w:pPr>
    </w:p>
    <w:p>
      <w:pPr>
        <w:ind w:left="1560" w:right="480" w:hanging="1073"/>
        <w:spacing w:after="0" w:line="180" w:lineRule="auto"/>
        <w:tabs>
          <w:tab w:leader="none" w:pos="1560" w:val="left"/>
        </w:tabs>
        <w:numPr>
          <w:ilvl w:val="0"/>
          <w:numId w:val="8"/>
        </w:numPr>
        <w:rPr>
          <w:rFonts w:ascii="Arial" w:cs="Arial" w:eastAsia="Arial" w:hAnsi="Arial"/>
          <w:sz w:val="58"/>
          <w:szCs w:val="58"/>
          <w:color w:val="5D89B4"/>
        </w:rPr>
      </w:pPr>
      <w:r>
        <w:rPr>
          <w:rFonts w:ascii="Arial" w:cs="Arial" w:eastAsia="Arial" w:hAnsi="Arial"/>
          <w:sz w:val="24"/>
          <w:szCs w:val="24"/>
          <w:color w:val="5D89B4"/>
        </w:rPr>
        <w:t>Executive Compensation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Borders>
              <w:bottom w:val="single" w:sz="8" w:color="0000EE"/>
            </w:tcBorders>
            <w:gridSpan w:val="7"/>
          </w:tcPr>
          <w:p>
            <w:pPr>
              <w:ind w:left="20"/>
              <w:spacing w:after="0"/>
              <w:rPr>
                <w:sz w:val="20"/>
                <w:szCs w:val="20"/>
                <w:color w:val="auto"/>
              </w:rPr>
            </w:pPr>
            <w:r>
              <w:rPr>
                <w:rFonts w:ascii="Arial" w:cs="Arial" w:eastAsia="Arial" w:hAnsi="Arial"/>
                <w:sz w:val="16"/>
                <w:szCs w:val="16"/>
                <w:color w:val="0000EE"/>
                <w:w w:val="99"/>
              </w:rPr>
              <w:t>Compensation Discussion and Analysis</w:t>
            </w:r>
          </w:p>
        </w:tc>
        <w:tc>
          <w:tcPr>
            <w:tcW w:w="3000" w:type="dxa"/>
            <w:vAlign w:val="bottom"/>
            <w:gridSpan w:val="11"/>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30</w:t>
            </w:r>
          </w:p>
        </w:tc>
      </w:tr>
      <w:tr>
        <w:trPr>
          <w:trHeight w:val="247"/>
        </w:trPr>
        <w:tc>
          <w:tcPr>
            <w:tcW w:w="5820" w:type="dxa"/>
            <w:vAlign w:val="bottom"/>
            <w:gridSpan w:val="18"/>
          </w:tcPr>
          <w:p>
            <w:pPr>
              <w:ind w:left="20"/>
              <w:spacing w:after="0"/>
              <w:rPr>
                <w:sz w:val="20"/>
                <w:szCs w:val="20"/>
                <w:color w:val="auto"/>
              </w:rPr>
            </w:pPr>
            <w:r>
              <w:rPr>
                <w:rFonts w:ascii="Arial" w:cs="Arial" w:eastAsia="Arial" w:hAnsi="Arial"/>
                <w:sz w:val="16"/>
                <w:szCs w:val="16"/>
                <w:color w:val="0000EE"/>
              </w:rPr>
              <w:t>Report of the People, Culture and Compensation Committee of the Board of</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167"/>
        </w:trPr>
        <w:tc>
          <w:tcPr>
            <w:tcW w:w="660" w:type="dxa"/>
            <w:vAlign w:val="bottom"/>
            <w:tcBorders>
              <w:top w:val="single" w:sz="8" w:color="0000EE"/>
              <w:bottom w:val="single" w:sz="8" w:color="0000EE"/>
            </w:tcBorders>
            <w:gridSpan w:val="2"/>
          </w:tcPr>
          <w:p>
            <w:pPr>
              <w:ind w:left="20"/>
              <w:spacing w:after="0" w:line="167" w:lineRule="exact"/>
              <w:rPr>
                <w:sz w:val="20"/>
                <w:szCs w:val="20"/>
                <w:color w:val="auto"/>
              </w:rPr>
            </w:pPr>
            <w:r>
              <w:rPr>
                <w:rFonts w:ascii="Arial" w:cs="Arial" w:eastAsia="Arial" w:hAnsi="Arial"/>
                <w:sz w:val="16"/>
                <w:szCs w:val="16"/>
                <w:color w:val="0000EE"/>
                <w:w w:val="96"/>
              </w:rPr>
              <w:t>Directors</w:t>
            </w:r>
          </w:p>
        </w:tc>
        <w:tc>
          <w:tcPr>
            <w:tcW w:w="4720" w:type="dxa"/>
            <w:vAlign w:val="bottom"/>
            <w:tcBorders>
              <w:top w:val="single" w:sz="8" w:color="0000EE"/>
            </w:tcBorders>
            <w:gridSpan w:val="15"/>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60"/>
        </w:trPr>
        <w:tc>
          <w:tcPr>
            <w:tcW w:w="5820" w:type="dxa"/>
            <w:vAlign w:val="bottom"/>
            <w:tcBorders>
              <w:bottom w:val="single" w:sz="8" w:color="0000EE"/>
            </w:tcBorders>
            <w:gridSpan w:val="18"/>
          </w:tcPr>
          <w:p>
            <w:pPr>
              <w:ind w:left="20"/>
              <w:spacing w:after="0"/>
              <w:rPr>
                <w:sz w:val="20"/>
                <w:szCs w:val="20"/>
                <w:color w:val="auto"/>
              </w:rPr>
            </w:pPr>
            <w:r>
              <w:rPr>
                <w:rFonts w:ascii="Arial" w:cs="Arial" w:eastAsia="Arial" w:hAnsi="Arial"/>
                <w:sz w:val="16"/>
                <w:szCs w:val="16"/>
                <w:color w:val="0000EE"/>
                <w:w w:val="99"/>
              </w:rPr>
              <w:t>People, Culture and Compensation Committee Interlocks and Insider Participation</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260"/>
        </w:trPr>
        <w:tc>
          <w:tcPr>
            <w:tcW w:w="5820" w:type="dxa"/>
            <w:vAlign w:val="bottom"/>
            <w:gridSpan w:val="18"/>
          </w:tcPr>
          <w:p>
            <w:pPr>
              <w:ind w:left="20"/>
              <w:spacing w:after="0"/>
              <w:rPr>
                <w:sz w:val="20"/>
                <w:szCs w:val="20"/>
                <w:color w:val="auto"/>
              </w:rPr>
            </w:pPr>
            <w:r>
              <w:rPr>
                <w:rFonts w:ascii="Arial" w:cs="Arial" w:eastAsia="Arial" w:hAnsi="Arial"/>
                <w:sz w:val="16"/>
                <w:szCs w:val="16"/>
                <w:color w:val="0000EE"/>
              </w:rPr>
              <w:t>Compensation Tables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22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8"/>
              </w:rPr>
              <w:t>Summary Compensation Table</w:t>
            </w:r>
          </w:p>
        </w:tc>
        <w:tc>
          <w:tcPr>
            <w:tcW w:w="3400" w:type="dxa"/>
            <w:vAlign w:val="bottom"/>
            <w:gridSpan w:val="12"/>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54</w:t>
            </w:r>
          </w:p>
        </w:tc>
      </w:tr>
      <w:tr>
        <w:trPr>
          <w:trHeight w:val="220"/>
        </w:trPr>
        <w:tc>
          <w:tcPr>
            <w:tcW w:w="220" w:type="dxa"/>
            <w:vAlign w:val="bottom"/>
          </w:tcPr>
          <w:p>
            <w:pPr>
              <w:spacing w:after="0"/>
              <w:rPr>
                <w:sz w:val="19"/>
                <w:szCs w:val="19"/>
                <w:color w:val="auto"/>
              </w:rPr>
            </w:pPr>
          </w:p>
        </w:tc>
        <w:tc>
          <w:tcPr>
            <w:tcW w:w="268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9"/>
              </w:rPr>
              <w:t>Grants of Plan-Based Awards in 2023</w:t>
            </w:r>
          </w:p>
        </w:tc>
        <w:tc>
          <w:tcPr>
            <w:tcW w:w="2920" w:type="dxa"/>
            <w:vAlign w:val="bottom"/>
            <w:gridSpan w:val="10"/>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55</w:t>
            </w:r>
          </w:p>
        </w:tc>
      </w:tr>
      <w:tr>
        <w:trPr>
          <w:trHeight w:val="220"/>
        </w:trPr>
        <w:tc>
          <w:tcPr>
            <w:tcW w:w="220" w:type="dxa"/>
            <w:vAlign w:val="bottom"/>
          </w:tcPr>
          <w:p>
            <w:pPr>
              <w:spacing w:after="0"/>
              <w:rPr>
                <w:sz w:val="19"/>
                <w:szCs w:val="19"/>
                <w:color w:val="auto"/>
              </w:rPr>
            </w:pPr>
          </w:p>
        </w:tc>
        <w:tc>
          <w:tcPr>
            <w:tcW w:w="5600" w:type="dxa"/>
            <w:vAlign w:val="bottom"/>
            <w:gridSpan w:val="17"/>
          </w:tcPr>
          <w:p>
            <w:pPr>
              <w:spacing w:after="0"/>
              <w:rPr>
                <w:sz w:val="20"/>
                <w:szCs w:val="20"/>
                <w:color w:val="auto"/>
              </w:rPr>
            </w:pPr>
            <w:r>
              <w:rPr>
                <w:rFonts w:ascii="Arial" w:cs="Arial" w:eastAsia="Arial" w:hAnsi="Arial"/>
                <w:sz w:val="16"/>
                <w:szCs w:val="16"/>
                <w:color w:val="0000EE"/>
              </w:rPr>
              <w:t>Compensation Agreements and Arrangements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56</w:t>
            </w:r>
          </w:p>
        </w:tc>
      </w:tr>
      <w:tr>
        <w:trPr>
          <w:trHeight w:val="220"/>
        </w:trPr>
        <w:tc>
          <w:tcPr>
            <w:tcW w:w="220" w:type="dxa"/>
            <w:vAlign w:val="bottom"/>
          </w:tcPr>
          <w:p>
            <w:pPr>
              <w:spacing w:after="0"/>
              <w:rPr>
                <w:sz w:val="19"/>
                <w:szCs w:val="19"/>
                <w:color w:val="auto"/>
              </w:rPr>
            </w:pPr>
          </w:p>
        </w:tc>
        <w:tc>
          <w:tcPr>
            <w:tcW w:w="31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w w:val="99"/>
              </w:rPr>
              <w:t>Grants Under the 2011 Equity Incentive Plan</w:t>
            </w:r>
          </w:p>
        </w:tc>
        <w:tc>
          <w:tcPr>
            <w:tcW w:w="140" w:type="dxa"/>
            <w:vAlign w:val="bottom"/>
            <w:tcBorders>
              <w:top w:val="single" w:sz="8" w:color="0000EE"/>
            </w:tcBorders>
            <w:gridSpan w:val="2"/>
          </w:tcPr>
          <w:p>
            <w:pPr>
              <w:spacing w:after="0"/>
              <w:rPr>
                <w:sz w:val="19"/>
                <w:szCs w:val="19"/>
                <w:color w:val="auto"/>
              </w:rPr>
            </w:pPr>
          </w:p>
        </w:tc>
        <w:tc>
          <w:tcPr>
            <w:tcW w:w="2300" w:type="dxa"/>
            <w:vAlign w:val="bottom"/>
            <w:gridSpan w:val="6"/>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56</w:t>
            </w:r>
          </w:p>
        </w:tc>
      </w:tr>
      <w:tr>
        <w:trPr>
          <w:trHeight w:val="220"/>
        </w:trPr>
        <w:tc>
          <w:tcPr>
            <w:tcW w:w="220" w:type="dxa"/>
            <w:vAlign w:val="bottom"/>
          </w:tcPr>
          <w:p>
            <w:pPr>
              <w:spacing w:after="0"/>
              <w:rPr>
                <w:sz w:val="19"/>
                <w:szCs w:val="19"/>
                <w:color w:val="auto"/>
              </w:rPr>
            </w:pPr>
          </w:p>
        </w:tc>
        <w:tc>
          <w:tcPr>
            <w:tcW w:w="35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9"/>
              </w:rPr>
              <w:t>Outstanding Equity Awards at December 31, 2023</w:t>
            </w:r>
          </w:p>
        </w:tc>
        <w:tc>
          <w:tcPr>
            <w:tcW w:w="2040" w:type="dxa"/>
            <w:vAlign w:val="bottom"/>
            <w:gridSpan w:val="4"/>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57</w:t>
            </w:r>
          </w:p>
        </w:tc>
      </w:tr>
      <w:tr>
        <w:trPr>
          <w:trHeight w:val="220"/>
        </w:trPr>
        <w:tc>
          <w:tcPr>
            <w:tcW w:w="220" w:type="dxa"/>
            <w:vAlign w:val="bottom"/>
          </w:tcPr>
          <w:p>
            <w:pPr>
              <w:spacing w:after="0"/>
              <w:rPr>
                <w:sz w:val="19"/>
                <w:szCs w:val="19"/>
                <w:color w:val="auto"/>
              </w:rPr>
            </w:pPr>
          </w:p>
        </w:tc>
        <w:tc>
          <w:tcPr>
            <w:tcW w:w="30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9"/>
              </w:rPr>
              <w:t>Option Exercises and Stock Vested in 2023</w:t>
            </w:r>
          </w:p>
        </w:tc>
        <w:tc>
          <w:tcPr>
            <w:tcW w:w="2520" w:type="dxa"/>
            <w:vAlign w:val="bottom"/>
            <w:gridSpan w:val="9"/>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59</w:t>
            </w:r>
          </w:p>
        </w:tc>
      </w:tr>
      <w:tr>
        <w:trPr>
          <w:trHeight w:val="220"/>
        </w:trPr>
        <w:tc>
          <w:tcPr>
            <w:tcW w:w="220" w:type="dxa"/>
            <w:vAlign w:val="bottom"/>
          </w:tcPr>
          <w:p>
            <w:pPr>
              <w:spacing w:after="0"/>
              <w:rPr>
                <w:sz w:val="19"/>
                <w:szCs w:val="19"/>
                <w:color w:val="auto"/>
              </w:rPr>
            </w:pPr>
          </w:p>
        </w:tc>
        <w:tc>
          <w:tcPr>
            <w:tcW w:w="5600" w:type="dxa"/>
            <w:vAlign w:val="bottom"/>
            <w:gridSpan w:val="17"/>
          </w:tcPr>
          <w:p>
            <w:pPr>
              <w:spacing w:after="0"/>
              <w:rPr>
                <w:sz w:val="20"/>
                <w:szCs w:val="20"/>
                <w:color w:val="auto"/>
              </w:rPr>
            </w:pPr>
            <w:r>
              <w:rPr>
                <w:rFonts w:ascii="Arial" w:cs="Arial" w:eastAsia="Arial" w:hAnsi="Arial"/>
                <w:sz w:val="16"/>
                <w:szCs w:val="16"/>
                <w:color w:val="0000EE"/>
              </w:rPr>
              <w:t>Nonqualified Deferred Compensation in 2023</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60</w:t>
            </w: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5600" w:type="dxa"/>
            <w:vAlign w:val="bottom"/>
            <w:gridSpan w:val="17"/>
          </w:tcPr>
          <w:p>
            <w:pPr>
              <w:spacing w:after="0"/>
              <w:rPr>
                <w:sz w:val="20"/>
                <w:szCs w:val="20"/>
                <w:color w:val="auto"/>
              </w:rPr>
            </w:pPr>
            <w:r>
              <w:rPr>
                <w:rFonts w:ascii="Arial" w:cs="Arial" w:eastAsia="Arial" w:hAnsi="Arial"/>
                <w:sz w:val="16"/>
                <w:szCs w:val="16"/>
                <w:color w:val="0000EE"/>
              </w:rPr>
              <w:t>Termination of Employment and Change of Control Arrangements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62</w:t>
            </w:r>
          </w:p>
        </w:tc>
      </w:tr>
      <w:tr>
        <w:trPr>
          <w:trHeight w:val="220"/>
        </w:trPr>
        <w:tc>
          <w:tcPr>
            <w:tcW w:w="220" w:type="dxa"/>
            <w:vAlign w:val="bottom"/>
          </w:tcPr>
          <w:p>
            <w:pPr>
              <w:spacing w:after="0"/>
              <w:rPr>
                <w:sz w:val="19"/>
                <w:szCs w:val="19"/>
                <w:color w:val="auto"/>
              </w:rPr>
            </w:pPr>
          </w:p>
        </w:tc>
        <w:tc>
          <w:tcPr>
            <w:tcW w:w="4640" w:type="dxa"/>
            <w:vAlign w:val="bottom"/>
            <w:tcBorders>
              <w:top w:val="single" w:sz="8" w:color="0000EE"/>
            </w:tcBorders>
            <w:gridSpan w:val="14"/>
          </w:tcPr>
          <w:p>
            <w:pPr>
              <w:spacing w:after="0"/>
              <w:rPr>
                <w:sz w:val="20"/>
                <w:szCs w:val="20"/>
                <w:color w:val="auto"/>
              </w:rPr>
            </w:pPr>
            <w:r>
              <w:rPr>
                <w:rFonts w:ascii="Arial" w:cs="Arial" w:eastAsia="Arial" w:hAnsi="Arial"/>
                <w:sz w:val="16"/>
                <w:szCs w:val="16"/>
                <w:color w:val="0000EE"/>
              </w:rPr>
              <w:t>Post-Termination and Change of Control Benefits</w:t>
            </w:r>
          </w:p>
        </w:tc>
        <w:tc>
          <w:tcPr>
            <w:tcW w:w="960" w:type="dxa"/>
            <w:vAlign w:val="bottom"/>
            <w:gridSpan w:val="3"/>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5D89B4"/>
              </w:rPr>
              <w:t>65</w:t>
            </w:r>
          </w:p>
        </w:tc>
      </w:tr>
      <w:tr>
        <w:trPr>
          <w:trHeight w:val="20"/>
        </w:trPr>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0"/>
        </w:trPr>
        <w:tc>
          <w:tcPr>
            <w:tcW w:w="5820" w:type="dxa"/>
            <w:vAlign w:val="bottom"/>
            <w:gridSpan w:val="18"/>
          </w:tcPr>
          <w:p>
            <w:pPr>
              <w:ind w:left="20"/>
              <w:spacing w:after="0"/>
              <w:rPr>
                <w:sz w:val="20"/>
                <w:szCs w:val="20"/>
                <w:color w:val="auto"/>
              </w:rPr>
            </w:pPr>
            <w:r>
              <w:rPr>
                <w:rFonts w:ascii="Arial" w:cs="Arial" w:eastAsia="Arial" w:hAnsi="Arial"/>
                <w:sz w:val="16"/>
                <w:szCs w:val="16"/>
                <w:color w:val="0000EE"/>
              </w:rPr>
              <w:t>Compensation Policies and Practices as They Relate to Risk Management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69</w:t>
            </w:r>
          </w:p>
        </w:tc>
      </w:tr>
      <w:tr>
        <w:trPr>
          <w:trHeight w:val="260"/>
        </w:trPr>
        <w:tc>
          <w:tcPr>
            <w:tcW w:w="1100" w:type="dxa"/>
            <w:vAlign w:val="bottom"/>
            <w:tcBorders>
              <w:top w:val="single" w:sz="8" w:color="0000EE"/>
              <w:bottom w:val="single" w:sz="8" w:color="0000EE"/>
            </w:tcBorders>
            <w:gridSpan w:val="3"/>
          </w:tcPr>
          <w:p>
            <w:pPr>
              <w:ind w:left="20"/>
              <w:spacing w:after="0"/>
              <w:rPr>
                <w:sz w:val="20"/>
                <w:szCs w:val="20"/>
                <w:color w:val="auto"/>
              </w:rPr>
            </w:pPr>
            <w:r>
              <w:rPr>
                <w:rFonts w:ascii="Arial" w:cs="Arial" w:eastAsia="Arial" w:hAnsi="Arial"/>
                <w:sz w:val="16"/>
                <w:szCs w:val="16"/>
                <w:color w:val="0000EE"/>
                <w:w w:val="97"/>
              </w:rPr>
              <w:t>CEO Pay Ratio</w:t>
            </w:r>
          </w:p>
        </w:tc>
        <w:tc>
          <w:tcPr>
            <w:tcW w:w="4180" w:type="dxa"/>
            <w:vAlign w:val="bottom"/>
            <w:tcBorders>
              <w:top w:val="single" w:sz="8" w:color="0000EE"/>
            </w:tcBorders>
            <w:gridSpan w:val="13"/>
          </w:tcPr>
          <w:p>
            <w:pPr>
              <w:spacing w:after="0"/>
              <w:rPr>
                <w:sz w:val="22"/>
                <w:szCs w:val="22"/>
                <w:color w:val="auto"/>
              </w:rPr>
            </w:pPr>
          </w:p>
        </w:tc>
        <w:tc>
          <w:tcPr>
            <w:tcW w:w="540" w:type="dxa"/>
            <w:vAlign w:val="bottom"/>
            <w:gridSpan w:val="2"/>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260"/>
        </w:trPr>
        <w:tc>
          <w:tcPr>
            <w:tcW w:w="5820" w:type="dxa"/>
            <w:vAlign w:val="bottom"/>
            <w:gridSpan w:val="18"/>
          </w:tcPr>
          <w:p>
            <w:pPr>
              <w:ind w:left="20"/>
              <w:spacing w:after="0"/>
              <w:rPr>
                <w:sz w:val="20"/>
                <w:szCs w:val="20"/>
                <w:color w:val="auto"/>
              </w:rPr>
            </w:pPr>
            <w:r>
              <w:rPr>
                <w:rFonts w:ascii="Arial" w:cs="Arial" w:eastAsia="Arial" w:hAnsi="Arial"/>
                <w:sz w:val="16"/>
                <w:szCs w:val="16"/>
                <w:color w:val="0000EE"/>
              </w:rPr>
              <w:t>Pay versus Performance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177800</wp:posOffset>
            </wp:positionV>
            <wp:extent cx="69138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ectPr>
          <w:pgSz w:w="11900" w:h="16838" w:orient="portrait"/>
          <w:cols w:equalWidth="0" w:num="2">
            <w:col w:w="3880" w:space="720"/>
            <w:col w:w="6460"/>
          </w:cols>
          <w:pgMar w:left="320" w:top="480" w:right="5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624"/>
        </w:trPr>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19"/>
          </w:tcPr>
          <w:p>
            <w:pPr>
              <w:jc w:val="right"/>
              <w:spacing w:after="0"/>
              <w:rPr>
                <w:sz w:val="20"/>
                <w:szCs w:val="20"/>
                <w:color w:val="auto"/>
              </w:rPr>
            </w:pPr>
            <w:r>
              <w:rPr>
                <w:rFonts w:ascii="Arial" w:cs="Arial" w:eastAsia="Arial" w:hAnsi="Arial"/>
                <w:sz w:val="43"/>
                <w:szCs w:val="43"/>
                <w:b w:val="1"/>
                <w:bCs w:val="1"/>
                <w:color w:val="5D89B4"/>
              </w:rPr>
              <w:t>2024</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EAEAEA"/>
            </w:tcBorders>
            <w:shd w:val="clear" w:color="auto" w:fill="EAEAEA"/>
          </w:tcPr>
          <w:p>
            <w:pPr>
              <w:spacing w:after="0" w:line="160" w:lineRule="exact"/>
              <w:rPr>
                <w:sz w:val="20"/>
                <w:szCs w:val="20"/>
                <w:color w:val="auto"/>
              </w:rPr>
            </w:pPr>
            <w:r>
              <w:rPr>
                <w:rFonts w:ascii="Arial" w:cs="Arial" w:eastAsia="Arial" w:hAnsi="Arial"/>
                <w:sz w:val="15"/>
                <w:szCs w:val="15"/>
                <w:color w:val="auto"/>
              </w:rPr>
              <w:t> </w:t>
            </w:r>
          </w:p>
        </w:tc>
        <w:tc>
          <w:tcPr>
            <w:tcW w:w="1080" w:type="dxa"/>
            <w:vAlign w:val="bottom"/>
            <w:tcBorders>
              <w:bottom w:val="single" w:sz="8" w:color="EAEAEA"/>
            </w:tcBorders>
            <w:shd w:val="clear" w:color="auto" w:fill="EAEAEA"/>
          </w:tcPr>
          <w:p>
            <w:pPr>
              <w:jc w:val="right"/>
              <w:spacing w:after="0" w:line="147" w:lineRule="exact"/>
              <w:rPr>
                <w:sz w:val="20"/>
                <w:szCs w:val="20"/>
                <w:color w:val="auto"/>
              </w:rPr>
            </w:pPr>
            <w:r>
              <w:rPr>
                <w:rFonts w:ascii="Arial" w:cs="Arial" w:eastAsia="Arial" w:hAnsi="Arial"/>
                <w:sz w:val="17"/>
                <w:szCs w:val="17"/>
                <w:color w:val="5D89B4"/>
              </w:rPr>
              <w:t>4</w:t>
            </w:r>
          </w:p>
        </w:tc>
        <w:tc>
          <w:tcPr>
            <w:tcW w:w="3040" w:type="dxa"/>
            <w:vAlign w:val="bottom"/>
            <w:tcBorders>
              <w:bottom w:val="single" w:sz="8" w:color="EAEAEA"/>
            </w:tcBorders>
            <w:vMerge w:val="restart"/>
            <w:shd w:val="clear" w:color="auto" w:fill="EAEAEA"/>
          </w:tcPr>
          <w:p>
            <w:pPr>
              <w:ind w:left="100"/>
              <w:spacing w:after="0"/>
              <w:rPr>
                <w:sz w:val="20"/>
                <w:szCs w:val="20"/>
                <w:color w:val="auto"/>
              </w:rPr>
            </w:pPr>
            <w:r>
              <w:rPr>
                <w:rFonts w:ascii="Arial" w:cs="Arial" w:eastAsia="Arial" w:hAnsi="Arial"/>
                <w:sz w:val="28"/>
                <w:szCs w:val="28"/>
                <w:color w:val="5D89B4"/>
              </w:rPr>
              <w:t>Audit</w:t>
            </w:r>
          </w:p>
        </w:tc>
        <w:tc>
          <w:tcPr>
            <w:tcW w:w="100" w:type="dxa"/>
            <w:vAlign w:val="bottom"/>
          </w:tcPr>
          <w:p>
            <w:pPr>
              <w:spacing w:after="0"/>
              <w:rPr>
                <w:sz w:val="13"/>
                <w:szCs w:val="13"/>
                <w:color w:val="auto"/>
              </w:rPr>
            </w:pPr>
          </w:p>
        </w:tc>
        <w:tc>
          <w:tcPr>
            <w:tcW w:w="1720" w:type="dxa"/>
            <w:vAlign w:val="bottom"/>
            <w:tcBorders>
              <w:bottom w:val="single" w:sz="8" w:color="0000EE"/>
            </w:tcBorders>
            <w:gridSpan w:val="5"/>
          </w:tcPr>
          <w:p>
            <w:pPr>
              <w:ind w:left="20"/>
              <w:spacing w:after="0" w:line="160" w:lineRule="exact"/>
              <w:rPr>
                <w:sz w:val="20"/>
                <w:szCs w:val="20"/>
                <w:color w:val="auto"/>
              </w:rPr>
            </w:pPr>
            <w:r>
              <w:rPr>
                <w:rFonts w:ascii="Arial" w:cs="Arial" w:eastAsia="Arial" w:hAnsi="Arial"/>
                <w:sz w:val="16"/>
                <w:szCs w:val="16"/>
                <w:color w:val="0000EE"/>
                <w:w w:val="98"/>
              </w:rPr>
              <w:t>Audit Committee Report</w:t>
            </w:r>
          </w:p>
        </w:tc>
        <w:tc>
          <w:tcPr>
            <w:tcW w:w="4220" w:type="dxa"/>
            <w:vAlign w:val="bottom"/>
            <w:gridSpan w:val="12"/>
          </w:tcPr>
          <w:p>
            <w:pPr>
              <w:spacing w:after="0"/>
              <w:rPr>
                <w:sz w:val="13"/>
                <w:szCs w:val="13"/>
                <w:color w:val="auto"/>
              </w:rPr>
            </w:pPr>
          </w:p>
        </w:tc>
        <w:tc>
          <w:tcPr>
            <w:tcW w:w="520" w:type="dxa"/>
            <w:vAlign w:val="bottom"/>
          </w:tcPr>
          <w:p>
            <w:pPr>
              <w:jc w:val="right"/>
              <w:spacing w:after="0" w:line="160" w:lineRule="exact"/>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300"/>
        </w:trPr>
        <w:tc>
          <w:tcPr>
            <w:tcW w:w="200" w:type="dxa"/>
            <w:vAlign w:val="bottom"/>
            <w:shd w:val="clear" w:color="auto" w:fill="EAEAEA"/>
          </w:tcPr>
          <w:p>
            <w:pPr>
              <w:spacing w:after="0"/>
              <w:rPr>
                <w:sz w:val="24"/>
                <w:szCs w:val="24"/>
                <w:color w:val="auto"/>
              </w:rPr>
            </w:pPr>
          </w:p>
        </w:tc>
        <w:tc>
          <w:tcPr>
            <w:tcW w:w="1080" w:type="dxa"/>
            <w:vAlign w:val="bottom"/>
            <w:shd w:val="clear" w:color="auto" w:fill="EAEAEA"/>
          </w:tcPr>
          <w:p>
            <w:pPr>
              <w:spacing w:after="0"/>
              <w:rPr>
                <w:sz w:val="24"/>
                <w:szCs w:val="24"/>
                <w:color w:val="auto"/>
              </w:rPr>
            </w:pPr>
          </w:p>
        </w:tc>
        <w:tc>
          <w:tcPr>
            <w:tcW w:w="3040" w:type="dxa"/>
            <w:vAlign w:val="bottom"/>
            <w:vMerge w:val="continue"/>
            <w:shd w:val="clear" w:color="auto" w:fill="EAEAEA"/>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17"/>
          </w:tcPr>
          <w:p>
            <w:pPr>
              <w:ind w:left="20"/>
              <w:spacing w:after="0"/>
              <w:rPr>
                <w:sz w:val="20"/>
                <w:szCs w:val="20"/>
                <w:color w:val="auto"/>
              </w:rPr>
            </w:pPr>
            <w:r>
              <w:rPr>
                <w:rFonts w:ascii="Arial" w:cs="Arial" w:eastAsia="Arial" w:hAnsi="Arial"/>
                <w:sz w:val="16"/>
                <w:szCs w:val="16"/>
                <w:color w:val="0000EE"/>
              </w:rPr>
              <w:t>Fees Billed by Deloitte</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080" w:type="dxa"/>
            <w:vAlign w:val="bottom"/>
            <w:shd w:val="clear" w:color="auto" w:fill="EAEAEA"/>
          </w:tcPr>
          <w:p>
            <w:pPr>
              <w:spacing w:after="0" w:line="20" w:lineRule="exact"/>
              <w:rPr>
                <w:sz w:val="1"/>
                <w:szCs w:val="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8"/>
                <w:szCs w:val="28"/>
                <w:color w:val="5D89B4"/>
              </w:rPr>
              <w:t>Committee</w:t>
            </w: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0" w:type="dxa"/>
            <w:vAlign w:val="bottom"/>
            <w:shd w:val="clear" w:color="auto" w:fill="EAEAEA"/>
          </w:tcPr>
          <w:p>
            <w:pPr>
              <w:spacing w:after="0"/>
              <w:rPr>
                <w:sz w:val="24"/>
                <w:szCs w:val="24"/>
                <w:color w:val="auto"/>
              </w:rPr>
            </w:pPr>
          </w:p>
        </w:tc>
        <w:tc>
          <w:tcPr>
            <w:tcW w:w="1080" w:type="dxa"/>
            <w:vAlign w:val="bottom"/>
            <w:shd w:val="clear" w:color="auto" w:fill="EAEAEA"/>
          </w:tcPr>
          <w:p>
            <w:pPr>
              <w:spacing w:after="0"/>
              <w:rPr>
                <w:sz w:val="24"/>
                <w:szCs w:val="24"/>
                <w:color w:val="auto"/>
              </w:rPr>
            </w:pPr>
          </w:p>
        </w:tc>
        <w:tc>
          <w:tcPr>
            <w:tcW w:w="3040" w:type="dxa"/>
            <w:vAlign w:val="bottom"/>
            <w:vMerge w:val="continue"/>
            <w:shd w:val="clear" w:color="auto" w:fill="EAEAEA"/>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17"/>
          </w:tcPr>
          <w:p>
            <w:pPr>
              <w:ind w:left="20"/>
              <w:spacing w:after="0"/>
              <w:rPr>
                <w:sz w:val="20"/>
                <w:szCs w:val="20"/>
                <w:color w:val="auto"/>
              </w:rPr>
            </w:pPr>
            <w:r>
              <w:rPr>
                <w:rFonts w:ascii="Arial" w:cs="Arial" w:eastAsia="Arial" w:hAnsi="Arial"/>
                <w:sz w:val="16"/>
                <w:szCs w:val="16"/>
                <w:color w:val="0000EE"/>
              </w:rPr>
              <w:t>Independent Auditor Services Policy</w:t>
            </w: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107"/>
        </w:trPr>
        <w:tc>
          <w:tcPr>
            <w:tcW w:w="200" w:type="dxa"/>
            <w:vAlign w:val="bottom"/>
            <w:tcBorders>
              <w:top w:val="single" w:sz="8" w:color="EAEAEA"/>
            </w:tcBorders>
            <w:shd w:val="clear" w:color="auto" w:fill="EAEAEA"/>
          </w:tcPr>
          <w:p>
            <w:pPr>
              <w:spacing w:after="0"/>
              <w:rPr>
                <w:sz w:val="9"/>
                <w:szCs w:val="9"/>
                <w:color w:val="auto"/>
              </w:rPr>
            </w:pPr>
          </w:p>
        </w:tc>
        <w:tc>
          <w:tcPr>
            <w:tcW w:w="1080" w:type="dxa"/>
            <w:vAlign w:val="bottom"/>
            <w:tcBorders>
              <w:top w:val="single" w:sz="8" w:color="EAEAEA"/>
            </w:tcBorders>
            <w:shd w:val="clear" w:color="auto" w:fill="EAEAEA"/>
          </w:tcPr>
          <w:p>
            <w:pPr>
              <w:spacing w:after="0"/>
              <w:rPr>
                <w:sz w:val="9"/>
                <w:szCs w:val="9"/>
                <w:color w:val="auto"/>
              </w:rPr>
            </w:pPr>
          </w:p>
        </w:tc>
        <w:tc>
          <w:tcPr>
            <w:tcW w:w="3040" w:type="dxa"/>
            <w:vAlign w:val="bottom"/>
            <w:tcBorders>
              <w:top w:val="single" w:sz="8" w:color="EAEAEA"/>
            </w:tcBorders>
            <w:vMerge w:val="restart"/>
            <w:shd w:val="clear" w:color="auto" w:fill="EAEAEA"/>
          </w:tcPr>
          <w:p>
            <w:pPr>
              <w:ind w:left="100"/>
              <w:spacing w:after="0"/>
              <w:rPr>
                <w:sz w:val="20"/>
                <w:szCs w:val="20"/>
                <w:color w:val="auto"/>
              </w:rPr>
            </w:pPr>
            <w:r>
              <w:rPr>
                <w:rFonts w:ascii="Arial" w:cs="Arial" w:eastAsia="Arial" w:hAnsi="Arial"/>
                <w:sz w:val="28"/>
                <w:szCs w:val="28"/>
                <w:color w:val="5D89B4"/>
              </w:rPr>
              <w:t>Matters</w:t>
            </w:r>
          </w:p>
        </w:tc>
        <w:tc>
          <w:tcPr>
            <w:tcW w:w="100" w:type="dxa"/>
            <w:vAlign w:val="bottom"/>
          </w:tcPr>
          <w:p>
            <w:pPr>
              <w:spacing w:after="0"/>
              <w:rPr>
                <w:sz w:val="9"/>
                <w:szCs w:val="9"/>
                <w:color w:val="auto"/>
              </w:rPr>
            </w:pPr>
          </w:p>
        </w:tc>
        <w:tc>
          <w:tcPr>
            <w:tcW w:w="98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3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0" w:type="dxa"/>
            <w:vAlign w:val="bottom"/>
            <w:shd w:val="clear" w:color="auto" w:fill="EAEAEA"/>
          </w:tcPr>
          <w:p>
            <w:pPr>
              <w:spacing w:after="0"/>
              <w:rPr>
                <w:sz w:val="21"/>
                <w:szCs w:val="21"/>
                <w:color w:val="auto"/>
              </w:rPr>
            </w:pPr>
          </w:p>
        </w:tc>
        <w:tc>
          <w:tcPr>
            <w:tcW w:w="1080" w:type="dxa"/>
            <w:vAlign w:val="bottom"/>
            <w:shd w:val="clear" w:color="auto" w:fill="EAEAEA"/>
          </w:tcPr>
          <w:p>
            <w:pPr>
              <w:spacing w:after="0"/>
              <w:rPr>
                <w:sz w:val="21"/>
                <w:szCs w:val="21"/>
                <w:color w:val="auto"/>
              </w:rPr>
            </w:pPr>
          </w:p>
        </w:tc>
        <w:tc>
          <w:tcPr>
            <w:tcW w:w="3040" w:type="dxa"/>
            <w:vAlign w:val="bottom"/>
            <w:vMerge w:val="continue"/>
            <w:shd w:val="clear" w:color="auto" w:fill="EAEAEA"/>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0" w:type="dxa"/>
            <w:vAlign w:val="bottom"/>
            <w:tcBorders>
              <w:bottom w:val="single" w:sz="8" w:color="EAEAEA"/>
            </w:tcBorders>
            <w:shd w:val="clear" w:color="auto" w:fill="EAEAEA"/>
          </w:tcPr>
          <w:p>
            <w:pPr>
              <w:spacing w:after="0"/>
              <w:rPr>
                <w:sz w:val="18"/>
                <w:szCs w:val="18"/>
                <w:color w:val="auto"/>
              </w:rPr>
            </w:pPr>
          </w:p>
        </w:tc>
        <w:tc>
          <w:tcPr>
            <w:tcW w:w="1080" w:type="dxa"/>
            <w:vAlign w:val="bottom"/>
            <w:tcBorders>
              <w:bottom w:val="single" w:sz="8" w:color="5D89B4"/>
            </w:tcBorders>
            <w:shd w:val="clear" w:color="auto" w:fill="EAEAEA"/>
          </w:tcPr>
          <w:p>
            <w:pPr>
              <w:spacing w:after="0"/>
              <w:rPr>
                <w:sz w:val="18"/>
                <w:szCs w:val="18"/>
                <w:color w:val="auto"/>
              </w:rPr>
            </w:pPr>
          </w:p>
        </w:tc>
        <w:tc>
          <w:tcPr>
            <w:tcW w:w="3040" w:type="dxa"/>
            <w:vAlign w:val="bottom"/>
            <w:tcBorders>
              <w:bottom w:val="single" w:sz="8" w:color="5D89B4"/>
            </w:tcBorders>
            <w:shd w:val="clear" w:color="auto" w:fill="EAEAEA"/>
          </w:tcPr>
          <w:p>
            <w:pPr>
              <w:spacing w:after="0"/>
              <w:rPr>
                <w:sz w:val="18"/>
                <w:szCs w:val="18"/>
                <w:color w:val="auto"/>
              </w:rPr>
            </w:pPr>
          </w:p>
        </w:tc>
        <w:tc>
          <w:tcPr>
            <w:tcW w:w="100" w:type="dxa"/>
            <w:vAlign w:val="bottom"/>
            <w:tcBorders>
              <w:bottom w:val="single" w:sz="8" w:color="5D89B4"/>
            </w:tcBorders>
          </w:tcPr>
          <w:p>
            <w:pPr>
              <w:spacing w:after="0"/>
              <w:rPr>
                <w:sz w:val="18"/>
                <w:szCs w:val="18"/>
                <w:color w:val="auto"/>
              </w:rPr>
            </w:pPr>
          </w:p>
        </w:tc>
        <w:tc>
          <w:tcPr>
            <w:tcW w:w="980" w:type="dxa"/>
            <w:vAlign w:val="bottom"/>
            <w:tcBorders>
              <w:bottom w:val="single" w:sz="8" w:color="5D89B4"/>
            </w:tcBorders>
          </w:tcPr>
          <w:p>
            <w:pPr>
              <w:spacing w:after="0"/>
              <w:rPr>
                <w:sz w:val="18"/>
                <w:szCs w:val="18"/>
                <w:color w:val="auto"/>
              </w:rPr>
            </w:pPr>
          </w:p>
        </w:tc>
        <w:tc>
          <w:tcPr>
            <w:tcW w:w="240" w:type="dxa"/>
            <w:vAlign w:val="bottom"/>
            <w:tcBorders>
              <w:bottom w:val="single" w:sz="8" w:color="5D89B4"/>
            </w:tcBorders>
          </w:tcPr>
          <w:p>
            <w:pPr>
              <w:spacing w:after="0"/>
              <w:rPr>
                <w:sz w:val="18"/>
                <w:szCs w:val="18"/>
                <w:color w:val="auto"/>
              </w:rPr>
            </w:pPr>
          </w:p>
        </w:tc>
        <w:tc>
          <w:tcPr>
            <w:tcW w:w="380" w:type="dxa"/>
            <w:vAlign w:val="bottom"/>
            <w:tcBorders>
              <w:bottom w:val="single" w:sz="8" w:color="5D89B4"/>
            </w:tcBorders>
          </w:tcPr>
          <w:p>
            <w:pPr>
              <w:spacing w:after="0"/>
              <w:rPr>
                <w:sz w:val="18"/>
                <w:szCs w:val="18"/>
                <w:color w:val="auto"/>
              </w:rPr>
            </w:pPr>
          </w:p>
        </w:tc>
        <w:tc>
          <w:tcPr>
            <w:tcW w:w="20" w:type="dxa"/>
            <w:vAlign w:val="bottom"/>
            <w:tcBorders>
              <w:bottom w:val="single" w:sz="8" w:color="5D89B4"/>
            </w:tcBorders>
          </w:tcPr>
          <w:p>
            <w:pPr>
              <w:spacing w:after="0"/>
              <w:rPr>
                <w:sz w:val="18"/>
                <w:szCs w:val="18"/>
                <w:color w:val="auto"/>
              </w:rPr>
            </w:pPr>
          </w:p>
        </w:tc>
        <w:tc>
          <w:tcPr>
            <w:tcW w:w="100" w:type="dxa"/>
            <w:vAlign w:val="bottom"/>
            <w:tcBorders>
              <w:bottom w:val="single" w:sz="8" w:color="5D89B4"/>
            </w:tcBorders>
          </w:tcPr>
          <w:p>
            <w:pPr>
              <w:spacing w:after="0"/>
              <w:rPr>
                <w:sz w:val="18"/>
                <w:szCs w:val="18"/>
                <w:color w:val="auto"/>
              </w:rPr>
            </w:pPr>
          </w:p>
        </w:tc>
        <w:tc>
          <w:tcPr>
            <w:tcW w:w="20" w:type="dxa"/>
            <w:vAlign w:val="bottom"/>
            <w:tcBorders>
              <w:bottom w:val="single" w:sz="8" w:color="5D89B4"/>
            </w:tcBorders>
          </w:tcPr>
          <w:p>
            <w:pPr>
              <w:spacing w:after="0"/>
              <w:rPr>
                <w:sz w:val="18"/>
                <w:szCs w:val="18"/>
                <w:color w:val="auto"/>
              </w:rPr>
            </w:pPr>
          </w:p>
        </w:tc>
        <w:tc>
          <w:tcPr>
            <w:tcW w:w="600" w:type="dxa"/>
            <w:vAlign w:val="bottom"/>
            <w:tcBorders>
              <w:bottom w:val="single" w:sz="8" w:color="5D89B4"/>
            </w:tcBorders>
          </w:tcPr>
          <w:p>
            <w:pPr>
              <w:spacing w:after="0"/>
              <w:rPr>
                <w:sz w:val="18"/>
                <w:szCs w:val="18"/>
                <w:color w:val="auto"/>
              </w:rPr>
            </w:pPr>
          </w:p>
        </w:tc>
        <w:tc>
          <w:tcPr>
            <w:tcW w:w="140" w:type="dxa"/>
            <w:vAlign w:val="bottom"/>
            <w:tcBorders>
              <w:bottom w:val="single" w:sz="8" w:color="5D89B4"/>
            </w:tcBorders>
          </w:tcPr>
          <w:p>
            <w:pPr>
              <w:spacing w:after="0"/>
              <w:rPr>
                <w:sz w:val="18"/>
                <w:szCs w:val="18"/>
                <w:color w:val="auto"/>
              </w:rPr>
            </w:pPr>
          </w:p>
        </w:tc>
        <w:tc>
          <w:tcPr>
            <w:tcW w:w="20" w:type="dxa"/>
            <w:vAlign w:val="bottom"/>
            <w:tcBorders>
              <w:bottom w:val="single" w:sz="8" w:color="5D89B4"/>
            </w:tcBorders>
          </w:tcPr>
          <w:p>
            <w:pPr>
              <w:spacing w:after="0"/>
              <w:rPr>
                <w:sz w:val="18"/>
                <w:szCs w:val="18"/>
                <w:color w:val="auto"/>
              </w:rPr>
            </w:pPr>
          </w:p>
        </w:tc>
        <w:tc>
          <w:tcPr>
            <w:tcW w:w="80" w:type="dxa"/>
            <w:vAlign w:val="bottom"/>
            <w:tcBorders>
              <w:bottom w:val="single" w:sz="8" w:color="5D89B4"/>
            </w:tcBorders>
          </w:tcPr>
          <w:p>
            <w:pPr>
              <w:spacing w:after="0"/>
              <w:rPr>
                <w:sz w:val="18"/>
                <w:szCs w:val="18"/>
                <w:color w:val="auto"/>
              </w:rPr>
            </w:pPr>
          </w:p>
        </w:tc>
        <w:tc>
          <w:tcPr>
            <w:tcW w:w="20" w:type="dxa"/>
            <w:vAlign w:val="bottom"/>
            <w:tcBorders>
              <w:bottom w:val="single" w:sz="8" w:color="5D89B4"/>
            </w:tcBorders>
          </w:tcPr>
          <w:p>
            <w:pPr>
              <w:spacing w:after="0"/>
              <w:rPr>
                <w:sz w:val="18"/>
                <w:szCs w:val="18"/>
                <w:color w:val="auto"/>
              </w:rPr>
            </w:pPr>
          </w:p>
        </w:tc>
        <w:tc>
          <w:tcPr>
            <w:tcW w:w="120" w:type="dxa"/>
            <w:vAlign w:val="bottom"/>
            <w:tcBorders>
              <w:bottom w:val="single" w:sz="8" w:color="5D89B4"/>
            </w:tcBorders>
          </w:tcPr>
          <w:p>
            <w:pPr>
              <w:spacing w:after="0"/>
              <w:rPr>
                <w:sz w:val="18"/>
                <w:szCs w:val="18"/>
                <w:color w:val="auto"/>
              </w:rPr>
            </w:pPr>
          </w:p>
        </w:tc>
        <w:tc>
          <w:tcPr>
            <w:tcW w:w="440" w:type="dxa"/>
            <w:vAlign w:val="bottom"/>
            <w:tcBorders>
              <w:bottom w:val="single" w:sz="8" w:color="5D89B4"/>
            </w:tcBorders>
          </w:tcPr>
          <w:p>
            <w:pPr>
              <w:spacing w:after="0"/>
              <w:rPr>
                <w:sz w:val="18"/>
                <w:szCs w:val="18"/>
                <w:color w:val="auto"/>
              </w:rPr>
            </w:pPr>
          </w:p>
        </w:tc>
        <w:tc>
          <w:tcPr>
            <w:tcW w:w="320" w:type="dxa"/>
            <w:vAlign w:val="bottom"/>
            <w:tcBorders>
              <w:bottom w:val="single" w:sz="8" w:color="5D89B4"/>
            </w:tcBorders>
          </w:tcPr>
          <w:p>
            <w:pPr>
              <w:spacing w:after="0"/>
              <w:rPr>
                <w:sz w:val="18"/>
                <w:szCs w:val="18"/>
                <w:color w:val="auto"/>
              </w:rPr>
            </w:pPr>
          </w:p>
        </w:tc>
        <w:tc>
          <w:tcPr>
            <w:tcW w:w="540" w:type="dxa"/>
            <w:vAlign w:val="bottom"/>
            <w:tcBorders>
              <w:bottom w:val="single" w:sz="8" w:color="5D89B4"/>
            </w:tcBorders>
          </w:tcPr>
          <w:p>
            <w:pPr>
              <w:spacing w:after="0"/>
              <w:rPr>
                <w:sz w:val="18"/>
                <w:szCs w:val="18"/>
                <w:color w:val="auto"/>
              </w:rPr>
            </w:pPr>
          </w:p>
        </w:tc>
        <w:tc>
          <w:tcPr>
            <w:tcW w:w="1640" w:type="dxa"/>
            <w:vAlign w:val="bottom"/>
            <w:tcBorders>
              <w:bottom w:val="single" w:sz="8" w:color="5D89B4"/>
            </w:tcBorders>
          </w:tcPr>
          <w:p>
            <w:pPr>
              <w:spacing w:after="0"/>
              <w:rPr>
                <w:sz w:val="18"/>
                <w:szCs w:val="18"/>
                <w:color w:val="auto"/>
              </w:rPr>
            </w:pPr>
          </w:p>
        </w:tc>
        <w:tc>
          <w:tcPr>
            <w:tcW w:w="280" w:type="dxa"/>
            <w:vAlign w:val="bottom"/>
            <w:tcBorders>
              <w:bottom w:val="single" w:sz="8" w:color="5D89B4"/>
            </w:tcBorders>
          </w:tcPr>
          <w:p>
            <w:pPr>
              <w:spacing w:after="0"/>
              <w:rPr>
                <w:sz w:val="18"/>
                <w:szCs w:val="18"/>
                <w:color w:val="auto"/>
              </w:rPr>
            </w:pPr>
          </w:p>
        </w:tc>
        <w:tc>
          <w:tcPr>
            <w:tcW w:w="520" w:type="dxa"/>
            <w:vAlign w:val="bottom"/>
            <w:tcBorders>
              <w:bottom w:val="single" w:sz="8" w:color="5D89B4"/>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vMerge w:val="restart"/>
            <w:shd w:val="clear" w:color="auto" w:fill="EAEAEA"/>
          </w:tcPr>
          <w:p>
            <w:pPr>
              <w:spacing w:after="0"/>
              <w:rPr>
                <w:sz w:val="20"/>
                <w:szCs w:val="20"/>
                <w:color w:val="auto"/>
              </w:rPr>
            </w:pPr>
            <w:r>
              <w:rPr>
                <w:rFonts w:ascii="Arial" w:cs="Arial" w:eastAsia="Arial" w:hAnsi="Arial"/>
                <w:sz w:val="15"/>
                <w:szCs w:val="15"/>
                <w:color w:val="auto"/>
              </w:rPr>
              <w:t> </w:t>
            </w:r>
          </w:p>
        </w:tc>
        <w:tc>
          <w:tcPr>
            <w:tcW w:w="1080" w:type="dxa"/>
            <w:vAlign w:val="bottom"/>
            <w:shd w:val="clear" w:color="auto" w:fill="EAEAEA"/>
          </w:tcPr>
          <w:p>
            <w:pPr>
              <w:jc w:val="right"/>
              <w:spacing w:after="0" w:line="193" w:lineRule="exact"/>
              <w:rPr>
                <w:sz w:val="20"/>
                <w:szCs w:val="20"/>
                <w:color w:val="auto"/>
              </w:rPr>
            </w:pPr>
            <w:r>
              <w:rPr>
                <w:rFonts w:ascii="Arial" w:cs="Arial" w:eastAsia="Arial" w:hAnsi="Arial"/>
                <w:sz w:val="22"/>
                <w:szCs w:val="22"/>
                <w:color w:val="5D89B4"/>
                <w:shd w:val="clear" w:color="auto" w:fill="EAEAEA"/>
              </w:rPr>
              <w:t>5</w:t>
            </w: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8"/>
                <w:szCs w:val="28"/>
                <w:color w:val="5D89B4"/>
              </w:rPr>
              <w:t>Information</w:t>
            </w:r>
          </w:p>
        </w:tc>
        <w:tc>
          <w:tcPr>
            <w:tcW w:w="100" w:type="dxa"/>
            <w:vAlign w:val="bottom"/>
          </w:tcPr>
          <w:p>
            <w:pPr>
              <w:spacing w:after="0"/>
              <w:rPr>
                <w:sz w:val="16"/>
                <w:szCs w:val="16"/>
                <w:color w:val="auto"/>
              </w:rPr>
            </w:pPr>
          </w:p>
        </w:tc>
        <w:tc>
          <w:tcPr>
            <w:tcW w:w="3480" w:type="dxa"/>
            <w:vAlign w:val="bottom"/>
            <w:gridSpan w:val="14"/>
            <w:vMerge w:val="restart"/>
          </w:tcPr>
          <w:p>
            <w:pPr>
              <w:ind w:left="20"/>
              <w:spacing w:after="0"/>
              <w:rPr>
                <w:sz w:val="20"/>
                <w:szCs w:val="20"/>
                <w:color w:val="auto"/>
              </w:rPr>
            </w:pPr>
            <w:r>
              <w:rPr>
                <w:rFonts w:ascii="Arial" w:cs="Arial" w:eastAsia="Arial" w:hAnsi="Arial"/>
                <w:sz w:val="16"/>
                <w:szCs w:val="16"/>
                <w:color w:val="0000EE"/>
                <w:w w:val="99"/>
              </w:rPr>
              <w:t>Security Ownership of Certain Beneficial Owners</w:t>
            </w:r>
          </w:p>
        </w:tc>
        <w:tc>
          <w:tcPr>
            <w:tcW w:w="2460" w:type="dxa"/>
            <w:vAlign w:val="bottom"/>
            <w:gridSpan w:val="3"/>
            <w:vMerge w:val="restart"/>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160"/>
        </w:trPr>
        <w:tc>
          <w:tcPr>
            <w:tcW w:w="200" w:type="dxa"/>
            <w:vAlign w:val="bottom"/>
            <w:tcBorders>
              <w:bottom w:val="single" w:sz="8" w:color="EAEAEA"/>
            </w:tcBorders>
            <w:vMerge w:val="continue"/>
            <w:shd w:val="clear" w:color="auto" w:fill="EAEAEA"/>
          </w:tcPr>
          <w:p>
            <w:pPr>
              <w:spacing w:after="0"/>
              <w:rPr>
                <w:sz w:val="13"/>
                <w:szCs w:val="13"/>
                <w:color w:val="auto"/>
              </w:rPr>
            </w:pPr>
          </w:p>
        </w:tc>
        <w:tc>
          <w:tcPr>
            <w:tcW w:w="1080" w:type="dxa"/>
            <w:vAlign w:val="bottom"/>
            <w:tcBorders>
              <w:bottom w:val="single" w:sz="8" w:color="EAEAEA"/>
            </w:tcBorders>
            <w:shd w:val="clear" w:color="auto" w:fill="EAEAEA"/>
          </w:tcPr>
          <w:p>
            <w:pPr>
              <w:spacing w:after="0"/>
              <w:rPr>
                <w:sz w:val="13"/>
                <w:szCs w:val="13"/>
                <w:color w:val="auto"/>
              </w:rPr>
            </w:pPr>
          </w:p>
        </w:tc>
        <w:tc>
          <w:tcPr>
            <w:tcW w:w="3040" w:type="dxa"/>
            <w:vAlign w:val="bottom"/>
            <w:tcBorders>
              <w:bottom w:val="single" w:sz="8" w:color="EAEAEA"/>
            </w:tcBorders>
            <w:vMerge w:val="continue"/>
            <w:shd w:val="clear" w:color="auto" w:fill="EAEAEA"/>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Borders>
              <w:bottom w:val="single" w:sz="8" w:color="0000EE"/>
            </w:tcBorders>
            <w:gridSpan w:val="14"/>
            <w:vMerge w:val="continue"/>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0" w:type="dxa"/>
            <w:vAlign w:val="bottom"/>
            <w:shd w:val="clear" w:color="auto" w:fill="EAEAEA"/>
          </w:tcPr>
          <w:p>
            <w:pPr>
              <w:spacing w:after="0"/>
              <w:rPr>
                <w:sz w:val="21"/>
                <w:szCs w:val="21"/>
                <w:color w:val="auto"/>
              </w:rPr>
            </w:pPr>
          </w:p>
        </w:tc>
        <w:tc>
          <w:tcPr>
            <w:tcW w:w="1080" w:type="dxa"/>
            <w:vAlign w:val="bottom"/>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8"/>
                <w:szCs w:val="28"/>
                <w:color w:val="5D89B4"/>
              </w:rPr>
              <w:t>About Stock</w:t>
            </w:r>
          </w:p>
        </w:tc>
        <w:tc>
          <w:tcPr>
            <w:tcW w:w="100" w:type="dxa"/>
            <w:vAlign w:val="bottom"/>
          </w:tcPr>
          <w:p>
            <w:pPr>
              <w:spacing w:after="0"/>
              <w:rPr>
                <w:sz w:val="21"/>
                <w:szCs w:val="21"/>
                <w:color w:val="auto"/>
              </w:rPr>
            </w:pPr>
          </w:p>
        </w:tc>
        <w:tc>
          <w:tcPr>
            <w:tcW w:w="5940" w:type="dxa"/>
            <w:vAlign w:val="bottom"/>
            <w:gridSpan w:val="17"/>
          </w:tcPr>
          <w:p>
            <w:pPr>
              <w:ind w:left="20"/>
              <w:spacing w:after="0"/>
              <w:rPr>
                <w:sz w:val="20"/>
                <w:szCs w:val="20"/>
                <w:color w:val="auto"/>
              </w:rPr>
            </w:pPr>
            <w:r>
              <w:rPr>
                <w:rFonts w:ascii="Arial" w:cs="Arial" w:eastAsia="Arial" w:hAnsi="Arial"/>
                <w:sz w:val="16"/>
                <w:szCs w:val="16"/>
                <w:color w:val="0000EE"/>
              </w:rPr>
              <w:t>Beneficial Ownership of Directors and Executive Officers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188"/>
        </w:trPr>
        <w:tc>
          <w:tcPr>
            <w:tcW w:w="200" w:type="dxa"/>
            <w:vAlign w:val="bottom"/>
            <w:tcBorders>
              <w:top w:val="single" w:sz="8" w:color="EAEAEA"/>
            </w:tcBorders>
            <w:shd w:val="clear" w:color="auto" w:fill="EAEAEA"/>
          </w:tcPr>
          <w:p>
            <w:pPr>
              <w:spacing w:after="0"/>
              <w:rPr>
                <w:sz w:val="16"/>
                <w:szCs w:val="16"/>
                <w:color w:val="auto"/>
              </w:rPr>
            </w:pPr>
          </w:p>
        </w:tc>
        <w:tc>
          <w:tcPr>
            <w:tcW w:w="1080" w:type="dxa"/>
            <w:vAlign w:val="bottom"/>
            <w:tcBorders>
              <w:top w:val="single" w:sz="8" w:color="EAEAEA"/>
            </w:tcBorders>
            <w:shd w:val="clear" w:color="auto" w:fill="EAEAEA"/>
          </w:tcPr>
          <w:p>
            <w:pPr>
              <w:spacing w:after="0"/>
              <w:rPr>
                <w:sz w:val="16"/>
                <w:szCs w:val="16"/>
                <w:color w:val="auto"/>
              </w:rPr>
            </w:pPr>
          </w:p>
        </w:tc>
        <w:tc>
          <w:tcPr>
            <w:tcW w:w="3040" w:type="dxa"/>
            <w:vAlign w:val="bottom"/>
            <w:tcBorders>
              <w:top w:val="single" w:sz="8" w:color="EAEAEA"/>
            </w:tcBorders>
            <w:vMerge w:val="continue"/>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0" w:type="dxa"/>
            <w:vAlign w:val="bottom"/>
            <w:shd w:val="clear" w:color="auto" w:fill="EAEAEA"/>
          </w:tcPr>
          <w:p>
            <w:pPr>
              <w:spacing w:after="0"/>
              <w:rPr>
                <w:sz w:val="24"/>
                <w:szCs w:val="24"/>
                <w:color w:val="auto"/>
              </w:rPr>
            </w:pPr>
          </w:p>
        </w:tc>
        <w:tc>
          <w:tcPr>
            <w:tcW w:w="108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8"/>
                <w:szCs w:val="28"/>
                <w:color w:val="5D89B4"/>
              </w:rPr>
              <w:t>Ownership</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0" w:type="dxa"/>
            <w:vAlign w:val="bottom"/>
            <w:tcBorders>
              <w:bottom w:val="single" w:sz="8" w:color="EAEAEA"/>
            </w:tcBorders>
            <w:shd w:val="clear" w:color="auto" w:fill="EAEAEA"/>
          </w:tcPr>
          <w:p>
            <w:pPr>
              <w:spacing w:after="0"/>
              <w:rPr>
                <w:sz w:val="19"/>
                <w:szCs w:val="19"/>
                <w:color w:val="auto"/>
              </w:rPr>
            </w:pPr>
          </w:p>
        </w:tc>
        <w:tc>
          <w:tcPr>
            <w:tcW w:w="1080" w:type="dxa"/>
            <w:vAlign w:val="bottom"/>
            <w:tcBorders>
              <w:bottom w:val="single" w:sz="8" w:color="5D89B4"/>
            </w:tcBorders>
            <w:shd w:val="clear" w:color="auto" w:fill="EAEAEA"/>
          </w:tcPr>
          <w:p>
            <w:pPr>
              <w:spacing w:after="0"/>
              <w:rPr>
                <w:sz w:val="19"/>
                <w:szCs w:val="19"/>
                <w:color w:val="auto"/>
              </w:rPr>
            </w:pPr>
          </w:p>
        </w:tc>
        <w:tc>
          <w:tcPr>
            <w:tcW w:w="3040" w:type="dxa"/>
            <w:vAlign w:val="bottom"/>
            <w:tcBorders>
              <w:bottom w:val="single" w:sz="8" w:color="5D89B4"/>
            </w:tcBorders>
            <w:shd w:val="clear" w:color="auto" w:fill="EAEAEA"/>
          </w:tcPr>
          <w:p>
            <w:pPr>
              <w:spacing w:after="0"/>
              <w:rPr>
                <w:sz w:val="19"/>
                <w:szCs w:val="19"/>
                <w:color w:val="auto"/>
              </w:rPr>
            </w:pPr>
          </w:p>
        </w:tc>
        <w:tc>
          <w:tcPr>
            <w:tcW w:w="100" w:type="dxa"/>
            <w:vAlign w:val="bottom"/>
            <w:tcBorders>
              <w:bottom w:val="single" w:sz="8" w:color="5D89B4"/>
            </w:tcBorders>
          </w:tcPr>
          <w:p>
            <w:pPr>
              <w:spacing w:after="0"/>
              <w:rPr>
                <w:sz w:val="19"/>
                <w:szCs w:val="19"/>
                <w:color w:val="auto"/>
              </w:rPr>
            </w:pPr>
          </w:p>
        </w:tc>
        <w:tc>
          <w:tcPr>
            <w:tcW w:w="980" w:type="dxa"/>
            <w:vAlign w:val="bottom"/>
            <w:tcBorders>
              <w:bottom w:val="single" w:sz="8" w:color="5D89B4"/>
            </w:tcBorders>
          </w:tcPr>
          <w:p>
            <w:pPr>
              <w:spacing w:after="0"/>
              <w:rPr>
                <w:sz w:val="19"/>
                <w:szCs w:val="19"/>
                <w:color w:val="auto"/>
              </w:rPr>
            </w:pPr>
          </w:p>
        </w:tc>
        <w:tc>
          <w:tcPr>
            <w:tcW w:w="240" w:type="dxa"/>
            <w:vAlign w:val="bottom"/>
            <w:tcBorders>
              <w:bottom w:val="single" w:sz="8" w:color="5D89B4"/>
            </w:tcBorders>
          </w:tcPr>
          <w:p>
            <w:pPr>
              <w:spacing w:after="0"/>
              <w:rPr>
                <w:sz w:val="19"/>
                <w:szCs w:val="19"/>
                <w:color w:val="auto"/>
              </w:rPr>
            </w:pPr>
          </w:p>
        </w:tc>
        <w:tc>
          <w:tcPr>
            <w:tcW w:w="38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10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600" w:type="dxa"/>
            <w:vAlign w:val="bottom"/>
            <w:tcBorders>
              <w:bottom w:val="single" w:sz="8" w:color="5D89B4"/>
            </w:tcBorders>
          </w:tcPr>
          <w:p>
            <w:pPr>
              <w:spacing w:after="0"/>
              <w:rPr>
                <w:sz w:val="19"/>
                <w:szCs w:val="19"/>
                <w:color w:val="auto"/>
              </w:rPr>
            </w:pPr>
          </w:p>
        </w:tc>
        <w:tc>
          <w:tcPr>
            <w:tcW w:w="14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8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120" w:type="dxa"/>
            <w:vAlign w:val="bottom"/>
            <w:tcBorders>
              <w:bottom w:val="single" w:sz="8" w:color="5D89B4"/>
            </w:tcBorders>
          </w:tcPr>
          <w:p>
            <w:pPr>
              <w:spacing w:after="0"/>
              <w:rPr>
                <w:sz w:val="19"/>
                <w:szCs w:val="19"/>
                <w:color w:val="auto"/>
              </w:rPr>
            </w:pPr>
          </w:p>
        </w:tc>
        <w:tc>
          <w:tcPr>
            <w:tcW w:w="440" w:type="dxa"/>
            <w:vAlign w:val="bottom"/>
            <w:tcBorders>
              <w:bottom w:val="single" w:sz="8" w:color="5D89B4"/>
            </w:tcBorders>
          </w:tcPr>
          <w:p>
            <w:pPr>
              <w:spacing w:after="0"/>
              <w:rPr>
                <w:sz w:val="19"/>
                <w:szCs w:val="19"/>
                <w:color w:val="auto"/>
              </w:rPr>
            </w:pPr>
          </w:p>
        </w:tc>
        <w:tc>
          <w:tcPr>
            <w:tcW w:w="320" w:type="dxa"/>
            <w:vAlign w:val="bottom"/>
            <w:tcBorders>
              <w:bottom w:val="single" w:sz="8" w:color="5D89B4"/>
            </w:tcBorders>
          </w:tcPr>
          <w:p>
            <w:pPr>
              <w:spacing w:after="0"/>
              <w:rPr>
                <w:sz w:val="19"/>
                <w:szCs w:val="19"/>
                <w:color w:val="auto"/>
              </w:rPr>
            </w:pPr>
          </w:p>
        </w:tc>
        <w:tc>
          <w:tcPr>
            <w:tcW w:w="540" w:type="dxa"/>
            <w:vAlign w:val="bottom"/>
            <w:tcBorders>
              <w:bottom w:val="single" w:sz="8" w:color="5D89B4"/>
            </w:tcBorders>
          </w:tcPr>
          <w:p>
            <w:pPr>
              <w:spacing w:after="0"/>
              <w:rPr>
                <w:sz w:val="19"/>
                <w:szCs w:val="19"/>
                <w:color w:val="auto"/>
              </w:rPr>
            </w:pPr>
          </w:p>
        </w:tc>
        <w:tc>
          <w:tcPr>
            <w:tcW w:w="1640" w:type="dxa"/>
            <w:vAlign w:val="bottom"/>
            <w:tcBorders>
              <w:bottom w:val="single" w:sz="8" w:color="5D89B4"/>
            </w:tcBorders>
          </w:tcPr>
          <w:p>
            <w:pPr>
              <w:spacing w:after="0"/>
              <w:rPr>
                <w:sz w:val="19"/>
                <w:szCs w:val="19"/>
                <w:color w:val="auto"/>
              </w:rPr>
            </w:pPr>
          </w:p>
        </w:tc>
        <w:tc>
          <w:tcPr>
            <w:tcW w:w="280" w:type="dxa"/>
            <w:vAlign w:val="bottom"/>
            <w:tcBorders>
              <w:bottom w:val="single" w:sz="8" w:color="5D89B4"/>
            </w:tcBorders>
          </w:tcPr>
          <w:p>
            <w:pPr>
              <w:spacing w:after="0"/>
              <w:rPr>
                <w:sz w:val="19"/>
                <w:szCs w:val="19"/>
                <w:color w:val="auto"/>
              </w:rPr>
            </w:pPr>
          </w:p>
        </w:tc>
        <w:tc>
          <w:tcPr>
            <w:tcW w:w="520" w:type="dxa"/>
            <w:vAlign w:val="bottom"/>
            <w:tcBorders>
              <w:bottom w:val="single" w:sz="8" w:color="5D89B4"/>
            </w:tcBorders>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0" w:type="dxa"/>
            <w:vAlign w:val="bottom"/>
            <w:shd w:val="clear" w:color="auto" w:fill="EAEAEA"/>
          </w:tcPr>
          <w:p>
            <w:pPr>
              <w:spacing w:after="0"/>
              <w:rPr>
                <w:sz w:val="24"/>
                <w:szCs w:val="24"/>
                <w:color w:val="auto"/>
              </w:rPr>
            </w:pPr>
          </w:p>
        </w:tc>
        <w:tc>
          <w:tcPr>
            <w:tcW w:w="1080" w:type="dxa"/>
            <w:vAlign w:val="bottom"/>
            <w:vMerge w:val="restart"/>
            <w:shd w:val="clear" w:color="auto" w:fill="EAEAEA"/>
          </w:tcPr>
          <w:p>
            <w:pPr>
              <w:jc w:val="right"/>
              <w:spacing w:after="0"/>
              <w:rPr>
                <w:sz w:val="20"/>
                <w:szCs w:val="20"/>
                <w:color w:val="auto"/>
              </w:rPr>
            </w:pPr>
            <w:r>
              <w:rPr>
                <w:rFonts w:ascii="Arial" w:cs="Arial" w:eastAsia="Arial" w:hAnsi="Arial"/>
                <w:sz w:val="137"/>
                <w:szCs w:val="137"/>
                <w:color w:val="5D89B4"/>
                <w:shd w:val="clear" w:color="auto" w:fill="EAEAEA"/>
              </w:rPr>
              <w:t>6</w:t>
            </w:r>
          </w:p>
        </w:tc>
        <w:tc>
          <w:tcPr>
            <w:tcW w:w="3040" w:type="dxa"/>
            <w:vAlign w:val="bottom"/>
            <w:shd w:val="clear" w:color="auto" w:fill="EAEAEA"/>
          </w:tcPr>
          <w:p>
            <w:pPr>
              <w:ind w:left="100"/>
              <w:spacing w:after="0"/>
              <w:rPr>
                <w:sz w:val="20"/>
                <w:szCs w:val="20"/>
                <w:color w:val="auto"/>
              </w:rPr>
            </w:pPr>
            <w:r>
              <w:rPr>
                <w:rFonts w:ascii="Arial" w:cs="Arial" w:eastAsia="Arial" w:hAnsi="Arial"/>
                <w:sz w:val="28"/>
                <w:szCs w:val="28"/>
                <w:color w:val="5D89B4"/>
              </w:rPr>
              <w:t>Proposals to</w:t>
            </w:r>
          </w:p>
        </w:tc>
        <w:tc>
          <w:tcPr>
            <w:tcW w:w="100" w:type="dxa"/>
            <w:vAlign w:val="bottom"/>
          </w:tcPr>
          <w:p>
            <w:pPr>
              <w:spacing w:after="0"/>
              <w:rPr>
                <w:sz w:val="24"/>
                <w:szCs w:val="24"/>
                <w:color w:val="auto"/>
              </w:rPr>
            </w:pPr>
          </w:p>
        </w:tc>
        <w:tc>
          <w:tcPr>
            <w:tcW w:w="5940" w:type="dxa"/>
            <w:vAlign w:val="bottom"/>
            <w:gridSpan w:val="17"/>
          </w:tcPr>
          <w:p>
            <w:pPr>
              <w:ind w:left="20"/>
              <w:spacing w:after="0"/>
              <w:rPr>
                <w:sz w:val="20"/>
                <w:szCs w:val="20"/>
                <w:color w:val="auto"/>
              </w:rPr>
            </w:pPr>
            <w:r>
              <w:rPr>
                <w:rFonts w:ascii="Arial" w:cs="Arial" w:eastAsia="Arial" w:hAnsi="Arial"/>
                <w:sz w:val="16"/>
                <w:szCs w:val="16"/>
                <w:color w:val="0000EE"/>
              </w:rPr>
              <w:t>1: Election of Directors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080" w:type="dxa"/>
            <w:vAlign w:val="bottom"/>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0" w:type="dxa"/>
            <w:vAlign w:val="bottom"/>
            <w:shd w:val="clear" w:color="auto" w:fill="EAEAEA"/>
          </w:tcPr>
          <w:p>
            <w:pPr>
              <w:spacing w:after="0"/>
              <w:rPr>
                <w:sz w:val="21"/>
                <w:szCs w:val="21"/>
                <w:color w:val="auto"/>
              </w:rPr>
            </w:pPr>
          </w:p>
        </w:tc>
        <w:tc>
          <w:tcPr>
            <w:tcW w:w="1080" w:type="dxa"/>
            <w:vAlign w:val="bottom"/>
            <w:vMerge w:val="continue"/>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8"/>
                <w:szCs w:val="28"/>
                <w:color w:val="5D89B4"/>
              </w:rPr>
              <w:t>be Voted on</w:t>
            </w:r>
          </w:p>
        </w:tc>
        <w:tc>
          <w:tcPr>
            <w:tcW w:w="100" w:type="dxa"/>
            <w:vAlign w:val="bottom"/>
          </w:tcPr>
          <w:p>
            <w:pPr>
              <w:spacing w:after="0"/>
              <w:rPr>
                <w:sz w:val="21"/>
                <w:szCs w:val="21"/>
                <w:color w:val="auto"/>
              </w:rPr>
            </w:pPr>
          </w:p>
        </w:tc>
        <w:tc>
          <w:tcPr>
            <w:tcW w:w="5940" w:type="dxa"/>
            <w:vAlign w:val="bottom"/>
            <w:gridSpan w:val="17"/>
          </w:tcPr>
          <w:p>
            <w:pPr>
              <w:ind w:left="20"/>
              <w:spacing w:after="0"/>
              <w:rPr>
                <w:sz w:val="20"/>
                <w:szCs w:val="20"/>
                <w:color w:val="auto"/>
              </w:rPr>
            </w:pPr>
            <w:r>
              <w:rPr>
                <w:rFonts w:ascii="Arial" w:cs="Arial" w:eastAsia="Arial" w:hAnsi="Arial"/>
                <w:sz w:val="16"/>
                <w:szCs w:val="16"/>
                <w:color w:val="0000EE"/>
              </w:rPr>
              <w:t>2: Ratification of Independent Auditors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080" w:type="dxa"/>
            <w:vAlign w:val="bottom"/>
            <w:vMerge w:val="continue"/>
            <w:shd w:val="clear" w:color="auto" w:fill="EAEAEA"/>
          </w:tcPr>
          <w:p>
            <w:pPr>
              <w:spacing w:after="0" w:line="20" w:lineRule="exact"/>
              <w:rPr>
                <w:sz w:val="1"/>
                <w:szCs w:val="1"/>
                <w:color w:val="auto"/>
              </w:rPr>
            </w:pPr>
          </w:p>
        </w:tc>
        <w:tc>
          <w:tcPr>
            <w:tcW w:w="3040" w:type="dxa"/>
            <w:vAlign w:val="bottom"/>
            <w:vMerge w:val="continue"/>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0" w:type="dxa"/>
            <w:vAlign w:val="bottom"/>
            <w:shd w:val="clear" w:color="auto" w:fill="EAEAEA"/>
          </w:tcPr>
          <w:p>
            <w:pPr>
              <w:spacing w:after="0"/>
              <w:rPr>
                <w:sz w:val="16"/>
                <w:szCs w:val="16"/>
                <w:color w:val="auto"/>
              </w:rPr>
            </w:pPr>
          </w:p>
        </w:tc>
        <w:tc>
          <w:tcPr>
            <w:tcW w:w="1080" w:type="dxa"/>
            <w:vAlign w:val="bottom"/>
            <w:vMerge w:val="continue"/>
            <w:shd w:val="clear" w:color="auto" w:fill="EAEAEA"/>
          </w:tcPr>
          <w:p>
            <w:pPr>
              <w:spacing w:after="0"/>
              <w:rPr>
                <w:sz w:val="16"/>
                <w:szCs w:val="16"/>
                <w:color w:val="auto"/>
              </w:rPr>
            </w:pPr>
          </w:p>
        </w:tc>
        <w:tc>
          <w:tcPr>
            <w:tcW w:w="3040" w:type="dxa"/>
            <w:vAlign w:val="bottom"/>
            <w:vMerge w:val="continue"/>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5940" w:type="dxa"/>
            <w:vAlign w:val="bottom"/>
            <w:gridSpan w:val="17"/>
            <w:vMerge w:val="restart"/>
          </w:tcPr>
          <w:p>
            <w:pPr>
              <w:ind w:left="20"/>
              <w:spacing w:after="0"/>
              <w:rPr>
                <w:sz w:val="20"/>
                <w:szCs w:val="20"/>
                <w:color w:val="auto"/>
              </w:rPr>
            </w:pPr>
            <w:r>
              <w:rPr>
                <w:rFonts w:ascii="Arial" w:cs="Arial" w:eastAsia="Arial" w:hAnsi="Arial"/>
                <w:sz w:val="16"/>
                <w:szCs w:val="16"/>
                <w:color w:val="0000EE"/>
              </w:rPr>
              <w:t>3: Advisory Vote on Approval of the Compensation of Named Executive Officers</w:t>
            </w: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72"/>
        </w:trPr>
        <w:tc>
          <w:tcPr>
            <w:tcW w:w="200" w:type="dxa"/>
            <w:vAlign w:val="bottom"/>
            <w:shd w:val="clear" w:color="auto" w:fill="EAEAEA"/>
          </w:tcPr>
          <w:p>
            <w:pPr>
              <w:spacing w:after="0"/>
              <w:rPr>
                <w:sz w:val="6"/>
                <w:szCs w:val="6"/>
                <w:color w:val="auto"/>
              </w:rPr>
            </w:pPr>
          </w:p>
        </w:tc>
        <w:tc>
          <w:tcPr>
            <w:tcW w:w="1080" w:type="dxa"/>
            <w:vAlign w:val="bottom"/>
            <w:vMerge w:val="continue"/>
            <w:shd w:val="clear" w:color="auto" w:fill="EAEAEA"/>
          </w:tcPr>
          <w:p>
            <w:pPr>
              <w:spacing w:after="0"/>
              <w:rPr>
                <w:sz w:val="6"/>
                <w:szCs w:val="6"/>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8"/>
                <w:szCs w:val="28"/>
                <w:color w:val="5D89B4"/>
              </w:rPr>
              <w:t>During the</w:t>
            </w:r>
          </w:p>
        </w:tc>
        <w:tc>
          <w:tcPr>
            <w:tcW w:w="100" w:type="dxa"/>
            <w:vAlign w:val="bottom"/>
          </w:tcPr>
          <w:p>
            <w:pPr>
              <w:spacing w:after="0"/>
              <w:rPr>
                <w:sz w:val="6"/>
                <w:szCs w:val="6"/>
                <w:color w:val="auto"/>
              </w:rPr>
            </w:pPr>
          </w:p>
        </w:tc>
        <w:tc>
          <w:tcPr>
            <w:tcW w:w="5940" w:type="dxa"/>
            <w:vAlign w:val="bottom"/>
            <w:gridSpan w:val="17"/>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0" w:type="dxa"/>
            <w:vAlign w:val="bottom"/>
            <w:tcBorders>
              <w:top w:val="single" w:sz="8" w:color="EAEAEA"/>
            </w:tcBorders>
            <w:shd w:val="clear" w:color="auto" w:fill="EAEAEA"/>
          </w:tcPr>
          <w:p>
            <w:pPr>
              <w:spacing w:after="0"/>
              <w:rPr>
                <w:sz w:val="21"/>
                <w:szCs w:val="21"/>
                <w:color w:val="auto"/>
              </w:rPr>
            </w:pPr>
          </w:p>
        </w:tc>
        <w:tc>
          <w:tcPr>
            <w:tcW w:w="1080" w:type="dxa"/>
            <w:vAlign w:val="bottom"/>
            <w:tcBorders>
              <w:top w:val="single" w:sz="8" w:color="EAEAEA"/>
            </w:tcBorders>
            <w:vMerge w:val="continue"/>
            <w:shd w:val="clear" w:color="auto" w:fill="EAEAEA"/>
          </w:tcPr>
          <w:p>
            <w:pPr>
              <w:spacing w:after="0"/>
              <w:rPr>
                <w:sz w:val="21"/>
                <w:szCs w:val="21"/>
                <w:color w:val="auto"/>
              </w:rPr>
            </w:pPr>
          </w:p>
        </w:tc>
        <w:tc>
          <w:tcPr>
            <w:tcW w:w="3040" w:type="dxa"/>
            <w:vAlign w:val="bottom"/>
            <w:tcBorders>
              <w:top w:val="single" w:sz="8" w:color="EAEAEA"/>
            </w:tcBorders>
            <w:vMerge w:val="continue"/>
            <w:shd w:val="clear" w:color="auto" w:fill="EAEAEA"/>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64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00" w:type="dxa"/>
            <w:vAlign w:val="bottom"/>
            <w:tcBorders>
              <w:bottom w:val="single" w:sz="8" w:color="EAEAEA"/>
            </w:tcBorders>
            <w:shd w:val="clear" w:color="auto" w:fill="EAEAEA"/>
          </w:tcPr>
          <w:p>
            <w:pPr>
              <w:spacing w:after="0"/>
              <w:rPr>
                <w:sz w:val="24"/>
                <w:szCs w:val="24"/>
                <w:color w:val="auto"/>
              </w:rPr>
            </w:pPr>
          </w:p>
        </w:tc>
        <w:tc>
          <w:tcPr>
            <w:tcW w:w="1080" w:type="dxa"/>
            <w:vAlign w:val="bottom"/>
            <w:tcBorders>
              <w:bottom w:val="single" w:sz="8" w:color="5D89B4"/>
            </w:tcBorders>
            <w:vMerge w:val="continue"/>
            <w:shd w:val="clear" w:color="auto" w:fill="EAEAEA"/>
          </w:tcPr>
          <w:p>
            <w:pPr>
              <w:spacing w:after="0"/>
              <w:rPr>
                <w:sz w:val="24"/>
                <w:szCs w:val="24"/>
                <w:color w:val="auto"/>
              </w:rPr>
            </w:pPr>
          </w:p>
        </w:tc>
        <w:tc>
          <w:tcPr>
            <w:tcW w:w="3040" w:type="dxa"/>
            <w:vAlign w:val="bottom"/>
            <w:tcBorders>
              <w:bottom w:val="single" w:sz="8" w:color="5D89B4"/>
            </w:tcBorders>
            <w:shd w:val="clear" w:color="auto" w:fill="EAEAEA"/>
          </w:tcPr>
          <w:p>
            <w:pPr>
              <w:ind w:left="100"/>
              <w:spacing w:after="0"/>
              <w:rPr>
                <w:sz w:val="20"/>
                <w:szCs w:val="20"/>
                <w:color w:val="auto"/>
              </w:rPr>
            </w:pPr>
            <w:r>
              <w:rPr>
                <w:rFonts w:ascii="Arial" w:cs="Arial" w:eastAsia="Arial" w:hAnsi="Arial"/>
                <w:sz w:val="28"/>
                <w:szCs w:val="28"/>
                <w:color w:val="5D89B4"/>
              </w:rPr>
              <w:t>Meeting</w:t>
            </w:r>
          </w:p>
        </w:tc>
        <w:tc>
          <w:tcPr>
            <w:tcW w:w="100" w:type="dxa"/>
            <w:vAlign w:val="bottom"/>
            <w:tcBorders>
              <w:bottom w:val="single" w:sz="8" w:color="5D89B4"/>
            </w:tcBorders>
          </w:tcPr>
          <w:p>
            <w:pPr>
              <w:spacing w:after="0"/>
              <w:rPr>
                <w:sz w:val="24"/>
                <w:szCs w:val="24"/>
                <w:color w:val="auto"/>
              </w:rPr>
            </w:pPr>
          </w:p>
        </w:tc>
        <w:tc>
          <w:tcPr>
            <w:tcW w:w="980" w:type="dxa"/>
            <w:vAlign w:val="bottom"/>
            <w:tcBorders>
              <w:bottom w:val="single" w:sz="8" w:color="5D89B4"/>
            </w:tcBorders>
          </w:tcPr>
          <w:p>
            <w:pPr>
              <w:spacing w:after="0"/>
              <w:rPr>
                <w:sz w:val="24"/>
                <w:szCs w:val="24"/>
                <w:color w:val="auto"/>
              </w:rPr>
            </w:pPr>
          </w:p>
        </w:tc>
        <w:tc>
          <w:tcPr>
            <w:tcW w:w="240" w:type="dxa"/>
            <w:vAlign w:val="bottom"/>
            <w:tcBorders>
              <w:bottom w:val="single" w:sz="8" w:color="5D89B4"/>
            </w:tcBorders>
          </w:tcPr>
          <w:p>
            <w:pPr>
              <w:spacing w:after="0"/>
              <w:rPr>
                <w:sz w:val="24"/>
                <w:szCs w:val="24"/>
                <w:color w:val="auto"/>
              </w:rPr>
            </w:pPr>
          </w:p>
        </w:tc>
        <w:tc>
          <w:tcPr>
            <w:tcW w:w="38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10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600" w:type="dxa"/>
            <w:vAlign w:val="bottom"/>
            <w:tcBorders>
              <w:bottom w:val="single" w:sz="8" w:color="5D89B4"/>
            </w:tcBorders>
          </w:tcPr>
          <w:p>
            <w:pPr>
              <w:spacing w:after="0"/>
              <w:rPr>
                <w:sz w:val="24"/>
                <w:szCs w:val="24"/>
                <w:color w:val="auto"/>
              </w:rPr>
            </w:pPr>
          </w:p>
        </w:tc>
        <w:tc>
          <w:tcPr>
            <w:tcW w:w="14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8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120" w:type="dxa"/>
            <w:vAlign w:val="bottom"/>
            <w:tcBorders>
              <w:bottom w:val="single" w:sz="8" w:color="5D89B4"/>
            </w:tcBorders>
          </w:tcPr>
          <w:p>
            <w:pPr>
              <w:spacing w:after="0"/>
              <w:rPr>
                <w:sz w:val="24"/>
                <w:szCs w:val="24"/>
                <w:color w:val="auto"/>
              </w:rPr>
            </w:pPr>
          </w:p>
        </w:tc>
        <w:tc>
          <w:tcPr>
            <w:tcW w:w="440" w:type="dxa"/>
            <w:vAlign w:val="bottom"/>
            <w:tcBorders>
              <w:bottom w:val="single" w:sz="8" w:color="5D89B4"/>
            </w:tcBorders>
          </w:tcPr>
          <w:p>
            <w:pPr>
              <w:spacing w:after="0"/>
              <w:rPr>
                <w:sz w:val="24"/>
                <w:szCs w:val="24"/>
                <w:color w:val="auto"/>
              </w:rPr>
            </w:pPr>
          </w:p>
        </w:tc>
        <w:tc>
          <w:tcPr>
            <w:tcW w:w="320" w:type="dxa"/>
            <w:vAlign w:val="bottom"/>
            <w:tcBorders>
              <w:bottom w:val="single" w:sz="8" w:color="5D89B4"/>
            </w:tcBorders>
          </w:tcPr>
          <w:p>
            <w:pPr>
              <w:spacing w:after="0"/>
              <w:rPr>
                <w:sz w:val="24"/>
                <w:szCs w:val="24"/>
                <w:color w:val="auto"/>
              </w:rPr>
            </w:pPr>
          </w:p>
        </w:tc>
        <w:tc>
          <w:tcPr>
            <w:tcW w:w="540" w:type="dxa"/>
            <w:vAlign w:val="bottom"/>
            <w:tcBorders>
              <w:bottom w:val="single" w:sz="8" w:color="5D89B4"/>
            </w:tcBorders>
          </w:tcPr>
          <w:p>
            <w:pPr>
              <w:spacing w:after="0"/>
              <w:rPr>
                <w:sz w:val="24"/>
                <w:szCs w:val="24"/>
                <w:color w:val="auto"/>
              </w:rPr>
            </w:pPr>
          </w:p>
        </w:tc>
        <w:tc>
          <w:tcPr>
            <w:tcW w:w="1640" w:type="dxa"/>
            <w:vAlign w:val="bottom"/>
            <w:tcBorders>
              <w:bottom w:val="single" w:sz="8" w:color="5D89B4"/>
            </w:tcBorders>
          </w:tcPr>
          <w:p>
            <w:pPr>
              <w:spacing w:after="0"/>
              <w:rPr>
                <w:sz w:val="24"/>
                <w:szCs w:val="24"/>
                <w:color w:val="auto"/>
              </w:rPr>
            </w:pPr>
          </w:p>
        </w:tc>
        <w:tc>
          <w:tcPr>
            <w:tcW w:w="280" w:type="dxa"/>
            <w:vAlign w:val="bottom"/>
            <w:tcBorders>
              <w:bottom w:val="single" w:sz="8" w:color="5D89B4"/>
            </w:tcBorders>
          </w:tcPr>
          <w:p>
            <w:pPr>
              <w:spacing w:after="0"/>
              <w:rPr>
                <w:sz w:val="24"/>
                <w:szCs w:val="24"/>
                <w:color w:val="auto"/>
              </w:rPr>
            </w:pPr>
          </w:p>
        </w:tc>
        <w:tc>
          <w:tcPr>
            <w:tcW w:w="520" w:type="dxa"/>
            <w:vAlign w:val="bottom"/>
            <w:tcBorders>
              <w:bottom w:val="single" w:sz="8" w:color="5D89B4"/>
            </w:tcBorders>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0" w:type="dxa"/>
            <w:vAlign w:val="bottom"/>
            <w:tcBorders>
              <w:bottom w:val="single" w:sz="8" w:color="EAEAEA"/>
            </w:tcBorders>
            <w:shd w:val="clear" w:color="auto" w:fill="EAEAEA"/>
          </w:tcPr>
          <w:p>
            <w:pPr>
              <w:spacing w:after="0"/>
              <w:rPr>
                <w:sz w:val="24"/>
                <w:szCs w:val="24"/>
                <w:color w:val="auto"/>
              </w:rPr>
            </w:pPr>
          </w:p>
        </w:tc>
        <w:tc>
          <w:tcPr>
            <w:tcW w:w="1080" w:type="dxa"/>
            <w:vAlign w:val="bottom"/>
            <w:tcBorders>
              <w:bottom w:val="single" w:sz="8" w:color="EAEAEA"/>
            </w:tcBorders>
            <w:vMerge w:val="restart"/>
            <w:shd w:val="clear" w:color="auto" w:fill="EAEAEA"/>
          </w:tcPr>
          <w:p>
            <w:pPr>
              <w:jc w:val="right"/>
              <w:spacing w:after="0" w:line="1458" w:lineRule="exact"/>
              <w:rPr>
                <w:sz w:val="20"/>
                <w:szCs w:val="20"/>
                <w:color w:val="auto"/>
              </w:rPr>
            </w:pPr>
            <w:r>
              <w:rPr>
                <w:rFonts w:ascii="Arial" w:cs="Arial" w:eastAsia="Arial" w:hAnsi="Arial"/>
                <w:sz w:val="137"/>
                <w:szCs w:val="137"/>
                <w:color w:val="5D89B4"/>
              </w:rPr>
              <w:t>7</w:t>
            </w:r>
          </w:p>
        </w:tc>
        <w:tc>
          <w:tcPr>
            <w:tcW w:w="30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28"/>
                <w:szCs w:val="28"/>
                <w:color w:val="5D89B4"/>
              </w:rPr>
              <w:t>Information</w:t>
            </w:r>
          </w:p>
        </w:tc>
        <w:tc>
          <w:tcPr>
            <w:tcW w:w="100" w:type="dxa"/>
            <w:vAlign w:val="bottom"/>
          </w:tcPr>
          <w:p>
            <w:pPr>
              <w:spacing w:after="0"/>
              <w:rPr>
                <w:sz w:val="24"/>
                <w:szCs w:val="24"/>
                <w:color w:val="auto"/>
              </w:rPr>
            </w:pPr>
          </w:p>
        </w:tc>
        <w:tc>
          <w:tcPr>
            <w:tcW w:w="2340" w:type="dxa"/>
            <w:vAlign w:val="bottom"/>
            <w:tcBorders>
              <w:bottom w:val="single" w:sz="8" w:color="0000EE"/>
            </w:tcBorders>
            <w:gridSpan w:val="7"/>
          </w:tcPr>
          <w:p>
            <w:pPr>
              <w:ind w:left="20"/>
              <w:spacing w:after="0"/>
              <w:rPr>
                <w:sz w:val="20"/>
                <w:szCs w:val="20"/>
                <w:color w:val="auto"/>
              </w:rPr>
            </w:pPr>
            <w:r>
              <w:rPr>
                <w:rFonts w:ascii="Arial" w:cs="Arial" w:eastAsia="Arial" w:hAnsi="Arial"/>
                <w:sz w:val="16"/>
                <w:szCs w:val="16"/>
                <w:color w:val="0000EE"/>
                <w:w w:val="98"/>
              </w:rPr>
              <w:t>Date, Time and Place of Meeting</w:t>
            </w:r>
          </w:p>
        </w:tc>
        <w:tc>
          <w:tcPr>
            <w:tcW w:w="360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247"/>
        </w:trPr>
        <w:tc>
          <w:tcPr>
            <w:tcW w:w="200" w:type="dxa"/>
            <w:vAlign w:val="bottom"/>
            <w:tcBorders>
              <w:bottom w:val="single" w:sz="8" w:color="EAEAEA"/>
            </w:tcBorders>
            <w:shd w:val="clear" w:color="auto" w:fill="EAEAEA"/>
          </w:tcPr>
          <w:p>
            <w:pPr>
              <w:spacing w:after="0"/>
              <w:rPr>
                <w:sz w:val="21"/>
                <w:szCs w:val="21"/>
                <w:color w:val="auto"/>
              </w:rPr>
            </w:pPr>
          </w:p>
        </w:tc>
        <w:tc>
          <w:tcPr>
            <w:tcW w:w="1080" w:type="dxa"/>
            <w:vAlign w:val="bottom"/>
            <w:tcBorders>
              <w:bottom w:val="single" w:sz="8" w:color="EAEAEA"/>
            </w:tcBorders>
            <w:vMerge w:val="continue"/>
            <w:shd w:val="clear" w:color="auto" w:fill="EAEAEA"/>
          </w:tcPr>
          <w:p>
            <w:pPr>
              <w:spacing w:after="0"/>
              <w:rPr>
                <w:sz w:val="21"/>
                <w:szCs w:val="21"/>
                <w:color w:val="auto"/>
              </w:rPr>
            </w:pPr>
          </w:p>
        </w:tc>
        <w:tc>
          <w:tcPr>
            <w:tcW w:w="3040" w:type="dxa"/>
            <w:vAlign w:val="bottom"/>
            <w:tcBorders>
              <w:bottom w:val="single" w:sz="8" w:color="EAEAEA"/>
            </w:tcBorders>
            <w:vMerge w:val="restart"/>
            <w:shd w:val="clear" w:color="auto" w:fill="EAEAEA"/>
          </w:tcPr>
          <w:p>
            <w:pPr>
              <w:ind w:left="100"/>
              <w:spacing w:after="0"/>
              <w:rPr>
                <w:sz w:val="20"/>
                <w:szCs w:val="20"/>
                <w:color w:val="auto"/>
              </w:rPr>
            </w:pPr>
            <w:r>
              <w:rPr>
                <w:rFonts w:ascii="Arial" w:cs="Arial" w:eastAsia="Arial" w:hAnsi="Arial"/>
                <w:sz w:val="28"/>
                <w:szCs w:val="28"/>
                <w:color w:val="5D89B4"/>
              </w:rPr>
              <w:t>About the</w:t>
            </w:r>
          </w:p>
        </w:tc>
        <w:tc>
          <w:tcPr>
            <w:tcW w:w="100" w:type="dxa"/>
            <w:vAlign w:val="bottom"/>
          </w:tcPr>
          <w:p>
            <w:pPr>
              <w:spacing w:after="0"/>
              <w:rPr>
                <w:sz w:val="21"/>
                <w:szCs w:val="21"/>
                <w:color w:val="auto"/>
              </w:rPr>
            </w:pPr>
          </w:p>
        </w:tc>
        <w:tc>
          <w:tcPr>
            <w:tcW w:w="3160" w:type="dxa"/>
            <w:vAlign w:val="bottom"/>
            <w:tcBorders>
              <w:bottom w:val="single" w:sz="8" w:color="0000EE"/>
            </w:tcBorders>
            <w:gridSpan w:val="13"/>
          </w:tcPr>
          <w:p>
            <w:pPr>
              <w:ind w:left="20"/>
              <w:spacing w:after="0"/>
              <w:rPr>
                <w:sz w:val="20"/>
                <w:szCs w:val="20"/>
                <w:color w:val="auto"/>
              </w:rPr>
            </w:pPr>
            <w:r>
              <w:rPr>
                <w:rFonts w:ascii="Arial" w:cs="Arial" w:eastAsia="Arial" w:hAnsi="Arial"/>
                <w:sz w:val="16"/>
                <w:szCs w:val="16"/>
                <w:color w:val="0000EE"/>
                <w:w w:val="99"/>
              </w:rPr>
              <w:t>Proxy Materials are Available on the Internet</w:t>
            </w:r>
          </w:p>
        </w:tc>
        <w:tc>
          <w:tcPr>
            <w:tcW w:w="2780" w:type="dxa"/>
            <w:vAlign w:val="bottom"/>
            <w:gridSpan w:val="4"/>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188"/>
        </w:trPr>
        <w:tc>
          <w:tcPr>
            <w:tcW w:w="200" w:type="dxa"/>
            <w:vAlign w:val="bottom"/>
            <w:shd w:val="clear" w:color="auto" w:fill="EAEAEA"/>
          </w:tcPr>
          <w:p>
            <w:pPr>
              <w:spacing w:after="0"/>
              <w:rPr>
                <w:sz w:val="16"/>
                <w:szCs w:val="16"/>
                <w:color w:val="auto"/>
              </w:rPr>
            </w:pPr>
          </w:p>
        </w:tc>
        <w:tc>
          <w:tcPr>
            <w:tcW w:w="1080" w:type="dxa"/>
            <w:vAlign w:val="bottom"/>
            <w:vMerge w:val="continue"/>
            <w:shd w:val="clear" w:color="auto" w:fill="EAEAEA"/>
          </w:tcPr>
          <w:p>
            <w:pPr>
              <w:spacing w:after="0"/>
              <w:rPr>
                <w:sz w:val="16"/>
                <w:szCs w:val="16"/>
                <w:color w:val="auto"/>
              </w:rPr>
            </w:pPr>
          </w:p>
        </w:tc>
        <w:tc>
          <w:tcPr>
            <w:tcW w:w="3040" w:type="dxa"/>
            <w:vAlign w:val="bottom"/>
            <w:vMerge w:val="continue"/>
            <w:shd w:val="clear" w:color="auto" w:fill="EAEAEA"/>
          </w:tcPr>
          <w:p>
            <w:pPr>
              <w:spacing w:after="0"/>
              <w:rPr>
                <w:sz w:val="16"/>
                <w:szCs w:val="16"/>
                <w:color w:val="auto"/>
              </w:rPr>
            </w:pPr>
          </w:p>
        </w:tc>
        <w:tc>
          <w:tcPr>
            <w:tcW w:w="100" w:type="dxa"/>
            <w:vAlign w:val="bottom"/>
          </w:tcPr>
          <w:p>
            <w:pPr>
              <w:spacing w:after="0"/>
              <w:rPr>
                <w:sz w:val="16"/>
                <w:szCs w:val="16"/>
                <w:color w:val="auto"/>
              </w:rPr>
            </w:pPr>
          </w:p>
        </w:tc>
        <w:tc>
          <w:tcPr>
            <w:tcW w:w="5940" w:type="dxa"/>
            <w:vAlign w:val="bottom"/>
            <w:gridSpan w:val="17"/>
            <w:vMerge w:val="restart"/>
          </w:tcPr>
          <w:p>
            <w:pPr>
              <w:ind w:left="20"/>
              <w:spacing w:after="0"/>
              <w:rPr>
                <w:sz w:val="20"/>
                <w:szCs w:val="20"/>
                <w:color w:val="auto"/>
              </w:rPr>
            </w:pPr>
            <w:r>
              <w:rPr>
                <w:rFonts w:ascii="Arial" w:cs="Arial" w:eastAsia="Arial" w:hAnsi="Arial"/>
                <w:sz w:val="16"/>
                <w:szCs w:val="16"/>
                <w:color w:val="0000EE"/>
              </w:rPr>
              <w:t>Participating in the Annual Meeting</w:t>
            </w: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72"/>
        </w:trPr>
        <w:tc>
          <w:tcPr>
            <w:tcW w:w="200" w:type="dxa"/>
            <w:vAlign w:val="bottom"/>
            <w:shd w:val="clear" w:color="auto" w:fill="EAEAEA"/>
          </w:tcPr>
          <w:p>
            <w:pPr>
              <w:spacing w:after="0"/>
              <w:rPr>
                <w:sz w:val="6"/>
                <w:szCs w:val="6"/>
                <w:color w:val="auto"/>
              </w:rPr>
            </w:pPr>
          </w:p>
        </w:tc>
        <w:tc>
          <w:tcPr>
            <w:tcW w:w="1080" w:type="dxa"/>
            <w:vAlign w:val="bottom"/>
            <w:vMerge w:val="continue"/>
            <w:shd w:val="clear" w:color="auto" w:fill="EAEAEA"/>
          </w:tcPr>
          <w:p>
            <w:pPr>
              <w:spacing w:after="0"/>
              <w:rPr>
                <w:sz w:val="6"/>
                <w:szCs w:val="6"/>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8"/>
                <w:szCs w:val="28"/>
                <w:color w:val="5D89B4"/>
              </w:rPr>
              <w:t>Meeting</w:t>
            </w:r>
          </w:p>
        </w:tc>
        <w:tc>
          <w:tcPr>
            <w:tcW w:w="100" w:type="dxa"/>
            <w:vAlign w:val="bottom"/>
          </w:tcPr>
          <w:p>
            <w:pPr>
              <w:spacing w:after="0"/>
              <w:rPr>
                <w:sz w:val="6"/>
                <w:szCs w:val="6"/>
                <w:color w:val="auto"/>
              </w:rPr>
            </w:pPr>
          </w:p>
        </w:tc>
        <w:tc>
          <w:tcPr>
            <w:tcW w:w="5940" w:type="dxa"/>
            <w:vAlign w:val="bottom"/>
            <w:gridSpan w:val="17"/>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0" w:type="dxa"/>
            <w:vAlign w:val="bottom"/>
            <w:tcBorders>
              <w:top w:val="single" w:sz="8" w:color="EAEAEA"/>
            </w:tcBorders>
            <w:shd w:val="clear" w:color="auto" w:fill="EAEAEA"/>
          </w:tcPr>
          <w:p>
            <w:pPr>
              <w:spacing w:after="0"/>
              <w:rPr>
                <w:sz w:val="22"/>
                <w:szCs w:val="22"/>
                <w:color w:val="auto"/>
              </w:rPr>
            </w:pPr>
          </w:p>
        </w:tc>
        <w:tc>
          <w:tcPr>
            <w:tcW w:w="1080" w:type="dxa"/>
            <w:vAlign w:val="bottom"/>
            <w:tcBorders>
              <w:top w:val="single" w:sz="8" w:color="EAEAEA"/>
            </w:tcBorders>
            <w:vMerge w:val="continue"/>
            <w:shd w:val="clear" w:color="auto" w:fill="EAEAEA"/>
          </w:tcPr>
          <w:p>
            <w:pPr>
              <w:spacing w:after="0"/>
              <w:rPr>
                <w:sz w:val="22"/>
                <w:szCs w:val="22"/>
                <w:color w:val="auto"/>
              </w:rPr>
            </w:pPr>
          </w:p>
        </w:tc>
        <w:tc>
          <w:tcPr>
            <w:tcW w:w="3040" w:type="dxa"/>
            <w:vAlign w:val="bottom"/>
            <w:tcBorders>
              <w:top w:val="single" w:sz="8" w:color="EAEAEA"/>
            </w:tcBorders>
            <w:vMerge w:val="continue"/>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480" w:type="dxa"/>
            <w:vAlign w:val="bottom"/>
            <w:tcBorders>
              <w:top w:val="single" w:sz="8" w:color="0000EE"/>
            </w:tcBorders>
            <w:gridSpan w:val="8"/>
          </w:tcPr>
          <w:p>
            <w:pPr>
              <w:ind w:left="20"/>
              <w:spacing w:after="0"/>
              <w:rPr>
                <w:sz w:val="20"/>
                <w:szCs w:val="20"/>
                <w:color w:val="auto"/>
              </w:rPr>
            </w:pPr>
            <w:r>
              <w:rPr>
                <w:rFonts w:ascii="Arial" w:cs="Arial" w:eastAsia="Arial" w:hAnsi="Arial"/>
                <w:sz w:val="16"/>
                <w:szCs w:val="16"/>
                <w:color w:val="0000EE"/>
              </w:rPr>
              <w:t>Soliciting Proxies</w:t>
            </w:r>
          </w:p>
        </w:tc>
        <w:tc>
          <w:tcPr>
            <w:tcW w:w="3460" w:type="dxa"/>
            <w:vAlign w:val="bottom"/>
            <w:gridSpan w:val="9"/>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080" w:type="dxa"/>
            <w:vAlign w:val="bottom"/>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0" w:type="dxa"/>
            <w:vAlign w:val="bottom"/>
            <w:shd w:val="clear" w:color="auto" w:fill="EAEAEA"/>
          </w:tcPr>
          <w:p>
            <w:pPr>
              <w:spacing w:after="0"/>
              <w:rPr>
                <w:sz w:val="22"/>
                <w:szCs w:val="22"/>
                <w:color w:val="auto"/>
              </w:rPr>
            </w:pPr>
          </w:p>
        </w:tc>
        <w:tc>
          <w:tcPr>
            <w:tcW w:w="1080" w:type="dxa"/>
            <w:vAlign w:val="bottom"/>
            <w:vMerge w:val="continue"/>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940" w:type="dxa"/>
            <w:vAlign w:val="bottom"/>
            <w:gridSpan w:val="17"/>
          </w:tcPr>
          <w:p>
            <w:pPr>
              <w:ind w:left="20"/>
              <w:spacing w:after="0"/>
              <w:rPr>
                <w:sz w:val="20"/>
                <w:szCs w:val="20"/>
                <w:color w:val="auto"/>
              </w:rPr>
            </w:pPr>
            <w:r>
              <w:rPr>
                <w:rFonts w:ascii="Arial" w:cs="Arial" w:eastAsia="Arial" w:hAnsi="Arial"/>
                <w:sz w:val="16"/>
                <w:szCs w:val="16"/>
                <w:color w:val="0000EE"/>
              </w:rPr>
              <w:t>Vote Required and Voting Standards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0" w:type="dxa"/>
            <w:vAlign w:val="bottom"/>
          </w:tcPr>
          <w:p>
            <w:pPr>
              <w:spacing w:after="0"/>
              <w:rPr>
                <w:sz w:val="1"/>
                <w:szCs w:val="1"/>
                <w:color w:val="auto"/>
              </w:rPr>
            </w:pPr>
          </w:p>
        </w:tc>
      </w:tr>
      <w:tr>
        <w:trPr>
          <w:trHeight w:val="260"/>
        </w:trPr>
        <w:tc>
          <w:tcPr>
            <w:tcW w:w="200" w:type="dxa"/>
            <w:vAlign w:val="bottom"/>
            <w:tcBorders>
              <w:top w:val="single" w:sz="8" w:color="EAEAEA"/>
              <w:bottom w:val="single" w:sz="8" w:color="EAEAEA"/>
            </w:tcBorders>
            <w:shd w:val="clear" w:color="auto" w:fill="EAEAEA"/>
          </w:tcPr>
          <w:p>
            <w:pPr>
              <w:spacing w:after="0"/>
              <w:rPr>
                <w:sz w:val="22"/>
                <w:szCs w:val="22"/>
                <w:color w:val="auto"/>
              </w:rPr>
            </w:pPr>
          </w:p>
        </w:tc>
        <w:tc>
          <w:tcPr>
            <w:tcW w:w="1080" w:type="dxa"/>
            <w:vAlign w:val="bottom"/>
            <w:tcBorders>
              <w:top w:val="single" w:sz="8" w:color="EAEAEA"/>
              <w:bottom w:val="single" w:sz="8" w:color="EAEAEA"/>
            </w:tcBorders>
            <w:shd w:val="clear" w:color="auto" w:fill="EAEAEA"/>
          </w:tcPr>
          <w:p>
            <w:pPr>
              <w:spacing w:after="0"/>
              <w:rPr>
                <w:sz w:val="22"/>
                <w:szCs w:val="22"/>
                <w:color w:val="auto"/>
              </w:rPr>
            </w:pPr>
          </w:p>
        </w:tc>
        <w:tc>
          <w:tcPr>
            <w:tcW w:w="3040" w:type="dxa"/>
            <w:vAlign w:val="bottom"/>
            <w:tcBorders>
              <w:top w:val="single" w:sz="8" w:color="EAEAEA"/>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tcBorders>
              <w:top w:val="single" w:sz="8" w:color="0000EE"/>
              <w:bottom w:val="single" w:sz="8" w:color="0000EE"/>
            </w:tcBorders>
            <w:gridSpan w:val="9"/>
          </w:tcPr>
          <w:p>
            <w:pPr>
              <w:ind w:left="20"/>
              <w:spacing w:after="0"/>
              <w:rPr>
                <w:sz w:val="20"/>
                <w:szCs w:val="20"/>
                <w:color w:val="auto"/>
              </w:rPr>
            </w:pPr>
            <w:r>
              <w:rPr>
                <w:rFonts w:ascii="Arial" w:cs="Arial" w:eastAsia="Arial" w:hAnsi="Arial"/>
                <w:sz w:val="16"/>
                <w:szCs w:val="16"/>
                <w:color w:val="0000EE"/>
                <w:w w:val="99"/>
              </w:rPr>
              <w:t>Corporate Governance Documents</w:t>
            </w:r>
          </w:p>
        </w:tc>
        <w:tc>
          <w:tcPr>
            <w:tcW w:w="100" w:type="dxa"/>
            <w:vAlign w:val="bottom"/>
            <w:tcBorders>
              <w:top w:val="single" w:sz="8" w:color="0000EE"/>
            </w:tcBorders>
            <w:gridSpan w:val="2"/>
          </w:tcPr>
          <w:p>
            <w:pPr>
              <w:spacing w:after="0"/>
              <w:rPr>
                <w:sz w:val="22"/>
                <w:szCs w:val="22"/>
                <w:color w:val="auto"/>
              </w:rPr>
            </w:pPr>
          </w:p>
        </w:tc>
        <w:tc>
          <w:tcPr>
            <w:tcW w:w="3340" w:type="dxa"/>
            <w:vAlign w:val="bottom"/>
            <w:gridSpan w:val="6"/>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260"/>
        </w:trPr>
        <w:tc>
          <w:tcPr>
            <w:tcW w:w="200" w:type="dxa"/>
            <w:vAlign w:val="bottom"/>
            <w:shd w:val="clear" w:color="auto" w:fill="EAEAEA"/>
          </w:tcPr>
          <w:p>
            <w:pPr>
              <w:spacing w:after="0"/>
              <w:rPr>
                <w:sz w:val="22"/>
                <w:szCs w:val="22"/>
                <w:color w:val="auto"/>
              </w:rPr>
            </w:pPr>
          </w:p>
        </w:tc>
        <w:tc>
          <w:tcPr>
            <w:tcW w:w="1080" w:type="dxa"/>
            <w:vAlign w:val="bottom"/>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940" w:type="dxa"/>
            <w:vAlign w:val="bottom"/>
            <w:gridSpan w:val="17"/>
          </w:tcPr>
          <w:p>
            <w:pPr>
              <w:ind w:left="20"/>
              <w:spacing w:after="0"/>
              <w:rPr>
                <w:sz w:val="20"/>
                <w:szCs w:val="20"/>
                <w:color w:val="auto"/>
              </w:rPr>
            </w:pPr>
            <w:r>
              <w:rPr>
                <w:rFonts w:ascii="Arial" w:cs="Arial" w:eastAsia="Arial" w:hAnsi="Arial"/>
                <w:sz w:val="16"/>
                <w:szCs w:val="16"/>
                <w:color w:val="0000EE"/>
              </w:rPr>
              <w:t>Submission of Shareholder Proposals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260"/>
        </w:trPr>
        <w:tc>
          <w:tcPr>
            <w:tcW w:w="200" w:type="dxa"/>
            <w:vAlign w:val="bottom"/>
            <w:tcBorders>
              <w:top w:val="single" w:sz="8" w:color="EAEAEA"/>
            </w:tcBorders>
            <w:shd w:val="clear" w:color="auto" w:fill="EAEAEA"/>
          </w:tcPr>
          <w:p>
            <w:pPr>
              <w:spacing w:after="0"/>
              <w:rPr>
                <w:sz w:val="22"/>
                <w:szCs w:val="22"/>
                <w:color w:val="auto"/>
              </w:rPr>
            </w:pPr>
          </w:p>
        </w:tc>
        <w:tc>
          <w:tcPr>
            <w:tcW w:w="1080" w:type="dxa"/>
            <w:vAlign w:val="bottom"/>
            <w:tcBorders>
              <w:top w:val="single" w:sz="8" w:color="EAEAEA"/>
            </w:tcBorders>
            <w:shd w:val="clear" w:color="auto" w:fill="EAEAEA"/>
          </w:tcPr>
          <w:p>
            <w:pPr>
              <w:spacing w:after="0"/>
              <w:rPr>
                <w:sz w:val="22"/>
                <w:szCs w:val="22"/>
                <w:color w:val="auto"/>
              </w:rPr>
            </w:pPr>
          </w:p>
        </w:tc>
        <w:tc>
          <w:tcPr>
            <w:tcW w:w="3040" w:type="dxa"/>
            <w:vAlign w:val="bottom"/>
            <w:tcBorders>
              <w:top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top w:val="single" w:sz="8" w:color="0000EE"/>
            </w:tcBorders>
            <w:gridSpan w:val="12"/>
          </w:tcPr>
          <w:p>
            <w:pPr>
              <w:ind w:left="20"/>
              <w:spacing w:after="0"/>
              <w:rPr>
                <w:sz w:val="20"/>
                <w:szCs w:val="20"/>
                <w:color w:val="auto"/>
              </w:rPr>
            </w:pPr>
            <w:r>
              <w:rPr>
                <w:rFonts w:ascii="Arial" w:cs="Arial" w:eastAsia="Arial" w:hAnsi="Arial"/>
                <w:sz w:val="16"/>
                <w:szCs w:val="16"/>
                <w:color w:val="0000EE"/>
              </w:rPr>
              <w:t>Other Voting Information</w:t>
            </w:r>
          </w:p>
        </w:tc>
        <w:tc>
          <w:tcPr>
            <w:tcW w:w="3220" w:type="dxa"/>
            <w:vAlign w:val="bottom"/>
            <w:gridSpan w:val="5"/>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260"/>
        </w:trPr>
        <w:tc>
          <w:tcPr>
            <w:tcW w:w="200" w:type="dxa"/>
            <w:vAlign w:val="bottom"/>
            <w:tcBorders>
              <w:top w:val="single" w:sz="8" w:color="EAEAEA"/>
            </w:tcBorders>
            <w:shd w:val="clear" w:color="auto" w:fill="EAEAEA"/>
          </w:tcPr>
          <w:p>
            <w:pPr>
              <w:spacing w:after="0"/>
              <w:rPr>
                <w:sz w:val="22"/>
                <w:szCs w:val="22"/>
                <w:color w:val="auto"/>
              </w:rPr>
            </w:pPr>
          </w:p>
        </w:tc>
        <w:tc>
          <w:tcPr>
            <w:tcW w:w="1080" w:type="dxa"/>
            <w:vAlign w:val="bottom"/>
            <w:tcBorders>
              <w:top w:val="single" w:sz="8" w:color="EAEAEA"/>
            </w:tcBorders>
            <w:shd w:val="clear" w:color="auto" w:fill="EAEAEA"/>
          </w:tcPr>
          <w:p>
            <w:pPr>
              <w:spacing w:after="0"/>
              <w:rPr>
                <w:sz w:val="22"/>
                <w:szCs w:val="22"/>
                <w:color w:val="auto"/>
              </w:rPr>
            </w:pPr>
          </w:p>
        </w:tc>
        <w:tc>
          <w:tcPr>
            <w:tcW w:w="3040" w:type="dxa"/>
            <w:vAlign w:val="bottom"/>
            <w:tcBorders>
              <w:top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top w:val="single" w:sz="8" w:color="0000EE"/>
            </w:tcBorders>
            <w:gridSpan w:val="6"/>
          </w:tcPr>
          <w:p>
            <w:pPr>
              <w:ind w:left="20"/>
              <w:spacing w:after="0"/>
              <w:rPr>
                <w:sz w:val="20"/>
                <w:szCs w:val="20"/>
                <w:color w:val="auto"/>
              </w:rPr>
            </w:pPr>
            <w:r>
              <w:rPr>
                <w:rFonts w:ascii="Arial" w:cs="Arial" w:eastAsia="Arial" w:hAnsi="Arial"/>
                <w:sz w:val="16"/>
                <w:szCs w:val="16"/>
                <w:color w:val="0000EE"/>
              </w:rPr>
              <w:t>Other Matters</w:t>
            </w:r>
          </w:p>
        </w:tc>
        <w:tc>
          <w:tcPr>
            <w:tcW w:w="4200" w:type="dxa"/>
            <w:vAlign w:val="bottom"/>
            <w:gridSpan w:val="11"/>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1581"/>
        </w:trPr>
        <w:tc>
          <w:tcPr>
            <w:tcW w:w="200" w:type="dxa"/>
            <w:vAlign w:val="bottom"/>
            <w:tcBorders>
              <w:top w:val="single" w:sz="8" w:color="EAEAEA"/>
            </w:tcBorders>
            <w:shd w:val="clear" w:color="auto" w:fill="EAEAEA"/>
          </w:tcPr>
          <w:p>
            <w:pPr>
              <w:spacing w:after="0"/>
              <w:rPr>
                <w:sz w:val="24"/>
                <w:szCs w:val="24"/>
                <w:color w:val="auto"/>
              </w:rPr>
            </w:pPr>
          </w:p>
        </w:tc>
        <w:tc>
          <w:tcPr>
            <w:tcW w:w="1080" w:type="dxa"/>
            <w:vAlign w:val="bottom"/>
            <w:tcBorders>
              <w:top w:val="single" w:sz="8" w:color="EAEAEA"/>
            </w:tcBorders>
            <w:shd w:val="clear" w:color="auto" w:fill="EAEAEA"/>
          </w:tcPr>
          <w:p>
            <w:pPr>
              <w:spacing w:after="0"/>
              <w:rPr>
                <w:sz w:val="24"/>
                <w:szCs w:val="24"/>
                <w:color w:val="auto"/>
              </w:rPr>
            </w:pPr>
          </w:p>
        </w:tc>
        <w:tc>
          <w:tcPr>
            <w:tcW w:w="3040" w:type="dxa"/>
            <w:vAlign w:val="bottom"/>
            <w:tcBorders>
              <w:top w:val="single" w:sz="8" w:color="EAEAEA"/>
            </w:tcBorders>
            <w:shd w:val="clear" w:color="auto" w:fill="EAEAEA"/>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0" w:type="dxa"/>
            <w:vAlign w:val="bottom"/>
            <w:tcBorders>
              <w:bottom w:val="single" w:sz="8" w:color="5D89B4"/>
            </w:tcBorders>
          </w:tcPr>
          <w:p>
            <w:pPr>
              <w:spacing w:after="0"/>
              <w:rPr>
                <w:sz w:val="15"/>
                <w:szCs w:val="15"/>
                <w:color w:val="auto"/>
              </w:rPr>
            </w:pPr>
          </w:p>
        </w:tc>
        <w:tc>
          <w:tcPr>
            <w:tcW w:w="1080" w:type="dxa"/>
            <w:vAlign w:val="bottom"/>
            <w:tcBorders>
              <w:bottom w:val="single" w:sz="8" w:color="5D89B4"/>
            </w:tcBorders>
          </w:tcPr>
          <w:p>
            <w:pPr>
              <w:spacing w:after="0"/>
              <w:rPr>
                <w:sz w:val="15"/>
                <w:szCs w:val="15"/>
                <w:color w:val="auto"/>
              </w:rPr>
            </w:pPr>
          </w:p>
        </w:tc>
        <w:tc>
          <w:tcPr>
            <w:tcW w:w="304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980" w:type="dxa"/>
            <w:vAlign w:val="bottom"/>
            <w:tcBorders>
              <w:bottom w:val="single" w:sz="8" w:color="5D89B4"/>
            </w:tcBorders>
          </w:tcPr>
          <w:p>
            <w:pPr>
              <w:spacing w:after="0"/>
              <w:rPr>
                <w:sz w:val="15"/>
                <w:szCs w:val="15"/>
                <w:color w:val="auto"/>
              </w:rPr>
            </w:pPr>
          </w:p>
        </w:tc>
        <w:tc>
          <w:tcPr>
            <w:tcW w:w="240" w:type="dxa"/>
            <w:vAlign w:val="bottom"/>
            <w:tcBorders>
              <w:bottom w:val="single" w:sz="8" w:color="5D89B4"/>
            </w:tcBorders>
          </w:tcPr>
          <w:p>
            <w:pPr>
              <w:spacing w:after="0"/>
              <w:rPr>
                <w:sz w:val="15"/>
                <w:szCs w:val="15"/>
                <w:color w:val="auto"/>
              </w:rPr>
            </w:pPr>
          </w:p>
        </w:tc>
        <w:tc>
          <w:tcPr>
            <w:tcW w:w="38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60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8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440" w:type="dxa"/>
            <w:vAlign w:val="bottom"/>
            <w:tcBorders>
              <w:bottom w:val="single" w:sz="8" w:color="5D89B4"/>
            </w:tcBorders>
          </w:tcPr>
          <w:p>
            <w:pPr>
              <w:spacing w:after="0"/>
              <w:rPr>
                <w:sz w:val="15"/>
                <w:szCs w:val="15"/>
                <w:color w:val="auto"/>
              </w:rPr>
            </w:pPr>
          </w:p>
        </w:tc>
        <w:tc>
          <w:tcPr>
            <w:tcW w:w="320" w:type="dxa"/>
            <w:vAlign w:val="bottom"/>
            <w:tcBorders>
              <w:bottom w:val="single" w:sz="8" w:color="5D89B4"/>
            </w:tcBorders>
          </w:tcPr>
          <w:p>
            <w:pPr>
              <w:spacing w:after="0"/>
              <w:rPr>
                <w:sz w:val="15"/>
                <w:szCs w:val="15"/>
                <w:color w:val="auto"/>
              </w:rPr>
            </w:pPr>
          </w:p>
        </w:tc>
        <w:tc>
          <w:tcPr>
            <w:tcW w:w="540" w:type="dxa"/>
            <w:vAlign w:val="bottom"/>
            <w:tcBorders>
              <w:bottom w:val="single" w:sz="8" w:color="5D89B4"/>
            </w:tcBorders>
          </w:tcPr>
          <w:p>
            <w:pPr>
              <w:spacing w:after="0"/>
              <w:rPr>
                <w:sz w:val="15"/>
                <w:szCs w:val="15"/>
                <w:color w:val="auto"/>
              </w:rPr>
            </w:pPr>
          </w:p>
        </w:tc>
        <w:tc>
          <w:tcPr>
            <w:tcW w:w="1640" w:type="dxa"/>
            <w:vAlign w:val="bottom"/>
            <w:tcBorders>
              <w:bottom w:val="single" w:sz="8" w:color="5D89B4"/>
            </w:tcBorders>
          </w:tcPr>
          <w:p>
            <w:pPr>
              <w:spacing w:after="0"/>
              <w:rPr>
                <w:sz w:val="15"/>
                <w:szCs w:val="15"/>
                <w:color w:val="auto"/>
              </w:rPr>
            </w:pPr>
          </w:p>
        </w:tc>
        <w:tc>
          <w:tcPr>
            <w:tcW w:w="280" w:type="dxa"/>
            <w:vAlign w:val="bottom"/>
            <w:tcBorders>
              <w:bottom w:val="single" w:sz="8" w:color="5D89B4"/>
            </w:tcBorders>
          </w:tcPr>
          <w:p>
            <w:pPr>
              <w:spacing w:after="0"/>
              <w:rPr>
                <w:sz w:val="15"/>
                <w:szCs w:val="15"/>
                <w:color w:val="auto"/>
              </w:rPr>
            </w:pPr>
          </w:p>
        </w:tc>
        <w:tc>
          <w:tcPr>
            <w:tcW w:w="52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0"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86360</wp:posOffset>
            </wp:positionV>
            <wp:extent cx="691388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13880" cy="33655"/>
                    </a:xfrm>
                    <a:prstGeom prst="rect">
                      <a:avLst/>
                    </a:prstGeom>
                    <a:noFill/>
                  </pic:spPr>
                </pic:pic>
              </a:graphicData>
            </a:graphic>
          </wp:anchor>
        </w:drawing>
      </w:r>
    </w:p>
    <w:p>
      <w:pPr>
        <w:spacing w:after="0" w:line="313" w:lineRule="exact"/>
        <w:rPr>
          <w:sz w:val="20"/>
          <w:szCs w:val="20"/>
          <w:color w:val="auto"/>
        </w:rPr>
      </w:pPr>
    </w:p>
    <w:p>
      <w:pPr>
        <w:ind w:left="180" w:right="360"/>
        <w:spacing w:after="0" w:line="242" w:lineRule="auto"/>
        <w:rPr>
          <w:sz w:val="20"/>
          <w:szCs w:val="20"/>
          <w:color w:val="auto"/>
        </w:rPr>
      </w:pPr>
      <w:r>
        <w:rPr>
          <w:rFonts w:ascii="Arial" w:cs="Arial" w:eastAsia="Arial" w:hAnsi="Arial"/>
          <w:sz w:val="18"/>
          <w:szCs w:val="18"/>
          <w:color w:val="5D89B4"/>
        </w:rPr>
        <w:t>This summary highlights information contained in the proxy statement, which is first being made available to shareholders on or about March 7, 2024. This summary does not contain all the information you should consider. We encourage you to read the entire proxy statement before voting. For information regarding ManpowerGroup’s 2023 performance, please read ManpowerGroup’s 2023 Annual Report on Form 10-K.</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Board of Directors Nominees</w:t>
      </w:r>
    </w:p>
    <w:p>
      <w:pPr>
        <w:spacing w:after="0" w:line="80" w:lineRule="exact"/>
        <w:rPr>
          <w:sz w:val="20"/>
          <w:szCs w:val="20"/>
          <w:color w:val="auto"/>
        </w:rPr>
      </w:pPr>
    </w:p>
    <w:p>
      <w:pPr>
        <w:ind w:left="180" w:right="80"/>
        <w:spacing w:after="0" w:line="259" w:lineRule="auto"/>
        <w:rPr>
          <w:sz w:val="20"/>
          <w:szCs w:val="20"/>
          <w:color w:val="auto"/>
        </w:rPr>
      </w:pPr>
      <w:r>
        <w:rPr>
          <w:rFonts w:ascii="Arial" w:cs="Arial" w:eastAsia="Arial" w:hAnsi="Arial"/>
          <w:sz w:val="15"/>
          <w:szCs w:val="15"/>
          <w:color w:val="auto"/>
        </w:rPr>
        <w:t>The following table provides summary information about each of the 11 director nominees, and the committees they serve on. Each director is elected annually by a majority of votes cast. William Downe has determined he will not be seeking re-election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207010</wp:posOffset>
            </wp:positionV>
            <wp:extent cx="525145" cy="186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5145" cy="186690"/>
                    </a:xfrm>
                    <a:prstGeom prst="rect">
                      <a:avLst/>
                    </a:prstGeom>
                    <a:noFill/>
                  </pic:spPr>
                </pic:pic>
              </a:graphicData>
            </a:graphic>
          </wp:anchor>
        </w:drawing>
      </w:r>
    </w:p>
    <w:p>
      <w:pPr>
        <w:spacing w:after="0" w:line="306" w:lineRule="exact"/>
        <w:rPr>
          <w:sz w:val="20"/>
          <w:szCs w:val="20"/>
          <w:color w:val="auto"/>
        </w:rPr>
      </w:pPr>
    </w:p>
    <w:tbl>
      <w:tblPr>
        <w:tblLayout w:type="fixed"/>
        <w:tblInd w:w="1000" w:type="dxa"/>
        <w:tblCellMar>
          <w:top w:w="0" w:type="dxa"/>
          <w:left w:w="0" w:type="dxa"/>
          <w:bottom w:w="0" w:type="dxa"/>
          <w:right w:w="0" w:type="dxa"/>
        </w:tblCellMar>
      </w:tblPr>
      <w:tr>
        <w:trPr>
          <w:trHeight w:val="274"/>
        </w:trPr>
        <w:tc>
          <w:tcPr>
            <w:tcW w:w="2540" w:type="dxa"/>
            <w:vAlign w:val="bottom"/>
            <w:tcBorders>
              <w:bottom w:val="single" w:sz="8" w:color="EAEAEA"/>
            </w:tcBorders>
            <w:shd w:val="clear" w:color="auto" w:fill="EAEAEA"/>
          </w:tcPr>
          <w:p>
            <w:pPr>
              <w:ind w:left="480"/>
              <w:spacing w:after="0"/>
              <w:rPr>
                <w:sz w:val="20"/>
                <w:szCs w:val="20"/>
                <w:color w:val="auto"/>
              </w:rPr>
            </w:pPr>
            <w:r>
              <w:rPr>
                <w:rFonts w:ascii="Arial" w:cs="Arial" w:eastAsia="Arial" w:hAnsi="Arial"/>
                <w:sz w:val="14"/>
                <w:szCs w:val="14"/>
                <w:b w:val="1"/>
                <w:bCs w:val="1"/>
                <w:color w:val="5D89B4"/>
              </w:rPr>
              <w:t>NAME</w:t>
            </w:r>
          </w:p>
        </w:tc>
        <w:tc>
          <w:tcPr>
            <w:tcW w:w="680" w:type="dxa"/>
            <w:vAlign w:val="bottom"/>
            <w:tcBorders>
              <w:bottom w:val="single" w:sz="8" w:color="EAEAEA"/>
            </w:tcBorders>
            <w:shd w:val="clear" w:color="auto" w:fill="EAEAEA"/>
          </w:tcPr>
          <w:p>
            <w:pPr>
              <w:jc w:val="center"/>
              <w:ind w:left="5"/>
              <w:spacing w:after="0"/>
              <w:rPr>
                <w:sz w:val="20"/>
                <w:szCs w:val="20"/>
                <w:color w:val="auto"/>
              </w:rPr>
            </w:pPr>
            <w:r>
              <w:rPr>
                <w:rFonts w:ascii="Arial" w:cs="Arial" w:eastAsia="Arial" w:hAnsi="Arial"/>
                <w:sz w:val="14"/>
                <w:szCs w:val="14"/>
                <w:b w:val="1"/>
                <w:bCs w:val="1"/>
                <w:color w:val="5D89B4"/>
              </w:rPr>
              <w:t>AGE</w:t>
            </w:r>
          </w:p>
        </w:tc>
        <w:tc>
          <w:tcPr>
            <w:tcW w:w="15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 SINCE</w:t>
            </w:r>
          </w:p>
        </w:tc>
        <w:tc>
          <w:tcPr>
            <w:tcW w:w="144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4"/>
                <w:szCs w:val="14"/>
                <w:b w:val="1"/>
                <w:bCs w:val="1"/>
                <w:color w:val="5D89B4"/>
              </w:rPr>
              <w:t>INDEPENDENT</w:t>
            </w:r>
          </w:p>
        </w:tc>
        <w:tc>
          <w:tcPr>
            <w:tcW w:w="3880" w:type="dxa"/>
            <w:vAlign w:val="bottom"/>
            <w:tcBorders>
              <w:bottom w:val="single" w:sz="8" w:color="EAEAEA"/>
            </w:tcBorders>
            <w:shd w:val="clear" w:color="auto" w:fill="EAEAEA"/>
          </w:tcPr>
          <w:p>
            <w:pPr>
              <w:ind w:left="300"/>
              <w:spacing w:after="0"/>
              <w:rPr>
                <w:sz w:val="20"/>
                <w:szCs w:val="20"/>
                <w:color w:val="auto"/>
              </w:rPr>
            </w:pPr>
            <w:r>
              <w:rPr>
                <w:rFonts w:ascii="Arial" w:cs="Arial" w:eastAsia="Arial" w:hAnsi="Arial"/>
                <w:sz w:val="14"/>
                <w:szCs w:val="14"/>
                <w:b w:val="1"/>
                <w:bCs w:val="1"/>
                <w:color w:val="5D89B4"/>
              </w:rPr>
              <w:t>COMMITTEES</w:t>
            </w:r>
          </w:p>
        </w:tc>
        <w:tc>
          <w:tcPr>
            <w:tcW w:w="0" w:type="dxa"/>
            <w:vAlign w:val="bottom"/>
          </w:tcPr>
          <w:p>
            <w:pPr>
              <w:spacing w:after="0"/>
              <w:rPr>
                <w:sz w:val="1"/>
                <w:szCs w:val="1"/>
                <w:color w:val="auto"/>
              </w:rPr>
            </w:pPr>
          </w:p>
        </w:tc>
      </w:tr>
      <w:tr>
        <w:trPr>
          <w:trHeight w:val="527"/>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Jean-Philippe Courtois</w:t>
            </w:r>
          </w:p>
        </w:tc>
        <w:tc>
          <w:tcPr>
            <w:tcW w:w="680" w:type="dxa"/>
            <w:vAlign w:val="bottom"/>
          </w:tcPr>
          <w:p>
            <w:pPr>
              <w:jc w:val="center"/>
              <w:ind w:left="5"/>
              <w:spacing w:after="0"/>
              <w:rPr>
                <w:sz w:val="20"/>
                <w:szCs w:val="20"/>
                <w:color w:val="auto"/>
              </w:rPr>
            </w:pPr>
            <w:r>
              <w:rPr>
                <w:rFonts w:ascii="Arial" w:cs="Arial" w:eastAsia="Arial" w:hAnsi="Arial"/>
                <w:sz w:val="15"/>
                <w:szCs w:val="15"/>
                <w:color w:val="auto"/>
                <w:w w:val="95"/>
              </w:rPr>
              <w:t>63</w:t>
            </w:r>
          </w:p>
        </w:tc>
        <w:tc>
          <w:tcPr>
            <w:tcW w:w="1520" w:type="dxa"/>
            <w:vAlign w:val="bottom"/>
          </w:tcPr>
          <w:p>
            <w:pPr>
              <w:jc w:val="center"/>
              <w:spacing w:after="0"/>
              <w:rPr>
                <w:sz w:val="20"/>
                <w:szCs w:val="20"/>
                <w:color w:val="auto"/>
              </w:rPr>
            </w:pPr>
            <w:r>
              <w:rPr>
                <w:rFonts w:ascii="Arial" w:cs="Arial" w:eastAsia="Arial" w:hAnsi="Arial"/>
                <w:sz w:val="15"/>
                <w:szCs w:val="15"/>
                <w:color w:val="auto"/>
              </w:rPr>
              <w:t>2020</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274"/>
        </w:trPr>
        <w:tc>
          <w:tcPr>
            <w:tcW w:w="2540" w:type="dxa"/>
            <w:vAlign w:val="bottom"/>
            <w:tcBorders>
              <w:bottom w:val="single" w:sz="8" w:color="5D89B4"/>
            </w:tcBorders>
          </w:tcPr>
          <w:p>
            <w:pPr>
              <w:spacing w:after="0"/>
              <w:rPr>
                <w:sz w:val="23"/>
                <w:szCs w:val="23"/>
                <w:color w:val="auto"/>
              </w:rPr>
            </w:pPr>
          </w:p>
        </w:tc>
        <w:tc>
          <w:tcPr>
            <w:tcW w:w="680" w:type="dxa"/>
            <w:vAlign w:val="bottom"/>
            <w:tcBorders>
              <w:bottom w:val="single" w:sz="8" w:color="5D89B4"/>
            </w:tcBorders>
          </w:tcPr>
          <w:p>
            <w:pPr>
              <w:spacing w:after="0"/>
              <w:rPr>
                <w:sz w:val="23"/>
                <w:szCs w:val="23"/>
                <w:color w:val="auto"/>
              </w:rPr>
            </w:pPr>
          </w:p>
        </w:tc>
        <w:tc>
          <w:tcPr>
            <w:tcW w:w="1520" w:type="dxa"/>
            <w:vAlign w:val="bottom"/>
            <w:tcBorders>
              <w:bottom w:val="single" w:sz="8" w:color="5D89B4"/>
            </w:tcBorders>
          </w:tcPr>
          <w:p>
            <w:pPr>
              <w:spacing w:after="0"/>
              <w:rPr>
                <w:sz w:val="23"/>
                <w:szCs w:val="23"/>
                <w:color w:val="auto"/>
              </w:rPr>
            </w:pPr>
          </w:p>
        </w:tc>
        <w:tc>
          <w:tcPr>
            <w:tcW w:w="1440" w:type="dxa"/>
            <w:vAlign w:val="bottom"/>
            <w:tcBorders>
              <w:bottom w:val="single" w:sz="8" w:color="5D89B4"/>
            </w:tcBorders>
          </w:tcPr>
          <w:p>
            <w:pPr>
              <w:spacing w:after="0"/>
              <w:rPr>
                <w:sz w:val="23"/>
                <w:szCs w:val="23"/>
                <w:color w:val="auto"/>
              </w:rPr>
            </w:pPr>
          </w:p>
        </w:tc>
        <w:tc>
          <w:tcPr>
            <w:tcW w:w="3880" w:type="dxa"/>
            <w:vAlign w:val="bottom"/>
            <w:tcBorders>
              <w:bottom w:val="single" w:sz="8" w:color="5D89B4"/>
            </w:tcBorders>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John F. Ferraro</w:t>
            </w:r>
          </w:p>
        </w:tc>
        <w:tc>
          <w:tcPr>
            <w:tcW w:w="680" w:type="dxa"/>
            <w:vAlign w:val="bottom"/>
          </w:tcPr>
          <w:p>
            <w:pPr>
              <w:jc w:val="center"/>
              <w:ind w:left="5"/>
              <w:spacing w:after="0"/>
              <w:rPr>
                <w:sz w:val="20"/>
                <w:szCs w:val="20"/>
                <w:color w:val="auto"/>
              </w:rPr>
            </w:pPr>
            <w:r>
              <w:rPr>
                <w:rFonts w:ascii="Arial" w:cs="Arial" w:eastAsia="Arial" w:hAnsi="Arial"/>
                <w:sz w:val="15"/>
                <w:szCs w:val="15"/>
                <w:color w:val="auto"/>
                <w:w w:val="95"/>
              </w:rPr>
              <w:t>68</w:t>
            </w:r>
          </w:p>
        </w:tc>
        <w:tc>
          <w:tcPr>
            <w:tcW w:w="1520" w:type="dxa"/>
            <w:vAlign w:val="bottom"/>
          </w:tcPr>
          <w:p>
            <w:pPr>
              <w:jc w:val="center"/>
              <w:spacing w:after="0"/>
              <w:rPr>
                <w:sz w:val="20"/>
                <w:szCs w:val="20"/>
                <w:color w:val="auto"/>
              </w:rPr>
            </w:pPr>
            <w:r>
              <w:rPr>
                <w:rFonts w:ascii="Arial" w:cs="Arial" w:eastAsia="Arial" w:hAnsi="Arial"/>
                <w:sz w:val="15"/>
                <w:szCs w:val="15"/>
                <w:color w:val="auto"/>
              </w:rPr>
              <w:t>2016</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247"/>
        </w:trPr>
        <w:tc>
          <w:tcPr>
            <w:tcW w:w="2540" w:type="dxa"/>
            <w:vAlign w:val="bottom"/>
            <w:tcBorders>
              <w:bottom w:val="single" w:sz="8" w:color="5D89B4"/>
            </w:tcBorders>
          </w:tcPr>
          <w:p>
            <w:pPr>
              <w:spacing w:after="0"/>
              <w:rPr>
                <w:sz w:val="21"/>
                <w:szCs w:val="21"/>
                <w:color w:val="auto"/>
              </w:rPr>
            </w:pPr>
          </w:p>
        </w:tc>
        <w:tc>
          <w:tcPr>
            <w:tcW w:w="680" w:type="dxa"/>
            <w:vAlign w:val="bottom"/>
            <w:tcBorders>
              <w:bottom w:val="single" w:sz="8" w:color="5D89B4"/>
            </w:tcBorders>
          </w:tcPr>
          <w:p>
            <w:pPr>
              <w:spacing w:after="0"/>
              <w:rPr>
                <w:sz w:val="21"/>
                <w:szCs w:val="21"/>
                <w:color w:val="auto"/>
              </w:rPr>
            </w:pPr>
          </w:p>
        </w:tc>
        <w:tc>
          <w:tcPr>
            <w:tcW w:w="1520" w:type="dxa"/>
            <w:vAlign w:val="bottom"/>
            <w:tcBorders>
              <w:bottom w:val="single" w:sz="8" w:color="5D89B4"/>
            </w:tcBorders>
          </w:tcPr>
          <w:p>
            <w:pPr>
              <w:spacing w:after="0"/>
              <w:rPr>
                <w:sz w:val="21"/>
                <w:szCs w:val="21"/>
                <w:color w:val="auto"/>
              </w:rPr>
            </w:pPr>
          </w:p>
        </w:tc>
        <w:tc>
          <w:tcPr>
            <w:tcW w:w="1440" w:type="dxa"/>
            <w:vAlign w:val="bottom"/>
            <w:tcBorders>
              <w:bottom w:val="single" w:sz="8" w:color="5D89B4"/>
            </w:tcBorders>
          </w:tcPr>
          <w:p>
            <w:pPr>
              <w:spacing w:after="0"/>
              <w:rPr>
                <w:sz w:val="21"/>
                <w:szCs w:val="21"/>
                <w:color w:val="auto"/>
              </w:rPr>
            </w:pPr>
          </w:p>
        </w:tc>
        <w:tc>
          <w:tcPr>
            <w:tcW w:w="3880" w:type="dxa"/>
            <w:vAlign w:val="bottom"/>
            <w:tcBorders>
              <w:bottom w:val="single" w:sz="8" w:color="5D89B4"/>
            </w:tcBorders>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William P. Gipson</w:t>
            </w:r>
          </w:p>
        </w:tc>
        <w:tc>
          <w:tcPr>
            <w:tcW w:w="680" w:type="dxa"/>
            <w:vAlign w:val="bottom"/>
          </w:tcPr>
          <w:p>
            <w:pPr>
              <w:jc w:val="center"/>
              <w:ind w:left="5"/>
              <w:spacing w:after="0"/>
              <w:rPr>
                <w:sz w:val="20"/>
                <w:szCs w:val="20"/>
                <w:color w:val="auto"/>
              </w:rPr>
            </w:pPr>
            <w:r>
              <w:rPr>
                <w:rFonts w:ascii="Arial" w:cs="Arial" w:eastAsia="Arial" w:hAnsi="Arial"/>
                <w:sz w:val="15"/>
                <w:szCs w:val="15"/>
                <w:color w:val="auto"/>
                <w:w w:val="95"/>
              </w:rPr>
              <w:t>66</w:t>
            </w:r>
          </w:p>
        </w:tc>
        <w:tc>
          <w:tcPr>
            <w:tcW w:w="1520" w:type="dxa"/>
            <w:vAlign w:val="bottom"/>
          </w:tcPr>
          <w:p>
            <w:pPr>
              <w:jc w:val="center"/>
              <w:spacing w:after="0"/>
              <w:rPr>
                <w:sz w:val="20"/>
                <w:szCs w:val="20"/>
                <w:color w:val="auto"/>
              </w:rPr>
            </w:pPr>
            <w:r>
              <w:rPr>
                <w:rFonts w:ascii="Arial" w:cs="Arial" w:eastAsia="Arial" w:hAnsi="Arial"/>
                <w:sz w:val="15"/>
                <w:szCs w:val="15"/>
                <w:color w:val="auto"/>
              </w:rPr>
              <w:t>2020</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247"/>
        </w:trPr>
        <w:tc>
          <w:tcPr>
            <w:tcW w:w="2540" w:type="dxa"/>
            <w:vAlign w:val="bottom"/>
            <w:tcBorders>
              <w:bottom w:val="single" w:sz="8" w:color="5D89B4"/>
            </w:tcBorders>
          </w:tcPr>
          <w:p>
            <w:pPr>
              <w:spacing w:after="0"/>
              <w:rPr>
                <w:sz w:val="21"/>
                <w:szCs w:val="21"/>
                <w:color w:val="auto"/>
              </w:rPr>
            </w:pPr>
          </w:p>
        </w:tc>
        <w:tc>
          <w:tcPr>
            <w:tcW w:w="680" w:type="dxa"/>
            <w:vAlign w:val="bottom"/>
            <w:tcBorders>
              <w:bottom w:val="single" w:sz="8" w:color="5D89B4"/>
            </w:tcBorders>
          </w:tcPr>
          <w:p>
            <w:pPr>
              <w:spacing w:after="0"/>
              <w:rPr>
                <w:sz w:val="21"/>
                <w:szCs w:val="21"/>
                <w:color w:val="auto"/>
              </w:rPr>
            </w:pPr>
          </w:p>
        </w:tc>
        <w:tc>
          <w:tcPr>
            <w:tcW w:w="1520" w:type="dxa"/>
            <w:vAlign w:val="bottom"/>
            <w:tcBorders>
              <w:bottom w:val="single" w:sz="8" w:color="5D89B4"/>
            </w:tcBorders>
          </w:tcPr>
          <w:p>
            <w:pPr>
              <w:spacing w:after="0"/>
              <w:rPr>
                <w:sz w:val="21"/>
                <w:szCs w:val="21"/>
                <w:color w:val="auto"/>
              </w:rPr>
            </w:pPr>
          </w:p>
        </w:tc>
        <w:tc>
          <w:tcPr>
            <w:tcW w:w="1440" w:type="dxa"/>
            <w:vAlign w:val="bottom"/>
            <w:tcBorders>
              <w:bottom w:val="single" w:sz="8" w:color="5D89B4"/>
            </w:tcBorders>
          </w:tcPr>
          <w:p>
            <w:pPr>
              <w:spacing w:after="0"/>
              <w:rPr>
                <w:sz w:val="21"/>
                <w:szCs w:val="21"/>
                <w:color w:val="auto"/>
              </w:rPr>
            </w:pPr>
          </w:p>
        </w:tc>
        <w:tc>
          <w:tcPr>
            <w:tcW w:w="3880" w:type="dxa"/>
            <w:vAlign w:val="bottom"/>
            <w:tcBorders>
              <w:bottom w:val="single" w:sz="8" w:color="5D89B4"/>
            </w:tcBorders>
          </w:tcPr>
          <w:p>
            <w:pPr>
              <w:spacing w:after="0"/>
              <w:rPr>
                <w:sz w:val="21"/>
                <w:szCs w:val="21"/>
                <w:color w:val="auto"/>
              </w:rPr>
            </w:pPr>
          </w:p>
        </w:tc>
        <w:tc>
          <w:tcPr>
            <w:tcW w:w="0" w:type="dxa"/>
            <w:vAlign w:val="bottom"/>
          </w:tcPr>
          <w:p>
            <w:pPr>
              <w:spacing w:after="0"/>
              <w:rPr>
                <w:sz w:val="1"/>
                <w:szCs w:val="1"/>
                <w:color w:val="auto"/>
              </w:rPr>
            </w:pPr>
          </w:p>
        </w:tc>
      </w:tr>
      <w:tr>
        <w:trPr>
          <w:trHeight w:val="350"/>
        </w:trPr>
        <w:tc>
          <w:tcPr>
            <w:tcW w:w="254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Patricia Hemingway Hall</w:t>
            </w:r>
          </w:p>
        </w:tc>
        <w:tc>
          <w:tcPr>
            <w:tcW w:w="680" w:type="dxa"/>
            <w:vAlign w:val="bottom"/>
            <w:vMerge w:val="restart"/>
          </w:tcPr>
          <w:p>
            <w:pPr>
              <w:jc w:val="center"/>
              <w:ind w:left="5"/>
              <w:spacing w:after="0"/>
              <w:rPr>
                <w:sz w:val="20"/>
                <w:szCs w:val="20"/>
                <w:color w:val="auto"/>
              </w:rPr>
            </w:pPr>
            <w:r>
              <w:rPr>
                <w:rFonts w:ascii="Arial" w:cs="Arial" w:eastAsia="Arial" w:hAnsi="Arial"/>
                <w:sz w:val="15"/>
                <w:szCs w:val="15"/>
                <w:color w:val="auto"/>
                <w:w w:val="95"/>
              </w:rPr>
              <w:t>71</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w w:val="95"/>
              </w:rPr>
              <w:t>2011</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31"/>
        </w:trPr>
        <w:tc>
          <w:tcPr>
            <w:tcW w:w="2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Governance and Sustainability (CHAIR)(1)</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540" w:type="dxa"/>
            <w:vAlign w:val="bottom"/>
            <w:tcBorders>
              <w:bottom w:val="single" w:sz="8" w:color="5D89B4"/>
            </w:tcBorders>
          </w:tcPr>
          <w:p>
            <w:pPr>
              <w:spacing w:after="0"/>
              <w:rPr>
                <w:sz w:val="15"/>
                <w:szCs w:val="15"/>
                <w:color w:val="auto"/>
              </w:rPr>
            </w:pPr>
          </w:p>
        </w:tc>
        <w:tc>
          <w:tcPr>
            <w:tcW w:w="680" w:type="dxa"/>
            <w:vAlign w:val="bottom"/>
            <w:tcBorders>
              <w:bottom w:val="single" w:sz="8" w:color="5D89B4"/>
            </w:tcBorders>
          </w:tcPr>
          <w:p>
            <w:pPr>
              <w:spacing w:after="0"/>
              <w:rPr>
                <w:sz w:val="15"/>
                <w:szCs w:val="15"/>
                <w:color w:val="auto"/>
              </w:rPr>
            </w:pPr>
          </w:p>
        </w:tc>
        <w:tc>
          <w:tcPr>
            <w:tcW w:w="1520" w:type="dxa"/>
            <w:vAlign w:val="bottom"/>
            <w:tcBorders>
              <w:bottom w:val="single" w:sz="8" w:color="5D89B4"/>
            </w:tcBorders>
          </w:tcPr>
          <w:p>
            <w:pPr>
              <w:spacing w:after="0"/>
              <w:rPr>
                <w:sz w:val="15"/>
                <w:szCs w:val="15"/>
                <w:color w:val="auto"/>
              </w:rPr>
            </w:pPr>
          </w:p>
        </w:tc>
        <w:tc>
          <w:tcPr>
            <w:tcW w:w="144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Julie M. Howard</w:t>
            </w:r>
          </w:p>
        </w:tc>
        <w:tc>
          <w:tcPr>
            <w:tcW w:w="680" w:type="dxa"/>
            <w:vAlign w:val="bottom"/>
            <w:vMerge w:val="restart"/>
          </w:tcPr>
          <w:p>
            <w:pPr>
              <w:jc w:val="center"/>
              <w:ind w:left="5"/>
              <w:spacing w:after="0"/>
              <w:rPr>
                <w:sz w:val="20"/>
                <w:szCs w:val="20"/>
                <w:color w:val="auto"/>
              </w:rPr>
            </w:pPr>
            <w:r>
              <w:rPr>
                <w:rFonts w:ascii="Arial" w:cs="Arial" w:eastAsia="Arial" w:hAnsi="Arial"/>
                <w:sz w:val="15"/>
                <w:szCs w:val="15"/>
                <w:color w:val="auto"/>
                <w:w w:val="95"/>
              </w:rPr>
              <w:t>61</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2016</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Compensation(2)</w:t>
            </w:r>
          </w:p>
        </w:tc>
        <w:tc>
          <w:tcPr>
            <w:tcW w:w="0" w:type="dxa"/>
            <w:vAlign w:val="bottom"/>
          </w:tcPr>
          <w:p>
            <w:pPr>
              <w:spacing w:after="0"/>
              <w:rPr>
                <w:sz w:val="1"/>
                <w:szCs w:val="1"/>
                <w:color w:val="auto"/>
              </w:rPr>
            </w:pPr>
          </w:p>
        </w:tc>
      </w:tr>
      <w:tr>
        <w:trPr>
          <w:trHeight w:val="119"/>
        </w:trPr>
        <w:tc>
          <w:tcPr>
            <w:tcW w:w="2540" w:type="dxa"/>
            <w:vAlign w:val="bottom"/>
            <w:vMerge w:val="restart"/>
          </w:tcPr>
          <w:p>
            <w:pPr>
              <w:ind w:left="480"/>
              <w:spacing w:after="0"/>
              <w:rPr>
                <w:sz w:val="20"/>
                <w:szCs w:val="20"/>
                <w:color w:val="auto"/>
              </w:rPr>
            </w:pPr>
            <w:r>
              <w:rPr>
                <w:rFonts w:ascii="Arial" w:cs="Arial" w:eastAsia="Arial" w:hAnsi="Arial"/>
                <w:sz w:val="16"/>
                <w:szCs w:val="16"/>
                <w:color w:val="auto"/>
              </w:rPr>
              <w:t>Lead Director</w:t>
            </w:r>
          </w:p>
        </w:tc>
        <w:tc>
          <w:tcPr>
            <w:tcW w:w="6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95"/>
        </w:trPr>
        <w:tc>
          <w:tcPr>
            <w:tcW w:w="25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540" w:type="dxa"/>
            <w:vAlign w:val="bottom"/>
            <w:tcBorders>
              <w:bottom w:val="single" w:sz="8" w:color="5D89B4"/>
            </w:tcBorders>
          </w:tcPr>
          <w:p>
            <w:pPr>
              <w:spacing w:after="0"/>
              <w:rPr>
                <w:sz w:val="14"/>
                <w:szCs w:val="14"/>
                <w:color w:val="auto"/>
              </w:rPr>
            </w:pPr>
          </w:p>
        </w:tc>
        <w:tc>
          <w:tcPr>
            <w:tcW w:w="680" w:type="dxa"/>
            <w:vAlign w:val="bottom"/>
            <w:tcBorders>
              <w:bottom w:val="single" w:sz="8" w:color="5D89B4"/>
            </w:tcBorders>
          </w:tcPr>
          <w:p>
            <w:pPr>
              <w:spacing w:after="0"/>
              <w:rPr>
                <w:sz w:val="14"/>
                <w:szCs w:val="14"/>
                <w:color w:val="auto"/>
              </w:rPr>
            </w:pPr>
          </w:p>
        </w:tc>
        <w:tc>
          <w:tcPr>
            <w:tcW w:w="1520" w:type="dxa"/>
            <w:vAlign w:val="bottom"/>
            <w:tcBorders>
              <w:bottom w:val="single" w:sz="8" w:color="5D89B4"/>
            </w:tcBorders>
          </w:tcPr>
          <w:p>
            <w:pPr>
              <w:spacing w:after="0"/>
              <w:rPr>
                <w:sz w:val="14"/>
                <w:szCs w:val="14"/>
                <w:color w:val="auto"/>
              </w:rPr>
            </w:pPr>
          </w:p>
        </w:tc>
        <w:tc>
          <w:tcPr>
            <w:tcW w:w="1440" w:type="dxa"/>
            <w:vAlign w:val="bottom"/>
            <w:tcBorders>
              <w:bottom w:val="single" w:sz="8" w:color="5D89B4"/>
            </w:tcBorders>
          </w:tcPr>
          <w:p>
            <w:pPr>
              <w:spacing w:after="0"/>
              <w:rPr>
                <w:sz w:val="14"/>
                <w:szCs w:val="14"/>
                <w:color w:val="auto"/>
              </w:rPr>
            </w:pPr>
          </w:p>
        </w:tc>
        <w:tc>
          <w:tcPr>
            <w:tcW w:w="388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254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Ulice Payne, Jr.</w:t>
            </w:r>
          </w:p>
        </w:tc>
        <w:tc>
          <w:tcPr>
            <w:tcW w:w="680" w:type="dxa"/>
            <w:vAlign w:val="bottom"/>
            <w:vMerge w:val="restart"/>
          </w:tcPr>
          <w:p>
            <w:pPr>
              <w:jc w:val="center"/>
              <w:ind w:left="5"/>
              <w:spacing w:after="0"/>
              <w:rPr>
                <w:sz w:val="20"/>
                <w:szCs w:val="20"/>
                <w:color w:val="auto"/>
              </w:rPr>
            </w:pPr>
            <w:r>
              <w:rPr>
                <w:rFonts w:ascii="Arial" w:cs="Arial" w:eastAsia="Arial" w:hAnsi="Arial"/>
                <w:sz w:val="15"/>
                <w:szCs w:val="15"/>
                <w:color w:val="auto"/>
                <w:w w:val="95"/>
              </w:rPr>
              <w:t>68</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2007</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31"/>
        </w:trPr>
        <w:tc>
          <w:tcPr>
            <w:tcW w:w="2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68"/>
        </w:trPr>
        <w:tc>
          <w:tcPr>
            <w:tcW w:w="2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540" w:type="dxa"/>
            <w:vAlign w:val="bottom"/>
            <w:tcBorders>
              <w:bottom w:val="single" w:sz="8" w:color="5D89B4"/>
            </w:tcBorders>
          </w:tcPr>
          <w:p>
            <w:pPr>
              <w:spacing w:after="0"/>
              <w:rPr>
                <w:sz w:val="15"/>
                <w:szCs w:val="15"/>
                <w:color w:val="auto"/>
              </w:rPr>
            </w:pPr>
          </w:p>
        </w:tc>
        <w:tc>
          <w:tcPr>
            <w:tcW w:w="680" w:type="dxa"/>
            <w:vAlign w:val="bottom"/>
            <w:tcBorders>
              <w:bottom w:val="single" w:sz="8" w:color="5D89B4"/>
            </w:tcBorders>
          </w:tcPr>
          <w:p>
            <w:pPr>
              <w:spacing w:after="0"/>
              <w:rPr>
                <w:sz w:val="15"/>
                <w:szCs w:val="15"/>
                <w:color w:val="auto"/>
              </w:rPr>
            </w:pPr>
          </w:p>
        </w:tc>
        <w:tc>
          <w:tcPr>
            <w:tcW w:w="1520" w:type="dxa"/>
            <w:vAlign w:val="bottom"/>
            <w:tcBorders>
              <w:bottom w:val="single" w:sz="8" w:color="5D89B4"/>
            </w:tcBorders>
          </w:tcPr>
          <w:p>
            <w:pPr>
              <w:spacing w:after="0"/>
              <w:rPr>
                <w:sz w:val="15"/>
                <w:szCs w:val="15"/>
                <w:color w:val="auto"/>
              </w:rPr>
            </w:pPr>
          </w:p>
        </w:tc>
        <w:tc>
          <w:tcPr>
            <w:tcW w:w="144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Muriel Pénicaud</w:t>
            </w:r>
          </w:p>
        </w:tc>
        <w:tc>
          <w:tcPr>
            <w:tcW w:w="680" w:type="dxa"/>
            <w:vAlign w:val="bottom"/>
          </w:tcPr>
          <w:p>
            <w:pPr>
              <w:jc w:val="center"/>
              <w:ind w:left="5"/>
              <w:spacing w:after="0"/>
              <w:rPr>
                <w:sz w:val="20"/>
                <w:szCs w:val="20"/>
                <w:color w:val="auto"/>
              </w:rPr>
            </w:pPr>
            <w:r>
              <w:rPr>
                <w:rFonts w:ascii="Arial" w:cs="Arial" w:eastAsia="Arial" w:hAnsi="Arial"/>
                <w:sz w:val="15"/>
                <w:szCs w:val="15"/>
                <w:color w:val="auto"/>
                <w:w w:val="95"/>
              </w:rPr>
              <w:t>68</w:t>
            </w:r>
          </w:p>
        </w:tc>
        <w:tc>
          <w:tcPr>
            <w:tcW w:w="1520" w:type="dxa"/>
            <w:vAlign w:val="bottom"/>
          </w:tcPr>
          <w:p>
            <w:pPr>
              <w:jc w:val="center"/>
              <w:spacing w:after="0"/>
              <w:rPr>
                <w:sz w:val="20"/>
                <w:szCs w:val="20"/>
                <w:color w:val="auto"/>
              </w:rPr>
            </w:pPr>
            <w:r>
              <w:rPr>
                <w:rFonts w:ascii="Arial" w:cs="Arial" w:eastAsia="Arial" w:hAnsi="Arial"/>
                <w:sz w:val="15"/>
                <w:szCs w:val="15"/>
                <w:color w:val="auto"/>
              </w:rPr>
              <w:t>2022</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247"/>
        </w:trPr>
        <w:tc>
          <w:tcPr>
            <w:tcW w:w="2540" w:type="dxa"/>
            <w:vAlign w:val="bottom"/>
            <w:tcBorders>
              <w:bottom w:val="single" w:sz="8" w:color="5D89B4"/>
            </w:tcBorders>
          </w:tcPr>
          <w:p>
            <w:pPr>
              <w:spacing w:after="0"/>
              <w:rPr>
                <w:sz w:val="21"/>
                <w:szCs w:val="21"/>
                <w:color w:val="auto"/>
              </w:rPr>
            </w:pPr>
          </w:p>
        </w:tc>
        <w:tc>
          <w:tcPr>
            <w:tcW w:w="680" w:type="dxa"/>
            <w:vAlign w:val="bottom"/>
            <w:tcBorders>
              <w:bottom w:val="single" w:sz="8" w:color="5D89B4"/>
            </w:tcBorders>
          </w:tcPr>
          <w:p>
            <w:pPr>
              <w:spacing w:after="0"/>
              <w:rPr>
                <w:sz w:val="21"/>
                <w:szCs w:val="21"/>
                <w:color w:val="auto"/>
              </w:rPr>
            </w:pPr>
          </w:p>
        </w:tc>
        <w:tc>
          <w:tcPr>
            <w:tcW w:w="1520" w:type="dxa"/>
            <w:vAlign w:val="bottom"/>
            <w:tcBorders>
              <w:bottom w:val="single" w:sz="8" w:color="5D89B4"/>
            </w:tcBorders>
          </w:tcPr>
          <w:p>
            <w:pPr>
              <w:spacing w:after="0"/>
              <w:rPr>
                <w:sz w:val="21"/>
                <w:szCs w:val="21"/>
                <w:color w:val="auto"/>
              </w:rPr>
            </w:pPr>
          </w:p>
        </w:tc>
        <w:tc>
          <w:tcPr>
            <w:tcW w:w="1440" w:type="dxa"/>
            <w:vAlign w:val="bottom"/>
            <w:tcBorders>
              <w:bottom w:val="single" w:sz="8" w:color="5D89B4"/>
            </w:tcBorders>
          </w:tcPr>
          <w:p>
            <w:pPr>
              <w:spacing w:after="0"/>
              <w:rPr>
                <w:sz w:val="21"/>
                <w:szCs w:val="21"/>
                <w:color w:val="auto"/>
              </w:rPr>
            </w:pPr>
          </w:p>
        </w:tc>
        <w:tc>
          <w:tcPr>
            <w:tcW w:w="3880" w:type="dxa"/>
            <w:vAlign w:val="bottom"/>
            <w:tcBorders>
              <w:bottom w:val="single" w:sz="8" w:color="5D89B4"/>
            </w:tcBorders>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Jonas Prising</w:t>
            </w:r>
          </w:p>
        </w:tc>
        <w:tc>
          <w:tcPr>
            <w:tcW w:w="680" w:type="dxa"/>
            <w:vAlign w:val="bottom"/>
            <w:vMerge w:val="restart"/>
          </w:tcPr>
          <w:p>
            <w:pPr>
              <w:jc w:val="center"/>
              <w:ind w:left="5"/>
              <w:spacing w:after="0"/>
              <w:rPr>
                <w:sz w:val="20"/>
                <w:szCs w:val="20"/>
                <w:color w:val="auto"/>
              </w:rPr>
            </w:pPr>
            <w:r>
              <w:rPr>
                <w:rFonts w:ascii="Arial" w:cs="Arial" w:eastAsia="Arial" w:hAnsi="Arial"/>
                <w:sz w:val="15"/>
                <w:szCs w:val="15"/>
                <w:color w:val="auto"/>
                <w:w w:val="95"/>
              </w:rPr>
              <w:t>59</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440" w:type="dxa"/>
            <w:vAlign w:val="bottom"/>
          </w:tcPr>
          <w:p>
            <w:pPr>
              <w:spacing w:after="0"/>
              <w:rPr>
                <w:sz w:val="24"/>
                <w:szCs w:val="24"/>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color w:val="auto"/>
              </w:rPr>
              <w:t>•  None</w:t>
            </w:r>
          </w:p>
        </w:tc>
        <w:tc>
          <w:tcPr>
            <w:tcW w:w="0" w:type="dxa"/>
            <w:vAlign w:val="bottom"/>
          </w:tcPr>
          <w:p>
            <w:pPr>
              <w:spacing w:after="0"/>
              <w:rPr>
                <w:sz w:val="1"/>
                <w:szCs w:val="1"/>
                <w:color w:val="auto"/>
              </w:rPr>
            </w:pPr>
          </w:p>
        </w:tc>
      </w:tr>
      <w:tr>
        <w:trPr>
          <w:trHeight w:val="116"/>
        </w:trPr>
        <w:tc>
          <w:tcPr>
            <w:tcW w:w="2540" w:type="dxa"/>
            <w:vAlign w:val="bottom"/>
            <w:vMerge w:val="restart"/>
          </w:tcPr>
          <w:p>
            <w:pPr>
              <w:ind w:left="480"/>
              <w:spacing w:after="0"/>
              <w:rPr>
                <w:sz w:val="20"/>
                <w:szCs w:val="20"/>
                <w:color w:val="auto"/>
              </w:rPr>
            </w:pPr>
            <w:r>
              <w:rPr>
                <w:rFonts w:ascii="Arial" w:cs="Arial" w:eastAsia="Arial" w:hAnsi="Arial"/>
                <w:sz w:val="16"/>
                <w:szCs w:val="16"/>
                <w:color w:val="auto"/>
              </w:rPr>
              <w:t>Chief Executive Officer</w:t>
            </w:r>
          </w:p>
        </w:tc>
        <w:tc>
          <w:tcPr>
            <w:tcW w:w="6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540" w:type="dxa"/>
            <w:vAlign w:val="bottom"/>
            <w:tcBorders>
              <w:bottom w:val="single" w:sz="8" w:color="5D89B4"/>
            </w:tcBorders>
          </w:tcPr>
          <w:p>
            <w:pPr>
              <w:spacing w:after="0"/>
              <w:rPr>
                <w:sz w:val="14"/>
                <w:szCs w:val="14"/>
                <w:color w:val="auto"/>
              </w:rPr>
            </w:pPr>
          </w:p>
        </w:tc>
        <w:tc>
          <w:tcPr>
            <w:tcW w:w="680" w:type="dxa"/>
            <w:vAlign w:val="bottom"/>
            <w:tcBorders>
              <w:bottom w:val="single" w:sz="8" w:color="5D89B4"/>
            </w:tcBorders>
          </w:tcPr>
          <w:p>
            <w:pPr>
              <w:spacing w:after="0"/>
              <w:rPr>
                <w:sz w:val="14"/>
                <w:szCs w:val="14"/>
                <w:color w:val="auto"/>
              </w:rPr>
            </w:pPr>
          </w:p>
        </w:tc>
        <w:tc>
          <w:tcPr>
            <w:tcW w:w="1520" w:type="dxa"/>
            <w:vAlign w:val="bottom"/>
            <w:tcBorders>
              <w:bottom w:val="single" w:sz="8" w:color="5D89B4"/>
            </w:tcBorders>
          </w:tcPr>
          <w:p>
            <w:pPr>
              <w:spacing w:after="0"/>
              <w:rPr>
                <w:sz w:val="14"/>
                <w:szCs w:val="14"/>
                <w:color w:val="auto"/>
              </w:rPr>
            </w:pPr>
          </w:p>
        </w:tc>
        <w:tc>
          <w:tcPr>
            <w:tcW w:w="1440" w:type="dxa"/>
            <w:vAlign w:val="bottom"/>
            <w:tcBorders>
              <w:bottom w:val="single" w:sz="8" w:color="5D89B4"/>
            </w:tcBorders>
          </w:tcPr>
          <w:p>
            <w:pPr>
              <w:spacing w:after="0"/>
              <w:rPr>
                <w:sz w:val="14"/>
                <w:szCs w:val="14"/>
                <w:color w:val="auto"/>
              </w:rPr>
            </w:pPr>
          </w:p>
        </w:tc>
        <w:tc>
          <w:tcPr>
            <w:tcW w:w="388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Paul Read</w:t>
            </w:r>
          </w:p>
        </w:tc>
        <w:tc>
          <w:tcPr>
            <w:tcW w:w="680" w:type="dxa"/>
            <w:vAlign w:val="bottom"/>
          </w:tcPr>
          <w:p>
            <w:pPr>
              <w:jc w:val="center"/>
              <w:ind w:left="5"/>
              <w:spacing w:after="0"/>
              <w:rPr>
                <w:sz w:val="20"/>
                <w:szCs w:val="20"/>
                <w:color w:val="auto"/>
              </w:rPr>
            </w:pPr>
            <w:r>
              <w:rPr>
                <w:rFonts w:ascii="Arial" w:cs="Arial" w:eastAsia="Arial" w:hAnsi="Arial"/>
                <w:sz w:val="15"/>
                <w:szCs w:val="15"/>
                <w:color w:val="auto"/>
                <w:w w:val="95"/>
              </w:rPr>
              <w:t>57</w:t>
            </w:r>
          </w:p>
        </w:tc>
        <w:tc>
          <w:tcPr>
            <w:tcW w:w="1520" w:type="dxa"/>
            <w:vAlign w:val="bottom"/>
          </w:tcPr>
          <w:p>
            <w:pPr>
              <w:jc w:val="center"/>
              <w:spacing w:after="0"/>
              <w:rPr>
                <w:sz w:val="20"/>
                <w:szCs w:val="20"/>
                <w:color w:val="auto"/>
              </w:rPr>
            </w:pPr>
            <w:r>
              <w:rPr>
                <w:rFonts w:ascii="Arial" w:cs="Arial" w:eastAsia="Arial" w:hAnsi="Arial"/>
                <w:sz w:val="15"/>
                <w:szCs w:val="15"/>
                <w:color w:val="auto"/>
              </w:rPr>
              <w:t>2014</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Audit (CHAIR)</w:t>
            </w:r>
          </w:p>
        </w:tc>
        <w:tc>
          <w:tcPr>
            <w:tcW w:w="0" w:type="dxa"/>
            <w:vAlign w:val="bottom"/>
          </w:tcPr>
          <w:p>
            <w:pPr>
              <w:spacing w:after="0"/>
              <w:rPr>
                <w:sz w:val="1"/>
                <w:szCs w:val="1"/>
                <w:color w:val="auto"/>
              </w:rPr>
            </w:pPr>
          </w:p>
        </w:tc>
      </w:tr>
      <w:tr>
        <w:trPr>
          <w:trHeight w:val="247"/>
        </w:trPr>
        <w:tc>
          <w:tcPr>
            <w:tcW w:w="2540" w:type="dxa"/>
            <w:vAlign w:val="bottom"/>
            <w:tcBorders>
              <w:bottom w:val="single" w:sz="8" w:color="5D89B4"/>
            </w:tcBorders>
          </w:tcPr>
          <w:p>
            <w:pPr>
              <w:spacing w:after="0"/>
              <w:rPr>
                <w:sz w:val="21"/>
                <w:szCs w:val="21"/>
                <w:color w:val="auto"/>
              </w:rPr>
            </w:pPr>
          </w:p>
        </w:tc>
        <w:tc>
          <w:tcPr>
            <w:tcW w:w="680" w:type="dxa"/>
            <w:vAlign w:val="bottom"/>
            <w:tcBorders>
              <w:bottom w:val="single" w:sz="8" w:color="5D89B4"/>
            </w:tcBorders>
          </w:tcPr>
          <w:p>
            <w:pPr>
              <w:spacing w:after="0"/>
              <w:rPr>
                <w:sz w:val="21"/>
                <w:szCs w:val="21"/>
                <w:color w:val="auto"/>
              </w:rPr>
            </w:pPr>
          </w:p>
        </w:tc>
        <w:tc>
          <w:tcPr>
            <w:tcW w:w="1520" w:type="dxa"/>
            <w:vAlign w:val="bottom"/>
            <w:tcBorders>
              <w:bottom w:val="single" w:sz="8" w:color="5D89B4"/>
            </w:tcBorders>
          </w:tcPr>
          <w:p>
            <w:pPr>
              <w:spacing w:after="0"/>
              <w:rPr>
                <w:sz w:val="21"/>
                <w:szCs w:val="21"/>
                <w:color w:val="auto"/>
              </w:rPr>
            </w:pPr>
          </w:p>
        </w:tc>
        <w:tc>
          <w:tcPr>
            <w:tcW w:w="1440" w:type="dxa"/>
            <w:vAlign w:val="bottom"/>
            <w:tcBorders>
              <w:bottom w:val="single" w:sz="8" w:color="5D89B4"/>
            </w:tcBorders>
          </w:tcPr>
          <w:p>
            <w:pPr>
              <w:spacing w:after="0"/>
              <w:rPr>
                <w:sz w:val="21"/>
                <w:szCs w:val="21"/>
                <w:color w:val="auto"/>
              </w:rPr>
            </w:pPr>
          </w:p>
        </w:tc>
        <w:tc>
          <w:tcPr>
            <w:tcW w:w="3880" w:type="dxa"/>
            <w:vAlign w:val="bottom"/>
            <w:tcBorders>
              <w:bottom w:val="single" w:sz="8" w:color="5D89B4"/>
            </w:tcBorders>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Elizabeth P. Sartain</w:t>
            </w:r>
          </w:p>
        </w:tc>
        <w:tc>
          <w:tcPr>
            <w:tcW w:w="680" w:type="dxa"/>
            <w:vAlign w:val="bottom"/>
          </w:tcPr>
          <w:p>
            <w:pPr>
              <w:jc w:val="center"/>
              <w:ind w:left="5"/>
              <w:spacing w:after="0"/>
              <w:rPr>
                <w:sz w:val="20"/>
                <w:szCs w:val="20"/>
                <w:color w:val="auto"/>
              </w:rPr>
            </w:pPr>
            <w:r>
              <w:rPr>
                <w:rFonts w:ascii="Arial" w:cs="Arial" w:eastAsia="Arial" w:hAnsi="Arial"/>
                <w:sz w:val="15"/>
                <w:szCs w:val="15"/>
                <w:color w:val="auto"/>
                <w:w w:val="95"/>
              </w:rPr>
              <w:t>69</w:t>
            </w:r>
          </w:p>
        </w:tc>
        <w:tc>
          <w:tcPr>
            <w:tcW w:w="1520" w:type="dxa"/>
            <w:vAlign w:val="bottom"/>
          </w:tcPr>
          <w:p>
            <w:pPr>
              <w:jc w:val="center"/>
              <w:spacing w:after="0"/>
              <w:rPr>
                <w:sz w:val="20"/>
                <w:szCs w:val="20"/>
                <w:color w:val="auto"/>
              </w:rPr>
            </w:pPr>
            <w:r>
              <w:rPr>
                <w:rFonts w:ascii="Arial" w:cs="Arial" w:eastAsia="Arial" w:hAnsi="Arial"/>
                <w:sz w:val="15"/>
                <w:szCs w:val="15"/>
                <w:color w:val="auto"/>
              </w:rPr>
              <w:t>2010</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People, Culture and Compensation (CHAIR)(2)</w:t>
            </w:r>
          </w:p>
        </w:tc>
        <w:tc>
          <w:tcPr>
            <w:tcW w:w="0" w:type="dxa"/>
            <w:vAlign w:val="bottom"/>
          </w:tcPr>
          <w:p>
            <w:pPr>
              <w:spacing w:after="0"/>
              <w:rPr>
                <w:sz w:val="1"/>
                <w:szCs w:val="1"/>
                <w:color w:val="auto"/>
              </w:rPr>
            </w:pPr>
          </w:p>
        </w:tc>
      </w:tr>
      <w:tr>
        <w:trPr>
          <w:trHeight w:val="247"/>
        </w:trPr>
        <w:tc>
          <w:tcPr>
            <w:tcW w:w="2540" w:type="dxa"/>
            <w:vAlign w:val="bottom"/>
            <w:tcBorders>
              <w:bottom w:val="single" w:sz="8" w:color="5D89B4"/>
            </w:tcBorders>
          </w:tcPr>
          <w:p>
            <w:pPr>
              <w:spacing w:after="0"/>
              <w:rPr>
                <w:sz w:val="21"/>
                <w:szCs w:val="21"/>
                <w:color w:val="auto"/>
              </w:rPr>
            </w:pPr>
          </w:p>
        </w:tc>
        <w:tc>
          <w:tcPr>
            <w:tcW w:w="680" w:type="dxa"/>
            <w:vAlign w:val="bottom"/>
            <w:tcBorders>
              <w:bottom w:val="single" w:sz="8" w:color="5D89B4"/>
            </w:tcBorders>
          </w:tcPr>
          <w:p>
            <w:pPr>
              <w:spacing w:after="0"/>
              <w:rPr>
                <w:sz w:val="21"/>
                <w:szCs w:val="21"/>
                <w:color w:val="auto"/>
              </w:rPr>
            </w:pPr>
          </w:p>
        </w:tc>
        <w:tc>
          <w:tcPr>
            <w:tcW w:w="1520" w:type="dxa"/>
            <w:vAlign w:val="bottom"/>
            <w:tcBorders>
              <w:bottom w:val="single" w:sz="8" w:color="5D89B4"/>
            </w:tcBorders>
          </w:tcPr>
          <w:p>
            <w:pPr>
              <w:spacing w:after="0"/>
              <w:rPr>
                <w:sz w:val="21"/>
                <w:szCs w:val="21"/>
                <w:color w:val="auto"/>
              </w:rPr>
            </w:pPr>
          </w:p>
        </w:tc>
        <w:tc>
          <w:tcPr>
            <w:tcW w:w="1440" w:type="dxa"/>
            <w:vAlign w:val="bottom"/>
            <w:tcBorders>
              <w:bottom w:val="single" w:sz="8" w:color="5D89B4"/>
            </w:tcBorders>
          </w:tcPr>
          <w:p>
            <w:pPr>
              <w:spacing w:after="0"/>
              <w:rPr>
                <w:sz w:val="21"/>
                <w:szCs w:val="21"/>
                <w:color w:val="auto"/>
              </w:rPr>
            </w:pPr>
          </w:p>
        </w:tc>
        <w:tc>
          <w:tcPr>
            <w:tcW w:w="3880" w:type="dxa"/>
            <w:vAlign w:val="bottom"/>
            <w:tcBorders>
              <w:bottom w:val="single" w:sz="8" w:color="5D89B4"/>
            </w:tcBorders>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2540" w:type="dxa"/>
            <w:vAlign w:val="bottom"/>
          </w:tcPr>
          <w:p>
            <w:pPr>
              <w:ind w:left="480"/>
              <w:spacing w:after="0"/>
              <w:rPr>
                <w:sz w:val="20"/>
                <w:szCs w:val="20"/>
                <w:color w:val="auto"/>
              </w:rPr>
            </w:pPr>
            <w:r>
              <w:rPr>
                <w:rFonts w:ascii="Arial" w:cs="Arial" w:eastAsia="Arial" w:hAnsi="Arial"/>
                <w:sz w:val="16"/>
                <w:szCs w:val="16"/>
                <w:b w:val="1"/>
                <w:bCs w:val="1"/>
                <w:color w:val="auto"/>
              </w:rPr>
              <w:t>Michael J. Van Handel</w:t>
            </w:r>
          </w:p>
        </w:tc>
        <w:tc>
          <w:tcPr>
            <w:tcW w:w="680" w:type="dxa"/>
            <w:vAlign w:val="bottom"/>
          </w:tcPr>
          <w:p>
            <w:pPr>
              <w:jc w:val="center"/>
              <w:ind w:left="5"/>
              <w:spacing w:after="0"/>
              <w:rPr>
                <w:sz w:val="20"/>
                <w:szCs w:val="20"/>
                <w:color w:val="auto"/>
              </w:rPr>
            </w:pPr>
            <w:r>
              <w:rPr>
                <w:rFonts w:ascii="Arial" w:cs="Arial" w:eastAsia="Arial" w:hAnsi="Arial"/>
                <w:sz w:val="15"/>
                <w:szCs w:val="15"/>
                <w:color w:val="auto"/>
                <w:w w:val="95"/>
              </w:rPr>
              <w:t>64</w:t>
            </w:r>
          </w:p>
        </w:tc>
        <w:tc>
          <w:tcPr>
            <w:tcW w:w="1520" w:type="dxa"/>
            <w:vAlign w:val="bottom"/>
          </w:tcPr>
          <w:p>
            <w:pPr>
              <w:jc w:val="center"/>
              <w:spacing w:after="0"/>
              <w:rPr>
                <w:sz w:val="20"/>
                <w:szCs w:val="20"/>
                <w:color w:val="auto"/>
              </w:rPr>
            </w:pPr>
            <w:r>
              <w:rPr>
                <w:rFonts w:ascii="Arial" w:cs="Arial" w:eastAsia="Arial" w:hAnsi="Arial"/>
                <w:sz w:val="15"/>
                <w:szCs w:val="15"/>
                <w:color w:val="auto"/>
              </w:rPr>
              <w:t>2017</w:t>
            </w:r>
          </w:p>
        </w:tc>
        <w:tc>
          <w:tcPr>
            <w:tcW w:w="1440" w:type="dxa"/>
            <w:vAlign w:val="bottom"/>
          </w:tcPr>
          <w:p>
            <w:pPr>
              <w:spacing w:after="0"/>
              <w:rPr>
                <w:sz w:val="24"/>
                <w:szCs w:val="24"/>
                <w:color w:val="auto"/>
              </w:rPr>
            </w:pPr>
          </w:p>
        </w:tc>
        <w:tc>
          <w:tcPr>
            <w:tcW w:w="3880" w:type="dxa"/>
            <w:vAlign w:val="bottom"/>
          </w:tcPr>
          <w:p>
            <w:pPr>
              <w:ind w:left="300"/>
              <w:spacing w:after="0"/>
              <w:rPr>
                <w:sz w:val="20"/>
                <w:szCs w:val="20"/>
                <w:color w:val="auto"/>
              </w:rPr>
            </w:pPr>
            <w:r>
              <w:rPr>
                <w:rFonts w:ascii="Arial" w:cs="Arial" w:eastAsia="Arial" w:hAnsi="Arial"/>
                <w:sz w:val="15"/>
                <w:szCs w:val="15"/>
                <w:color w:val="auto"/>
              </w:rPr>
              <w:t>•  Governance and Sustainability(1)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-5027930</wp:posOffset>
            </wp:positionV>
            <wp:extent cx="6854190" cy="5193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4190" cy="5193665"/>
                    </a:xfrm>
                    <a:prstGeom prst="rect">
                      <a:avLst/>
                    </a:prstGeom>
                    <a:noFill/>
                  </pic:spPr>
                </pic:pic>
              </a:graphicData>
            </a:graphic>
          </wp:anchor>
        </w:drawing>
      </w:r>
    </w:p>
    <w:p>
      <w:pPr>
        <w:spacing w:after="0" w:line="351" w:lineRule="exact"/>
        <w:rPr>
          <w:sz w:val="20"/>
          <w:szCs w:val="20"/>
          <w:color w:val="auto"/>
        </w:rPr>
      </w:pPr>
    </w:p>
    <w:p>
      <w:pPr>
        <w:ind w:left="600" w:right="120" w:hanging="420"/>
        <w:spacing w:after="0" w:line="249" w:lineRule="auto"/>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Van Handel will become chair of the Governance and Sustainability Committee in May 2024, succeeding Ms. Hemingway Hall. Ms. Hemingway Hall will remain a member of the committee.</w:t>
      </w:r>
    </w:p>
    <w:p>
      <w:pPr>
        <w:ind w:left="600" w:right="240" w:hanging="420"/>
        <w:spacing w:after="0" w:line="259" w:lineRule="auto"/>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Ms. Howard will become chair of the People, Culture and Compensation Committee in May 2024, succeeding Ms. Sartain. Ms. Sartain will remain a member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89535</wp:posOffset>
            </wp:positionV>
            <wp:extent cx="69138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2"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b w:val="1"/>
          <w:bCs w:val="1"/>
          <w:color w:val="5D89B4"/>
        </w:rPr>
        <w:t>i</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5D89B4"/>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76200</wp:posOffset>
            </wp:positionV>
            <wp:extent cx="691388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13880" cy="33655"/>
                    </a:xfrm>
                    <a:prstGeom prst="rect">
                      <a:avLst/>
                    </a:prstGeom>
                    <a:noFill/>
                  </pic:spPr>
                </pic:pic>
              </a:graphicData>
            </a:graphic>
          </wp:anchor>
        </w:drawing>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Our Board Has a Diversity of Experiences and Backgrounds</w:t>
      </w:r>
      <w:r>
        <w:rPr>
          <w:rFonts w:ascii="Arial" w:cs="Arial" w:eastAsia="Arial" w:hAnsi="Arial"/>
          <w:sz w:val="37"/>
          <w:szCs w:val="37"/>
          <w:b w:val="1"/>
          <w:bCs w:val="1"/>
          <w:color w:val="5D89B4"/>
          <w:vertAlign w:val="superscript"/>
        </w:rPr>
        <w:t>(1)</w:t>
      </w:r>
    </w:p>
    <w:p>
      <w:pPr>
        <w:ind w:left="180"/>
        <w:spacing w:after="0"/>
        <w:rPr>
          <w:sz w:val="20"/>
          <w:szCs w:val="20"/>
          <w:color w:val="auto"/>
        </w:rPr>
      </w:pPr>
      <w:r>
        <w:rPr>
          <w:rFonts w:ascii="Arial" w:cs="Arial" w:eastAsia="Arial" w:hAnsi="Arial"/>
          <w:sz w:val="15"/>
          <w:szCs w:val="15"/>
          <w:color w:val="auto"/>
        </w:rPr>
        <w:t>Our Board believes that having a diverse mix of directors with a variety of skills, experience, and backgrounds is essential to meeting its oversight responsibility.</w:t>
      </w:r>
    </w:p>
    <w:p>
      <w:pPr>
        <w:spacing w:after="0" w:line="323" w:lineRule="exact"/>
        <w:rPr>
          <w:sz w:val="20"/>
          <w:szCs w:val="20"/>
          <w:color w:val="auto"/>
        </w:rPr>
      </w:pPr>
    </w:p>
    <w:p>
      <w:pPr>
        <w:ind w:left="180"/>
        <w:spacing w:after="0"/>
        <w:tabs>
          <w:tab w:leader="none" w:pos="5840" w:val="left"/>
        </w:tabs>
        <w:rPr>
          <w:sz w:val="20"/>
          <w:szCs w:val="20"/>
          <w:color w:val="auto"/>
        </w:rPr>
      </w:pPr>
      <w:r>
        <w:rPr>
          <w:rFonts w:ascii="Arial" w:cs="Arial" w:eastAsia="Arial" w:hAnsi="Arial"/>
          <w:sz w:val="21"/>
          <w:szCs w:val="21"/>
          <w:b w:val="1"/>
          <w:bCs w:val="1"/>
          <w:color w:val="5D89B4"/>
        </w:rPr>
        <w:t>Core Skills &amp; Experience Identified by our Directors</w:t>
      </w:r>
      <w:r>
        <w:rPr>
          <w:sz w:val="20"/>
          <w:szCs w:val="20"/>
          <w:color w:val="auto"/>
        </w:rPr>
        <w:tab/>
      </w:r>
      <w:r>
        <w:rPr>
          <w:rFonts w:ascii="Arial" w:cs="Arial" w:eastAsia="Arial" w:hAnsi="Arial"/>
          <w:sz w:val="21"/>
          <w:szCs w:val="21"/>
          <w:b w:val="1"/>
          <w:bCs w:val="1"/>
          <w:i w:val="1"/>
          <w:iCs w:val="1"/>
          <w:color w:val="5D89B4"/>
        </w:rPr>
        <w:t>Director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178435</wp:posOffset>
            </wp:positionV>
            <wp:extent cx="6447790" cy="6057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47790" cy="605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(1)</w:t>
      </w:r>
      <w:r>
        <w:rPr>
          <w:rFonts w:ascii="Arial" w:cs="Arial" w:eastAsia="Arial" w:hAnsi="Arial"/>
          <w:sz w:val="15"/>
          <w:szCs w:val="15"/>
          <w:color w:val="auto"/>
        </w:rPr>
        <w:t>Calculations within this section are made with respect to the 11 Board nominees listed on the previous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113030</wp:posOffset>
            </wp:positionV>
            <wp:extent cx="69138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99"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ii</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840"/>
          </w:cols>
          <w:pgMar w:left="320" w:top="480"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5D89B4"/>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76200</wp:posOffset>
            </wp:positionV>
            <wp:extent cx="6913880" cy="78371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13880" cy="783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40"/>
        <w:spacing w:after="0"/>
        <w:tabs>
          <w:tab w:leader="none" w:pos="6160" w:val="left"/>
        </w:tabs>
        <w:rPr>
          <w:sz w:val="20"/>
          <w:szCs w:val="20"/>
          <w:color w:val="auto"/>
        </w:rPr>
      </w:pPr>
      <w:r>
        <w:rPr>
          <w:rFonts w:ascii="Arial" w:cs="Arial" w:eastAsia="Arial" w:hAnsi="Arial"/>
          <w:sz w:val="20"/>
          <w:szCs w:val="20"/>
          <w:b w:val="1"/>
          <w:bCs w:val="1"/>
          <w:color w:val="5D89B4"/>
        </w:rPr>
        <w:t>iii</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5D89B4"/>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76200</wp:posOffset>
            </wp:positionV>
            <wp:extent cx="6913880" cy="78371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13880" cy="783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5540"/>
        <w:spacing w:after="0"/>
        <w:tabs>
          <w:tab w:leader="none" w:pos="6160" w:val="left"/>
        </w:tabs>
        <w:rPr>
          <w:sz w:val="20"/>
          <w:szCs w:val="20"/>
          <w:color w:val="auto"/>
        </w:rPr>
      </w:pPr>
      <w:r>
        <w:rPr>
          <w:rFonts w:ascii="Arial" w:cs="Arial" w:eastAsia="Arial" w:hAnsi="Arial"/>
          <w:sz w:val="20"/>
          <w:szCs w:val="20"/>
          <w:b w:val="1"/>
          <w:bCs w:val="1"/>
          <w:color w:val="5D89B4"/>
        </w:rPr>
        <w:t>iv</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5D89B4"/>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76200</wp:posOffset>
            </wp:positionV>
            <wp:extent cx="6913880"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7905115</wp:posOffset>
            </wp:positionV>
            <wp:extent cx="69138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v</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5D89B4"/>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76200</wp:posOffset>
            </wp:positionV>
            <wp:extent cx="6913880" cy="7837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13880" cy="783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5540"/>
        <w:spacing w:after="0"/>
        <w:tabs>
          <w:tab w:leader="none" w:pos="6160" w:val="left"/>
        </w:tabs>
        <w:rPr>
          <w:sz w:val="20"/>
          <w:szCs w:val="20"/>
          <w:color w:val="auto"/>
        </w:rPr>
      </w:pPr>
      <w:r>
        <w:rPr>
          <w:rFonts w:ascii="Arial" w:cs="Arial" w:eastAsia="Arial" w:hAnsi="Arial"/>
          <w:sz w:val="20"/>
          <w:szCs w:val="20"/>
          <w:b w:val="1"/>
          <w:bCs w:val="1"/>
          <w:color w:val="5D89B4"/>
        </w:rPr>
        <w:t>vi</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5D89B4"/>
        </w:rPr>
        <w:t>2024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76200</wp:posOffset>
            </wp:positionV>
            <wp:extent cx="691388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13880" cy="33655"/>
                    </a:xfrm>
                    <a:prstGeom prst="rect">
                      <a:avLst/>
                    </a:prstGeom>
                    <a:noFill/>
                  </pic:spPr>
                </pic:pic>
              </a:graphicData>
            </a:graphic>
          </wp:anchor>
        </w:drawing>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Key Compensation Practices</w:t>
      </w:r>
    </w:p>
    <w:p>
      <w:pPr>
        <w:spacing w:after="0" w:line="80" w:lineRule="exact"/>
        <w:rPr>
          <w:sz w:val="20"/>
          <w:szCs w:val="20"/>
          <w:color w:val="auto"/>
        </w:rPr>
      </w:pPr>
    </w:p>
    <w:p>
      <w:pPr>
        <w:ind w:left="180" w:right="240"/>
        <w:spacing w:after="0" w:line="259" w:lineRule="auto"/>
        <w:rPr>
          <w:sz w:val="20"/>
          <w:szCs w:val="20"/>
          <w:color w:val="auto"/>
        </w:rPr>
      </w:pPr>
      <w:r>
        <w:rPr>
          <w:rFonts w:ascii="Arial" w:cs="Arial" w:eastAsia="Arial" w:hAnsi="Arial"/>
          <w:sz w:val="15"/>
          <w:szCs w:val="15"/>
          <w:color w:val="auto"/>
        </w:rPr>
        <w:t>The people, culture and compensation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130175</wp:posOffset>
            </wp:positionV>
            <wp:extent cx="6913880" cy="4227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1388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vii</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2"/>
          <w:szCs w:val="42"/>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500380</wp:posOffset>
            </wp:positionV>
            <wp:extent cx="1652270" cy="4498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52270" cy="449897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63</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2020</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Jean-Philippe Courtois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Former Director of AstraZeneca (2008 to 2016)</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Chairman of the Board of Directors for SKEMA Business School</w:t>
      </w:r>
    </w:p>
    <w:p>
      <w:pPr>
        <w:spacing w:after="0" w:line="67" w:lineRule="exact"/>
        <w:rPr>
          <w:sz w:val="20"/>
          <w:szCs w:val="20"/>
          <w:color w:val="auto"/>
        </w:rPr>
      </w:pPr>
    </w:p>
    <w:p>
      <w:pPr>
        <w:ind w:left="180" w:right="180" w:hanging="177"/>
        <w:spacing w:after="0" w:line="278" w:lineRule="auto"/>
        <w:rPr>
          <w:sz w:val="20"/>
          <w:szCs w:val="20"/>
          <w:color w:val="auto"/>
        </w:rPr>
      </w:pPr>
      <w:r>
        <w:rPr>
          <w:rFonts w:ascii="Arial" w:cs="Arial" w:eastAsia="Arial" w:hAnsi="Arial"/>
          <w:sz w:val="16"/>
          <w:szCs w:val="16"/>
          <w:color w:val="auto"/>
        </w:rPr>
        <w:t>•   President and Cofounder, Live for Good, a French association which aims to help underprivileged young social entrepreneurs realize their potential</w:t>
      </w:r>
    </w:p>
    <w:p>
      <w:pPr>
        <w:spacing w:after="0" w:line="27" w:lineRule="exact"/>
        <w:rPr>
          <w:sz w:val="20"/>
          <w:szCs w:val="20"/>
          <w:color w:val="auto"/>
        </w:rPr>
      </w:pPr>
    </w:p>
    <w:p>
      <w:pPr>
        <w:ind w:left="180" w:right="660" w:hanging="177"/>
        <w:spacing w:after="0" w:line="278" w:lineRule="auto"/>
        <w:rPr>
          <w:sz w:val="20"/>
          <w:szCs w:val="20"/>
          <w:color w:val="auto"/>
        </w:rPr>
      </w:pPr>
      <w:r>
        <w:rPr>
          <w:rFonts w:ascii="Arial" w:cs="Arial" w:eastAsia="Arial" w:hAnsi="Arial"/>
          <w:sz w:val="16"/>
          <w:szCs w:val="16"/>
          <w:color w:val="auto"/>
        </w:rPr>
        <w:t>•   Director of CEDEP, a global executive education forum to develop leaders and create sustainable organizations</w:t>
      </w:r>
    </w:p>
    <w:p>
      <w:pPr>
        <w:spacing w:after="0" w:line="27" w:lineRule="exact"/>
        <w:rPr>
          <w:sz w:val="20"/>
          <w:szCs w:val="20"/>
          <w:color w:val="auto"/>
        </w:rPr>
      </w:pPr>
    </w:p>
    <w:p>
      <w:pPr>
        <w:ind w:left="180" w:right="320" w:hanging="177"/>
        <w:spacing w:after="0" w:line="278" w:lineRule="auto"/>
        <w:rPr>
          <w:sz w:val="20"/>
          <w:szCs w:val="20"/>
          <w:color w:val="auto"/>
        </w:rPr>
      </w:pPr>
      <w:r>
        <w:rPr>
          <w:rFonts w:ascii="Arial" w:cs="Arial" w:eastAsia="Arial" w:hAnsi="Arial"/>
          <w:sz w:val="16"/>
          <w:szCs w:val="16"/>
          <w:color w:val="auto"/>
        </w:rPr>
        <w:t>•   President of the Mission Committee of Open Classroom, a French-based online education platform for vocational training</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ind w:left="180" w:right="440" w:hanging="177"/>
        <w:spacing w:after="0" w:line="257" w:lineRule="auto"/>
        <w:rPr>
          <w:sz w:val="20"/>
          <w:szCs w:val="20"/>
          <w:color w:val="auto"/>
        </w:rPr>
      </w:pPr>
      <w:r>
        <w:rPr>
          <w:rFonts w:ascii="Arial" w:cs="Arial" w:eastAsia="Arial" w:hAnsi="Arial"/>
          <w:sz w:val="16"/>
          <w:szCs w:val="16"/>
          <w:color w:val="auto"/>
        </w:rPr>
        <w:t>•   Executive Vice President and President, National Transformation Partnerships, at Microsoft, a global technology provider, since July 2021</w:t>
      </w:r>
    </w:p>
    <w:p>
      <w:pPr>
        <w:spacing w:after="0" w:line="44" w:lineRule="exact"/>
        <w:rPr>
          <w:sz w:val="20"/>
          <w:szCs w:val="20"/>
          <w:color w:val="auto"/>
        </w:rPr>
      </w:pPr>
    </w:p>
    <w:p>
      <w:pPr>
        <w:ind w:left="180" w:right="320" w:hanging="177"/>
        <w:spacing w:after="0" w:line="278" w:lineRule="auto"/>
        <w:rPr>
          <w:sz w:val="20"/>
          <w:szCs w:val="20"/>
          <w:color w:val="auto"/>
        </w:rPr>
      </w:pPr>
      <w:r>
        <w:rPr>
          <w:rFonts w:ascii="Arial" w:cs="Arial" w:eastAsia="Arial" w:hAnsi="Arial"/>
          <w:sz w:val="16"/>
          <w:szCs w:val="16"/>
          <w:color w:val="auto"/>
        </w:rPr>
        <w:t>•   Executive Vice President, President Global Sales, Marketing and Operations at Microsoft from 2016 to July 2021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President, Microsoft International from 2005 to 2016</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CEO, Microsoft EMEA from 2003 to 2005</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hanging="177"/>
        <w:spacing w:after="0" w:line="257" w:lineRule="auto"/>
        <w:rPr>
          <w:sz w:val="20"/>
          <w:szCs w:val="20"/>
          <w:color w:val="auto"/>
        </w:rPr>
      </w:pPr>
      <w:r>
        <w:rPr>
          <w:rFonts w:ascii="Arial" w:cs="Arial" w:eastAsia="Arial" w:hAnsi="Arial"/>
          <w:sz w:val="16"/>
          <w:szCs w:val="16"/>
          <w:color w:val="auto"/>
        </w:rPr>
        <w:t>•   Mr. Courtois brings significant experience managing global enterprise sales developed over many years as the senior global sales executive at Microsoft, one of the world’s largest software companies</w:t>
      </w:r>
    </w:p>
    <w:p>
      <w:pPr>
        <w:spacing w:after="0" w:line="44" w:lineRule="exact"/>
        <w:rPr>
          <w:sz w:val="20"/>
          <w:szCs w:val="20"/>
          <w:color w:val="auto"/>
        </w:rPr>
      </w:pPr>
    </w:p>
    <w:p>
      <w:pPr>
        <w:ind w:left="180" w:right="340" w:hanging="177"/>
        <w:spacing w:after="0" w:line="278" w:lineRule="auto"/>
        <w:rPr>
          <w:sz w:val="20"/>
          <w:szCs w:val="20"/>
          <w:color w:val="auto"/>
        </w:rPr>
      </w:pPr>
      <w:r>
        <w:rPr>
          <w:rFonts w:ascii="Arial" w:cs="Arial" w:eastAsia="Arial" w:hAnsi="Arial"/>
          <w:sz w:val="16"/>
          <w:szCs w:val="16"/>
          <w:color w:val="auto"/>
        </w:rPr>
        <w:t>•   We also benefit from Mr. Courtois’ extensive experience in the technology industry developed over his more than three decade career with Microsoft</w:t>
      </w:r>
    </w:p>
    <w:p>
      <w:pPr>
        <w:spacing w:after="0" w:line="27" w:lineRule="exact"/>
        <w:rPr>
          <w:sz w:val="20"/>
          <w:szCs w:val="20"/>
          <w:color w:val="auto"/>
        </w:rPr>
      </w:pPr>
    </w:p>
    <w:p>
      <w:pPr>
        <w:ind w:left="180" w:right="40" w:hanging="177"/>
        <w:spacing w:after="0" w:line="278" w:lineRule="auto"/>
        <w:rPr>
          <w:sz w:val="20"/>
          <w:szCs w:val="20"/>
          <w:color w:val="auto"/>
        </w:rPr>
      </w:pPr>
      <w:r>
        <w:rPr>
          <w:rFonts w:ascii="Arial" w:cs="Arial" w:eastAsia="Arial" w:hAnsi="Arial"/>
          <w:sz w:val="16"/>
          <w:szCs w:val="16"/>
          <w:color w:val="auto"/>
        </w:rPr>
        <w:t>•   Mr. Courtois, who is based in Paris, has in-depth international experience, particularly within the European markets where most of our business resides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He also brings an important perspective from his prior service as a director of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603885</wp:posOffset>
            </wp:positionV>
            <wp:extent cx="6913880" cy="1177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73"/>
        </w:trPr>
        <w:tc>
          <w:tcPr>
            <w:tcW w:w="2300" w:type="dxa"/>
            <w:vAlign w:val="bottom"/>
            <w:tcBorders>
              <w:bottom w:val="single" w:sz="8" w:color="5D89B4"/>
            </w:tcBorders>
          </w:tcPr>
          <w:p>
            <w:pPr>
              <w:spacing w:after="0"/>
              <w:rPr>
                <w:sz w:val="15"/>
                <w:szCs w:val="15"/>
                <w:color w:val="auto"/>
              </w:rPr>
            </w:pPr>
          </w:p>
        </w:tc>
        <w:tc>
          <w:tcPr>
            <w:tcW w:w="1020" w:type="dxa"/>
            <w:vAlign w:val="bottom"/>
            <w:tcBorders>
              <w:bottom w:val="single" w:sz="8" w:color="5D89B4"/>
            </w:tcBorders>
          </w:tcPr>
          <w:p>
            <w:pPr>
              <w:spacing w:after="0"/>
              <w:rPr>
                <w:sz w:val="15"/>
                <w:szCs w:val="15"/>
                <w:color w:val="auto"/>
              </w:rPr>
            </w:pPr>
          </w:p>
        </w:tc>
        <w:tc>
          <w:tcPr>
            <w:tcW w:w="1180" w:type="dxa"/>
            <w:vAlign w:val="bottom"/>
            <w:tcBorders>
              <w:bottom w:val="single" w:sz="8" w:color="5D89B4"/>
            </w:tcBorders>
          </w:tcPr>
          <w:p>
            <w:pPr>
              <w:spacing w:after="0"/>
              <w:rPr>
                <w:sz w:val="15"/>
                <w:szCs w:val="15"/>
                <w:color w:val="auto"/>
              </w:rPr>
            </w:pPr>
          </w:p>
        </w:tc>
        <w:tc>
          <w:tcPr>
            <w:tcW w:w="1600" w:type="dxa"/>
            <w:vAlign w:val="bottom"/>
            <w:tcBorders>
              <w:bottom w:val="single" w:sz="8" w:color="5D89B4"/>
            </w:tcBorders>
          </w:tcPr>
          <w:p>
            <w:pPr>
              <w:spacing w:after="0"/>
              <w:rPr>
                <w:sz w:val="15"/>
                <w:szCs w:val="15"/>
                <w:color w:val="auto"/>
              </w:rPr>
            </w:pPr>
          </w:p>
        </w:tc>
        <w:tc>
          <w:tcPr>
            <w:tcW w:w="920" w:type="dxa"/>
            <w:vAlign w:val="bottom"/>
            <w:tcBorders>
              <w:bottom w:val="single" w:sz="8" w:color="5D89B4"/>
            </w:tcBorders>
          </w:tcPr>
          <w:p>
            <w:pPr>
              <w:spacing w:after="0"/>
              <w:rPr>
                <w:sz w:val="15"/>
                <w:szCs w:val="15"/>
                <w:color w:val="auto"/>
              </w:rPr>
            </w:pPr>
          </w:p>
        </w:tc>
        <w:tc>
          <w:tcPr>
            <w:tcW w:w="1800" w:type="dxa"/>
            <w:vAlign w:val="bottom"/>
            <w:tcBorders>
              <w:bottom w:val="single" w:sz="8" w:color="5D89B4"/>
            </w:tcBorders>
          </w:tcPr>
          <w:p>
            <w:pPr>
              <w:spacing w:after="0"/>
              <w:rPr>
                <w:sz w:val="15"/>
                <w:szCs w:val="15"/>
                <w:color w:val="auto"/>
              </w:rPr>
            </w:pPr>
          </w:p>
        </w:tc>
        <w:tc>
          <w:tcPr>
            <w:tcW w:w="2060" w:type="dxa"/>
            <w:vAlign w:val="bottom"/>
            <w:tcBorders>
              <w:bottom w:val="single" w:sz="8" w:color="5D89B4"/>
            </w:tcBorders>
          </w:tcPr>
          <w:p>
            <w:pPr>
              <w:spacing w:after="0"/>
              <w:rPr>
                <w:sz w:val="15"/>
                <w:szCs w:val="15"/>
                <w:color w:val="auto"/>
              </w:rPr>
            </w:pPr>
          </w:p>
        </w:tc>
      </w:tr>
    </w:tbl>
    <w:p>
      <w:pPr>
        <w:spacing w:after="0" w:line="114"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1</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104140</wp:posOffset>
            </wp:positionV>
            <wp:extent cx="1652270" cy="4261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2270" cy="426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 xml:space="preserve">Age: </w:t>
      </w:r>
      <w:r>
        <w:rPr>
          <w:rFonts w:ascii="Arial" w:cs="Arial" w:eastAsia="Arial" w:hAnsi="Arial"/>
          <w:sz w:val="16"/>
          <w:szCs w:val="16"/>
          <w:color w:val="000000"/>
        </w:rPr>
        <w:t>68</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 xml:space="preserve">Director Since: </w:t>
      </w:r>
      <w:r>
        <w:rPr>
          <w:rFonts w:ascii="Arial" w:cs="Arial" w:eastAsia="Arial" w:hAnsi="Arial"/>
          <w:sz w:val="16"/>
          <w:szCs w:val="16"/>
          <w:color w:val="000000"/>
        </w:rPr>
        <w:t>2016</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John F. Ferraro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Advance Auto Parts (since 2015)</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Director of International Flavor and Fragrances (since 2015)</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Trustee Emeritus of Marquette University</w:t>
      </w:r>
    </w:p>
    <w:p>
      <w:pPr>
        <w:spacing w:after="0" w:line="67" w:lineRule="exact"/>
        <w:rPr>
          <w:sz w:val="20"/>
          <w:szCs w:val="20"/>
          <w:color w:val="auto"/>
        </w:rPr>
      </w:pPr>
    </w:p>
    <w:p>
      <w:pPr>
        <w:ind w:right="2640"/>
        <w:spacing w:after="0" w:line="383" w:lineRule="auto"/>
        <w:rPr>
          <w:sz w:val="20"/>
          <w:szCs w:val="20"/>
          <w:color w:val="auto"/>
        </w:rPr>
      </w:pPr>
      <w:r>
        <w:rPr>
          <w:rFonts w:ascii="Arial" w:cs="Arial" w:eastAsia="Arial" w:hAnsi="Arial"/>
          <w:sz w:val="16"/>
          <w:szCs w:val="16"/>
          <w:color w:val="auto"/>
        </w:rPr>
        <w:t>•   Former Chair of the Board of Trustees of Boston College High School •   Founder of the Audit Committee Leadership Network</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ind w:left="180" w:right="180" w:hanging="177"/>
        <w:spacing w:after="0" w:line="257" w:lineRule="auto"/>
        <w:rPr>
          <w:sz w:val="20"/>
          <w:szCs w:val="20"/>
          <w:color w:val="auto"/>
        </w:rPr>
      </w:pPr>
      <w:r>
        <w:rPr>
          <w:rFonts w:ascii="Arial" w:cs="Arial" w:eastAsia="Arial" w:hAnsi="Arial"/>
          <w:sz w:val="16"/>
          <w:szCs w:val="16"/>
          <w:color w:val="auto"/>
        </w:rPr>
        <w:t>•   Global Chief Operating Officer of Ernst &amp; Young (“EY”), a global professional services organization, from 2007 to 2015</w:t>
      </w:r>
    </w:p>
    <w:p>
      <w:pPr>
        <w:spacing w:after="0" w:line="44" w:lineRule="exact"/>
        <w:rPr>
          <w:sz w:val="20"/>
          <w:szCs w:val="20"/>
          <w:color w:val="auto"/>
        </w:rPr>
      </w:pPr>
    </w:p>
    <w:p>
      <w:pPr>
        <w:ind w:right="1880"/>
        <w:spacing w:after="0" w:line="371" w:lineRule="auto"/>
        <w:rPr>
          <w:sz w:val="20"/>
          <w:szCs w:val="20"/>
          <w:color w:val="auto"/>
        </w:rPr>
      </w:pPr>
      <w:r>
        <w:rPr>
          <w:rFonts w:ascii="Arial" w:cs="Arial" w:eastAsia="Arial" w:hAnsi="Arial"/>
          <w:sz w:val="15"/>
          <w:szCs w:val="15"/>
          <w:color w:val="auto"/>
        </w:rPr>
        <w:t>•   Held several senior leadership positions at EY, including Global Vice Chair Audit •   Served as a member of EY’s Global Executive Board for more than 10 years</w:t>
      </w:r>
    </w:p>
    <w:p>
      <w:pPr>
        <w:ind w:left="180" w:right="600" w:hanging="177"/>
        <w:spacing w:after="0" w:line="278" w:lineRule="auto"/>
        <w:rPr>
          <w:sz w:val="20"/>
          <w:szCs w:val="20"/>
          <w:color w:val="auto"/>
        </w:rPr>
      </w:pPr>
      <w:r>
        <w:rPr>
          <w:rFonts w:ascii="Arial" w:cs="Arial" w:eastAsia="Arial" w:hAnsi="Arial"/>
          <w:sz w:val="16"/>
          <w:szCs w:val="16"/>
          <w:color w:val="auto"/>
        </w:rPr>
        <w:t>•   Executive Vice President, Strategy and Sales of Aquilon Energy Services, a software and services company for the energy industry, from February 2019 to July 2019</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260" w:hanging="177"/>
        <w:spacing w:after="0" w:line="257" w:lineRule="auto"/>
        <w:rPr>
          <w:sz w:val="20"/>
          <w:szCs w:val="20"/>
          <w:color w:val="auto"/>
        </w:rPr>
      </w:pPr>
      <w:r>
        <w:rPr>
          <w:rFonts w:ascii="Arial" w:cs="Arial" w:eastAsia="Arial" w:hAnsi="Arial"/>
          <w:sz w:val="16"/>
          <w:szCs w:val="16"/>
          <w:color w:val="auto"/>
        </w:rPr>
        <w:t>•   Mr. Ferraro brings to our Board his significant depth in both finance and global operations management through his experience with large and global corporations while working at EY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He has an extensive background as a manager and executive in the professional services industry</w:t>
      </w:r>
    </w:p>
    <w:p>
      <w:pPr>
        <w:spacing w:after="0" w:line="83" w:lineRule="exact"/>
        <w:rPr>
          <w:sz w:val="20"/>
          <w:szCs w:val="20"/>
          <w:color w:val="auto"/>
        </w:rPr>
      </w:pPr>
    </w:p>
    <w:p>
      <w:pPr>
        <w:ind w:left="180" w:right="20" w:hanging="177"/>
        <w:spacing w:after="0" w:line="261" w:lineRule="auto"/>
        <w:rPr>
          <w:sz w:val="20"/>
          <w:szCs w:val="20"/>
          <w:color w:val="auto"/>
        </w:rPr>
      </w:pPr>
      <w:r>
        <w:rPr>
          <w:rFonts w:ascii="Arial" w:cs="Arial" w:eastAsia="Arial" w:hAnsi="Arial"/>
          <w:sz w:val="16"/>
          <w:szCs w:val="16"/>
          <w:color w:val="auto"/>
        </w:rPr>
        <w:t>•   We benefit from Mr. Ferraro’s significant experience in accounting, financial oversight, compliance and risk management, which enables him to assist the Board in identifying trends and developments that affect public companies</w:t>
      </w:r>
    </w:p>
    <w:p>
      <w:pPr>
        <w:spacing w:after="0" w:line="40" w:lineRule="exact"/>
        <w:rPr>
          <w:sz w:val="20"/>
          <w:szCs w:val="20"/>
          <w:color w:val="auto"/>
        </w:rPr>
      </w:pPr>
    </w:p>
    <w:p>
      <w:pPr>
        <w:ind w:left="180" w:right="220" w:hanging="177"/>
        <w:spacing w:after="0" w:line="278" w:lineRule="auto"/>
        <w:rPr>
          <w:sz w:val="20"/>
          <w:szCs w:val="20"/>
          <w:color w:val="auto"/>
        </w:rPr>
      </w:pPr>
      <w:r>
        <w:rPr>
          <w:rFonts w:ascii="Arial" w:cs="Arial" w:eastAsia="Arial" w:hAnsi="Arial"/>
          <w:sz w:val="16"/>
          <w:szCs w:val="16"/>
          <w:color w:val="auto"/>
        </w:rPr>
        <w:t>•   He also brings valuable perspectives and insights from his service on the board of directors of two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1339850</wp:posOffset>
            </wp:positionV>
            <wp:extent cx="6913880" cy="1177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36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-1615440</wp:posOffset>
            </wp:positionV>
            <wp:extent cx="1355725" cy="135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5725" cy="1355725"/>
                    </a:xfrm>
                    <a:prstGeom prst="rect">
                      <a:avLst/>
                    </a:prstGeom>
                    <a:noFill/>
                  </pic:spPr>
                </pic:pic>
              </a:graphicData>
            </a:graphic>
          </wp:anchor>
        </w:drawing>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2020</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People, Culture and</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104140</wp:posOffset>
            </wp:positionV>
            <wp:extent cx="8255" cy="4549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45497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William P. Gipson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Rockwell Automation (since November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•   Director of CityLink (Cincinnati), a non-profit organization providing services to help individuals in poverty •   Director of STEM Pathway to MBA (University of Alabama) •   Former Director of the Executive Leadership Council</w:t>
      </w:r>
    </w:p>
    <w:p>
      <w:pPr>
        <w:spacing w:after="0"/>
        <w:rPr>
          <w:sz w:val="20"/>
          <w:szCs w:val="20"/>
          <w:color w:val="auto"/>
        </w:rPr>
      </w:pPr>
      <w:r>
        <w:rPr>
          <w:rFonts w:ascii="Arial" w:cs="Arial" w:eastAsia="Arial" w:hAnsi="Arial"/>
          <w:sz w:val="16"/>
          <w:szCs w:val="16"/>
          <w:color w:val="auto"/>
        </w:rPr>
        <w:t>•   Former Director of United Negro College Fund</w:t>
      </w:r>
    </w:p>
    <w:p>
      <w:pPr>
        <w:spacing w:after="0" w:line="83" w:lineRule="exact"/>
        <w:rPr>
          <w:sz w:val="20"/>
          <w:szCs w:val="20"/>
          <w:color w:val="auto"/>
        </w:rPr>
      </w:pPr>
    </w:p>
    <w:p>
      <w:pPr>
        <w:ind w:right="2700"/>
        <w:spacing w:after="0" w:line="383" w:lineRule="auto"/>
        <w:rPr>
          <w:sz w:val="20"/>
          <w:szCs w:val="20"/>
          <w:color w:val="auto"/>
        </w:rPr>
      </w:pPr>
      <w:r>
        <w:rPr>
          <w:rFonts w:ascii="Arial" w:cs="Arial" w:eastAsia="Arial" w:hAnsi="Arial"/>
          <w:sz w:val="16"/>
          <w:szCs w:val="16"/>
          <w:color w:val="auto"/>
        </w:rPr>
        <w:t>•   Former Director National Action Council for Minorities in Engineering •   Veteran of the US Air Force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ind w:left="180" w:right="40" w:hanging="177"/>
        <w:spacing w:after="0" w:line="257" w:lineRule="auto"/>
        <w:rPr>
          <w:sz w:val="20"/>
          <w:szCs w:val="20"/>
          <w:color w:val="auto"/>
        </w:rPr>
      </w:pPr>
      <w:r>
        <w:rPr>
          <w:rFonts w:ascii="Arial" w:cs="Arial" w:eastAsia="Arial" w:hAnsi="Arial"/>
          <w:sz w:val="16"/>
          <w:szCs w:val="16"/>
          <w:color w:val="auto"/>
        </w:rPr>
        <w:t>•   President, Enterprise Packaging Transformation of Procter &amp; Gamble (“P&amp;G”), a leading global provider of branded consumer packaged goods, from 2017 to June 2019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Senior Vice President, Research &amp; Development for Asia at P&amp;G from 2015 to 2017</w:t>
      </w:r>
    </w:p>
    <w:p>
      <w:pPr>
        <w:spacing w:after="0" w:line="83" w:lineRule="exact"/>
        <w:rPr>
          <w:sz w:val="20"/>
          <w:szCs w:val="20"/>
          <w:color w:val="auto"/>
        </w:rPr>
      </w:pPr>
    </w:p>
    <w:p>
      <w:pPr>
        <w:ind w:left="180" w:hanging="177"/>
        <w:spacing w:after="0" w:line="278" w:lineRule="auto"/>
        <w:rPr>
          <w:sz w:val="20"/>
          <w:szCs w:val="20"/>
          <w:color w:val="auto"/>
        </w:rPr>
      </w:pPr>
      <w:r>
        <w:rPr>
          <w:rFonts w:ascii="Arial" w:cs="Arial" w:eastAsia="Arial" w:hAnsi="Arial"/>
          <w:sz w:val="16"/>
          <w:szCs w:val="16"/>
          <w:color w:val="auto"/>
        </w:rPr>
        <w:t>•   Senior Vice President, Research &amp; Development for the Global Hair Care/Color &amp; Overall Beauty Sector at P&amp;G from 2011 to 2015</w:t>
      </w:r>
    </w:p>
    <w:p>
      <w:pPr>
        <w:spacing w:after="0" w:line="27" w:lineRule="exact"/>
        <w:rPr>
          <w:sz w:val="20"/>
          <w:szCs w:val="20"/>
          <w:color w:val="auto"/>
        </w:rPr>
      </w:pPr>
    </w:p>
    <w:p>
      <w:pPr>
        <w:ind w:left="180" w:right="260" w:hanging="177"/>
        <w:spacing w:after="0" w:line="278" w:lineRule="auto"/>
        <w:rPr>
          <w:sz w:val="20"/>
          <w:szCs w:val="20"/>
          <w:color w:val="auto"/>
        </w:rPr>
      </w:pPr>
      <w:r>
        <w:rPr>
          <w:rFonts w:ascii="Arial" w:cs="Arial" w:eastAsia="Arial" w:hAnsi="Arial"/>
          <w:sz w:val="16"/>
          <w:szCs w:val="16"/>
          <w:color w:val="auto"/>
        </w:rPr>
        <w:t>•   Senior Vice President, Corporate Chief Diversity Officer for P&amp;G from 2011- June 2019, simultaneously served</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280" w:hanging="177"/>
        <w:spacing w:after="0" w:line="250" w:lineRule="auto"/>
        <w:rPr>
          <w:sz w:val="20"/>
          <w:szCs w:val="20"/>
          <w:color w:val="auto"/>
        </w:rPr>
      </w:pPr>
      <w:r>
        <w:rPr>
          <w:rFonts w:ascii="Arial" w:cs="Arial" w:eastAsia="Arial" w:hAnsi="Arial"/>
          <w:sz w:val="16"/>
          <w:szCs w:val="16"/>
          <w:color w:val="auto"/>
        </w:rPr>
        <w:t>•   Mr. Gipson brings to our Board significant managerial and operational experience as well as a valuable perspective on consumer behavior, from his more than thirty years at P&amp;G, including as President, Enterprise Packaging and Transformation</w:t>
      </w:r>
    </w:p>
    <w:p>
      <w:pPr>
        <w:spacing w:after="0" w:line="49" w:lineRule="exact"/>
        <w:rPr>
          <w:sz w:val="20"/>
          <w:szCs w:val="20"/>
          <w:color w:val="auto"/>
        </w:rPr>
      </w:pPr>
    </w:p>
    <w:p>
      <w:pPr>
        <w:ind w:left="180" w:right="60" w:hanging="177"/>
        <w:spacing w:after="0" w:line="278" w:lineRule="auto"/>
        <w:rPr>
          <w:sz w:val="20"/>
          <w:szCs w:val="20"/>
          <w:color w:val="auto"/>
        </w:rPr>
      </w:pPr>
      <w:r>
        <w:rPr>
          <w:rFonts w:ascii="Arial" w:cs="Arial" w:eastAsia="Arial" w:hAnsi="Arial"/>
          <w:sz w:val="16"/>
          <w:szCs w:val="16"/>
          <w:color w:val="auto"/>
        </w:rPr>
        <w:t>•   We benefit from Mr. Gipson’s broad expertise in driving business growth and product innovation at P&amp;G, a global company, including through multiple international postings</w:t>
      </w:r>
    </w:p>
    <w:p>
      <w:pPr>
        <w:spacing w:after="0" w:line="27" w:lineRule="exact"/>
        <w:rPr>
          <w:sz w:val="20"/>
          <w:szCs w:val="20"/>
          <w:color w:val="auto"/>
        </w:rPr>
      </w:pPr>
    </w:p>
    <w:p>
      <w:pPr>
        <w:ind w:left="180" w:right="240" w:hanging="177"/>
        <w:spacing w:after="0" w:line="278" w:lineRule="auto"/>
        <w:rPr>
          <w:sz w:val="20"/>
          <w:szCs w:val="20"/>
          <w:color w:val="auto"/>
        </w:rPr>
      </w:pPr>
      <w:r>
        <w:rPr>
          <w:rFonts w:ascii="Arial" w:cs="Arial" w:eastAsia="Arial" w:hAnsi="Arial"/>
          <w:sz w:val="16"/>
          <w:szCs w:val="16"/>
          <w:color w:val="auto"/>
        </w:rPr>
        <w:t>•   He also brings a unique perspective to the Board from his experience in leading the global diversity and inclusion program for P&amp;G for eight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1127760</wp:posOffset>
            </wp:positionV>
            <wp:extent cx="6913880" cy="1177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104140</wp:posOffset>
            </wp:positionV>
            <wp:extent cx="1652270" cy="3804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2270" cy="3804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 xml:space="preserve">Age: </w:t>
      </w:r>
      <w:r>
        <w:rPr>
          <w:rFonts w:ascii="Arial" w:cs="Arial" w:eastAsia="Arial" w:hAnsi="Arial"/>
          <w:sz w:val="16"/>
          <w:szCs w:val="16"/>
          <w:color w:val="000000"/>
        </w:rPr>
        <w:t>71</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 xml:space="preserve">Director Since: </w:t>
      </w:r>
      <w:r>
        <w:rPr>
          <w:rFonts w:ascii="Arial" w:cs="Arial" w:eastAsia="Arial" w:hAnsi="Arial"/>
          <w:sz w:val="16"/>
          <w:szCs w:val="16"/>
          <w:color w:val="000000"/>
        </w:rPr>
        <w:t>2011</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500" w:right="860" w:hanging="177"/>
        <w:spacing w:after="0" w:line="291" w:lineRule="auto"/>
        <w:rPr>
          <w:sz w:val="20"/>
          <w:szCs w:val="20"/>
          <w:color w:val="auto"/>
        </w:rPr>
      </w:pPr>
      <w:r>
        <w:rPr>
          <w:rFonts w:ascii="Arial" w:cs="Arial" w:eastAsia="Arial" w:hAnsi="Arial"/>
          <w:sz w:val="15"/>
          <w:szCs w:val="15"/>
          <w:color w:val="auto"/>
        </w:rPr>
        <w:t xml:space="preserve">•   Audit; Governance and Sustainability </w:t>
      </w:r>
      <w:r>
        <w:rPr>
          <w:rFonts w:ascii="Arial" w:cs="Arial" w:eastAsia="Arial" w:hAnsi="Arial"/>
          <w:sz w:val="15"/>
          <w:szCs w:val="15"/>
          <w:i w:val="1"/>
          <w:i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Patricia Hemingway Hall</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Cardinal Health (since 2013)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Former Director of Halliburton (2019-2022)</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Former Director of Celgene Corporation (2018-2019)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ind w:right="3380"/>
        <w:spacing w:after="0" w:line="402" w:lineRule="auto"/>
        <w:rPr>
          <w:sz w:val="20"/>
          <w:szCs w:val="20"/>
          <w:color w:val="auto"/>
        </w:rPr>
      </w:pPr>
      <w:r>
        <w:rPr>
          <w:rFonts w:ascii="Arial" w:cs="Arial" w:eastAsia="Arial" w:hAnsi="Arial"/>
          <w:sz w:val="15"/>
          <w:szCs w:val="15"/>
          <w:color w:val="auto"/>
        </w:rPr>
        <w:t>•   Director of Michigan State University Research Foundation •   Board of Trustees of McLaren Northern Michigan Hospital</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ind w:left="180" w:right="460" w:hanging="177"/>
        <w:spacing w:after="0" w:line="257" w:lineRule="auto"/>
        <w:rPr>
          <w:sz w:val="20"/>
          <w:szCs w:val="20"/>
          <w:color w:val="auto"/>
        </w:rPr>
      </w:pPr>
      <w:r>
        <w:rPr>
          <w:rFonts w:ascii="Arial" w:cs="Arial" w:eastAsia="Arial" w:hAnsi="Arial"/>
          <w:sz w:val="16"/>
          <w:szCs w:val="16"/>
          <w:color w:val="auto"/>
        </w:rPr>
        <w:t>•   President and Chief Executive Officer of Health Care Service Corporation (“HCSC”), a mutual health insurer, from 2008 to 2015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President and Chief Operating Officer of HCSC from 2007 to 2008</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Executive Vice President of Internal Operations of HCSC from 2006 to 2007</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480" w:hanging="177"/>
        <w:spacing w:after="0" w:line="257" w:lineRule="auto"/>
        <w:rPr>
          <w:sz w:val="20"/>
          <w:szCs w:val="20"/>
          <w:color w:val="auto"/>
        </w:rPr>
      </w:pPr>
      <w:r>
        <w:rPr>
          <w:rFonts w:ascii="Arial" w:cs="Arial" w:eastAsia="Arial" w:hAnsi="Arial"/>
          <w:sz w:val="16"/>
          <w:szCs w:val="16"/>
          <w:color w:val="auto"/>
        </w:rPr>
        <w:t>•   Ms. Hemingway Hall brings to the Board more than two decades of senior executive and boardroom experience, including as Chief Executive Officer of HCSC</w:t>
      </w:r>
    </w:p>
    <w:p>
      <w:pPr>
        <w:spacing w:after="0" w:line="44" w:lineRule="exact"/>
        <w:rPr>
          <w:sz w:val="20"/>
          <w:szCs w:val="20"/>
          <w:color w:val="auto"/>
        </w:rPr>
      </w:pPr>
    </w:p>
    <w:p>
      <w:pPr>
        <w:ind w:left="180" w:right="60" w:hanging="177"/>
        <w:spacing w:after="0" w:line="261" w:lineRule="auto"/>
        <w:rPr>
          <w:sz w:val="20"/>
          <w:szCs w:val="20"/>
          <w:color w:val="auto"/>
        </w:rPr>
      </w:pPr>
      <w:r>
        <w:rPr>
          <w:rFonts w:ascii="Arial" w:cs="Arial" w:eastAsia="Arial" w:hAnsi="Arial"/>
          <w:sz w:val="16"/>
          <w:szCs w:val="16"/>
          <w:color w:val="auto"/>
        </w:rPr>
        <w:t>•   During her tenure with HCSC, Ms. Hemingway Hall gained relevant experience in the areas of operations, information technology, sales, marketing and government relations as well as deep knowledge of healthcare, insurance and allied fields</w:t>
      </w:r>
    </w:p>
    <w:p>
      <w:pPr>
        <w:spacing w:after="0" w:line="40" w:lineRule="exact"/>
        <w:rPr>
          <w:sz w:val="20"/>
          <w:szCs w:val="20"/>
          <w:color w:val="auto"/>
        </w:rPr>
      </w:pPr>
    </w:p>
    <w:p>
      <w:pPr>
        <w:ind w:left="180" w:hanging="177"/>
        <w:spacing w:after="0" w:line="278" w:lineRule="auto"/>
        <w:rPr>
          <w:sz w:val="20"/>
          <w:szCs w:val="20"/>
          <w:color w:val="auto"/>
        </w:rPr>
      </w:pPr>
      <w:r>
        <w:rPr>
          <w:rFonts w:ascii="Arial" w:cs="Arial" w:eastAsia="Arial" w:hAnsi="Arial"/>
          <w:sz w:val="16"/>
          <w:szCs w:val="16"/>
          <w:color w:val="auto"/>
        </w:rPr>
        <w:t>•   She also brings valuable perspectives and insights on corporate governance from her service on the board of directors of Cardinal Health and her former service on the boards of Halliburton and Celgene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2076450</wp:posOffset>
            </wp:positionV>
            <wp:extent cx="6913880" cy="1177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36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 xml:space="preserve">Previous Board   </w:t>
            </w:r>
            <w:r>
              <w:rPr>
                <w:rFonts w:ascii="Arial" w:cs="Arial" w:eastAsia="Arial" w:hAnsi="Arial"/>
                <w:sz w:val="14"/>
                <w:szCs w:val="14"/>
                <w:b w:val="1"/>
                <w:bCs w:val="1"/>
                <w:color w:val="7F7F7F"/>
              </w:rPr>
              <w:t>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7F7F7F"/>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-1615440</wp:posOffset>
            </wp:positionV>
            <wp:extent cx="8255" cy="4752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4752975"/>
                    </a:xfrm>
                    <a:prstGeom prst="rect">
                      <a:avLst/>
                    </a:prstGeom>
                    <a:noFill/>
                  </pic:spPr>
                </pic:pic>
              </a:graphicData>
            </a:graphic>
          </wp:anchor>
        </w:drawing>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2016</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People, Culture and</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Compensation</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Governance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Julie M. Howard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Lead Director</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Sleep Number Corporation (since May 2020)</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Former Director of InnerWorkings (2012-2019)</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Former Director of Navigant Consulting (2014-2019)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ind w:left="180" w:right="280" w:hanging="177"/>
        <w:spacing w:after="0" w:line="257" w:lineRule="auto"/>
        <w:rPr>
          <w:sz w:val="20"/>
          <w:szCs w:val="20"/>
          <w:color w:val="auto"/>
        </w:rPr>
      </w:pPr>
      <w:r>
        <w:rPr>
          <w:rFonts w:ascii="Arial" w:cs="Arial" w:eastAsia="Arial" w:hAnsi="Arial"/>
          <w:sz w:val="16"/>
          <w:szCs w:val="16"/>
          <w:color w:val="auto"/>
        </w:rPr>
        <w:t>•   Director of Riveron Consulting (“Riveron”), a business advisory firm specializing in accounting, finance, technology, and operations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Director of Treliant, which provides consulting services to the global financial services industry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Chief Executive Officer of Riveron from March 2021 to September 2023</w:t>
      </w:r>
    </w:p>
    <w:p>
      <w:pPr>
        <w:spacing w:after="0" w:line="67" w:lineRule="exact"/>
        <w:rPr>
          <w:sz w:val="20"/>
          <w:szCs w:val="20"/>
          <w:color w:val="auto"/>
        </w:rPr>
      </w:pPr>
    </w:p>
    <w:p>
      <w:pPr>
        <w:ind w:left="180" w:hanging="177"/>
        <w:spacing w:after="0" w:line="278" w:lineRule="auto"/>
        <w:rPr>
          <w:sz w:val="20"/>
          <w:szCs w:val="20"/>
          <w:color w:val="auto"/>
        </w:rPr>
      </w:pPr>
      <w:r>
        <w:rPr>
          <w:rFonts w:ascii="Arial" w:cs="Arial" w:eastAsia="Arial" w:hAnsi="Arial"/>
          <w:sz w:val="16"/>
          <w:szCs w:val="16"/>
          <w:color w:val="auto"/>
        </w:rPr>
        <w:t>•   Chief Executive Officer of Navigant Consulting (“Navigant”), a specialized global professional services firm, from 2012 to October 2019</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Chairman of the Board of Navigant from 2014 to October 2019</w:t>
      </w:r>
    </w:p>
    <w:p>
      <w:pPr>
        <w:spacing w:after="0" w:line="83" w:lineRule="exact"/>
        <w:rPr>
          <w:sz w:val="20"/>
          <w:szCs w:val="20"/>
          <w:color w:val="auto"/>
        </w:rPr>
      </w:pPr>
    </w:p>
    <w:p>
      <w:pPr>
        <w:ind w:left="180" w:right="180" w:hanging="177"/>
        <w:spacing w:after="0" w:line="278" w:lineRule="auto"/>
        <w:rPr>
          <w:sz w:val="20"/>
          <w:szCs w:val="20"/>
          <w:color w:val="auto"/>
        </w:rPr>
      </w:pPr>
      <w:r>
        <w:rPr>
          <w:rFonts w:ascii="Arial" w:cs="Arial" w:eastAsia="Arial" w:hAnsi="Arial"/>
          <w:sz w:val="16"/>
          <w:szCs w:val="16"/>
          <w:color w:val="auto"/>
        </w:rPr>
        <w:t>•   Prior thereto, Ms. Howard was a practicing consultant at Navigant, and held several leadership positions including Chief Operating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700" w:hanging="177"/>
        <w:spacing w:after="0" w:line="257" w:lineRule="auto"/>
        <w:rPr>
          <w:sz w:val="20"/>
          <w:szCs w:val="20"/>
          <w:color w:val="auto"/>
        </w:rPr>
      </w:pPr>
      <w:r>
        <w:rPr>
          <w:rFonts w:ascii="Arial" w:cs="Arial" w:eastAsia="Arial" w:hAnsi="Arial"/>
          <w:sz w:val="16"/>
          <w:szCs w:val="16"/>
          <w:color w:val="auto"/>
        </w:rPr>
        <w:t>•   As CEO of both Riveron and Navigant, Ms. Howard developed extensive knowledge in the global professional services industry</w:t>
      </w:r>
    </w:p>
    <w:p>
      <w:pPr>
        <w:spacing w:after="0" w:line="44" w:lineRule="exact"/>
        <w:rPr>
          <w:sz w:val="20"/>
          <w:szCs w:val="20"/>
          <w:color w:val="auto"/>
        </w:rPr>
      </w:pPr>
    </w:p>
    <w:p>
      <w:pPr>
        <w:ind w:left="180" w:right="80" w:hanging="177"/>
        <w:spacing w:after="0" w:line="278" w:lineRule="auto"/>
        <w:rPr>
          <w:sz w:val="20"/>
          <w:szCs w:val="20"/>
          <w:color w:val="auto"/>
        </w:rPr>
      </w:pPr>
      <w:r>
        <w:rPr>
          <w:rFonts w:ascii="Arial" w:cs="Arial" w:eastAsia="Arial" w:hAnsi="Arial"/>
          <w:sz w:val="16"/>
          <w:szCs w:val="16"/>
          <w:color w:val="auto"/>
        </w:rPr>
        <w:t>•   She also provides our Board with managerial, transactional and operational experience from her tenure at Riveron and Navigant and a long-standing career working with clients in a wide array of industries</w:t>
      </w:r>
    </w:p>
    <w:p>
      <w:pPr>
        <w:spacing w:after="0" w:line="27" w:lineRule="exact"/>
        <w:rPr>
          <w:sz w:val="20"/>
          <w:szCs w:val="20"/>
          <w:color w:val="auto"/>
        </w:rPr>
      </w:pPr>
    </w:p>
    <w:p>
      <w:pPr>
        <w:ind w:left="180" w:right="100" w:hanging="177"/>
        <w:spacing w:after="0" w:line="278" w:lineRule="auto"/>
        <w:rPr>
          <w:sz w:val="20"/>
          <w:szCs w:val="20"/>
          <w:color w:val="auto"/>
        </w:rPr>
      </w:pPr>
      <w:r>
        <w:rPr>
          <w:rFonts w:ascii="Arial" w:cs="Arial" w:eastAsia="Arial" w:hAnsi="Arial"/>
          <w:sz w:val="16"/>
          <w:szCs w:val="16"/>
          <w:color w:val="auto"/>
        </w:rPr>
        <w:t>•   Ms. Howard has experience with technology and innovation, including with private enterprises and public-sector clients</w:t>
      </w:r>
    </w:p>
    <w:p>
      <w:pPr>
        <w:spacing w:after="0" w:line="27" w:lineRule="exact"/>
        <w:rPr>
          <w:sz w:val="20"/>
          <w:szCs w:val="20"/>
          <w:color w:val="auto"/>
        </w:rPr>
      </w:pPr>
    </w:p>
    <w:p>
      <w:pPr>
        <w:ind w:left="180" w:right="180" w:hanging="177"/>
        <w:spacing w:after="0" w:line="255" w:lineRule="auto"/>
        <w:rPr>
          <w:sz w:val="20"/>
          <w:szCs w:val="20"/>
          <w:color w:val="auto"/>
        </w:rPr>
      </w:pPr>
      <w:r>
        <w:rPr>
          <w:rFonts w:ascii="Arial" w:cs="Arial" w:eastAsia="Arial" w:hAnsi="Arial"/>
          <w:sz w:val="16"/>
          <w:szCs w:val="16"/>
          <w:color w:val="auto"/>
        </w:rPr>
        <w:t>•   Her role as our Lead Director is enhanced by her experience as Chair of the Board of Directors at Navigant, and her service on multiple other public company boards. She also brings experience working with the private equity community, and considerable background in investor relations matters, including related to shareholder activism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741045</wp:posOffset>
            </wp:positionV>
            <wp:extent cx="6913880" cy="1177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8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7F7F7F"/>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104140</wp:posOffset>
            </wp:positionV>
            <wp:extent cx="1652270" cy="409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52270" cy="409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68</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2007</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Audit</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Governance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Ulice Payne, Jr.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WEC Energy Group (formerly Wisconsin Energy Corporation) (since 2003)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Director of Foot Locker, Inc. (since 2016)</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Former Trustee of The Northwestern Mutual Life Insurance Company (2005-2018)</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Metropolitan Milwaukee Association of Commerce</w:t>
      </w:r>
    </w:p>
    <w:p>
      <w:pPr>
        <w:spacing w:after="0" w:line="67" w:lineRule="exact"/>
        <w:rPr>
          <w:sz w:val="20"/>
          <w:szCs w:val="20"/>
          <w:color w:val="auto"/>
        </w:rPr>
      </w:pPr>
    </w:p>
    <w:p>
      <w:pPr>
        <w:ind w:right="1580"/>
        <w:spacing w:after="0" w:line="424" w:lineRule="auto"/>
        <w:rPr>
          <w:sz w:val="20"/>
          <w:szCs w:val="20"/>
          <w:color w:val="auto"/>
        </w:rPr>
      </w:pPr>
      <w:r>
        <w:rPr>
          <w:rFonts w:ascii="Arial" w:cs="Arial" w:eastAsia="Arial" w:hAnsi="Arial"/>
          <w:sz w:val="15"/>
          <w:szCs w:val="15"/>
          <w:color w:val="auto"/>
        </w:rPr>
        <w:t>•   Named one of 2017’s Most Influential Black Corporate Directors by Savoy Magazine •   Former Wisconsin Commissioner of Securities (February 1985 to December 1987)</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ind w:left="180" w:right="520" w:hanging="177"/>
        <w:spacing w:after="0" w:line="257" w:lineRule="auto"/>
        <w:rPr>
          <w:sz w:val="20"/>
          <w:szCs w:val="20"/>
          <w:color w:val="auto"/>
        </w:rPr>
      </w:pPr>
      <w:r>
        <w:rPr>
          <w:rFonts w:ascii="Arial" w:cs="Arial" w:eastAsia="Arial" w:hAnsi="Arial"/>
          <w:sz w:val="16"/>
          <w:szCs w:val="16"/>
          <w:color w:val="auto"/>
        </w:rPr>
        <w:t>•   President and Managing Member of Addison-Clifton, a provider of global trade compliance advisory services, since 2004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Chief Executive Officer of the Milwaukee Brewers Baseball Club from 2002 to 2003</w:t>
      </w:r>
    </w:p>
    <w:p>
      <w:pPr>
        <w:spacing w:after="0" w:line="83" w:lineRule="exact"/>
        <w:rPr>
          <w:sz w:val="20"/>
          <w:szCs w:val="20"/>
          <w:color w:val="auto"/>
        </w:rPr>
      </w:pPr>
    </w:p>
    <w:p>
      <w:pPr>
        <w:ind w:left="180" w:right="320" w:hanging="177"/>
        <w:spacing w:after="0" w:line="278" w:lineRule="auto"/>
        <w:rPr>
          <w:sz w:val="20"/>
          <w:szCs w:val="20"/>
          <w:color w:val="auto"/>
        </w:rPr>
      </w:pPr>
      <w:r>
        <w:rPr>
          <w:rFonts w:ascii="Arial" w:cs="Arial" w:eastAsia="Arial" w:hAnsi="Arial"/>
          <w:sz w:val="16"/>
          <w:szCs w:val="16"/>
          <w:color w:val="auto"/>
        </w:rPr>
        <w:t>•   Partner with the law firm Foley &amp; Lardner from 1998 to 2002, including Managing Partner from 2001 to 2002</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20" w:hanging="177"/>
        <w:spacing w:after="0" w:line="250" w:lineRule="auto"/>
        <w:rPr>
          <w:sz w:val="20"/>
          <w:szCs w:val="20"/>
          <w:color w:val="auto"/>
        </w:rPr>
      </w:pPr>
      <w:r>
        <w:rPr>
          <w:rFonts w:ascii="Arial" w:cs="Arial" w:eastAsia="Arial" w:hAnsi="Arial"/>
          <w:sz w:val="16"/>
          <w:szCs w:val="16"/>
          <w:color w:val="auto"/>
        </w:rPr>
        <w:t>•   Mr. Payne brings significant managerial, operational, financial and global experience as a result of many senior positions he has held including as President of Addison-Clifton and as Managing Partner of Foley &amp; Lardner</w:t>
      </w:r>
    </w:p>
    <w:p>
      <w:pPr>
        <w:spacing w:after="0" w:line="49" w:lineRule="exact"/>
        <w:rPr>
          <w:sz w:val="20"/>
          <w:szCs w:val="20"/>
          <w:color w:val="auto"/>
        </w:rPr>
      </w:pPr>
    </w:p>
    <w:p>
      <w:pPr>
        <w:ind w:left="180" w:right="460" w:hanging="177"/>
        <w:spacing w:after="0" w:line="278" w:lineRule="auto"/>
        <w:rPr>
          <w:sz w:val="20"/>
          <w:szCs w:val="20"/>
          <w:color w:val="auto"/>
        </w:rPr>
      </w:pPr>
      <w:r>
        <w:rPr>
          <w:rFonts w:ascii="Arial" w:cs="Arial" w:eastAsia="Arial" w:hAnsi="Arial"/>
          <w:sz w:val="16"/>
          <w:szCs w:val="16"/>
          <w:color w:val="auto"/>
        </w:rPr>
        <w:t>•   We also benefit from Mr. Payne’s broad experience in, and knowledge of, international business and global trade regulation and compliance</w:t>
      </w:r>
    </w:p>
    <w:p>
      <w:pPr>
        <w:spacing w:after="0" w:line="27" w:lineRule="exact"/>
        <w:rPr>
          <w:sz w:val="20"/>
          <w:szCs w:val="20"/>
          <w:color w:val="auto"/>
        </w:rPr>
      </w:pPr>
    </w:p>
    <w:p>
      <w:pPr>
        <w:ind w:left="180" w:right="540" w:hanging="177"/>
        <w:spacing w:after="0" w:line="278" w:lineRule="auto"/>
        <w:rPr>
          <w:sz w:val="20"/>
          <w:szCs w:val="20"/>
          <w:color w:val="auto"/>
        </w:rPr>
      </w:pPr>
      <w:r>
        <w:rPr>
          <w:rFonts w:ascii="Arial" w:cs="Arial" w:eastAsia="Arial" w:hAnsi="Arial"/>
          <w:sz w:val="16"/>
          <w:szCs w:val="16"/>
          <w:color w:val="auto"/>
        </w:rPr>
        <w:t>•   He also brings valuable perspectives and insights from his past and present service as a director of several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1847850</wp:posOffset>
            </wp:positionV>
            <wp:extent cx="6913880" cy="1177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36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7F7F7F"/>
              </w:rPr>
              <w:t xml:space="preserve">Marketing  </w:t>
            </w:r>
            <w:r>
              <w:rPr>
                <w:rFonts w:ascii="Arial" w:cs="Arial" w:eastAsia="Arial" w:hAnsi="Arial"/>
                <w:sz w:val="14"/>
                <w:szCs w:val="14"/>
                <w:b w:val="1"/>
                <w:bCs w:val="1"/>
                <w:color w:val="000000"/>
              </w:rPr>
              <w:t>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-1615440</wp:posOffset>
            </wp:positionV>
            <wp:extent cx="1355725" cy="135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55725" cy="1355725"/>
                    </a:xfrm>
                    <a:prstGeom prst="rect">
                      <a:avLst/>
                    </a:prstGeom>
                    <a:noFill/>
                  </pic:spPr>
                </pic:pic>
              </a:graphicData>
            </a:graphic>
          </wp:anchor>
        </w:drawing>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2022</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People, Culture, and</w:t>
      </w:r>
    </w:p>
    <w:p>
      <w:pPr>
        <w:spacing w:after="0" w:line="1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104140</wp:posOffset>
            </wp:positionV>
            <wp:extent cx="8255" cy="4617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461772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Muriel Pénicaud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Galileo Global Education, an international provider of higher education</w:t>
      </w:r>
    </w:p>
    <w:p>
      <w:pPr>
        <w:spacing w:after="0" w:line="67" w:lineRule="exact"/>
        <w:rPr>
          <w:sz w:val="20"/>
          <w:szCs w:val="20"/>
          <w:color w:val="auto"/>
        </w:rPr>
      </w:pPr>
    </w:p>
    <w:p>
      <w:pPr>
        <w:ind w:right="860"/>
        <w:spacing w:after="0" w:line="424" w:lineRule="auto"/>
        <w:rPr>
          <w:sz w:val="20"/>
          <w:szCs w:val="20"/>
          <w:color w:val="auto"/>
        </w:rPr>
      </w:pPr>
      <w:r>
        <w:rPr>
          <w:rFonts w:ascii="Arial" w:cs="Arial" w:eastAsia="Arial" w:hAnsi="Arial"/>
          <w:sz w:val="15"/>
          <w:szCs w:val="15"/>
          <w:color w:val="auto"/>
        </w:rPr>
        <w:t>•   Council member of the Global Summit of Women, a business and economic forum for women •   Awarded numerous European orders of merit, including Officer of the French Legion of Honour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Senior Advisor to Bain Capital, a private investment firm, since February 2023</w:t>
      </w:r>
    </w:p>
    <w:p>
      <w:pPr>
        <w:spacing w:after="0" w:line="67" w:lineRule="exact"/>
        <w:rPr>
          <w:sz w:val="20"/>
          <w:szCs w:val="20"/>
          <w:color w:val="auto"/>
        </w:rPr>
      </w:pPr>
    </w:p>
    <w:p>
      <w:pPr>
        <w:ind w:right="1120"/>
        <w:spacing w:after="0" w:line="348" w:lineRule="auto"/>
        <w:rPr>
          <w:sz w:val="20"/>
          <w:szCs w:val="20"/>
          <w:color w:val="auto"/>
        </w:rPr>
      </w:pPr>
      <w:r>
        <w:rPr>
          <w:rFonts w:ascii="Arial" w:cs="Arial" w:eastAsia="Arial" w:hAnsi="Arial"/>
          <w:sz w:val="16"/>
          <w:szCs w:val="16"/>
          <w:color w:val="auto"/>
        </w:rPr>
        <w:t>•   Ambassador, Permanent Representative of France to the OECD, from 2020 to March 2022 •   Minister of Labor, Republic of France, from 2017 to July 2020</w:t>
      </w:r>
    </w:p>
    <w:p>
      <w:pPr>
        <w:ind w:left="180" w:right="520" w:hanging="177"/>
        <w:spacing w:after="0" w:line="278" w:lineRule="auto"/>
        <w:rPr>
          <w:sz w:val="20"/>
          <w:szCs w:val="20"/>
          <w:color w:val="auto"/>
        </w:rPr>
      </w:pPr>
      <w:r>
        <w:rPr>
          <w:rFonts w:ascii="Arial" w:cs="Arial" w:eastAsia="Arial" w:hAnsi="Arial"/>
          <w:sz w:val="16"/>
          <w:szCs w:val="16"/>
          <w:color w:val="auto"/>
        </w:rPr>
        <w:t>•   French Ambassador for International Investment and CEO of Business France, the national agency supporting the international development of the French economy, from 2014 to 2017</w:t>
      </w:r>
    </w:p>
    <w:p>
      <w:pPr>
        <w:spacing w:after="0" w:line="27" w:lineRule="exact"/>
        <w:rPr>
          <w:sz w:val="20"/>
          <w:szCs w:val="20"/>
          <w:color w:val="auto"/>
        </w:rPr>
      </w:pPr>
    </w:p>
    <w:p>
      <w:pPr>
        <w:ind w:left="180" w:right="560" w:hanging="177"/>
        <w:spacing w:after="0" w:line="278" w:lineRule="auto"/>
        <w:rPr>
          <w:sz w:val="20"/>
          <w:szCs w:val="20"/>
          <w:color w:val="auto"/>
        </w:rPr>
      </w:pPr>
      <w:r>
        <w:rPr>
          <w:rFonts w:ascii="Arial" w:cs="Arial" w:eastAsia="Arial" w:hAnsi="Arial"/>
          <w:sz w:val="16"/>
          <w:szCs w:val="16"/>
          <w:color w:val="auto"/>
        </w:rPr>
        <w:t>•   Senior Executive Vice President, Human Resources at Danone Group, a global food and beverage company, and a member of its Executive Committee from 2008 to 2014</w:t>
      </w:r>
    </w:p>
    <w:p>
      <w:pPr>
        <w:spacing w:after="0" w:line="27" w:lineRule="exact"/>
        <w:rPr>
          <w:sz w:val="20"/>
          <w:szCs w:val="20"/>
          <w:color w:val="auto"/>
        </w:rPr>
      </w:pPr>
    </w:p>
    <w:p>
      <w:pPr>
        <w:ind w:left="180" w:right="500" w:hanging="177"/>
        <w:spacing w:after="0" w:line="278" w:lineRule="auto"/>
        <w:rPr>
          <w:sz w:val="20"/>
          <w:szCs w:val="20"/>
          <w:color w:val="auto"/>
        </w:rPr>
      </w:pPr>
      <w:r>
        <w:rPr>
          <w:rFonts w:ascii="Arial" w:cs="Arial" w:eastAsia="Arial" w:hAnsi="Arial"/>
          <w:sz w:val="16"/>
          <w:szCs w:val="16"/>
          <w:color w:val="auto"/>
        </w:rPr>
        <w:t>•   Senior Executive Vice President, Human Resources, Organization and Sustainable Development at Dassault Systems, a global 3D technology company, from 2002 to 2008</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20" w:hanging="177"/>
        <w:spacing w:after="0" w:line="248" w:lineRule="auto"/>
        <w:rPr>
          <w:sz w:val="20"/>
          <w:szCs w:val="20"/>
          <w:color w:val="auto"/>
        </w:rPr>
      </w:pPr>
      <w:r>
        <w:rPr>
          <w:rFonts w:ascii="Arial" w:cs="Arial" w:eastAsia="Arial" w:hAnsi="Arial"/>
          <w:sz w:val="16"/>
          <w:szCs w:val="16"/>
          <w:color w:val="auto"/>
        </w:rPr>
        <w:t>•   Ms. Pénicaud has extensive experience in government relations and human resources as a result of the multiple cabinet level positions she has held in the French government, including as the French Minister of Labor and as Ambassador, Permanent Representative to the OECD. As a result, she brings a unique perspective on the labor economy from the public and private sector</w:t>
      </w:r>
    </w:p>
    <w:p>
      <w:pPr>
        <w:spacing w:after="0" w:line="51" w:lineRule="exact"/>
        <w:rPr>
          <w:sz w:val="20"/>
          <w:szCs w:val="20"/>
          <w:color w:val="auto"/>
        </w:rPr>
      </w:pPr>
    </w:p>
    <w:p>
      <w:pPr>
        <w:ind w:left="180" w:right="260" w:hanging="177"/>
        <w:spacing w:after="0" w:line="261" w:lineRule="auto"/>
        <w:rPr>
          <w:sz w:val="20"/>
          <w:szCs w:val="20"/>
          <w:color w:val="auto"/>
        </w:rPr>
      </w:pPr>
      <w:r>
        <w:rPr>
          <w:rFonts w:ascii="Arial" w:cs="Arial" w:eastAsia="Arial" w:hAnsi="Arial"/>
          <w:sz w:val="16"/>
          <w:szCs w:val="16"/>
          <w:color w:val="auto"/>
        </w:rPr>
        <w:t>•   We also benefit from Ms. Pénicaud’s significant experience in international business and human capital management, including extensive experience at the CHRO leadership level at two large French multinational companies</w:t>
      </w:r>
    </w:p>
    <w:p>
      <w:pPr>
        <w:spacing w:after="0" w:line="40" w:lineRule="exact"/>
        <w:rPr>
          <w:sz w:val="20"/>
          <w:szCs w:val="20"/>
          <w:color w:val="auto"/>
        </w:rPr>
      </w:pPr>
    </w:p>
    <w:p>
      <w:pPr>
        <w:ind w:left="180" w:right="100" w:hanging="177"/>
        <w:spacing w:after="0" w:line="278" w:lineRule="auto"/>
        <w:rPr>
          <w:sz w:val="20"/>
          <w:szCs w:val="20"/>
          <w:color w:val="auto"/>
        </w:rPr>
      </w:pPr>
      <w:r>
        <w:rPr>
          <w:rFonts w:ascii="Arial" w:cs="Arial" w:eastAsia="Arial" w:hAnsi="Arial"/>
          <w:sz w:val="16"/>
          <w:szCs w:val="16"/>
          <w:color w:val="auto"/>
        </w:rPr>
        <w:t>•   She also brings an important perspective on economic and labor trends and developments in France, our largest country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263525</wp:posOffset>
            </wp:positionV>
            <wp:extent cx="6913880" cy="1177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7720"/>
          </w:cols>
          <w:pgMar w:left="320" w:top="480" w:right="519" w:bottom="1440" w:gutter="0" w:footer="0" w:header="0"/>
          <w:type w:val="continuous"/>
        </w:sect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7F7F7F"/>
              </w:rPr>
              <w:t xml:space="preserve">Sales   </w:t>
            </w:r>
            <w:r>
              <w:rPr>
                <w:rFonts w:ascii="Arial" w:cs="Arial" w:eastAsia="Arial" w:hAnsi="Arial"/>
                <w:sz w:val="14"/>
                <w:szCs w:val="14"/>
                <w:b w:val="1"/>
                <w:bCs w:val="1"/>
                <w:color w:val="000000"/>
              </w:rPr>
              <w:t>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7F7F7F"/>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7F7F7F"/>
              </w:rPr>
              <w:t xml:space="preserve">Accounting or  </w:t>
            </w:r>
            <w:r>
              <w:rPr>
                <w:rFonts w:ascii="Arial" w:cs="Arial" w:eastAsia="Arial" w:hAnsi="Arial"/>
                <w:sz w:val="14"/>
                <w:szCs w:val="14"/>
                <w:b w:val="1"/>
                <w:bCs w:val="1"/>
                <w:color w:val="000000"/>
              </w:rPr>
              <w:t>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7F7F7F"/>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7F7F7F"/>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104140</wp:posOffset>
            </wp:positionV>
            <wp:extent cx="1652270" cy="4617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52270" cy="461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59</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2014</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Jonas Prising</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Kohl’s Corporation (since 2015)</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Chair of Junior Achievement Worldwide</w:t>
      </w:r>
    </w:p>
    <w:p>
      <w:pPr>
        <w:spacing w:after="0" w:line="67" w:lineRule="exact"/>
        <w:rPr>
          <w:sz w:val="20"/>
          <w:szCs w:val="20"/>
          <w:color w:val="auto"/>
        </w:rPr>
      </w:pPr>
    </w:p>
    <w:p>
      <w:pPr>
        <w:ind w:left="180" w:right="260" w:hanging="177"/>
        <w:spacing w:after="0" w:line="278" w:lineRule="auto"/>
        <w:rPr>
          <w:sz w:val="20"/>
          <w:szCs w:val="20"/>
          <w:color w:val="auto"/>
        </w:rPr>
      </w:pPr>
      <w:r>
        <w:rPr>
          <w:rFonts w:ascii="Arial" w:cs="Arial" w:eastAsia="Arial" w:hAnsi="Arial"/>
          <w:sz w:val="16"/>
          <w:szCs w:val="16"/>
          <w:color w:val="auto"/>
        </w:rPr>
        <w:t>•   Actively engaged with the World Economic Forum, including as a member of the International Business Council (IBC) and several other groups/alliances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Board member and former Chairman of the Metropolitan Milwaukee Association of Commerce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Chief Executive Officer of ManpowerGroup since 2014</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Chairman of ManpowerGroup since 2015</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ManpowerGroup President from 2012 to 2014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Executive Vice President, President of ManpowerGroup - The Americas from 2009 to 2012</w:t>
      </w:r>
    </w:p>
    <w:p>
      <w:pPr>
        <w:spacing w:after="0" w:line="83" w:lineRule="exact"/>
        <w:rPr>
          <w:sz w:val="20"/>
          <w:szCs w:val="20"/>
          <w:color w:val="auto"/>
        </w:rPr>
      </w:pPr>
    </w:p>
    <w:p>
      <w:pPr>
        <w:ind w:left="180" w:right="260" w:hanging="177"/>
        <w:spacing w:after="0" w:line="278" w:lineRule="auto"/>
        <w:rPr>
          <w:sz w:val="20"/>
          <w:szCs w:val="20"/>
          <w:color w:val="auto"/>
        </w:rPr>
      </w:pPr>
      <w:r>
        <w:rPr>
          <w:rFonts w:ascii="Arial" w:cs="Arial" w:eastAsia="Arial" w:hAnsi="Arial"/>
          <w:sz w:val="16"/>
          <w:szCs w:val="16"/>
          <w:color w:val="auto"/>
        </w:rPr>
        <w:t>•   Executive Vice President, President of ManpowerGroup - United States and Canadian Operations from 2006 to 2008</w:t>
      </w:r>
    </w:p>
    <w:p>
      <w:pPr>
        <w:spacing w:after="0" w:line="27" w:lineRule="exact"/>
        <w:rPr>
          <w:sz w:val="20"/>
          <w:szCs w:val="20"/>
          <w:color w:val="auto"/>
        </w:rPr>
      </w:pPr>
    </w:p>
    <w:p>
      <w:pPr>
        <w:ind w:left="180" w:right="180" w:hanging="177"/>
        <w:spacing w:after="0" w:line="278" w:lineRule="auto"/>
        <w:rPr>
          <w:sz w:val="20"/>
          <w:szCs w:val="20"/>
          <w:color w:val="auto"/>
        </w:rPr>
      </w:pPr>
      <w:r>
        <w:rPr>
          <w:rFonts w:ascii="Arial" w:cs="Arial" w:eastAsia="Arial" w:hAnsi="Arial"/>
          <w:sz w:val="16"/>
          <w:szCs w:val="16"/>
          <w:color w:val="auto"/>
        </w:rPr>
        <w:t>•   Prior thereto, held other positions with increasing responsibility at ManpowerGroup since 1999, based in Europe and the United States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80" w:hanging="177"/>
        <w:spacing w:after="0" w:line="248" w:lineRule="auto"/>
        <w:rPr>
          <w:sz w:val="20"/>
          <w:szCs w:val="20"/>
          <w:color w:val="auto"/>
        </w:rPr>
      </w:pPr>
      <w:r>
        <w:rPr>
          <w:rFonts w:ascii="Arial" w:cs="Arial" w:eastAsia="Arial" w:hAnsi="Arial"/>
          <w:sz w:val="16"/>
          <w:szCs w:val="16"/>
          <w:color w:val="auto"/>
        </w:rPr>
        <w:t>•   Mr. Prising brings to the Board a strong leadership track record from his tenure as a member of ManpowerGroup’s senior leadership team. Given his current roles as chair and chief executive officer and his several other leadership roles he has held within the Company, Mr. Prising also brings to the Board a broad understanding of the Company’s industry, business, operations and growth strategy</w:t>
      </w:r>
    </w:p>
    <w:p>
      <w:pPr>
        <w:spacing w:after="0" w:line="51" w:lineRule="exact"/>
        <w:rPr>
          <w:sz w:val="20"/>
          <w:szCs w:val="20"/>
          <w:color w:val="auto"/>
        </w:rPr>
      </w:pPr>
    </w:p>
    <w:p>
      <w:pPr>
        <w:ind w:left="180" w:right="200" w:hanging="177"/>
        <w:spacing w:after="0" w:line="261" w:lineRule="auto"/>
        <w:rPr>
          <w:sz w:val="20"/>
          <w:szCs w:val="20"/>
          <w:color w:val="auto"/>
        </w:rPr>
      </w:pPr>
      <w:r>
        <w:rPr>
          <w:rFonts w:ascii="Arial" w:cs="Arial" w:eastAsia="Arial" w:hAnsi="Arial"/>
          <w:sz w:val="16"/>
          <w:szCs w:val="16"/>
          <w:color w:val="auto"/>
        </w:rPr>
        <w:t>•   He is a frequent speaker and commentator on the global stage, especially on topics of labor economics, governance and sustainability, and has enabled ManpowerGroup to develop significant visibility and recognition within the business services community</w:t>
      </w:r>
    </w:p>
    <w:p>
      <w:pPr>
        <w:spacing w:after="0" w:line="40" w:lineRule="exact"/>
        <w:rPr>
          <w:sz w:val="20"/>
          <w:szCs w:val="20"/>
          <w:color w:val="auto"/>
        </w:rPr>
      </w:pPr>
    </w:p>
    <w:p>
      <w:pPr>
        <w:ind w:left="180" w:right="500" w:hanging="177"/>
        <w:spacing w:after="0" w:line="278" w:lineRule="auto"/>
        <w:rPr>
          <w:sz w:val="20"/>
          <w:szCs w:val="20"/>
          <w:color w:val="auto"/>
        </w:rPr>
      </w:pPr>
      <w:r>
        <w:rPr>
          <w:rFonts w:ascii="Arial" w:cs="Arial" w:eastAsia="Arial" w:hAnsi="Arial"/>
          <w:sz w:val="16"/>
          <w:szCs w:val="16"/>
          <w:color w:val="auto"/>
        </w:rPr>
        <w:t>•   Mr. Prising also provides a global perspective and strong knowledge of the relevant marketplaces in Europe and Asia, as well as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729615</wp:posOffset>
            </wp:positionV>
            <wp:extent cx="6913880" cy="1177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36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-1615440</wp:posOffset>
            </wp:positionV>
            <wp:extent cx="1355725" cy="135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55725" cy="1355725"/>
                    </a:xfrm>
                    <a:prstGeom prst="rect">
                      <a:avLst/>
                    </a:prstGeom>
                    <a:noFill/>
                  </pic:spPr>
                </pic:pic>
              </a:graphicData>
            </a:graphic>
          </wp:anchor>
        </w:drawing>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2014</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•   Audit </w:t>
      </w:r>
      <w:r>
        <w:rPr>
          <w:rFonts w:ascii="Arial" w:cs="Arial" w:eastAsia="Arial" w:hAnsi="Arial"/>
          <w:sz w:val="16"/>
          <w:szCs w:val="16"/>
          <w:i w:val="1"/>
          <w:i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104140</wp:posOffset>
            </wp:positionV>
            <wp:extent cx="8255" cy="3448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34480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Paul Read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Former Non-Executive Director of Ingram Micro</w:t>
      </w:r>
    </w:p>
    <w:p>
      <w:pPr>
        <w:spacing w:after="0" w:line="67" w:lineRule="exact"/>
        <w:rPr>
          <w:sz w:val="20"/>
          <w:szCs w:val="20"/>
          <w:color w:val="auto"/>
        </w:rPr>
      </w:pPr>
    </w:p>
    <w:p>
      <w:pPr>
        <w:ind w:right="820"/>
        <w:spacing w:after="0" w:line="424" w:lineRule="auto"/>
        <w:rPr>
          <w:sz w:val="20"/>
          <w:szCs w:val="20"/>
          <w:color w:val="auto"/>
        </w:rPr>
      </w:pPr>
      <w:r>
        <w:rPr>
          <w:rFonts w:ascii="Arial" w:cs="Arial" w:eastAsia="Arial" w:hAnsi="Arial"/>
          <w:sz w:val="15"/>
          <w:szCs w:val="15"/>
          <w:color w:val="auto"/>
        </w:rPr>
        <w:t>•   Former Member of the Board of Advisors, Leavey School of Business at Santa Clara University •   Former Director of Arcient, Inc. a privately held information and technology services company</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ind w:left="180" w:right="680" w:hanging="177"/>
        <w:spacing w:after="0" w:line="257" w:lineRule="auto"/>
        <w:rPr>
          <w:sz w:val="20"/>
          <w:szCs w:val="20"/>
          <w:color w:val="auto"/>
        </w:rPr>
      </w:pPr>
      <w:r>
        <w:rPr>
          <w:rFonts w:ascii="Arial" w:cs="Arial" w:eastAsia="Arial" w:hAnsi="Arial"/>
          <w:sz w:val="16"/>
          <w:szCs w:val="16"/>
          <w:color w:val="auto"/>
        </w:rPr>
        <w:t>•   President Global Technology Business and Chief Operating Officer of Ingram Micro, a technology distributor and supply-chain services provider, from 2013 to 2016</w:t>
      </w:r>
    </w:p>
    <w:p>
      <w:pPr>
        <w:spacing w:after="0" w:line="44" w:lineRule="exact"/>
        <w:rPr>
          <w:sz w:val="20"/>
          <w:szCs w:val="20"/>
          <w:color w:val="auto"/>
        </w:rPr>
      </w:pPr>
    </w:p>
    <w:p>
      <w:pPr>
        <w:ind w:left="180" w:right="260" w:hanging="177"/>
        <w:spacing w:after="0" w:line="278" w:lineRule="auto"/>
        <w:rPr>
          <w:sz w:val="20"/>
          <w:szCs w:val="20"/>
          <w:color w:val="auto"/>
        </w:rPr>
      </w:pPr>
      <w:r>
        <w:rPr>
          <w:rFonts w:ascii="Arial" w:cs="Arial" w:eastAsia="Arial" w:hAnsi="Arial"/>
          <w:sz w:val="16"/>
          <w:szCs w:val="16"/>
          <w:color w:val="auto"/>
        </w:rPr>
        <w:t>•   Chief Financial Officer of Flextronics International, an electronics manufacturing services provider, from 2008 to 2013</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180" w:hanging="177"/>
        <w:spacing w:after="0" w:line="257" w:lineRule="auto"/>
        <w:rPr>
          <w:sz w:val="20"/>
          <w:szCs w:val="20"/>
          <w:color w:val="auto"/>
        </w:rPr>
      </w:pPr>
      <w:r>
        <w:rPr>
          <w:rFonts w:ascii="Arial" w:cs="Arial" w:eastAsia="Arial" w:hAnsi="Arial"/>
          <w:sz w:val="16"/>
          <w:szCs w:val="16"/>
          <w:color w:val="auto"/>
        </w:rPr>
        <w:t>•   Mr. Read has significant managerial, operational and global experience as a result of senior positions he has held, including his tenure as President and Chief Operating Officer of Ingram Micro</w:t>
      </w:r>
    </w:p>
    <w:p>
      <w:pPr>
        <w:spacing w:after="0" w:line="44" w:lineRule="exact"/>
        <w:rPr>
          <w:sz w:val="20"/>
          <w:szCs w:val="20"/>
          <w:color w:val="auto"/>
        </w:rPr>
      </w:pPr>
    </w:p>
    <w:p>
      <w:pPr>
        <w:ind w:left="180" w:right="520" w:hanging="177"/>
        <w:spacing w:after="0" w:line="278" w:lineRule="auto"/>
        <w:rPr>
          <w:sz w:val="20"/>
          <w:szCs w:val="20"/>
          <w:color w:val="auto"/>
        </w:rPr>
      </w:pPr>
      <w:r>
        <w:rPr>
          <w:rFonts w:ascii="Arial" w:cs="Arial" w:eastAsia="Arial" w:hAnsi="Arial"/>
          <w:sz w:val="16"/>
          <w:szCs w:val="16"/>
          <w:color w:val="auto"/>
        </w:rPr>
        <w:t>•   He has extensive background in finance and accounting matters from prior roles, including as Chief Financial Officer of Flextronics International</w:t>
      </w:r>
    </w:p>
    <w:p>
      <w:pPr>
        <w:spacing w:after="0" w:line="27" w:lineRule="exact"/>
        <w:rPr>
          <w:sz w:val="20"/>
          <w:szCs w:val="20"/>
          <w:color w:val="auto"/>
        </w:rPr>
      </w:pPr>
    </w:p>
    <w:p>
      <w:pPr>
        <w:ind w:left="180" w:right="320" w:hanging="177"/>
        <w:spacing w:after="0" w:line="278" w:lineRule="auto"/>
        <w:rPr>
          <w:sz w:val="20"/>
          <w:szCs w:val="20"/>
          <w:color w:val="auto"/>
        </w:rPr>
      </w:pPr>
      <w:r>
        <w:rPr>
          <w:rFonts w:ascii="Arial" w:cs="Arial" w:eastAsia="Arial" w:hAnsi="Arial"/>
          <w:sz w:val="16"/>
          <w:szCs w:val="16"/>
          <w:color w:val="auto"/>
        </w:rPr>
        <w:t>•   We also benefit from Mr. Read’s knowledge and experience in the information security and technology industry, including his time as President Global Technology Business at Ingram Micro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2009140</wp:posOffset>
            </wp:positionV>
            <wp:extent cx="6913880" cy="1177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auto"/>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104140</wp:posOffset>
            </wp:positionV>
            <wp:extent cx="1652270" cy="4600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52270" cy="4600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69</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2010</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500" w:right="920" w:hanging="177"/>
        <w:spacing w:after="0" w:line="291" w:lineRule="auto"/>
        <w:rPr>
          <w:sz w:val="20"/>
          <w:szCs w:val="20"/>
          <w:color w:val="auto"/>
        </w:rPr>
      </w:pPr>
      <w:r>
        <w:rPr>
          <w:rFonts w:ascii="Arial" w:cs="Arial" w:eastAsia="Arial" w:hAnsi="Arial"/>
          <w:sz w:val="15"/>
          <w:szCs w:val="15"/>
          <w:color w:val="auto"/>
        </w:rPr>
        <w:t xml:space="preserve">•   People, Culture and Compensation </w:t>
      </w:r>
      <w:r>
        <w:rPr>
          <w:rFonts w:ascii="Arial" w:cs="Arial" w:eastAsia="Arial" w:hAnsi="Arial"/>
          <w:sz w:val="15"/>
          <w:szCs w:val="15"/>
          <w:i w:val="1"/>
          <w:iCs w:val="1"/>
          <w:color w:val="auto"/>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Elizabeth P. Sartain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Former Director of Shutterfly Inc. (2016 to 2019)</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Former Director of Peets Tea &amp; Coffee, Inc. (2007 to 2012)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AARP; Chairman of the Board of the AARP Foundation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Named to 2023 Most Influential Corporate Board Directors, Women Inc. Magazine</w:t>
      </w:r>
    </w:p>
    <w:p>
      <w:pPr>
        <w:spacing w:after="0" w:line="83" w:lineRule="exact"/>
        <w:rPr>
          <w:sz w:val="20"/>
          <w:szCs w:val="20"/>
          <w:color w:val="auto"/>
        </w:rPr>
      </w:pPr>
    </w:p>
    <w:p>
      <w:pPr>
        <w:ind w:right="1020"/>
        <w:spacing w:after="0" w:line="371" w:lineRule="auto"/>
        <w:rPr>
          <w:sz w:val="20"/>
          <w:szCs w:val="20"/>
          <w:color w:val="auto"/>
        </w:rPr>
      </w:pPr>
      <w:r>
        <w:rPr>
          <w:rFonts w:ascii="Arial" w:cs="Arial" w:eastAsia="Arial" w:hAnsi="Arial"/>
          <w:sz w:val="15"/>
          <w:szCs w:val="15"/>
          <w:color w:val="auto"/>
        </w:rPr>
        <w:t>•   Named to 2020 Directorship 100 by NACD as one of the most influential corporate directors •   NACD Board Leadership Fellow and faculty member of its Director Professionalism program</w:t>
      </w:r>
    </w:p>
    <w:p>
      <w:pPr>
        <w:spacing w:after="0"/>
        <w:rPr>
          <w:sz w:val="20"/>
          <w:szCs w:val="20"/>
          <w:color w:val="auto"/>
        </w:rPr>
      </w:pPr>
      <w:r>
        <w:rPr>
          <w:rFonts w:ascii="Arial" w:cs="Arial" w:eastAsia="Arial" w:hAnsi="Arial"/>
          <w:sz w:val="16"/>
          <w:szCs w:val="16"/>
          <w:color w:val="auto"/>
        </w:rPr>
        <w:t>•   Former Director and Chair of the Society of Human Resource Management (SHRM) Foundation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Independent Human Resource Advisor and Consultant since 2008</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Executive Vice President and Chief People Officer at Yahoo! Inc. from 2001 to 2008</w:t>
      </w:r>
    </w:p>
    <w:p>
      <w:pPr>
        <w:spacing w:after="0" w:line="83" w:lineRule="exact"/>
        <w:rPr>
          <w:sz w:val="20"/>
          <w:szCs w:val="20"/>
          <w:color w:val="auto"/>
        </w:rPr>
      </w:pPr>
    </w:p>
    <w:p>
      <w:pPr>
        <w:ind w:left="180" w:right="560" w:hanging="177"/>
        <w:spacing w:after="0" w:line="278" w:lineRule="auto"/>
        <w:rPr>
          <w:sz w:val="20"/>
          <w:szCs w:val="20"/>
          <w:color w:val="auto"/>
        </w:rPr>
      </w:pPr>
      <w:r>
        <w:rPr>
          <w:rFonts w:ascii="Arial" w:cs="Arial" w:eastAsia="Arial" w:hAnsi="Arial"/>
          <w:sz w:val="16"/>
          <w:szCs w:val="16"/>
          <w:color w:val="auto"/>
        </w:rPr>
        <w:t>•   An executive with Southwest Airlines serving in various positions from 1988 to 2001, including Vice President of People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480" w:hanging="177"/>
        <w:spacing w:after="0" w:line="257" w:lineRule="auto"/>
        <w:rPr>
          <w:sz w:val="20"/>
          <w:szCs w:val="20"/>
          <w:color w:val="auto"/>
        </w:rPr>
      </w:pPr>
      <w:r>
        <w:rPr>
          <w:rFonts w:ascii="Arial" w:cs="Arial" w:eastAsia="Arial" w:hAnsi="Arial"/>
          <w:sz w:val="16"/>
          <w:szCs w:val="16"/>
          <w:color w:val="auto"/>
        </w:rPr>
        <w:t>•   Ms. Sartain has significant experience in executive compensation, organizational design and human capital management</w:t>
      </w:r>
    </w:p>
    <w:p>
      <w:pPr>
        <w:spacing w:after="0" w:line="44" w:lineRule="exact"/>
        <w:rPr>
          <w:sz w:val="20"/>
          <w:szCs w:val="20"/>
          <w:color w:val="auto"/>
        </w:rPr>
      </w:pPr>
    </w:p>
    <w:p>
      <w:pPr>
        <w:ind w:left="180" w:right="180" w:hanging="177"/>
        <w:spacing w:after="0" w:line="313" w:lineRule="auto"/>
        <w:rPr>
          <w:sz w:val="20"/>
          <w:szCs w:val="20"/>
          <w:color w:val="auto"/>
        </w:rPr>
      </w:pPr>
      <w:r>
        <w:rPr>
          <w:rFonts w:ascii="Arial" w:cs="Arial" w:eastAsia="Arial" w:hAnsi="Arial"/>
          <w:sz w:val="15"/>
          <w:szCs w:val="15"/>
          <w:color w:val="auto"/>
        </w:rPr>
        <w:t>•   She also brings significant human resources experience as a result of senior management positions she held at several prominent companies, including as Vice President and Chief People Officer at Yahoo!</w:t>
      </w:r>
    </w:p>
    <w:p>
      <w:pPr>
        <w:spacing w:after="0" w:line="4" w:lineRule="exact"/>
        <w:rPr>
          <w:sz w:val="20"/>
          <w:szCs w:val="20"/>
          <w:color w:val="auto"/>
        </w:rPr>
      </w:pPr>
    </w:p>
    <w:p>
      <w:pPr>
        <w:ind w:left="180" w:right="480" w:hanging="177"/>
        <w:spacing w:after="0" w:line="278" w:lineRule="auto"/>
        <w:rPr>
          <w:sz w:val="20"/>
          <w:szCs w:val="20"/>
          <w:color w:val="auto"/>
        </w:rPr>
      </w:pPr>
      <w:r>
        <w:rPr>
          <w:rFonts w:ascii="Arial" w:cs="Arial" w:eastAsia="Arial" w:hAnsi="Arial"/>
          <w:sz w:val="16"/>
          <w:szCs w:val="16"/>
          <w:color w:val="auto"/>
        </w:rPr>
        <w:t>•   Ms. Sartain has led significant business transformation initiatives as well as global human resources efforts, focusing on attracting, retaining and developing employees</w:t>
      </w:r>
    </w:p>
    <w:p>
      <w:pPr>
        <w:spacing w:after="0" w:line="27" w:lineRule="exact"/>
        <w:rPr>
          <w:sz w:val="20"/>
          <w:szCs w:val="20"/>
          <w:color w:val="auto"/>
        </w:rPr>
      </w:pPr>
    </w:p>
    <w:p>
      <w:pPr>
        <w:ind w:left="180" w:right="20" w:hanging="177"/>
        <w:spacing w:after="0" w:line="278" w:lineRule="auto"/>
        <w:rPr>
          <w:sz w:val="20"/>
          <w:szCs w:val="20"/>
          <w:color w:val="auto"/>
        </w:rPr>
      </w:pPr>
      <w:r>
        <w:rPr>
          <w:rFonts w:ascii="Arial" w:cs="Arial" w:eastAsia="Arial" w:hAnsi="Arial"/>
          <w:sz w:val="16"/>
          <w:szCs w:val="16"/>
          <w:color w:val="auto"/>
        </w:rPr>
        <w:t>•   She also has recognized experience in workforce trends, compensation committee and governance issues and is a recognized speaker on these issues</w:t>
      </w:r>
    </w:p>
    <w:p>
      <w:pPr>
        <w:spacing w:after="0" w:line="27" w:lineRule="exact"/>
        <w:rPr>
          <w:sz w:val="20"/>
          <w:szCs w:val="20"/>
          <w:color w:val="auto"/>
        </w:rPr>
      </w:pPr>
    </w:p>
    <w:p>
      <w:pPr>
        <w:ind w:left="180" w:right="380" w:hanging="177"/>
        <w:spacing w:after="0" w:line="278" w:lineRule="auto"/>
        <w:rPr>
          <w:sz w:val="20"/>
          <w:szCs w:val="20"/>
          <w:color w:val="auto"/>
        </w:rPr>
      </w:pPr>
      <w:r>
        <w:rPr>
          <w:rFonts w:ascii="Arial" w:cs="Arial" w:eastAsia="Arial" w:hAnsi="Arial"/>
          <w:sz w:val="16"/>
          <w:szCs w:val="16"/>
          <w:color w:val="auto"/>
        </w:rPr>
        <w:t>•   Ms. Sartain also brings an important perspective gained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628015</wp:posOffset>
            </wp:positionV>
            <wp:extent cx="6913880" cy="1177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36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7F7F7F"/>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7F7F7F"/>
              </w:rPr>
              <w:t>Marketing  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7F7F7F"/>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7F7F7F"/>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7F7F7F"/>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7F7F7F"/>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10</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701675</wp:posOffset>
            </wp:positionV>
            <wp:extent cx="6913880" cy="33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210185</wp:posOffset>
            </wp:positionV>
            <wp:extent cx="6913880" cy="406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Age: </w:t>
      </w:r>
      <w:r>
        <w:rPr>
          <w:rFonts w:ascii="Arial" w:cs="Arial" w:eastAsia="Arial" w:hAnsi="Arial"/>
          <w:sz w:val="16"/>
          <w:szCs w:val="16"/>
          <w:color w:val="000000"/>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-1615440</wp:posOffset>
            </wp:positionV>
            <wp:extent cx="8255" cy="3583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3583940"/>
                    </a:xfrm>
                    <a:prstGeom prst="rect">
                      <a:avLst/>
                    </a:prstGeom>
                    <a:noFill/>
                  </pic:spPr>
                </pic:pic>
              </a:graphicData>
            </a:graphic>
          </wp:anchor>
        </w:drawing>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5D89B4"/>
        </w:rPr>
        <w:t xml:space="preserve">Director Since: </w:t>
      </w:r>
      <w:r>
        <w:rPr>
          <w:rFonts w:ascii="Arial" w:cs="Arial" w:eastAsia="Arial" w:hAnsi="Arial"/>
          <w:sz w:val="16"/>
          <w:szCs w:val="16"/>
          <w:color w:val="000000"/>
        </w:rPr>
        <w:t>2017</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D89B4"/>
        </w:rPr>
        <w:t>Committees: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Governance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5D89B4"/>
        </w:rPr>
        <w:t>Michael J. Van Handel</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Public Company Boards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ICF International (since 2017)</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Additional Leadership and Experience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Director of BMO Financial Corporation, a subsidiary of BMO Financial Group (since 2006)</w:t>
      </w:r>
    </w:p>
    <w:p>
      <w:pPr>
        <w:spacing w:after="0" w:line="67" w:lineRule="exact"/>
        <w:rPr>
          <w:sz w:val="20"/>
          <w:szCs w:val="20"/>
          <w:color w:val="auto"/>
        </w:rPr>
      </w:pPr>
    </w:p>
    <w:p>
      <w:pPr>
        <w:ind w:left="180" w:right="560" w:hanging="177"/>
        <w:spacing w:after="0" w:line="278" w:lineRule="auto"/>
        <w:rPr>
          <w:sz w:val="20"/>
          <w:szCs w:val="20"/>
          <w:color w:val="auto"/>
        </w:rPr>
      </w:pPr>
      <w:r>
        <w:rPr>
          <w:rFonts w:ascii="Arial" w:cs="Arial" w:eastAsia="Arial" w:hAnsi="Arial"/>
          <w:sz w:val="16"/>
          <w:szCs w:val="16"/>
          <w:color w:val="auto"/>
        </w:rPr>
        <w:t>•   Recognized nine times by Institutional Investor magazine as America’s Best CFO for Business and Professional Services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Senior Executive Vice President of ManpowerGroup from 2016 to 2017</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Chief Financial Officer of ManpowerGroup from 1998 to 2016</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Several other senior finance and accounting positions within ManpowerGroup since 1989</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Why this Director is Valuable to ManpowerGroup</w:t>
      </w:r>
    </w:p>
    <w:p>
      <w:pPr>
        <w:spacing w:after="0" w:line="9" w:lineRule="exact"/>
        <w:rPr>
          <w:sz w:val="20"/>
          <w:szCs w:val="20"/>
          <w:color w:val="auto"/>
        </w:rPr>
      </w:pPr>
    </w:p>
    <w:p>
      <w:pPr>
        <w:ind w:left="180" w:right="120" w:hanging="177"/>
        <w:spacing w:after="0" w:line="257" w:lineRule="auto"/>
        <w:rPr>
          <w:sz w:val="20"/>
          <w:szCs w:val="20"/>
          <w:color w:val="auto"/>
        </w:rPr>
      </w:pPr>
      <w:r>
        <w:rPr>
          <w:rFonts w:ascii="Arial" w:cs="Arial" w:eastAsia="Arial" w:hAnsi="Arial"/>
          <w:sz w:val="16"/>
          <w:szCs w:val="16"/>
          <w:color w:val="auto"/>
        </w:rPr>
        <w:t>•   Mr. Van Handel brings to the Board deep knowledge of ManpowerGroup and the industry developed over his more than twenty years of experience at the Company, including nearly two decades as CFO</w:t>
      </w:r>
    </w:p>
    <w:p>
      <w:pPr>
        <w:spacing w:after="0" w:line="44" w:lineRule="exact"/>
        <w:rPr>
          <w:sz w:val="20"/>
          <w:szCs w:val="20"/>
          <w:color w:val="auto"/>
        </w:rPr>
      </w:pPr>
    </w:p>
    <w:p>
      <w:pPr>
        <w:ind w:left="180" w:right="160" w:hanging="177"/>
        <w:spacing w:after="0" w:line="278" w:lineRule="auto"/>
        <w:rPr>
          <w:sz w:val="20"/>
          <w:szCs w:val="20"/>
          <w:color w:val="auto"/>
        </w:rPr>
      </w:pPr>
      <w:r>
        <w:rPr>
          <w:rFonts w:ascii="Arial" w:cs="Arial" w:eastAsia="Arial" w:hAnsi="Arial"/>
          <w:sz w:val="16"/>
          <w:szCs w:val="16"/>
          <w:color w:val="auto"/>
        </w:rPr>
        <w:t>•   As CFO, Mr. Van Handel was also a member of ManpowerGroup’s leadership team and was significantly engaged in developing the Company’s business strategy</w:t>
      </w:r>
    </w:p>
    <w:p>
      <w:pPr>
        <w:spacing w:after="0" w:line="27" w:lineRule="exact"/>
        <w:rPr>
          <w:sz w:val="20"/>
          <w:szCs w:val="20"/>
          <w:color w:val="auto"/>
        </w:rPr>
      </w:pPr>
    </w:p>
    <w:p>
      <w:pPr>
        <w:jc w:val="both"/>
        <w:ind w:left="180" w:right="60" w:hanging="177"/>
        <w:spacing w:after="0" w:line="255" w:lineRule="auto"/>
        <w:rPr>
          <w:sz w:val="20"/>
          <w:szCs w:val="20"/>
          <w:color w:val="auto"/>
        </w:rPr>
      </w:pPr>
      <w:r>
        <w:rPr>
          <w:rFonts w:ascii="Arial" w:cs="Arial" w:eastAsia="Arial" w:hAnsi="Arial"/>
          <w:sz w:val="16"/>
          <w:szCs w:val="16"/>
          <w:color w:val="auto"/>
        </w:rPr>
        <w:t>•   He has significant managerial, operational, transactional and financial markets experience relevant to our business. Mr. Van Handel was responsible for driving operational performance across all geographies and business lines and given his extensive knowledge of the industry and competitive landscape, was heavily involved in M&amp;A activity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1867535</wp:posOffset>
            </wp:positionV>
            <wp:extent cx="6913880" cy="1177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13880" cy="1177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80"/>
            <w:col w:w="7720"/>
          </w:cols>
          <w:pgMar w:left="320" w:top="4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5D89B4"/>
        </w:rPr>
        <w:t>Skills: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Previous Board   International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Sales   Government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Human</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7F7F7F"/>
              </w:rPr>
              <w:t xml:space="preserve">Marketing  </w:t>
            </w:r>
            <w:r>
              <w:rPr>
                <w:rFonts w:ascii="Arial" w:cs="Arial" w:eastAsia="Arial" w:hAnsi="Arial"/>
                <w:sz w:val="14"/>
                <w:szCs w:val="14"/>
                <w:b w:val="1"/>
                <w:bCs w:val="1"/>
                <w:color w:val="000000"/>
              </w:rPr>
              <w:t>Technology</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rPr>
              <w:t>Accounting or  Operations</w:t>
            </w:r>
          </w:p>
        </w:tc>
      </w:tr>
      <w:tr>
        <w:trPr>
          <w:trHeight w:val="160"/>
        </w:trPr>
        <w:tc>
          <w:tcPr>
            <w:tcW w:w="2300" w:type="dxa"/>
            <w:vAlign w:val="bottom"/>
          </w:tcPr>
          <w:p>
            <w:pPr>
              <w:ind w:left="1460"/>
              <w:spacing w:after="0"/>
              <w:rPr>
                <w:sz w:val="20"/>
                <w:szCs w:val="20"/>
                <w:color w:val="auto"/>
              </w:rPr>
            </w:pPr>
            <w:r>
              <w:rPr>
                <w:rFonts w:ascii="Arial" w:cs="Arial" w:eastAsia="Arial" w:hAnsi="Arial"/>
                <w:sz w:val="14"/>
                <w:szCs w:val="14"/>
                <w:b w:val="1"/>
                <w:bCs w:val="1"/>
                <w:color w:val="auto"/>
              </w:rPr>
              <w:t>Business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Former CEO/</w:t>
            </w:r>
          </w:p>
        </w:tc>
        <w:tc>
          <w:tcPr>
            <w:tcW w:w="1600" w:type="dxa"/>
            <w:vAlign w:val="bottom"/>
          </w:tcPr>
          <w:p>
            <w:pPr>
              <w:ind w:left="760"/>
              <w:spacing w:after="0"/>
              <w:rPr>
                <w:sz w:val="20"/>
                <w:szCs w:val="20"/>
                <w:color w:val="auto"/>
              </w:rPr>
            </w:pPr>
            <w:r>
              <w:rPr>
                <w:rFonts w:ascii="Arial" w:cs="Arial" w:eastAsia="Arial" w:hAnsi="Arial"/>
                <w:sz w:val="14"/>
                <w:szCs w:val="14"/>
                <w:b w:val="1"/>
                <w:bCs w:val="1"/>
                <w:color w:val="auto"/>
              </w:rPr>
              <w:t>Relations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Resources</w:t>
            </w: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and</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w w:val="98"/>
              </w:rPr>
              <w:t>Financial</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Chairperson</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jc w:val="center"/>
              <w:ind w:right="869"/>
              <w:spacing w:after="0"/>
              <w:rPr>
                <w:sz w:val="20"/>
                <w:szCs w:val="20"/>
                <w:color w:val="auto"/>
              </w:rPr>
            </w:pPr>
            <w:r>
              <w:rPr>
                <w:rFonts w:ascii="Arial" w:cs="Arial" w:eastAsia="Arial" w:hAnsi="Arial"/>
                <w:sz w:val="14"/>
                <w:szCs w:val="14"/>
                <w:b w:val="1"/>
                <w:bCs w:val="1"/>
                <w:color w:val="7F7F7F"/>
              </w:rPr>
              <w:t>Branding</w:t>
            </w:r>
          </w:p>
        </w:tc>
        <w:tc>
          <w:tcPr>
            <w:tcW w:w="2060" w:type="dxa"/>
            <w:vAlign w:val="bottom"/>
          </w:tcPr>
          <w:p>
            <w:pPr>
              <w:jc w:val="center"/>
              <w:ind w:right="789"/>
              <w:spacing w:after="0"/>
              <w:rPr>
                <w:sz w:val="20"/>
                <w:szCs w:val="20"/>
                <w:color w:val="auto"/>
              </w:rPr>
            </w:pPr>
            <w:r>
              <w:rPr>
                <w:rFonts w:ascii="Arial" w:cs="Arial" w:eastAsia="Arial" w:hAnsi="Arial"/>
                <w:sz w:val="14"/>
                <w:szCs w:val="14"/>
                <w:b w:val="1"/>
                <w:bCs w:val="1"/>
                <w:color w:val="auto"/>
              </w:rPr>
              <w:t>Oversight</w:t>
            </w:r>
          </w:p>
        </w:tc>
      </w:tr>
      <w:tr>
        <w:trPr>
          <w:trHeight w:val="160"/>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95"/>
        </w:trPr>
        <w:tc>
          <w:tcPr>
            <w:tcW w:w="2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C-Suite Officer</w:t>
            </w: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55"/>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r>
        <w:trPr>
          <w:trHeight w:val="160"/>
        </w:trPr>
        <w:tc>
          <w:tcPr>
            <w:tcW w:w="230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1180" w:type="dxa"/>
            <w:vAlign w:val="bottom"/>
            <w:tcBorders>
              <w:bottom w:val="single" w:sz="8" w:color="5D89B4"/>
            </w:tcBorders>
          </w:tcPr>
          <w:p>
            <w:pPr>
              <w:spacing w:after="0"/>
              <w:rPr>
                <w:sz w:val="13"/>
                <w:szCs w:val="13"/>
                <w:color w:val="auto"/>
              </w:rPr>
            </w:pPr>
          </w:p>
        </w:tc>
        <w:tc>
          <w:tcPr>
            <w:tcW w:w="1600" w:type="dxa"/>
            <w:vAlign w:val="bottom"/>
            <w:tcBorders>
              <w:bottom w:val="single" w:sz="8" w:color="5D89B4"/>
            </w:tcBorders>
          </w:tcPr>
          <w:p>
            <w:pPr>
              <w:spacing w:after="0"/>
              <w:rPr>
                <w:sz w:val="13"/>
                <w:szCs w:val="13"/>
                <w:color w:val="auto"/>
              </w:rPr>
            </w:pPr>
          </w:p>
        </w:tc>
        <w:tc>
          <w:tcPr>
            <w:tcW w:w="920" w:type="dxa"/>
            <w:vAlign w:val="bottom"/>
            <w:tcBorders>
              <w:bottom w:val="single" w:sz="8" w:color="5D89B4"/>
            </w:tcBorders>
          </w:tcPr>
          <w:p>
            <w:pPr>
              <w:spacing w:after="0"/>
              <w:rPr>
                <w:sz w:val="13"/>
                <w:szCs w:val="13"/>
                <w:color w:val="auto"/>
              </w:rPr>
            </w:pPr>
          </w:p>
        </w:tc>
        <w:tc>
          <w:tcPr>
            <w:tcW w:w="1800" w:type="dxa"/>
            <w:vAlign w:val="bottom"/>
            <w:tcBorders>
              <w:bottom w:val="single" w:sz="8" w:color="5D89B4"/>
            </w:tcBorders>
          </w:tcPr>
          <w:p>
            <w:pPr>
              <w:spacing w:after="0"/>
              <w:rPr>
                <w:sz w:val="13"/>
                <w:szCs w:val="13"/>
                <w:color w:val="auto"/>
              </w:rPr>
            </w:pPr>
          </w:p>
        </w:tc>
        <w:tc>
          <w:tcPr>
            <w:tcW w:w="2060" w:type="dxa"/>
            <w:vAlign w:val="bottom"/>
            <w:tcBorders>
              <w:bottom w:val="single" w:sz="8" w:color="5D89B4"/>
            </w:tcBorders>
          </w:tcPr>
          <w:p>
            <w:pPr>
              <w:spacing w:after="0"/>
              <w:rPr>
                <w:sz w:val="13"/>
                <w:szCs w:val="13"/>
                <w:color w:val="auto"/>
              </w:rPr>
            </w:pPr>
          </w:p>
        </w:tc>
      </w:tr>
    </w:tbl>
    <w:p>
      <w:pPr>
        <w:spacing w:after="0" w:line="127"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11</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DIRECTOR NOMINEE BIOGRAPHIES</w:t>
      </w:r>
    </w:p>
    <w:p>
      <w:pPr>
        <w:spacing w:after="0" w:line="146" w:lineRule="exact"/>
        <w:rPr>
          <w:sz w:val="20"/>
          <w:szCs w:val="20"/>
          <w:color w:val="auto"/>
        </w:rPr>
      </w:pPr>
    </w:p>
    <w:p>
      <w:pPr>
        <w:ind w:left="180" w:right="520"/>
        <w:spacing w:after="0" w:line="259" w:lineRule="auto"/>
        <w:rPr>
          <w:sz w:val="20"/>
          <w:szCs w:val="20"/>
          <w:color w:val="auto"/>
        </w:rPr>
      </w:pPr>
      <w:r>
        <w:rPr>
          <w:rFonts w:ascii="Arial" w:cs="Arial" w:eastAsia="Arial" w:hAnsi="Arial"/>
          <w:sz w:val="15"/>
          <w:szCs w:val="15"/>
          <w:color w:val="auto"/>
        </w:rPr>
        <w:t>Each director attended at least 75% of the board meetings and meetings of committees on which he or she served in 2023. The board of directors held five meetings during 2023. The board of directors did not take any action by written consent during 2023.</w:t>
      </w:r>
    </w:p>
    <w:p>
      <w:pPr>
        <w:spacing w:after="0" w:line="81" w:lineRule="exact"/>
        <w:rPr>
          <w:sz w:val="20"/>
          <w:szCs w:val="20"/>
          <w:color w:val="auto"/>
        </w:rPr>
      </w:pPr>
    </w:p>
    <w:p>
      <w:pPr>
        <w:jc w:val="both"/>
        <w:ind w:left="180" w:right="60"/>
        <w:spacing w:after="0" w:line="241" w:lineRule="auto"/>
        <w:rPr>
          <w:sz w:val="20"/>
          <w:szCs w:val="20"/>
          <w:color w:val="auto"/>
        </w:rPr>
      </w:pPr>
      <w:r>
        <w:rPr>
          <w:rFonts w:ascii="Arial" w:cs="Arial" w:eastAsia="Arial" w:hAnsi="Arial"/>
          <w:sz w:val="15"/>
          <w:szCs w:val="15"/>
          <w:color w:val="auto"/>
        </w:rPr>
        <w:t>The board of directors has established a general retirement age of 75. Under the Company’s corporate governance guidelines, an individual cannot be nominated for election to the board of directors after his or her 75th birthday. Any director who turns 75 during his or her normal term will continue in office until the expiration of that term.</w:t>
      </w:r>
    </w:p>
    <w:p>
      <w:pPr>
        <w:spacing w:after="0" w:line="108" w:lineRule="exact"/>
        <w:rPr>
          <w:sz w:val="20"/>
          <w:szCs w:val="20"/>
          <w:color w:val="auto"/>
        </w:rPr>
      </w:pPr>
    </w:p>
    <w:p>
      <w:pPr>
        <w:ind w:left="180" w:right="100"/>
        <w:spacing w:after="0" w:line="241" w:lineRule="auto"/>
        <w:rPr>
          <w:sz w:val="20"/>
          <w:szCs w:val="20"/>
          <w:color w:val="auto"/>
        </w:rPr>
      </w:pPr>
      <w:r>
        <w:rPr>
          <w:rFonts w:ascii="Arial" w:cs="Arial" w:eastAsia="Arial" w:hAnsi="Arial"/>
          <w:sz w:val="15"/>
          <w:szCs w:val="15"/>
          <w:color w:val="auto"/>
        </w:rPr>
        <w:t>William Downe has informed us that he does not wish to stand for re-election at the annual meeting. We express our thanks to Bill for his valuable service to ManpowerGroup and its shareholders, and for his many contributions to the Board over the past 13 years, including as our lead director. Following his retirement, the board of directors will have eleven members.</w:t>
      </w:r>
    </w:p>
    <w:p>
      <w:pPr>
        <w:spacing w:after="0" w:line="107" w:lineRule="exact"/>
        <w:rPr>
          <w:sz w:val="20"/>
          <w:szCs w:val="20"/>
          <w:color w:val="auto"/>
        </w:rPr>
      </w:pPr>
    </w:p>
    <w:p>
      <w:pPr>
        <w:ind w:left="180"/>
        <w:spacing w:after="0" w:line="230" w:lineRule="auto"/>
        <w:rPr>
          <w:sz w:val="20"/>
          <w:szCs w:val="20"/>
          <w:color w:val="auto"/>
        </w:rPr>
      </w:pPr>
      <w:r>
        <w:rPr>
          <w:rFonts w:ascii="Arial" w:cs="Arial" w:eastAsia="Arial" w:hAnsi="Arial"/>
          <w:sz w:val="15"/>
          <w:szCs w:val="15"/>
          <w:color w:val="auto"/>
        </w:rPr>
        <w:t>Under ManpowerGroup’s bylaws, nominations, other than those made by the board of directors or the governance and sustainability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at the principal office of the Company not earlier than the close of business on the 150th day, nor later than the close of business on the 90th day, prior to the date of the annual meeting fixed pursuant to the bylaws.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97" w:lineRule="exact"/>
        <w:rPr>
          <w:sz w:val="20"/>
          <w:szCs w:val="20"/>
          <w:color w:val="auto"/>
        </w:rPr>
      </w:pPr>
    </w:p>
    <w:p>
      <w:pPr>
        <w:jc w:val="both"/>
        <w:ind w:left="180"/>
        <w:spacing w:after="0" w:line="241" w:lineRule="auto"/>
        <w:rPr>
          <w:sz w:val="20"/>
          <w:szCs w:val="20"/>
          <w:color w:val="auto"/>
        </w:rPr>
      </w:pPr>
      <w:r>
        <w:rPr>
          <w:rFonts w:ascii="Arial" w:cs="Arial" w:eastAsia="Arial" w:hAnsi="Arial"/>
          <w:sz w:val="15"/>
          <w:szCs w:val="15"/>
          <w:color w:val="auto"/>
        </w:rPr>
        <w:t>In addition to satisfying the foregoing requirements under our bylaws, to comply with the universal proxy rules, shareholders who intend to solicit proxies in support of director nominees other than the Company’s nominees must generally provide notice no later than 60 days prior to the anniversary of the previous year’s annual meeting date in accordance with Rule 14a-19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96520</wp:posOffset>
            </wp:positionV>
            <wp:extent cx="69138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7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5D89B4"/>
        </w:rPr>
        <w:t>Composition and Qualifications of Board Members</w:t>
      </w:r>
    </w:p>
    <w:p>
      <w:pPr>
        <w:spacing w:after="0" w:line="342" w:lineRule="exact"/>
        <w:rPr>
          <w:sz w:val="20"/>
          <w:szCs w:val="20"/>
          <w:color w:val="auto"/>
        </w:rPr>
      </w:pPr>
    </w:p>
    <w:p>
      <w:pPr>
        <w:ind w:left="180"/>
        <w:spacing w:after="0" w:line="236" w:lineRule="auto"/>
        <w:rPr>
          <w:sz w:val="20"/>
          <w:szCs w:val="20"/>
          <w:color w:val="auto"/>
        </w:rPr>
      </w:pPr>
      <w:r>
        <w:rPr>
          <w:rFonts w:ascii="Arial" w:cs="Arial" w:eastAsia="Arial" w:hAnsi="Arial"/>
          <w:sz w:val="15"/>
          <w:szCs w:val="15"/>
          <w:color w:val="auto"/>
        </w:rPr>
        <w:t>Our Board is committed to regular renewal and refreshment and has continuously enhanced the director recruitment and selection process, resulting in a well-qualified and diverse group of director nominees. As part of that process, the governance and sustainability committee, which oversees succession planning for the Board and key leadership roles on the Board and its committees, regularly reviews the composition of our Board and assesses the skills and characteristics of our directors with a view towards enhancing the composition of our board to support the Company’s strategy.</w:t>
      </w:r>
    </w:p>
    <w:p>
      <w:pPr>
        <w:spacing w:after="0" w:line="69" w:lineRule="exact"/>
        <w:rPr>
          <w:sz w:val="20"/>
          <w:szCs w:val="20"/>
          <w:color w:val="auto"/>
        </w:rPr>
      </w:pPr>
    </w:p>
    <w:p>
      <w:pPr>
        <w:ind w:left="180" w:right="20"/>
        <w:spacing w:after="0" w:line="259" w:lineRule="auto"/>
        <w:rPr>
          <w:sz w:val="20"/>
          <w:szCs w:val="20"/>
          <w:color w:val="auto"/>
        </w:rPr>
      </w:pPr>
      <w:r>
        <w:rPr>
          <w:rFonts w:ascii="Arial" w:cs="Arial" w:eastAsia="Arial" w:hAnsi="Arial"/>
          <w:sz w:val="15"/>
          <w:szCs w:val="15"/>
          <w:color w:val="auto"/>
        </w:rPr>
        <w:t>In connection with its consideration of possible candidates for board membership, the governance and sustainability committee has identified areas of experience that members of the board should as a goal collectively possess. These areas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172720</wp:posOffset>
            </wp:positionV>
            <wp:extent cx="6913880" cy="5490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13880" cy="549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980"/>
          </w:cols>
          <w:pgMar w:left="320" w:top="480"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COMPOSITION AND QUALIFICATIONS OF BOARD MEMBERS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below graphic lists the skills and attributes each nominee has identified as being part of his or her own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155575</wp:posOffset>
            </wp:positionV>
            <wp:extent cx="6913880" cy="138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13880" cy="138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0" w:right="9100"/>
        <w:spacing w:after="0" w:line="288" w:lineRule="auto"/>
        <w:rPr>
          <w:sz w:val="20"/>
          <w:szCs w:val="20"/>
          <w:color w:val="auto"/>
        </w:rPr>
      </w:pPr>
      <w:r>
        <w:rPr>
          <w:rFonts w:ascii="Arial" w:cs="Arial" w:eastAsia="Arial" w:hAnsi="Arial"/>
          <w:sz w:val="14"/>
          <w:szCs w:val="14"/>
          <w:b w:val="1"/>
          <w:bCs w:val="1"/>
          <w:color w:val="5D89B4"/>
        </w:rPr>
        <w:t>SKILLS, ATTRIBUTES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14605</wp:posOffset>
            </wp:positionV>
            <wp:extent cx="69138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184150</wp:posOffset>
            </wp:positionV>
            <wp:extent cx="118745" cy="118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184150</wp:posOffset>
            </wp:positionV>
            <wp:extent cx="118745" cy="1187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184150</wp:posOffset>
            </wp:positionV>
            <wp:extent cx="118745" cy="1187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184150</wp:posOffset>
            </wp:positionV>
            <wp:extent cx="118745" cy="1187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184150</wp:posOffset>
            </wp:positionV>
            <wp:extent cx="118745" cy="1187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184150</wp:posOffset>
            </wp:positionV>
            <wp:extent cx="118745" cy="1187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184150</wp:posOffset>
            </wp:positionV>
            <wp:extent cx="118745" cy="118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184150</wp:posOffset>
            </wp:positionV>
            <wp:extent cx="118745" cy="1187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184150</wp:posOffset>
            </wp:positionV>
            <wp:extent cx="118745" cy="1187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184150</wp:posOffset>
            </wp:positionV>
            <wp:extent cx="118745" cy="1187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184150</wp:posOffset>
            </wp:positionV>
            <wp:extent cx="118745" cy="1187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184150</wp:posOffset>
            </wp:positionV>
            <wp:extent cx="118745" cy="118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Jean-Philippe Courtois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55880</wp:posOffset>
            </wp:positionV>
            <wp:extent cx="69138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-70485</wp:posOffset>
            </wp:positionV>
            <wp:extent cx="118745" cy="1187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-70485</wp:posOffset>
            </wp:positionV>
            <wp:extent cx="118745" cy="1187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William P. Gipson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-70485</wp:posOffset>
            </wp:positionV>
            <wp:extent cx="118745" cy="1187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-70485</wp:posOffset>
            </wp:positionV>
            <wp:extent cx="118745" cy="1187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-70485</wp:posOffset>
            </wp:positionV>
            <wp:extent cx="118745" cy="1187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-70485</wp:posOffset>
            </wp:positionV>
            <wp:extent cx="118745" cy="1187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234315</wp:posOffset>
            </wp:positionV>
            <wp:extent cx="118745" cy="1187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-70485</wp:posOffset>
            </wp:positionV>
            <wp:extent cx="118745" cy="1187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Muriel Pénicaud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-70485</wp:posOffset>
            </wp:positionV>
            <wp:extent cx="118745" cy="1187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-70485</wp:posOffset>
            </wp:positionV>
            <wp:extent cx="118745" cy="1187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-70485</wp:posOffset>
            </wp:positionV>
            <wp:extent cx="118745" cy="1187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-70485</wp:posOffset>
            </wp:positionV>
            <wp:extent cx="118745" cy="1187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123825</wp:posOffset>
            </wp:positionV>
            <wp:extent cx="69138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-70485</wp:posOffset>
            </wp:positionV>
            <wp:extent cx="118745" cy="1187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-70485</wp:posOffset>
            </wp:positionV>
            <wp:extent cx="118745" cy="1187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-70485</wp:posOffset>
            </wp:positionV>
            <wp:extent cx="118745" cy="1187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-70485</wp:posOffset>
            </wp:positionV>
            <wp:extent cx="118745" cy="1187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-70485</wp:posOffset>
            </wp:positionV>
            <wp:extent cx="118745" cy="1187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3910330</wp:posOffset>
            </wp:positionH>
            <wp:positionV relativeFrom="paragraph">
              <wp:posOffset>-70485</wp:posOffset>
            </wp:positionV>
            <wp:extent cx="118745" cy="1187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4384675</wp:posOffset>
            </wp:positionH>
            <wp:positionV relativeFrom="paragraph">
              <wp:posOffset>-70485</wp:posOffset>
            </wp:positionV>
            <wp:extent cx="118745" cy="1187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-70485</wp:posOffset>
            </wp:positionV>
            <wp:extent cx="118745" cy="1187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5807710</wp:posOffset>
            </wp:positionH>
            <wp:positionV relativeFrom="paragraph">
              <wp:posOffset>-70485</wp:posOffset>
            </wp:positionV>
            <wp:extent cx="118745" cy="1187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-70485</wp:posOffset>
            </wp:positionV>
            <wp:extent cx="118745" cy="1187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8745" cy="11874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-70485</wp:posOffset>
            </wp:positionV>
            <wp:extent cx="118745" cy="1187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393" w:lineRule="exact"/>
        <w:rPr>
          <w:sz w:val="20"/>
          <w:szCs w:val="20"/>
          <w:color w:val="auto"/>
        </w:rPr>
      </w:pPr>
    </w:p>
    <w:p>
      <w:pPr>
        <w:ind w:left="180"/>
        <w:spacing w:after="0" w:line="259" w:lineRule="auto"/>
        <w:rPr>
          <w:sz w:val="20"/>
          <w:szCs w:val="20"/>
          <w:color w:val="auto"/>
        </w:rPr>
      </w:pPr>
      <w:r>
        <w:rPr>
          <w:rFonts w:ascii="Arial" w:cs="Arial" w:eastAsia="Arial" w:hAnsi="Arial"/>
          <w:sz w:val="14"/>
          <w:szCs w:val="14"/>
          <w:color w:val="auto"/>
        </w:rPr>
        <w:t>The governance and sustainability committee has adopted, and the board of directors has approved, guidelines for selecting board candidates that the committee considers when evaluating candidates for nomination as directors including candidates recommended by shareholders. The guidelines call for the following with respect to the composition of the board:</w:t>
      </w:r>
    </w:p>
    <w:p>
      <w:pPr>
        <w:sectPr>
          <w:pgSz w:w="11900" w:h="16838" w:orient="portrait"/>
          <w:cols w:equalWidth="0" w:num="1">
            <w:col w:w="10960"/>
          </w:cols>
          <w:pgMar w:left="320" w:top="480" w:right="619" w:bottom="1440" w:gutter="0" w:footer="0" w:header="0"/>
        </w:sectPr>
      </w:pPr>
    </w:p>
    <w:p>
      <w:pPr>
        <w:spacing w:after="0" w:line="151" w:lineRule="exact"/>
        <w:rPr>
          <w:sz w:val="20"/>
          <w:szCs w:val="20"/>
          <w:color w:val="auto"/>
        </w:rPr>
      </w:pPr>
    </w:p>
    <w:p>
      <w:pPr>
        <w:ind w:left="400" w:hanging="220"/>
        <w:spacing w:after="0"/>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variety of experience and backgrounds;</w:t>
      </w:r>
    </w:p>
    <w:p>
      <w:pPr>
        <w:spacing w:after="0" w:line="67" w:lineRule="exact"/>
        <w:rPr>
          <w:rFonts w:ascii="Arial" w:cs="Arial" w:eastAsia="Arial" w:hAnsi="Arial"/>
          <w:sz w:val="15"/>
          <w:szCs w:val="15"/>
          <w:color w:val="auto"/>
        </w:rPr>
      </w:pPr>
    </w:p>
    <w:p>
      <w:pPr>
        <w:ind w:left="400" w:hanging="220"/>
        <w:spacing w:after="0" w:line="259" w:lineRule="auto"/>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possess professional and personal experience and expertise relevant to the Company’s business;</w:t>
      </w:r>
    </w:p>
    <w:p>
      <w:pPr>
        <w:spacing w:after="0" w:line="28" w:lineRule="exact"/>
        <w:rPr>
          <w:rFonts w:ascii="Arial" w:cs="Arial" w:eastAsia="Arial" w:hAnsi="Arial"/>
          <w:sz w:val="15"/>
          <w:szCs w:val="15"/>
          <w:color w:val="auto"/>
        </w:rPr>
      </w:pPr>
    </w:p>
    <w:p>
      <w:pPr>
        <w:ind w:left="400" w:hanging="220"/>
        <w:spacing w:after="0" w:line="259" w:lineRule="auto"/>
        <w:tabs>
          <w:tab w:leader="none" w:pos="4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individuals who will represent the best interests of the shareholders as a whole rather than special interest constituencies;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207" w:hanging="207"/>
        <w:spacing w:after="0"/>
        <w:tabs>
          <w:tab w:leader="none" w:pos="2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independence of at least a majority of the directors; and</w:t>
      </w:r>
    </w:p>
    <w:p>
      <w:pPr>
        <w:spacing w:after="0" w:line="67" w:lineRule="exact"/>
        <w:rPr>
          <w:rFonts w:ascii="Arial" w:cs="Arial" w:eastAsia="Arial" w:hAnsi="Arial"/>
          <w:sz w:val="15"/>
          <w:szCs w:val="15"/>
          <w:color w:val="auto"/>
        </w:rPr>
      </w:pPr>
    </w:p>
    <w:p>
      <w:pPr>
        <w:ind w:left="207" w:right="100" w:hanging="207"/>
        <w:spacing w:after="0" w:line="259" w:lineRule="auto"/>
        <w:tabs>
          <w:tab w:leader="none" w:pos="207"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individuals who represent a diversity of gender, tenure, race, ethnicity and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426720</wp:posOffset>
            </wp:positionV>
            <wp:extent cx="69138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5200" w:space="533"/>
            <w:col w:w="5227"/>
          </w:cols>
          <w:pgMar w:left="320" w:top="480" w:right="619" w:bottom="1440" w:gutter="0" w:footer="0" w:header="0"/>
          <w:type w:val="continuous"/>
        </w:sectPr>
      </w:pPr>
    </w:p>
    <w:p>
      <w:pPr>
        <w:spacing w:after="0" w:line="232" w:lineRule="exact"/>
        <w:rPr>
          <w:sz w:val="20"/>
          <w:szCs w:val="20"/>
          <w:color w:val="auto"/>
        </w:rPr>
      </w:pPr>
    </w:p>
    <w:p>
      <w:pPr>
        <w:ind w:left="6180" w:hanging="658"/>
        <w:spacing w:after="0"/>
        <w:tabs>
          <w:tab w:leader="none" w:pos="6180" w:val="left"/>
        </w:tabs>
        <w:numPr>
          <w:ilvl w:val="0"/>
          <w:numId w:val="12"/>
        </w:numPr>
        <w:rPr>
          <w:rFonts w:ascii="Arial" w:cs="Arial" w:eastAsia="Arial" w:hAnsi="Arial"/>
          <w:sz w:val="18"/>
          <w:szCs w:val="18"/>
          <w:b w:val="1"/>
          <w:bCs w:val="1"/>
          <w:color w:val="5D89B4"/>
        </w:rPr>
      </w:pPr>
      <w:r>
        <w:rPr>
          <w:rFonts w:ascii="Arial" w:cs="Arial" w:eastAsia="Arial" w:hAnsi="Arial"/>
          <w:sz w:val="15"/>
          <w:szCs w:val="15"/>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-121920</wp:posOffset>
            </wp:positionV>
            <wp:extent cx="932180" cy="169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960"/>
          </w:cols>
          <w:pgMar w:left="320" w:top="480" w:right="6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BOARD DIVERSITY AND TENURE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5D89B4"/>
        </w:rPr>
        <w:t>Board Diversity and Tenure</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Commitment to Board Diversity</w:t>
      </w:r>
    </w:p>
    <w:p>
      <w:pPr>
        <w:spacing w:after="0" w:line="58" w:lineRule="exact"/>
        <w:rPr>
          <w:sz w:val="20"/>
          <w:szCs w:val="20"/>
          <w:color w:val="auto"/>
        </w:rPr>
      </w:pPr>
    </w:p>
    <w:p>
      <w:pPr>
        <w:ind w:left="180" w:right="300"/>
        <w:spacing w:after="0" w:line="236" w:lineRule="auto"/>
        <w:rPr>
          <w:sz w:val="20"/>
          <w:szCs w:val="20"/>
          <w:color w:val="auto"/>
        </w:rPr>
      </w:pPr>
      <w:r>
        <w:rPr>
          <w:rFonts w:ascii="Arial" w:cs="Arial" w:eastAsia="Arial" w:hAnsi="Arial"/>
          <w:sz w:val="15"/>
          <w:szCs w:val="15"/>
          <w:color w:val="auto"/>
        </w:rPr>
        <w:t>The governance and sustainability committee and the board of directors believe that the qualifications, skills, experience and attributes set forth in this proxy statement for all individuals nominated for election satisfy the guidelines for selecting board candidates set out above and support the conclusion that these individuals are qualified to serve as directors of the Company and collectively possess a variety of skills, professional experience, and diversity of backgrounds allowing them to effectively oversee the Company’s business.</w:t>
      </w:r>
    </w:p>
    <w:p>
      <w:pPr>
        <w:spacing w:after="0" w:line="175" w:lineRule="exact"/>
        <w:rPr>
          <w:sz w:val="20"/>
          <w:szCs w:val="20"/>
          <w:color w:val="auto"/>
        </w:rPr>
      </w:pPr>
    </w:p>
    <w:p>
      <w:pPr>
        <w:ind w:left="180" w:right="160"/>
        <w:spacing w:after="0" w:line="233" w:lineRule="auto"/>
        <w:rPr>
          <w:sz w:val="20"/>
          <w:szCs w:val="20"/>
          <w:color w:val="auto"/>
        </w:rPr>
      </w:pPr>
      <w:r>
        <w:rPr>
          <w:rFonts w:ascii="Arial" w:cs="Arial" w:eastAsia="Arial" w:hAnsi="Arial"/>
          <w:sz w:val="15"/>
          <w:szCs w:val="15"/>
          <w:color w:val="auto"/>
        </w:rPr>
        <w:t>The composition of the nominees also reflects diversity of gender, tenure, race, ethnicity and age. The governance and sustainability committee and the board of directors believe that director diversity is consistent with the goal of creating a board that best serves the needs of the Company and the interests of its shareholders. While the board of directors does not have a formal policy with respect to diversity in the initial pool of director candidates, as part of the search process for a new director, the governance and sustainability committee actively seeks out women and minorities to include in the pool from which Board nominees are chosen and instructs any search firm engaged for the search to do so.</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Director Tenure and Board Refreshment</w:t>
      </w:r>
    </w:p>
    <w:p>
      <w:pPr>
        <w:spacing w:after="0" w:line="58" w:lineRule="exact"/>
        <w:rPr>
          <w:sz w:val="20"/>
          <w:szCs w:val="20"/>
          <w:color w:val="auto"/>
        </w:rPr>
      </w:pPr>
    </w:p>
    <w:p>
      <w:pPr>
        <w:ind w:left="180" w:right="20"/>
        <w:spacing w:after="0" w:line="230" w:lineRule="auto"/>
        <w:rPr>
          <w:sz w:val="20"/>
          <w:szCs w:val="20"/>
          <w:color w:val="auto"/>
        </w:rPr>
      </w:pPr>
      <w:r>
        <w:rPr>
          <w:rFonts w:ascii="Arial" w:cs="Arial" w:eastAsia="Arial" w:hAnsi="Arial"/>
          <w:sz w:val="15"/>
          <w:szCs w:val="15"/>
          <w:color w:val="auto"/>
        </w:rPr>
        <w:t>In addition, we believe that diversity with respect to tenure is important in order to balance deep experience and knowledge of our Company with fresh perspectives. Our directors with longer service are highly valued for their experience and Company-specific knowledge. They have an extensive understanding of our business, provide historical context as the board reviews and evaluates the Company’s strategy and enhance board dynamics. At the same time, we recognize that, with the evolution of the marketplace and changes in our business, our board benefits from the identification of new directors who can bring important skills and fresh perspectives to the board. Since 2020, we have added three new directors to the board. As a result, we have four director nominees with ten years of service or more; four with six to nine years of service; and three with five or fewer years of service. We believe this is consistent with the board’s goal to maintain an appropriate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140335</wp:posOffset>
            </wp:positionV>
            <wp:extent cx="4787265" cy="542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87265" cy="54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31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TENURE AND INDEPENDENCE</w:t>
            </w:r>
          </w:p>
        </w:tc>
        <w:tc>
          <w:tcPr>
            <w:tcW w:w="960" w:type="dxa"/>
            <w:vAlign w:val="bottom"/>
            <w:tcBorders>
              <w:bottom w:val="single" w:sz="8" w:color="EAEAEA"/>
            </w:tcBorders>
            <w:shd w:val="clear" w:color="auto" w:fill="EAEAEA"/>
          </w:tcPr>
          <w:p>
            <w:pPr>
              <w:spacing w:after="0"/>
              <w:rPr>
                <w:sz w:val="23"/>
                <w:szCs w:val="23"/>
                <w:color w:val="auto"/>
              </w:rPr>
            </w:pPr>
          </w:p>
        </w:tc>
        <w:tc>
          <w:tcPr>
            <w:tcW w:w="6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spacing w:after="0"/>
              <w:rPr>
                <w:sz w:val="23"/>
                <w:szCs w:val="23"/>
                <w:color w:val="auto"/>
              </w:rPr>
            </w:pPr>
          </w:p>
        </w:tc>
        <w:tc>
          <w:tcPr>
            <w:tcW w:w="820" w:type="dxa"/>
            <w:vAlign w:val="bottom"/>
            <w:tcBorders>
              <w:bottom w:val="single" w:sz="8" w:color="EAEAEA"/>
            </w:tcBorders>
            <w:shd w:val="clear" w:color="auto" w:fill="EAEAEA"/>
          </w:tcPr>
          <w:p>
            <w:pPr>
              <w:spacing w:after="0"/>
              <w:rPr>
                <w:sz w:val="23"/>
                <w:szCs w:val="23"/>
                <w:color w:val="auto"/>
              </w:rPr>
            </w:pPr>
          </w:p>
        </w:tc>
        <w:tc>
          <w:tcPr>
            <w:tcW w:w="60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spacing w:after="0"/>
              <w:rPr>
                <w:sz w:val="23"/>
                <w:szCs w:val="23"/>
                <w:color w:val="auto"/>
              </w:rPr>
            </w:pPr>
          </w:p>
        </w:tc>
        <w:tc>
          <w:tcPr>
            <w:tcW w:w="66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c>
          <w:tcPr>
            <w:tcW w:w="780" w:type="dxa"/>
            <w:vAlign w:val="bottom"/>
            <w:tcBorders>
              <w:bottom w:val="single" w:sz="8" w:color="EAEAEA"/>
            </w:tcBorders>
            <w:shd w:val="clear" w:color="auto" w:fill="EAEAEA"/>
          </w:tcPr>
          <w:p>
            <w:pPr>
              <w:spacing w:after="0"/>
              <w:rPr>
                <w:sz w:val="23"/>
                <w:szCs w:val="23"/>
                <w:color w:val="auto"/>
              </w:rPr>
            </w:pPr>
          </w:p>
        </w:tc>
        <w:tc>
          <w:tcPr>
            <w:tcW w:w="540" w:type="dxa"/>
            <w:vAlign w:val="bottom"/>
            <w:tcBorders>
              <w:bottom w:val="single" w:sz="8" w:color="EAEAEA"/>
            </w:tcBorders>
            <w:shd w:val="clear" w:color="auto" w:fill="EAEAEA"/>
          </w:tcPr>
          <w:p>
            <w:pPr>
              <w:spacing w:after="0"/>
              <w:rPr>
                <w:sz w:val="23"/>
                <w:szCs w:val="23"/>
                <w:color w:val="auto"/>
              </w:rPr>
            </w:pPr>
          </w:p>
        </w:tc>
      </w:tr>
      <w:tr>
        <w:trPr>
          <w:trHeight w:val="292"/>
        </w:trPr>
        <w:tc>
          <w:tcPr>
            <w:tcW w:w="3160" w:type="dxa"/>
            <w:vAlign w:val="bottom"/>
          </w:tcPr>
          <w:p>
            <w:pPr>
              <w:ind w:left="80"/>
              <w:spacing w:after="0"/>
              <w:rPr>
                <w:sz w:val="20"/>
                <w:szCs w:val="20"/>
                <w:color w:val="auto"/>
              </w:rPr>
            </w:pPr>
            <w:r>
              <w:rPr>
                <w:rFonts w:ascii="Arial" w:cs="Arial" w:eastAsia="Arial" w:hAnsi="Arial"/>
                <w:sz w:val="14"/>
                <w:szCs w:val="14"/>
                <w:b w:val="1"/>
                <w:bCs w:val="1"/>
                <w:color w:val="5D89B4"/>
              </w:rPr>
              <w:t>Years</w:t>
            </w:r>
          </w:p>
        </w:tc>
        <w:tc>
          <w:tcPr>
            <w:tcW w:w="960" w:type="dxa"/>
            <w:vAlign w:val="bottom"/>
          </w:tcPr>
          <w:p>
            <w:pPr>
              <w:jc w:val="right"/>
              <w:ind w:right="184"/>
              <w:spacing w:after="0"/>
              <w:rPr>
                <w:sz w:val="20"/>
                <w:szCs w:val="20"/>
                <w:color w:val="auto"/>
              </w:rPr>
            </w:pPr>
            <w:r>
              <w:rPr>
                <w:rFonts w:ascii="Arial" w:cs="Arial" w:eastAsia="Arial" w:hAnsi="Arial"/>
                <w:sz w:val="15"/>
                <w:szCs w:val="15"/>
                <w:color w:val="5D89B4"/>
              </w:rPr>
              <w:t>3</w:t>
            </w:r>
          </w:p>
        </w:tc>
        <w:tc>
          <w:tcPr>
            <w:tcW w:w="660" w:type="dxa"/>
            <w:vAlign w:val="bottom"/>
          </w:tcPr>
          <w:p>
            <w:pPr>
              <w:jc w:val="right"/>
              <w:ind w:right="184"/>
              <w:spacing w:after="0"/>
              <w:rPr>
                <w:sz w:val="20"/>
                <w:szCs w:val="20"/>
                <w:color w:val="auto"/>
              </w:rPr>
            </w:pPr>
            <w:r>
              <w:rPr>
                <w:rFonts w:ascii="Arial" w:cs="Arial" w:eastAsia="Arial" w:hAnsi="Arial"/>
                <w:sz w:val="15"/>
                <w:szCs w:val="15"/>
                <w:color w:val="5D89B4"/>
              </w:rPr>
              <w:t>8</w:t>
            </w:r>
          </w:p>
        </w:tc>
        <w:tc>
          <w:tcPr>
            <w:tcW w:w="740" w:type="dxa"/>
            <w:vAlign w:val="bottom"/>
          </w:tcPr>
          <w:p>
            <w:pPr>
              <w:jc w:val="right"/>
              <w:ind w:right="264"/>
              <w:spacing w:after="0"/>
              <w:rPr>
                <w:sz w:val="20"/>
                <w:szCs w:val="20"/>
                <w:color w:val="auto"/>
              </w:rPr>
            </w:pPr>
            <w:r>
              <w:rPr>
                <w:rFonts w:ascii="Arial" w:cs="Arial" w:eastAsia="Arial" w:hAnsi="Arial"/>
                <w:sz w:val="15"/>
                <w:szCs w:val="15"/>
                <w:color w:val="5D89B4"/>
              </w:rPr>
              <w:t>3</w:t>
            </w:r>
          </w:p>
        </w:tc>
        <w:tc>
          <w:tcPr>
            <w:tcW w:w="820" w:type="dxa"/>
            <w:vAlign w:val="bottom"/>
          </w:tcPr>
          <w:p>
            <w:pPr>
              <w:jc w:val="right"/>
              <w:ind w:right="224"/>
              <w:spacing w:after="0"/>
              <w:rPr>
                <w:sz w:val="20"/>
                <w:szCs w:val="20"/>
                <w:color w:val="auto"/>
              </w:rPr>
            </w:pPr>
            <w:r>
              <w:rPr>
                <w:rFonts w:ascii="Arial" w:cs="Arial" w:eastAsia="Arial" w:hAnsi="Arial"/>
                <w:sz w:val="15"/>
                <w:szCs w:val="15"/>
                <w:color w:val="5D89B4"/>
              </w:rPr>
              <w:t>13</w:t>
            </w:r>
          </w:p>
        </w:tc>
        <w:tc>
          <w:tcPr>
            <w:tcW w:w="600" w:type="dxa"/>
            <w:vAlign w:val="bottom"/>
          </w:tcPr>
          <w:p>
            <w:pPr>
              <w:jc w:val="right"/>
              <w:ind w:right="144"/>
              <w:spacing w:after="0"/>
              <w:rPr>
                <w:sz w:val="20"/>
                <w:szCs w:val="20"/>
                <w:color w:val="auto"/>
              </w:rPr>
            </w:pPr>
            <w:r>
              <w:rPr>
                <w:rFonts w:ascii="Arial" w:cs="Arial" w:eastAsia="Arial" w:hAnsi="Arial"/>
                <w:sz w:val="15"/>
                <w:szCs w:val="15"/>
                <w:color w:val="5D89B4"/>
              </w:rPr>
              <w:t>7</w:t>
            </w:r>
          </w:p>
        </w:tc>
        <w:tc>
          <w:tcPr>
            <w:tcW w:w="740" w:type="dxa"/>
            <w:vAlign w:val="bottom"/>
          </w:tcPr>
          <w:p>
            <w:pPr>
              <w:jc w:val="right"/>
              <w:ind w:right="264"/>
              <w:spacing w:after="0"/>
              <w:rPr>
                <w:sz w:val="20"/>
                <w:szCs w:val="20"/>
                <w:color w:val="auto"/>
              </w:rPr>
            </w:pPr>
            <w:r>
              <w:rPr>
                <w:rFonts w:ascii="Arial" w:cs="Arial" w:eastAsia="Arial" w:hAnsi="Arial"/>
                <w:sz w:val="15"/>
                <w:szCs w:val="15"/>
                <w:color w:val="5D89B4"/>
              </w:rPr>
              <w:t>16</w:t>
            </w:r>
          </w:p>
        </w:tc>
        <w:tc>
          <w:tcPr>
            <w:tcW w:w="660" w:type="dxa"/>
            <w:vAlign w:val="bottom"/>
          </w:tcPr>
          <w:p>
            <w:pPr>
              <w:jc w:val="right"/>
              <w:ind w:right="164"/>
              <w:spacing w:after="0"/>
              <w:rPr>
                <w:sz w:val="20"/>
                <w:szCs w:val="20"/>
                <w:color w:val="auto"/>
              </w:rPr>
            </w:pPr>
            <w:r>
              <w:rPr>
                <w:rFonts w:ascii="Arial" w:cs="Arial" w:eastAsia="Arial" w:hAnsi="Arial"/>
                <w:sz w:val="15"/>
                <w:szCs w:val="15"/>
                <w:color w:val="5D89B4"/>
              </w:rPr>
              <w:t>1</w:t>
            </w:r>
          </w:p>
        </w:tc>
        <w:tc>
          <w:tcPr>
            <w:tcW w:w="640" w:type="dxa"/>
            <w:vAlign w:val="bottom"/>
          </w:tcPr>
          <w:p>
            <w:pPr>
              <w:jc w:val="right"/>
              <w:ind w:right="144"/>
              <w:spacing w:after="0"/>
              <w:rPr>
                <w:sz w:val="20"/>
                <w:szCs w:val="20"/>
                <w:color w:val="auto"/>
              </w:rPr>
            </w:pPr>
            <w:r>
              <w:rPr>
                <w:rFonts w:ascii="Arial" w:cs="Arial" w:eastAsia="Arial" w:hAnsi="Arial"/>
                <w:sz w:val="15"/>
                <w:szCs w:val="15"/>
                <w:color w:val="5D89B4"/>
              </w:rPr>
              <w:t>10</w:t>
            </w:r>
          </w:p>
        </w:tc>
        <w:tc>
          <w:tcPr>
            <w:tcW w:w="580" w:type="dxa"/>
            <w:vAlign w:val="bottom"/>
          </w:tcPr>
          <w:p>
            <w:pPr>
              <w:jc w:val="right"/>
              <w:ind w:right="164"/>
              <w:spacing w:after="0"/>
              <w:rPr>
                <w:sz w:val="20"/>
                <w:szCs w:val="20"/>
                <w:color w:val="auto"/>
              </w:rPr>
            </w:pPr>
            <w:r>
              <w:rPr>
                <w:rFonts w:ascii="Arial" w:cs="Arial" w:eastAsia="Arial" w:hAnsi="Arial"/>
                <w:sz w:val="15"/>
                <w:szCs w:val="15"/>
                <w:color w:val="5D89B4"/>
              </w:rPr>
              <w:t>9</w:t>
            </w:r>
          </w:p>
        </w:tc>
        <w:tc>
          <w:tcPr>
            <w:tcW w:w="780" w:type="dxa"/>
            <w:vAlign w:val="bottom"/>
          </w:tcPr>
          <w:p>
            <w:pPr>
              <w:jc w:val="right"/>
              <w:ind w:right="284"/>
              <w:spacing w:after="0"/>
              <w:rPr>
                <w:sz w:val="20"/>
                <w:szCs w:val="20"/>
                <w:color w:val="auto"/>
              </w:rPr>
            </w:pPr>
            <w:r>
              <w:rPr>
                <w:rFonts w:ascii="Arial" w:cs="Arial" w:eastAsia="Arial" w:hAnsi="Arial"/>
                <w:sz w:val="15"/>
                <w:szCs w:val="15"/>
                <w:color w:val="5D89B4"/>
              </w:rPr>
              <w:t>14</w:t>
            </w:r>
          </w:p>
        </w:tc>
        <w:tc>
          <w:tcPr>
            <w:tcW w:w="540" w:type="dxa"/>
            <w:vAlign w:val="bottom"/>
          </w:tcPr>
          <w:p>
            <w:pPr>
              <w:jc w:val="right"/>
              <w:spacing w:after="0"/>
              <w:rPr>
                <w:sz w:val="20"/>
                <w:szCs w:val="20"/>
                <w:color w:val="auto"/>
              </w:rPr>
            </w:pPr>
            <w:r>
              <w:rPr>
                <w:rFonts w:ascii="Arial" w:cs="Arial" w:eastAsia="Arial" w:hAnsi="Arial"/>
                <w:sz w:val="15"/>
                <w:szCs w:val="15"/>
                <w:color w:val="5D89B4"/>
              </w:rPr>
              <w:t>6</w:t>
            </w:r>
          </w:p>
        </w:tc>
      </w:tr>
      <w:tr>
        <w:trPr>
          <w:trHeight w:val="41"/>
        </w:trPr>
        <w:tc>
          <w:tcPr>
            <w:tcW w:w="31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r>
      <w:tr>
        <w:trPr>
          <w:trHeight w:val="232"/>
        </w:trPr>
        <w:tc>
          <w:tcPr>
            <w:tcW w:w="3160" w:type="dxa"/>
            <w:vAlign w:val="bottom"/>
          </w:tcPr>
          <w:p>
            <w:pPr>
              <w:ind w:left="80"/>
              <w:spacing w:after="0"/>
              <w:rPr>
                <w:sz w:val="20"/>
                <w:szCs w:val="20"/>
                <w:color w:val="auto"/>
              </w:rPr>
            </w:pPr>
            <w:r>
              <w:rPr>
                <w:rFonts w:ascii="Arial" w:cs="Arial" w:eastAsia="Arial" w:hAnsi="Arial"/>
                <w:sz w:val="14"/>
                <w:szCs w:val="14"/>
                <w:b w:val="1"/>
                <w:bCs w:val="1"/>
                <w:color w:val="5D89B4"/>
              </w:rPr>
              <w:t>Independent</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
        </w:trPr>
        <w:tc>
          <w:tcPr>
            <w:tcW w:w="31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0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c>
          <w:tcPr>
            <w:tcW w:w="58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r>
      <w:tr>
        <w:trPr>
          <w:trHeight w:val="384"/>
        </w:trPr>
        <w:tc>
          <w:tcPr>
            <w:tcW w:w="3160" w:type="dxa"/>
            <w:vAlign w:val="bottom"/>
          </w:tcPr>
          <w:p>
            <w:pPr>
              <w:spacing w:after="0"/>
              <w:rPr>
                <w:sz w:val="20"/>
                <w:szCs w:val="20"/>
                <w:color w:val="auto"/>
              </w:rPr>
            </w:pPr>
            <w:r>
              <w:rPr>
                <w:rFonts w:ascii="Arial" w:cs="Arial" w:eastAsia="Arial" w:hAnsi="Arial"/>
                <w:sz w:val="15"/>
                <w:szCs w:val="15"/>
                <w:color w:val="auto"/>
              </w:rPr>
              <w:t> </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3"/>
        </w:trPr>
        <w:tc>
          <w:tcPr>
            <w:tcW w:w="31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DEMOGRAPHICS</w:t>
            </w:r>
          </w:p>
        </w:tc>
        <w:tc>
          <w:tcPr>
            <w:tcW w:w="960" w:type="dxa"/>
            <w:vAlign w:val="bottom"/>
            <w:tcBorders>
              <w:bottom w:val="single" w:sz="8" w:color="EAEAEA"/>
            </w:tcBorders>
            <w:shd w:val="clear" w:color="auto" w:fill="EAEAEA"/>
          </w:tcPr>
          <w:p>
            <w:pPr>
              <w:spacing w:after="0"/>
              <w:rPr>
                <w:sz w:val="24"/>
                <w:szCs w:val="24"/>
                <w:color w:val="auto"/>
              </w:rPr>
            </w:pPr>
          </w:p>
        </w:tc>
        <w:tc>
          <w:tcPr>
            <w:tcW w:w="660" w:type="dxa"/>
            <w:vAlign w:val="bottom"/>
            <w:tcBorders>
              <w:bottom w:val="single" w:sz="8" w:color="EAEAEA"/>
            </w:tcBorders>
            <w:shd w:val="clear" w:color="auto" w:fill="EAEAEA"/>
          </w:tcPr>
          <w:p>
            <w:pPr>
              <w:spacing w:after="0"/>
              <w:rPr>
                <w:sz w:val="24"/>
                <w:szCs w:val="24"/>
                <w:color w:val="auto"/>
              </w:rPr>
            </w:pPr>
          </w:p>
        </w:tc>
        <w:tc>
          <w:tcPr>
            <w:tcW w:w="740" w:type="dxa"/>
            <w:vAlign w:val="bottom"/>
            <w:tcBorders>
              <w:bottom w:val="single" w:sz="8" w:color="EAEAEA"/>
            </w:tcBorders>
            <w:shd w:val="clear" w:color="auto" w:fill="EAEAEA"/>
          </w:tcPr>
          <w:p>
            <w:pPr>
              <w:spacing w:after="0"/>
              <w:rPr>
                <w:sz w:val="24"/>
                <w:szCs w:val="24"/>
                <w:color w:val="auto"/>
              </w:rPr>
            </w:pPr>
          </w:p>
        </w:tc>
        <w:tc>
          <w:tcPr>
            <w:tcW w:w="820" w:type="dxa"/>
            <w:vAlign w:val="bottom"/>
            <w:tcBorders>
              <w:bottom w:val="single" w:sz="8" w:color="EAEAEA"/>
            </w:tcBorders>
            <w:shd w:val="clear" w:color="auto" w:fill="EAEAEA"/>
          </w:tcPr>
          <w:p>
            <w:pPr>
              <w:spacing w:after="0"/>
              <w:rPr>
                <w:sz w:val="24"/>
                <w:szCs w:val="24"/>
                <w:color w:val="auto"/>
              </w:rPr>
            </w:pPr>
          </w:p>
        </w:tc>
        <w:tc>
          <w:tcPr>
            <w:tcW w:w="600" w:type="dxa"/>
            <w:vAlign w:val="bottom"/>
            <w:tcBorders>
              <w:bottom w:val="single" w:sz="8" w:color="EAEAEA"/>
            </w:tcBorders>
            <w:shd w:val="clear" w:color="auto" w:fill="EAEAEA"/>
          </w:tcPr>
          <w:p>
            <w:pPr>
              <w:spacing w:after="0"/>
              <w:rPr>
                <w:sz w:val="24"/>
                <w:szCs w:val="24"/>
                <w:color w:val="auto"/>
              </w:rPr>
            </w:pPr>
          </w:p>
        </w:tc>
        <w:tc>
          <w:tcPr>
            <w:tcW w:w="740" w:type="dxa"/>
            <w:vAlign w:val="bottom"/>
            <w:tcBorders>
              <w:bottom w:val="single" w:sz="8" w:color="EAEAEA"/>
            </w:tcBorders>
            <w:shd w:val="clear" w:color="auto" w:fill="EAEAEA"/>
          </w:tcPr>
          <w:p>
            <w:pPr>
              <w:spacing w:after="0"/>
              <w:rPr>
                <w:sz w:val="24"/>
                <w:szCs w:val="24"/>
                <w:color w:val="auto"/>
              </w:rPr>
            </w:pPr>
          </w:p>
        </w:tc>
        <w:tc>
          <w:tcPr>
            <w:tcW w:w="660" w:type="dxa"/>
            <w:vAlign w:val="bottom"/>
            <w:tcBorders>
              <w:bottom w:val="single" w:sz="8" w:color="EAEAEA"/>
            </w:tcBorders>
            <w:shd w:val="clear" w:color="auto" w:fill="EAEAEA"/>
          </w:tcPr>
          <w:p>
            <w:pPr>
              <w:spacing w:after="0"/>
              <w:rPr>
                <w:sz w:val="24"/>
                <w:szCs w:val="24"/>
                <w:color w:val="auto"/>
              </w:rPr>
            </w:pPr>
          </w:p>
        </w:tc>
        <w:tc>
          <w:tcPr>
            <w:tcW w:w="640" w:type="dxa"/>
            <w:vAlign w:val="bottom"/>
            <w:tcBorders>
              <w:bottom w:val="single" w:sz="8" w:color="EAEAEA"/>
            </w:tcBorders>
            <w:shd w:val="clear" w:color="auto" w:fill="EAEAEA"/>
          </w:tcPr>
          <w:p>
            <w:pPr>
              <w:spacing w:after="0"/>
              <w:rPr>
                <w:sz w:val="24"/>
                <w:szCs w:val="24"/>
                <w:color w:val="auto"/>
              </w:rPr>
            </w:pPr>
          </w:p>
        </w:tc>
        <w:tc>
          <w:tcPr>
            <w:tcW w:w="580" w:type="dxa"/>
            <w:vAlign w:val="bottom"/>
            <w:tcBorders>
              <w:bottom w:val="single" w:sz="8" w:color="EAEAEA"/>
            </w:tcBorders>
            <w:shd w:val="clear" w:color="auto" w:fill="EAEAEA"/>
          </w:tcPr>
          <w:p>
            <w:pPr>
              <w:spacing w:after="0"/>
              <w:rPr>
                <w:sz w:val="24"/>
                <w:szCs w:val="24"/>
                <w:color w:val="auto"/>
              </w:rPr>
            </w:pPr>
          </w:p>
        </w:tc>
        <w:tc>
          <w:tcPr>
            <w:tcW w:w="780" w:type="dxa"/>
            <w:vAlign w:val="bottom"/>
            <w:tcBorders>
              <w:bottom w:val="single" w:sz="8" w:color="EAEAEA"/>
            </w:tcBorders>
            <w:shd w:val="clear" w:color="auto" w:fill="EAEAEA"/>
          </w:tcPr>
          <w:p>
            <w:pPr>
              <w:spacing w:after="0"/>
              <w:rPr>
                <w:sz w:val="24"/>
                <w:szCs w:val="24"/>
                <w:color w:val="auto"/>
              </w:rPr>
            </w:pPr>
          </w:p>
        </w:tc>
        <w:tc>
          <w:tcPr>
            <w:tcW w:w="540" w:type="dxa"/>
            <w:vAlign w:val="bottom"/>
            <w:tcBorders>
              <w:bottom w:val="single" w:sz="8" w:color="EAEAEA"/>
            </w:tcBorders>
            <w:shd w:val="clear" w:color="auto" w:fill="EAEAEA"/>
          </w:tcPr>
          <w:p>
            <w:pPr>
              <w:spacing w:after="0"/>
              <w:rPr>
                <w:sz w:val="24"/>
                <w:szCs w:val="24"/>
                <w:color w:val="auto"/>
              </w:rPr>
            </w:pPr>
          </w:p>
        </w:tc>
      </w:tr>
      <w:tr>
        <w:trPr>
          <w:trHeight w:val="252"/>
        </w:trPr>
        <w:tc>
          <w:tcPr>
            <w:tcW w:w="3160" w:type="dxa"/>
            <w:vAlign w:val="bottom"/>
          </w:tcPr>
          <w:p>
            <w:pPr>
              <w:ind w:left="80"/>
              <w:spacing w:after="0"/>
              <w:rPr>
                <w:sz w:val="20"/>
                <w:szCs w:val="20"/>
                <w:color w:val="auto"/>
              </w:rPr>
            </w:pPr>
            <w:r>
              <w:rPr>
                <w:rFonts w:ascii="Arial" w:cs="Arial" w:eastAsia="Arial" w:hAnsi="Arial"/>
                <w:sz w:val="14"/>
                <w:szCs w:val="14"/>
                <w:b w:val="1"/>
                <w:bCs w:val="1"/>
                <w:color w:val="5D89B4"/>
              </w:rPr>
              <w:t>Gender Identity</w:t>
            </w:r>
          </w:p>
        </w:tc>
        <w:tc>
          <w:tcPr>
            <w:tcW w:w="960" w:type="dxa"/>
            <w:vAlign w:val="bottom"/>
          </w:tcPr>
          <w:p>
            <w:pPr>
              <w:jc w:val="right"/>
              <w:ind w:right="184"/>
              <w:spacing w:after="0"/>
              <w:rPr>
                <w:sz w:val="20"/>
                <w:szCs w:val="20"/>
                <w:color w:val="auto"/>
              </w:rPr>
            </w:pPr>
            <w:r>
              <w:rPr>
                <w:rFonts w:ascii="Arial" w:cs="Arial" w:eastAsia="Arial" w:hAnsi="Arial"/>
                <w:sz w:val="15"/>
                <w:szCs w:val="15"/>
                <w:color w:val="5D89B4"/>
              </w:rPr>
              <w:t>M</w:t>
            </w:r>
          </w:p>
        </w:tc>
        <w:tc>
          <w:tcPr>
            <w:tcW w:w="660" w:type="dxa"/>
            <w:vAlign w:val="bottom"/>
          </w:tcPr>
          <w:p>
            <w:pPr>
              <w:jc w:val="right"/>
              <w:ind w:right="184"/>
              <w:spacing w:after="0"/>
              <w:rPr>
                <w:sz w:val="20"/>
                <w:szCs w:val="20"/>
                <w:color w:val="auto"/>
              </w:rPr>
            </w:pPr>
            <w:r>
              <w:rPr>
                <w:rFonts w:ascii="Arial" w:cs="Arial" w:eastAsia="Arial" w:hAnsi="Arial"/>
                <w:sz w:val="15"/>
                <w:szCs w:val="15"/>
                <w:color w:val="5D89B4"/>
              </w:rPr>
              <w:t>M</w:t>
            </w:r>
          </w:p>
        </w:tc>
        <w:tc>
          <w:tcPr>
            <w:tcW w:w="740" w:type="dxa"/>
            <w:vAlign w:val="bottom"/>
          </w:tcPr>
          <w:p>
            <w:pPr>
              <w:jc w:val="right"/>
              <w:ind w:right="264"/>
              <w:spacing w:after="0"/>
              <w:rPr>
                <w:sz w:val="20"/>
                <w:szCs w:val="20"/>
                <w:color w:val="auto"/>
              </w:rPr>
            </w:pPr>
            <w:r>
              <w:rPr>
                <w:rFonts w:ascii="Arial" w:cs="Arial" w:eastAsia="Arial" w:hAnsi="Arial"/>
                <w:sz w:val="15"/>
                <w:szCs w:val="15"/>
                <w:color w:val="5D89B4"/>
              </w:rPr>
              <w:t>M</w:t>
            </w:r>
          </w:p>
        </w:tc>
        <w:tc>
          <w:tcPr>
            <w:tcW w:w="820" w:type="dxa"/>
            <w:vAlign w:val="bottom"/>
          </w:tcPr>
          <w:p>
            <w:pPr>
              <w:jc w:val="right"/>
              <w:ind w:right="224"/>
              <w:spacing w:after="0"/>
              <w:rPr>
                <w:sz w:val="20"/>
                <w:szCs w:val="20"/>
                <w:color w:val="auto"/>
              </w:rPr>
            </w:pPr>
            <w:r>
              <w:rPr>
                <w:rFonts w:ascii="Arial" w:cs="Arial" w:eastAsia="Arial" w:hAnsi="Arial"/>
                <w:sz w:val="15"/>
                <w:szCs w:val="15"/>
                <w:color w:val="5D89B4"/>
              </w:rPr>
              <w:t>F</w:t>
            </w:r>
          </w:p>
        </w:tc>
        <w:tc>
          <w:tcPr>
            <w:tcW w:w="600" w:type="dxa"/>
            <w:vAlign w:val="bottom"/>
          </w:tcPr>
          <w:p>
            <w:pPr>
              <w:jc w:val="right"/>
              <w:ind w:right="144"/>
              <w:spacing w:after="0"/>
              <w:rPr>
                <w:sz w:val="20"/>
                <w:szCs w:val="20"/>
                <w:color w:val="auto"/>
              </w:rPr>
            </w:pPr>
            <w:r>
              <w:rPr>
                <w:rFonts w:ascii="Arial" w:cs="Arial" w:eastAsia="Arial" w:hAnsi="Arial"/>
                <w:sz w:val="15"/>
                <w:szCs w:val="15"/>
                <w:color w:val="5D89B4"/>
              </w:rPr>
              <w:t>F</w:t>
            </w:r>
          </w:p>
        </w:tc>
        <w:tc>
          <w:tcPr>
            <w:tcW w:w="740" w:type="dxa"/>
            <w:vAlign w:val="bottom"/>
          </w:tcPr>
          <w:p>
            <w:pPr>
              <w:jc w:val="right"/>
              <w:ind w:right="264"/>
              <w:spacing w:after="0"/>
              <w:rPr>
                <w:sz w:val="20"/>
                <w:szCs w:val="20"/>
                <w:color w:val="auto"/>
              </w:rPr>
            </w:pPr>
            <w:r>
              <w:rPr>
                <w:rFonts w:ascii="Arial" w:cs="Arial" w:eastAsia="Arial" w:hAnsi="Arial"/>
                <w:sz w:val="15"/>
                <w:szCs w:val="15"/>
                <w:color w:val="5D89B4"/>
              </w:rPr>
              <w:t>M</w:t>
            </w:r>
          </w:p>
        </w:tc>
        <w:tc>
          <w:tcPr>
            <w:tcW w:w="660" w:type="dxa"/>
            <w:vAlign w:val="bottom"/>
          </w:tcPr>
          <w:p>
            <w:pPr>
              <w:jc w:val="right"/>
              <w:ind w:right="164"/>
              <w:spacing w:after="0"/>
              <w:rPr>
                <w:sz w:val="20"/>
                <w:szCs w:val="20"/>
                <w:color w:val="auto"/>
              </w:rPr>
            </w:pPr>
            <w:r>
              <w:rPr>
                <w:rFonts w:ascii="Arial" w:cs="Arial" w:eastAsia="Arial" w:hAnsi="Arial"/>
                <w:sz w:val="15"/>
                <w:szCs w:val="15"/>
                <w:color w:val="5D89B4"/>
              </w:rPr>
              <w:t>F</w:t>
            </w:r>
          </w:p>
        </w:tc>
        <w:tc>
          <w:tcPr>
            <w:tcW w:w="640" w:type="dxa"/>
            <w:vAlign w:val="bottom"/>
          </w:tcPr>
          <w:p>
            <w:pPr>
              <w:jc w:val="right"/>
              <w:ind w:right="144"/>
              <w:spacing w:after="0"/>
              <w:rPr>
                <w:sz w:val="20"/>
                <w:szCs w:val="20"/>
                <w:color w:val="auto"/>
              </w:rPr>
            </w:pPr>
            <w:r>
              <w:rPr>
                <w:rFonts w:ascii="Arial" w:cs="Arial" w:eastAsia="Arial" w:hAnsi="Arial"/>
                <w:sz w:val="15"/>
                <w:szCs w:val="15"/>
                <w:color w:val="5D89B4"/>
              </w:rPr>
              <w:t>M</w:t>
            </w:r>
          </w:p>
        </w:tc>
        <w:tc>
          <w:tcPr>
            <w:tcW w:w="580" w:type="dxa"/>
            <w:vAlign w:val="bottom"/>
          </w:tcPr>
          <w:p>
            <w:pPr>
              <w:jc w:val="right"/>
              <w:ind w:right="164"/>
              <w:spacing w:after="0"/>
              <w:rPr>
                <w:sz w:val="20"/>
                <w:szCs w:val="20"/>
                <w:color w:val="auto"/>
              </w:rPr>
            </w:pPr>
            <w:r>
              <w:rPr>
                <w:rFonts w:ascii="Arial" w:cs="Arial" w:eastAsia="Arial" w:hAnsi="Arial"/>
                <w:sz w:val="15"/>
                <w:szCs w:val="15"/>
                <w:color w:val="5D89B4"/>
              </w:rPr>
              <w:t>M</w:t>
            </w:r>
          </w:p>
        </w:tc>
        <w:tc>
          <w:tcPr>
            <w:tcW w:w="780" w:type="dxa"/>
            <w:vAlign w:val="bottom"/>
          </w:tcPr>
          <w:p>
            <w:pPr>
              <w:jc w:val="right"/>
              <w:ind w:right="284"/>
              <w:spacing w:after="0"/>
              <w:rPr>
                <w:sz w:val="20"/>
                <w:szCs w:val="20"/>
                <w:color w:val="auto"/>
              </w:rPr>
            </w:pPr>
            <w:r>
              <w:rPr>
                <w:rFonts w:ascii="Arial" w:cs="Arial" w:eastAsia="Arial" w:hAnsi="Arial"/>
                <w:sz w:val="15"/>
                <w:szCs w:val="15"/>
                <w:color w:val="5D89B4"/>
              </w:rPr>
              <w:t>F</w:t>
            </w:r>
          </w:p>
        </w:tc>
        <w:tc>
          <w:tcPr>
            <w:tcW w:w="540" w:type="dxa"/>
            <w:vAlign w:val="bottom"/>
          </w:tcPr>
          <w:p>
            <w:pPr>
              <w:jc w:val="right"/>
              <w:spacing w:after="0"/>
              <w:rPr>
                <w:sz w:val="20"/>
                <w:szCs w:val="20"/>
                <w:color w:val="auto"/>
              </w:rPr>
            </w:pPr>
            <w:r>
              <w:rPr>
                <w:rFonts w:ascii="Arial" w:cs="Arial" w:eastAsia="Arial" w:hAnsi="Arial"/>
                <w:sz w:val="15"/>
                <w:szCs w:val="15"/>
                <w:color w:val="5D89B4"/>
              </w:rPr>
              <w:t>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26035</wp:posOffset>
            </wp:positionV>
            <wp:extent cx="69138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-735330</wp:posOffset>
            </wp:positionV>
            <wp:extent cx="50800" cy="590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-735330</wp:posOffset>
            </wp:positionV>
            <wp:extent cx="50800" cy="590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-735330</wp:posOffset>
            </wp:positionV>
            <wp:extent cx="50800" cy="590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-735330</wp:posOffset>
            </wp:positionV>
            <wp:extent cx="50800" cy="590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-735330</wp:posOffset>
            </wp:positionV>
            <wp:extent cx="50800" cy="590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-735330</wp:posOffset>
            </wp:positionV>
            <wp:extent cx="50800" cy="590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-735330</wp:posOffset>
            </wp:positionV>
            <wp:extent cx="50800" cy="590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-735330</wp:posOffset>
            </wp:positionV>
            <wp:extent cx="50800" cy="590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-735330</wp:posOffset>
            </wp:positionV>
            <wp:extent cx="50800" cy="590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-735330</wp:posOffset>
            </wp:positionV>
            <wp:extent cx="50800" cy="590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800" cy="59055"/>
                    </a:xfrm>
                    <a:prstGeom prst="rect">
                      <a:avLst/>
                    </a:prstGeom>
                    <a:noFill/>
                  </pic:spPr>
                </pic:pic>
              </a:graphicData>
            </a:graphic>
          </wp:anchor>
        </w:drawing>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47625</wp:posOffset>
            </wp:positionV>
            <wp:extent cx="69138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Black/African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47625</wp:posOffset>
            </wp:positionV>
            <wp:extent cx="69138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-78740</wp:posOffset>
            </wp:positionV>
            <wp:extent cx="50800" cy="590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-78740</wp:posOffset>
            </wp:positionV>
            <wp:extent cx="50800" cy="590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0800" cy="59055"/>
                    </a:xfrm>
                    <a:prstGeom prst="rect">
                      <a:avLst/>
                    </a:prstGeom>
                    <a:noFill/>
                  </pic:spPr>
                </pic:pic>
              </a:graphicData>
            </a:graphic>
          </wp:anchor>
        </w:drawing>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Hispanic/Latinx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47625</wp:posOffset>
            </wp:positionV>
            <wp:extent cx="69138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47625</wp:posOffset>
            </wp:positionV>
            <wp:extent cx="69138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-78740</wp:posOffset>
            </wp:positionV>
            <wp:extent cx="50800" cy="590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-78740</wp:posOffset>
            </wp:positionV>
            <wp:extent cx="50800" cy="590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-78740</wp:posOffset>
            </wp:positionV>
            <wp:extent cx="50800" cy="590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-78740</wp:posOffset>
            </wp:positionV>
            <wp:extent cx="50800" cy="590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-78740</wp:posOffset>
            </wp:positionV>
            <wp:extent cx="50800" cy="590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-78740</wp:posOffset>
            </wp:positionV>
            <wp:extent cx="50800" cy="590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-78740</wp:posOffset>
            </wp:positionV>
            <wp:extent cx="50800" cy="590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-78740</wp:posOffset>
            </wp:positionV>
            <wp:extent cx="50800" cy="590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-78740</wp:posOffset>
            </wp:positionV>
            <wp:extent cx="50800" cy="590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0800" cy="59055"/>
                    </a:xfrm>
                    <a:prstGeom prst="rect">
                      <a:avLst/>
                    </a:prstGeom>
                    <a:noFill/>
                  </pic:spPr>
                </pic:pic>
              </a:graphicData>
            </a:graphic>
          </wp:anchor>
        </w:drawing>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Born Outside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47625</wp:posOffset>
            </wp:positionV>
            <wp:extent cx="69138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166370</wp:posOffset>
            </wp:positionV>
            <wp:extent cx="69138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2512060</wp:posOffset>
            </wp:positionH>
            <wp:positionV relativeFrom="paragraph">
              <wp:posOffset>-78740</wp:posOffset>
            </wp:positionV>
            <wp:extent cx="50800" cy="590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-78740</wp:posOffset>
            </wp:positionV>
            <wp:extent cx="50800" cy="590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-78740</wp:posOffset>
            </wp:positionV>
            <wp:extent cx="50800" cy="590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-78740</wp:posOffset>
            </wp:positionV>
            <wp:extent cx="50800" cy="590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0800" cy="59055"/>
                    </a:xfrm>
                    <a:prstGeom prst="rect">
                      <a:avLst/>
                    </a:prstGeom>
                    <a:noFill/>
                  </pic:spPr>
                </pic:pic>
              </a:graphicData>
            </a:graphic>
          </wp:anchor>
        </w:drawing>
      </w:r>
    </w:p>
    <w:p>
      <w:pPr>
        <w:spacing w:after="0" w:line="38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BOARD DIVERSITY AND TENURE</w:t>
      </w:r>
      <w:r>
        <w:rPr>
          <w:rFonts w:ascii="Arial" w:cs="Arial" w:eastAsia="Arial" w:hAnsi="Arial"/>
          <w:sz w:val="24"/>
          <w:szCs w:val="24"/>
          <w:b w:val="1"/>
          <w:bCs w:val="1"/>
          <w:color w:val="5D89B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45720</wp:posOffset>
            </wp:positionV>
            <wp:extent cx="5710555" cy="66173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10555" cy="661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0" w:hanging="420"/>
        <w:spacing w:after="0"/>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Demographics within this section are made with respect to the 11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107315</wp:posOffset>
            </wp:positionV>
            <wp:extent cx="69138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9" w:lineRule="exact"/>
        <w:rPr>
          <w:sz w:val="20"/>
          <w:szCs w:val="20"/>
          <w:color w:val="auto"/>
        </w:rPr>
      </w:pPr>
    </w:p>
    <w:p>
      <w:pPr>
        <w:jc w:val="both"/>
        <w:ind w:left="5520"/>
        <w:spacing w:after="0"/>
        <w:tabs>
          <w:tab w:leader="none" w:pos="6160" w:val="left"/>
        </w:tabs>
        <w:rPr>
          <w:sz w:val="20"/>
          <w:szCs w:val="20"/>
          <w:color w:val="auto"/>
        </w:rPr>
      </w:pPr>
      <w:r>
        <w:rPr>
          <w:rFonts w:ascii="Arial" w:cs="Arial" w:eastAsia="Arial" w:hAnsi="Arial"/>
          <w:sz w:val="20"/>
          <w:szCs w:val="20"/>
          <w:b w:val="1"/>
          <w:bCs w:val="1"/>
          <w:color w:val="5D89B4"/>
        </w:rPr>
        <w:t>16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Director Compensation for 2023</w:t>
      </w:r>
    </w:p>
    <w:p>
      <w:pPr>
        <w:spacing w:after="0" w:line="200" w:lineRule="exact"/>
        <w:rPr>
          <w:sz w:val="20"/>
          <w:szCs w:val="20"/>
          <w:color w:val="auto"/>
        </w:rPr>
      </w:pPr>
    </w:p>
    <w:p>
      <w:pPr>
        <w:spacing w:after="0" w:line="252" w:lineRule="exact"/>
        <w:rPr>
          <w:sz w:val="20"/>
          <w:szCs w:val="20"/>
          <w:color w:val="auto"/>
        </w:rPr>
      </w:pPr>
    </w:p>
    <w:p>
      <w:pPr>
        <w:ind w:left="180" w:right="80"/>
        <w:spacing w:after="0" w:line="233" w:lineRule="auto"/>
        <w:rPr>
          <w:sz w:val="20"/>
          <w:szCs w:val="20"/>
          <w:color w:val="auto"/>
        </w:rPr>
      </w:pPr>
      <w:r>
        <w:rPr>
          <w:rFonts w:ascii="Arial" w:cs="Arial" w:eastAsia="Arial" w:hAnsi="Arial"/>
          <w:sz w:val="15"/>
          <w:szCs w:val="15"/>
          <w:color w:val="auto"/>
        </w:rPr>
        <w:t>The governance and sustainability committee reviews and makes recommendations to the full board with respect to the compensation of our non-employee directors annually. The full board of directors reviews these recommendations and makes a final determination on the compensation of our directors. From time to time, the governance and sustainability committee will engage with an outside compensation consultant to benchmark the Company’s non-employee director compensation against that of relevant peer companies and the general market. The governance and sustainability committee engaged Mercer in 2021 to review our non-employee director compensation program.</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For 2023, the board of directors approved the compensation arrangement for non-employee directors described below.</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101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2023 NON-EMPLOYEE DIRECTOR COMPENSATION STRUCTURE</w:t>
            </w:r>
          </w:p>
        </w:tc>
        <w:tc>
          <w:tcPr>
            <w:tcW w:w="760" w:type="dxa"/>
            <w:vAlign w:val="bottom"/>
            <w:tcBorders>
              <w:bottom w:val="single" w:sz="8" w:color="EAEAEA"/>
            </w:tcBorders>
            <w:shd w:val="clear" w:color="auto" w:fill="EAEAEA"/>
          </w:tcPr>
          <w:p>
            <w:pPr>
              <w:spacing w:after="0"/>
              <w:rPr>
                <w:sz w:val="23"/>
                <w:szCs w:val="23"/>
                <w:color w:val="auto"/>
              </w:rPr>
            </w:pPr>
          </w:p>
        </w:tc>
      </w:tr>
      <w:tr>
        <w:trPr>
          <w:trHeight w:val="248"/>
        </w:trPr>
        <w:tc>
          <w:tcPr>
            <w:tcW w:w="10120" w:type="dxa"/>
            <w:vAlign w:val="bottom"/>
          </w:tcPr>
          <w:p>
            <w:pPr>
              <w:ind w:left="80"/>
              <w:spacing w:after="0"/>
              <w:rPr>
                <w:sz w:val="20"/>
                <w:szCs w:val="20"/>
                <w:color w:val="auto"/>
              </w:rPr>
            </w:pPr>
            <w:r>
              <w:rPr>
                <w:rFonts w:ascii="Arial" w:cs="Arial" w:eastAsia="Arial" w:hAnsi="Arial"/>
                <w:sz w:val="14"/>
                <w:szCs w:val="14"/>
                <w:color w:val="auto"/>
              </w:rPr>
              <w:t>Annual Base Retainer (TOTAL)</w:t>
            </w:r>
          </w:p>
        </w:tc>
        <w:tc>
          <w:tcPr>
            <w:tcW w:w="760" w:type="dxa"/>
            <w:vAlign w:val="bottom"/>
          </w:tcPr>
          <w:p>
            <w:pPr>
              <w:jc w:val="right"/>
              <w:spacing w:after="0"/>
              <w:rPr>
                <w:sz w:val="20"/>
                <w:szCs w:val="20"/>
                <w:color w:val="auto"/>
              </w:rPr>
            </w:pPr>
            <w:r>
              <w:rPr>
                <w:rFonts w:ascii="Arial" w:cs="Arial" w:eastAsia="Arial" w:hAnsi="Arial"/>
                <w:sz w:val="15"/>
                <w:szCs w:val="15"/>
                <w:color w:val="auto"/>
              </w:rPr>
              <w:t>$290,000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10120" w:type="dxa"/>
            <w:vAlign w:val="bottom"/>
          </w:tcPr>
          <w:p>
            <w:pPr>
              <w:ind w:left="280"/>
              <w:spacing w:after="0"/>
              <w:rPr>
                <w:sz w:val="20"/>
                <w:szCs w:val="20"/>
                <w:color w:val="auto"/>
              </w:rPr>
            </w:pPr>
            <w:r>
              <w:rPr>
                <w:rFonts w:ascii="Arial" w:cs="Arial" w:eastAsia="Arial" w:hAnsi="Arial"/>
                <w:sz w:val="14"/>
                <w:szCs w:val="14"/>
                <w:color w:val="auto"/>
              </w:rPr>
              <w:t>Cash</w:t>
            </w:r>
          </w:p>
        </w:tc>
        <w:tc>
          <w:tcPr>
            <w:tcW w:w="760" w:type="dxa"/>
            <w:vAlign w:val="bottom"/>
          </w:tcPr>
          <w:p>
            <w:pPr>
              <w:jc w:val="right"/>
              <w:spacing w:after="0"/>
              <w:rPr>
                <w:sz w:val="20"/>
                <w:szCs w:val="20"/>
                <w:color w:val="auto"/>
              </w:rPr>
            </w:pPr>
            <w:r>
              <w:rPr>
                <w:rFonts w:ascii="Arial" w:cs="Arial" w:eastAsia="Arial" w:hAnsi="Arial"/>
                <w:sz w:val="15"/>
                <w:szCs w:val="15"/>
                <w:color w:val="auto"/>
              </w:rPr>
              <w:t>$115,000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10120" w:type="dxa"/>
            <w:vAlign w:val="bottom"/>
          </w:tcPr>
          <w:p>
            <w:pPr>
              <w:ind w:left="280"/>
              <w:spacing w:after="0"/>
              <w:rPr>
                <w:sz w:val="20"/>
                <w:szCs w:val="20"/>
                <w:color w:val="auto"/>
              </w:rPr>
            </w:pPr>
            <w:r>
              <w:rPr>
                <w:rFonts w:ascii="Arial" w:cs="Arial" w:eastAsia="Arial" w:hAnsi="Arial"/>
                <w:sz w:val="14"/>
                <w:szCs w:val="14"/>
                <w:color w:val="auto"/>
              </w:rPr>
              <w:t>Equity</w:t>
            </w:r>
          </w:p>
        </w:tc>
        <w:tc>
          <w:tcPr>
            <w:tcW w:w="760" w:type="dxa"/>
            <w:vAlign w:val="bottom"/>
          </w:tcPr>
          <w:p>
            <w:pPr>
              <w:jc w:val="right"/>
              <w:spacing w:after="0"/>
              <w:rPr>
                <w:sz w:val="20"/>
                <w:szCs w:val="20"/>
                <w:color w:val="auto"/>
              </w:rPr>
            </w:pPr>
            <w:r>
              <w:rPr>
                <w:rFonts w:ascii="Arial" w:cs="Arial" w:eastAsia="Arial" w:hAnsi="Arial"/>
                <w:sz w:val="15"/>
                <w:szCs w:val="15"/>
                <w:color w:val="auto"/>
              </w:rPr>
              <w:t>$175,000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10120" w:type="dxa"/>
            <w:vAlign w:val="bottom"/>
          </w:tcPr>
          <w:p>
            <w:pPr>
              <w:ind w:left="80"/>
              <w:spacing w:after="0"/>
              <w:rPr>
                <w:sz w:val="20"/>
                <w:szCs w:val="20"/>
                <w:color w:val="auto"/>
              </w:rPr>
            </w:pPr>
            <w:r>
              <w:rPr>
                <w:rFonts w:ascii="Arial" w:cs="Arial" w:eastAsia="Arial" w:hAnsi="Arial"/>
                <w:sz w:val="14"/>
                <w:szCs w:val="14"/>
                <w:color w:val="auto"/>
              </w:rPr>
              <w:t>Annual Governance and Sustainability Committee Chair Retainer</w:t>
            </w:r>
          </w:p>
        </w:tc>
        <w:tc>
          <w:tcPr>
            <w:tcW w:w="760" w:type="dxa"/>
            <w:vAlign w:val="bottom"/>
          </w:tcPr>
          <w:p>
            <w:pPr>
              <w:jc w:val="right"/>
              <w:spacing w:after="0"/>
              <w:rPr>
                <w:sz w:val="20"/>
                <w:szCs w:val="20"/>
                <w:color w:val="auto"/>
              </w:rPr>
            </w:pPr>
            <w:r>
              <w:rPr>
                <w:rFonts w:ascii="Arial" w:cs="Arial" w:eastAsia="Arial" w:hAnsi="Arial"/>
                <w:sz w:val="15"/>
                <w:szCs w:val="15"/>
                <w:color w:val="auto"/>
              </w:rPr>
              <w:t>$  20,000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10120" w:type="dxa"/>
            <w:vAlign w:val="bottom"/>
          </w:tcPr>
          <w:p>
            <w:pPr>
              <w:ind w:left="80"/>
              <w:spacing w:after="0"/>
              <w:rPr>
                <w:sz w:val="20"/>
                <w:szCs w:val="20"/>
                <w:color w:val="auto"/>
              </w:rPr>
            </w:pPr>
            <w:r>
              <w:rPr>
                <w:rFonts w:ascii="Arial" w:cs="Arial" w:eastAsia="Arial" w:hAnsi="Arial"/>
                <w:sz w:val="14"/>
                <w:szCs w:val="14"/>
                <w:color w:val="auto"/>
              </w:rPr>
              <w:t>Annual People, Culture and Compensation Committee Chair Retainer</w:t>
            </w:r>
          </w:p>
        </w:tc>
        <w:tc>
          <w:tcPr>
            <w:tcW w:w="760" w:type="dxa"/>
            <w:vAlign w:val="bottom"/>
          </w:tcPr>
          <w:p>
            <w:pPr>
              <w:jc w:val="right"/>
              <w:spacing w:after="0"/>
              <w:rPr>
                <w:sz w:val="20"/>
                <w:szCs w:val="20"/>
                <w:color w:val="auto"/>
              </w:rPr>
            </w:pPr>
            <w:r>
              <w:rPr>
                <w:rFonts w:ascii="Arial" w:cs="Arial" w:eastAsia="Arial" w:hAnsi="Arial"/>
                <w:sz w:val="15"/>
                <w:szCs w:val="15"/>
                <w:color w:val="auto"/>
              </w:rPr>
              <w:t>$  20,000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10120" w:type="dxa"/>
            <w:vAlign w:val="bottom"/>
          </w:tcPr>
          <w:p>
            <w:pPr>
              <w:ind w:left="80"/>
              <w:spacing w:after="0"/>
              <w:rPr>
                <w:sz w:val="20"/>
                <w:szCs w:val="20"/>
                <w:color w:val="auto"/>
              </w:rPr>
            </w:pPr>
            <w:r>
              <w:rPr>
                <w:rFonts w:ascii="Arial" w:cs="Arial" w:eastAsia="Arial" w:hAnsi="Arial"/>
                <w:sz w:val="14"/>
                <w:szCs w:val="14"/>
                <w:color w:val="auto"/>
              </w:rPr>
              <w:t>Annual Audit Committee Chair Retainer</w:t>
            </w:r>
          </w:p>
        </w:tc>
        <w:tc>
          <w:tcPr>
            <w:tcW w:w="760" w:type="dxa"/>
            <w:vAlign w:val="bottom"/>
          </w:tcPr>
          <w:p>
            <w:pPr>
              <w:jc w:val="right"/>
              <w:spacing w:after="0"/>
              <w:rPr>
                <w:sz w:val="20"/>
                <w:szCs w:val="20"/>
                <w:color w:val="auto"/>
              </w:rPr>
            </w:pPr>
            <w:r>
              <w:rPr>
                <w:rFonts w:ascii="Arial" w:cs="Arial" w:eastAsia="Arial" w:hAnsi="Arial"/>
                <w:sz w:val="15"/>
                <w:szCs w:val="15"/>
                <w:color w:val="auto"/>
              </w:rPr>
              <w:t>$  27,500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10120" w:type="dxa"/>
            <w:vAlign w:val="bottom"/>
          </w:tcPr>
          <w:p>
            <w:pPr>
              <w:ind w:left="80"/>
              <w:spacing w:after="0"/>
              <w:rPr>
                <w:sz w:val="20"/>
                <w:szCs w:val="20"/>
                <w:color w:val="auto"/>
              </w:rPr>
            </w:pPr>
            <w:r>
              <w:rPr>
                <w:rFonts w:ascii="Arial" w:cs="Arial" w:eastAsia="Arial" w:hAnsi="Arial"/>
                <w:sz w:val="14"/>
                <w:szCs w:val="14"/>
                <w:color w:val="auto"/>
              </w:rPr>
              <w:t>Annual Retainer for lead director</w:t>
            </w:r>
          </w:p>
        </w:tc>
        <w:tc>
          <w:tcPr>
            <w:tcW w:w="760" w:type="dxa"/>
            <w:vAlign w:val="bottom"/>
          </w:tcPr>
          <w:p>
            <w:pPr>
              <w:jc w:val="right"/>
              <w:spacing w:after="0"/>
              <w:rPr>
                <w:sz w:val="20"/>
                <w:szCs w:val="20"/>
                <w:color w:val="auto"/>
              </w:rPr>
            </w:pPr>
            <w:r>
              <w:rPr>
                <w:rFonts w:ascii="Arial" w:cs="Arial" w:eastAsia="Arial" w:hAnsi="Arial"/>
                <w:sz w:val="15"/>
                <w:szCs w:val="15"/>
                <w:color w:val="auto"/>
              </w:rPr>
              <w:t>$  35,000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10120" w:type="dxa"/>
            <w:vAlign w:val="bottom"/>
          </w:tcPr>
          <w:p>
            <w:pPr>
              <w:ind w:left="80"/>
              <w:spacing w:after="0"/>
              <w:rPr>
                <w:sz w:val="20"/>
                <w:szCs w:val="20"/>
                <w:color w:val="auto"/>
              </w:rPr>
            </w:pPr>
            <w:r>
              <w:rPr>
                <w:rFonts w:ascii="Arial" w:cs="Arial" w:eastAsia="Arial" w:hAnsi="Arial"/>
                <w:sz w:val="14"/>
                <w:szCs w:val="14"/>
                <w:color w:val="auto"/>
              </w:rPr>
              <w:t>Annual Retainer for lead director in the case where he or she also serves as a committee chair</w:t>
            </w:r>
          </w:p>
        </w:tc>
        <w:tc>
          <w:tcPr>
            <w:tcW w:w="760" w:type="dxa"/>
            <w:vAlign w:val="bottom"/>
          </w:tcPr>
          <w:p>
            <w:pPr>
              <w:jc w:val="right"/>
              <w:spacing w:after="0"/>
              <w:rPr>
                <w:sz w:val="20"/>
                <w:szCs w:val="20"/>
                <w:color w:val="auto"/>
              </w:rPr>
            </w:pPr>
            <w:r>
              <w:rPr>
                <w:rFonts w:ascii="Arial" w:cs="Arial" w:eastAsia="Arial" w:hAnsi="Arial"/>
                <w:sz w:val="15"/>
                <w:szCs w:val="15"/>
                <w:color w:val="auto"/>
              </w:rPr>
              <w:t>$  40,000</w:t>
            </w:r>
          </w:p>
        </w:tc>
      </w:tr>
      <w:tr>
        <w:trPr>
          <w:trHeight w:val="45"/>
        </w:trPr>
        <w:tc>
          <w:tcPr>
            <w:tcW w:w="1012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bl>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5D89B4"/>
        </w:rPr>
        <w:t>Annual Cash Retainer</w:t>
      </w:r>
    </w:p>
    <w:p>
      <w:pPr>
        <w:spacing w:after="0" w:line="56" w:lineRule="exact"/>
        <w:rPr>
          <w:sz w:val="20"/>
          <w:szCs w:val="20"/>
          <w:color w:val="auto"/>
        </w:rPr>
      </w:pPr>
    </w:p>
    <w:p>
      <w:pPr>
        <w:ind w:left="180" w:right="80"/>
        <w:spacing w:after="0" w:line="236" w:lineRule="auto"/>
        <w:rPr>
          <w:sz w:val="20"/>
          <w:szCs w:val="20"/>
          <w:color w:val="auto"/>
        </w:rPr>
      </w:pPr>
      <w:r>
        <w:rPr>
          <w:rFonts w:ascii="Arial" w:cs="Arial" w:eastAsia="Arial" w:hAnsi="Arial"/>
          <w:sz w:val="15"/>
          <w:szCs w:val="15"/>
          <w:color w:val="auto"/>
        </w:rPr>
        <w:t>Each year, directors receive an annual cash retainer but can elect to receive deferred stock in lieu of 50%, 75% or 100% of their annual cash retainer. This deferred stock will be granted at the end of the year for which the election was made. The number of shares granted will equal the annual cash retainer divided by the average of the closing prices of ManpowerGroup common stock on the last trading day of each full or partial calendar quarter covered by the election period. For 2023, Mr. Downe, Mr. Gipson and Ms. Howard elected to accept deferred stock in lieu of 100% of their annual cash retainer.</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5D89B4"/>
        </w:rPr>
        <w:t>Annual Equity Grant</w:t>
      </w:r>
    </w:p>
    <w:p>
      <w:pPr>
        <w:spacing w:after="0" w:line="69" w:lineRule="exact"/>
        <w:rPr>
          <w:sz w:val="20"/>
          <w:szCs w:val="20"/>
          <w:color w:val="auto"/>
        </w:rPr>
      </w:pPr>
    </w:p>
    <w:p>
      <w:pPr>
        <w:ind w:left="180" w:right="80"/>
        <w:spacing w:after="0" w:line="233" w:lineRule="auto"/>
        <w:rPr>
          <w:sz w:val="20"/>
          <w:szCs w:val="20"/>
          <w:color w:val="auto"/>
        </w:rPr>
      </w:pPr>
      <w:r>
        <w:rPr>
          <w:rFonts w:ascii="Arial" w:cs="Arial" w:eastAsia="Arial" w:hAnsi="Arial"/>
          <w:sz w:val="15"/>
          <w:szCs w:val="15"/>
          <w:color w:val="auto"/>
        </w:rPr>
        <w:t>Each year directors also receive an annual grant of deferred stock. The annual grant is effective on January 1 of each year and the number of shares granted will equal the annual equity retainer divided by the closing sale price of a share of ManpowerGroup’s common stock on the last business day of the preceding year. Alternatively, the directors can elect to receive restricted stock instead of deferred stock if they make the election on or before December 31 of the preceding year. For 2023, the total shares of deferred stock or restricted stock granted to each director was 2,103 shares. The shares vest in equal quarterly installments on the last day of each calendar quarter during the year.</w:t>
      </w:r>
    </w:p>
    <w:p>
      <w:pPr>
        <w:spacing w:after="0" w:line="177" w:lineRule="exact"/>
        <w:rPr>
          <w:sz w:val="20"/>
          <w:szCs w:val="20"/>
          <w:color w:val="auto"/>
        </w:rPr>
      </w:pPr>
    </w:p>
    <w:p>
      <w:pPr>
        <w:ind w:left="180" w:right="360"/>
        <w:spacing w:after="0" w:line="259" w:lineRule="auto"/>
        <w:rPr>
          <w:sz w:val="20"/>
          <w:szCs w:val="20"/>
          <w:color w:val="auto"/>
        </w:rPr>
      </w:pPr>
      <w:r>
        <w:rPr>
          <w:rFonts w:ascii="Arial" w:cs="Arial" w:eastAsia="Arial" w:hAnsi="Arial"/>
          <w:sz w:val="15"/>
          <w:szCs w:val="15"/>
          <w:color w:val="auto"/>
        </w:rPr>
        <w:t>A new director will receive a grant of deferred stock effective the date the director is appointed to the board and will be prorated for the year. They can elect to receive restricted stock instead if they make the election within 10 days of appointment to the board of directors.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5D89B4"/>
        </w:rPr>
        <w:t>Distribution of Deferred Stock</w:t>
      </w:r>
    </w:p>
    <w:p>
      <w:pPr>
        <w:spacing w:after="0" w:line="56" w:lineRule="exact"/>
        <w:rPr>
          <w:sz w:val="20"/>
          <w:szCs w:val="20"/>
          <w:color w:val="auto"/>
        </w:rPr>
      </w:pPr>
    </w:p>
    <w:p>
      <w:pPr>
        <w:jc w:val="both"/>
        <w:ind w:left="180" w:right="20"/>
        <w:spacing w:after="0" w:line="236" w:lineRule="auto"/>
        <w:rPr>
          <w:sz w:val="20"/>
          <w:szCs w:val="20"/>
          <w:color w:val="auto"/>
        </w:rPr>
      </w:pPr>
      <w:r>
        <w:rPr>
          <w:rFonts w:ascii="Arial" w:cs="Arial" w:eastAsia="Arial" w:hAnsi="Arial"/>
          <w:sz w:val="15"/>
          <w:szCs w:val="15"/>
          <w:color w:val="auto"/>
        </w:rPr>
        <w:t>Deferred stock will be distributed in ManpowerGroup shares on the earlier of three years from the date of grant or within 30 days of the director leaving the board. However, the director can extend the deferral period for these grants by at least five years, and thereafter extend further by at least five more years, as long as the election to extend is made at least twelve months before the end of the current deferral period. If a director extends the deferral period but leaves the board prior to the extended date, the deferred stock will be distributed within 30 days of the director leaving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97155</wp:posOffset>
            </wp:positionV>
            <wp:extent cx="69138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DIRECTOR COMPENSATION FOR 2023</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5D89B4"/>
        </w:rPr>
        <w:t>Amendment to Compensation Program for 2024</w:t>
      </w:r>
    </w:p>
    <w:p>
      <w:pPr>
        <w:spacing w:after="0" w:line="56" w:lineRule="exact"/>
        <w:rPr>
          <w:sz w:val="20"/>
          <w:szCs w:val="20"/>
          <w:color w:val="auto"/>
        </w:rPr>
      </w:pPr>
    </w:p>
    <w:p>
      <w:pPr>
        <w:ind w:left="180" w:right="20"/>
        <w:spacing w:after="0" w:line="229" w:lineRule="auto"/>
        <w:rPr>
          <w:sz w:val="20"/>
          <w:szCs w:val="20"/>
          <w:color w:val="auto"/>
        </w:rPr>
      </w:pPr>
      <w:r>
        <w:rPr>
          <w:rFonts w:ascii="Arial" w:cs="Arial" w:eastAsia="Arial" w:hAnsi="Arial"/>
          <w:sz w:val="15"/>
          <w:szCs w:val="15"/>
          <w:color w:val="auto"/>
        </w:rPr>
        <w:t>The governance and sustainability committee again engaged Mercer in 2023 to review our non-employee director compensation program. Based on that review, the board of directors has approved an amendment to the compensation program for non-employee directors effective as of January 1, 2024. The annual equity grant has been increased from $ 175,000 per year to $180,000 per year. The annual cash retainer has been increased from $ 115,000 per year to $120,000 per year. The annual retainer for the chair of the audit committee has been increased from $27,500 per year to $30,000 per year. The annual retainer for the chair of each the governance and sustainability committee and the people, culture and compensation committee has been increased from $20,000 per year to $ 25,000 per year. The annual retainer for the lead director who also serves as a committee chair has been adjusted from $40,000 per year to a value of $35,000 per year plus the committee chair annual retainer for which the individual serves as chair. There was no change to the fee structure of the annual retainer for the lead director who does not serve as a committee chair.</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Director Compensation for 2023</w:t>
      </w: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400" w:type="dxa"/>
            <w:vAlign w:val="bottom"/>
            <w:shd w:val="clear" w:color="auto" w:fill="EAEAEA"/>
          </w:tcPr>
          <w:p>
            <w:pPr>
              <w:spacing w:after="0"/>
              <w:rPr>
                <w:sz w:val="18"/>
                <w:szCs w:val="18"/>
                <w:color w:val="auto"/>
              </w:rPr>
            </w:pPr>
          </w:p>
        </w:tc>
        <w:tc>
          <w:tcPr>
            <w:tcW w:w="228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FEES EARNED OR</w:t>
            </w:r>
          </w:p>
        </w:tc>
        <w:tc>
          <w:tcPr>
            <w:tcW w:w="202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r>
      <w:tr>
        <w:trPr>
          <w:trHeight w:val="160"/>
        </w:trPr>
        <w:tc>
          <w:tcPr>
            <w:tcW w:w="5400" w:type="dxa"/>
            <w:vAlign w:val="bottom"/>
            <w:shd w:val="clear" w:color="auto" w:fill="EAEAEA"/>
          </w:tcPr>
          <w:p>
            <w:pPr>
              <w:spacing w:after="0"/>
              <w:rPr>
                <w:sz w:val="13"/>
                <w:szCs w:val="13"/>
                <w:color w:val="auto"/>
              </w:rPr>
            </w:pPr>
          </w:p>
        </w:tc>
        <w:tc>
          <w:tcPr>
            <w:tcW w:w="228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PAID IN CASH</w:t>
            </w:r>
          </w:p>
        </w:tc>
        <w:tc>
          <w:tcPr>
            <w:tcW w:w="2020" w:type="dxa"/>
            <w:vAlign w:val="bottom"/>
            <w:shd w:val="clear" w:color="auto" w:fill="EAEAEA"/>
          </w:tcPr>
          <w:p>
            <w:pPr>
              <w:jc w:val="right"/>
              <w:ind w:right="345"/>
              <w:spacing w:after="0"/>
              <w:rPr>
                <w:sz w:val="20"/>
                <w:szCs w:val="20"/>
                <w:color w:val="auto"/>
              </w:rPr>
            </w:pPr>
            <w:r>
              <w:rPr>
                <w:rFonts w:ascii="Arial" w:cs="Arial" w:eastAsia="Arial" w:hAnsi="Arial"/>
                <w:sz w:val="14"/>
                <w:szCs w:val="14"/>
                <w:b w:val="1"/>
                <w:bCs w:val="1"/>
                <w:color w:val="5D89B4"/>
              </w:rPr>
              <w:t>STOCK AWARDS</w:t>
            </w:r>
          </w:p>
        </w:tc>
        <w:tc>
          <w:tcPr>
            <w:tcW w:w="1180" w:type="dxa"/>
            <w:vAlign w:val="bottom"/>
            <w:shd w:val="clear" w:color="auto" w:fill="EAEAEA"/>
          </w:tcPr>
          <w:p>
            <w:pPr>
              <w:spacing w:after="0"/>
              <w:rPr>
                <w:sz w:val="13"/>
                <w:szCs w:val="13"/>
                <w:color w:val="auto"/>
              </w:rPr>
            </w:pPr>
          </w:p>
        </w:tc>
      </w:tr>
      <w:tr>
        <w:trPr>
          <w:trHeight w:val="229"/>
        </w:trPr>
        <w:tc>
          <w:tcPr>
            <w:tcW w:w="54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228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w:t>
            </w:r>
          </w:p>
        </w:tc>
        <w:tc>
          <w:tcPr>
            <w:tcW w:w="2020" w:type="dxa"/>
            <w:vAlign w:val="bottom"/>
            <w:tcBorders>
              <w:bottom w:val="single" w:sz="8" w:color="EAEAEA"/>
            </w:tcBorders>
            <w:shd w:val="clear" w:color="auto" w:fill="EAEAEA"/>
          </w:tcPr>
          <w:p>
            <w:pPr>
              <w:jc w:val="right"/>
              <w:ind w:right="345"/>
              <w:spacing w:after="0"/>
              <w:rPr>
                <w:sz w:val="20"/>
                <w:szCs w:val="20"/>
                <w:color w:val="auto"/>
              </w:rPr>
            </w:pPr>
            <w:r>
              <w:rPr>
                <w:rFonts w:ascii="Arial" w:cs="Arial" w:eastAsia="Arial" w:hAnsi="Arial"/>
                <w:sz w:val="14"/>
                <w:szCs w:val="14"/>
                <w:b w:val="1"/>
                <w:bCs w:val="1"/>
                <w:color w:val="5D89B4"/>
              </w:rPr>
              <w:t>($)(1)</w:t>
            </w:r>
          </w:p>
        </w:tc>
        <w:tc>
          <w:tcPr>
            <w:tcW w:w="1180" w:type="dxa"/>
            <w:vAlign w:val="bottom"/>
            <w:tcBorders>
              <w:bottom w:val="single" w:sz="8" w:color="EAEAEA"/>
            </w:tcBorders>
            <w:shd w:val="clear" w:color="auto" w:fill="EAEAEA"/>
          </w:tcPr>
          <w:p>
            <w:pPr>
              <w:jc w:val="right"/>
              <w:ind w:right="25"/>
              <w:spacing w:after="0"/>
              <w:rPr>
                <w:sz w:val="20"/>
                <w:szCs w:val="20"/>
                <w:color w:val="auto"/>
              </w:rPr>
            </w:pPr>
            <w:r>
              <w:rPr>
                <w:rFonts w:ascii="Arial" w:cs="Arial" w:eastAsia="Arial" w:hAnsi="Arial"/>
                <w:sz w:val="14"/>
                <w:szCs w:val="14"/>
                <w:b w:val="1"/>
                <w:bCs w:val="1"/>
                <w:color w:val="5D89B4"/>
              </w:rPr>
              <w:t>TOTAL ($)</w:t>
            </w:r>
          </w:p>
        </w:tc>
      </w:tr>
      <w:tr>
        <w:trPr>
          <w:trHeight w:val="25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193,018</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308,018</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396,514</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396,514</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233,617</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348,617</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315,492</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315,492</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135,000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194,591</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329,591</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362,392</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362,392</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196,952</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311,952</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Muriel Pénicaud</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181,530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296,530</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142,500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185,307</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327,807</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135,000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175,000</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310,000</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r>
        <w:trPr>
          <w:trHeight w:val="232"/>
        </w:trPr>
        <w:tc>
          <w:tcPr>
            <w:tcW w:w="540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45"/>
              <w:spacing w:after="0"/>
              <w:rPr>
                <w:sz w:val="20"/>
                <w:szCs w:val="20"/>
                <w:color w:val="auto"/>
              </w:rPr>
            </w:pPr>
            <w:r>
              <w:rPr>
                <w:rFonts w:ascii="Arial" w:cs="Arial" w:eastAsia="Arial" w:hAnsi="Arial"/>
                <w:sz w:val="15"/>
                <w:szCs w:val="15"/>
                <w:color w:val="auto"/>
              </w:rPr>
              <w:t>192,703</w:t>
            </w:r>
          </w:p>
        </w:tc>
        <w:tc>
          <w:tcPr>
            <w:tcW w:w="1180" w:type="dxa"/>
            <w:vAlign w:val="bottom"/>
          </w:tcPr>
          <w:p>
            <w:pPr>
              <w:jc w:val="right"/>
              <w:ind w:right="25"/>
              <w:spacing w:after="0"/>
              <w:rPr>
                <w:sz w:val="20"/>
                <w:szCs w:val="20"/>
                <w:color w:val="auto"/>
              </w:rPr>
            </w:pPr>
            <w:r>
              <w:rPr>
                <w:rFonts w:ascii="Arial" w:cs="Arial" w:eastAsia="Arial" w:hAnsi="Arial"/>
                <w:sz w:val="15"/>
                <w:szCs w:val="15"/>
                <w:color w:val="auto"/>
              </w:rPr>
              <w:t>307,703</w:t>
            </w:r>
          </w:p>
        </w:tc>
      </w:tr>
      <w:tr>
        <w:trPr>
          <w:trHeight w:val="41"/>
        </w:trPr>
        <w:tc>
          <w:tcPr>
            <w:tcW w:w="5400" w:type="dxa"/>
            <w:vAlign w:val="bottom"/>
            <w:tcBorders>
              <w:bottom w:val="single" w:sz="8" w:color="5D89B4"/>
            </w:tcBorders>
          </w:tcPr>
          <w:p>
            <w:pPr>
              <w:spacing w:after="0"/>
              <w:rPr>
                <w:sz w:val="3"/>
                <w:szCs w:val="3"/>
                <w:color w:val="auto"/>
              </w:rPr>
            </w:pPr>
          </w:p>
        </w:tc>
        <w:tc>
          <w:tcPr>
            <w:tcW w:w="22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right="160" w:hanging="420"/>
        <w:spacing w:after="0" w:line="259" w:lineRule="auto"/>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26" w:lineRule="exact"/>
        <w:rPr>
          <w:sz w:val="20"/>
          <w:szCs w:val="20"/>
          <w:color w:val="auto"/>
        </w:rPr>
      </w:pPr>
    </w:p>
    <w:p>
      <w:pPr>
        <w:ind w:left="600" w:right="8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Courtois, $175,000 attributable to the annual grant of deferred stock (2,103 shares) and $18,018 attributable to deferred stock issued in lieu of dividends (229 shares) in 2023.</w:t>
      </w:r>
    </w:p>
    <w:p>
      <w:pPr>
        <w:spacing w:after="0" w:line="11" w:lineRule="exact"/>
        <w:rPr>
          <w:rFonts w:ascii="Arial" w:cs="Arial" w:eastAsia="Arial" w:hAnsi="Arial"/>
          <w:sz w:val="14"/>
          <w:szCs w:val="14"/>
          <w:color w:val="auto"/>
        </w:rPr>
      </w:pPr>
    </w:p>
    <w:p>
      <w:pPr>
        <w:ind w:left="600" w:right="38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Downe, $175,000 attributable to the annual grant of restricted stock (2,103 shares), $127,019 attributable to deferred stock granted in lieu of 100% of his annual retainers, (1,614 shares) and $94,495 attributable to deferred stock issued in lieu of dividends (1,201 shares) in 2023.</w:t>
      </w:r>
    </w:p>
    <w:p>
      <w:pPr>
        <w:spacing w:after="0" w:line="11" w:lineRule="exact"/>
        <w:rPr>
          <w:rFonts w:ascii="Arial" w:cs="Arial" w:eastAsia="Arial" w:hAnsi="Arial"/>
          <w:sz w:val="14"/>
          <w:szCs w:val="14"/>
          <w:color w:val="auto"/>
        </w:rPr>
      </w:pPr>
    </w:p>
    <w:p>
      <w:pPr>
        <w:ind w:left="600" w:right="14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Ferraro, $175,000 attributable to the annual grant of deferred stock (2,103 shares) and $58,617 attributable to deferred stock issued in lieu of dividends (745 shares) in 2023.</w:t>
      </w:r>
    </w:p>
    <w:p>
      <w:pPr>
        <w:spacing w:after="0" w:line="11" w:lineRule="exact"/>
        <w:rPr>
          <w:rFonts w:ascii="Arial" w:cs="Arial" w:eastAsia="Arial" w:hAnsi="Arial"/>
          <w:sz w:val="14"/>
          <w:szCs w:val="14"/>
          <w:color w:val="auto"/>
        </w:rPr>
      </w:pPr>
    </w:p>
    <w:p>
      <w:pPr>
        <w:ind w:left="600" w:right="44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Gipson, $175,000 attributable to the annual grant of deferred stock (2,103 shares), $115,000 attributable to deferred stock granted in lieu of 100% of his annual retainer (1,461 shares) and $25,492 attributable to deferred stock issued in lieu of dividends (324 shares) in 2023.</w:t>
      </w:r>
    </w:p>
    <w:p>
      <w:pPr>
        <w:spacing w:after="0" w:line="11" w:lineRule="exact"/>
        <w:rPr>
          <w:rFonts w:ascii="Arial" w:cs="Arial" w:eastAsia="Arial" w:hAnsi="Arial"/>
          <w:sz w:val="14"/>
          <w:szCs w:val="14"/>
          <w:color w:val="auto"/>
        </w:rPr>
      </w:pPr>
    </w:p>
    <w:p>
      <w:pPr>
        <w:ind w:left="600" w:right="46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Ms. Hemingway Hall, $175,000 attributable to the annual grant of restricted stock (2,103 shares) and $19,591 attributable to deferred stock issued in lieu of dividends (249 shares) in 2023.</w:t>
      </w:r>
    </w:p>
    <w:p>
      <w:pPr>
        <w:spacing w:after="0" w:line="11" w:lineRule="exact"/>
        <w:rPr>
          <w:rFonts w:ascii="Arial" w:cs="Arial" w:eastAsia="Arial" w:hAnsi="Arial"/>
          <w:sz w:val="14"/>
          <w:szCs w:val="14"/>
          <w:color w:val="auto"/>
        </w:rPr>
      </w:pPr>
    </w:p>
    <w:p>
      <w:pPr>
        <w:ind w:left="600" w:right="34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Ms. Howard, $175,000 attributable to the annual grant of deferred stock (2,103 shares), $137,981 attributable to deferred stock granted in lieu of 100% of her annual retainers (1,753 shares) and $49,411 attributable to deferred stock issued in lieu of dividends (628 shares) in 2023.</w:t>
      </w:r>
    </w:p>
    <w:p>
      <w:pPr>
        <w:spacing w:after="0" w:line="11" w:lineRule="exact"/>
        <w:rPr>
          <w:rFonts w:ascii="Arial" w:cs="Arial" w:eastAsia="Arial" w:hAnsi="Arial"/>
          <w:sz w:val="14"/>
          <w:szCs w:val="14"/>
          <w:color w:val="auto"/>
        </w:rPr>
      </w:pPr>
    </w:p>
    <w:p>
      <w:pPr>
        <w:ind w:left="600" w:right="20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Payne, $175,000 attributable to the annual grant of deferred stock (2,103 shares) and $21,952 attributable to deferred stock issued in lieu of dividends (279 shares) in 2023.</w:t>
      </w:r>
    </w:p>
    <w:p>
      <w:pPr>
        <w:spacing w:after="0" w:line="11" w:lineRule="exact"/>
        <w:rPr>
          <w:rFonts w:ascii="Arial" w:cs="Arial" w:eastAsia="Arial" w:hAnsi="Arial"/>
          <w:sz w:val="14"/>
          <w:szCs w:val="14"/>
          <w:color w:val="auto"/>
        </w:rPr>
      </w:pPr>
    </w:p>
    <w:p>
      <w:pPr>
        <w:ind w:left="600" w:right="14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Ms. Pénicaud, $175,000 attributable to the annual grant of deferred stock (2,103 shares) and $6,530 attributable to deferred stock issued in lieu of dividends (83 shares) in 2023.</w:t>
      </w:r>
    </w:p>
    <w:p>
      <w:pPr>
        <w:spacing w:after="0" w:line="11" w:lineRule="exact"/>
        <w:rPr>
          <w:rFonts w:ascii="Arial" w:cs="Arial" w:eastAsia="Arial" w:hAnsi="Arial"/>
          <w:sz w:val="14"/>
          <w:szCs w:val="14"/>
          <w:color w:val="auto"/>
        </w:rPr>
      </w:pPr>
    </w:p>
    <w:p>
      <w:pPr>
        <w:ind w:left="600" w:right="22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Read, $175,000 attributable to the annual grant of restricted stock (2,103 shares) and $10,307 attributable to deferred stock issued in lieu of dividends (131 shares) in 2023.</w:t>
      </w:r>
    </w:p>
    <w:p>
      <w:pPr>
        <w:spacing w:after="0" w:line="11" w:lineRule="exact"/>
        <w:rPr>
          <w:rFonts w:ascii="Arial" w:cs="Arial" w:eastAsia="Arial" w:hAnsi="Arial"/>
          <w:sz w:val="14"/>
          <w:szCs w:val="14"/>
          <w:color w:val="auto"/>
        </w:rPr>
      </w:pPr>
    </w:p>
    <w:p>
      <w:pPr>
        <w:ind w:left="600" w:hanging="420"/>
        <w:spacing w:after="0"/>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Ms. Sartain, $175,000 attributable to the annual grant of restricted stock (2,103 shares) in 2023.</w:t>
      </w:r>
    </w:p>
    <w:p>
      <w:pPr>
        <w:spacing w:after="0" w:line="65" w:lineRule="exact"/>
        <w:rPr>
          <w:rFonts w:ascii="Arial" w:cs="Arial" w:eastAsia="Arial" w:hAnsi="Arial"/>
          <w:sz w:val="14"/>
          <w:szCs w:val="14"/>
          <w:color w:val="auto"/>
        </w:rPr>
      </w:pPr>
    </w:p>
    <w:p>
      <w:pPr>
        <w:ind w:left="600" w:right="200" w:hanging="420"/>
        <w:spacing w:after="0" w:line="280"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Mr. Van Handel, $175,000 attributable to the annual grant of deferred stock (2,103 shares) and $17,703 attributable to deferred stock issued in lieu of dividends (225 shares) in 2023.</w:t>
      </w:r>
    </w:p>
    <w:p>
      <w:pPr>
        <w:spacing w:after="0" w:line="11" w:lineRule="exact"/>
        <w:rPr>
          <w:rFonts w:ascii="Arial" w:cs="Arial" w:eastAsia="Arial" w:hAnsi="Arial"/>
          <w:sz w:val="14"/>
          <w:szCs w:val="14"/>
          <w:color w:val="auto"/>
        </w:rPr>
      </w:pPr>
    </w:p>
    <w:p>
      <w:pPr>
        <w:jc w:val="both"/>
        <w:ind w:left="600" w:right="240" w:hanging="420"/>
        <w:spacing w:after="0" w:line="259" w:lineRule="auto"/>
        <w:tabs>
          <w:tab w:leader="none" w:pos="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aggregate number of shares of deferred stock held by each of the non-employee directors can be found in Footnote 1 of the Beneficial Ownership of Directors and Executive Officers table on page 79. All such shares of deferred stock were fully vested as of December 31, 2023. All shares of restricted stock granted to the non-employee directors in 2023 were fully vested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90170</wp:posOffset>
            </wp:positionV>
            <wp:extent cx="69138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Non-Employee Director Stock Ownership Guidelines</w:t>
      </w:r>
    </w:p>
    <w:p>
      <w:pPr>
        <w:spacing w:after="0" w:line="346" w:lineRule="exact"/>
        <w:rPr>
          <w:sz w:val="20"/>
          <w:szCs w:val="20"/>
          <w:color w:val="auto"/>
        </w:rPr>
      </w:pPr>
    </w:p>
    <w:p>
      <w:pPr>
        <w:ind w:left="180"/>
        <w:spacing w:after="0" w:line="230" w:lineRule="auto"/>
        <w:rPr>
          <w:sz w:val="20"/>
          <w:szCs w:val="20"/>
          <w:color w:val="auto"/>
        </w:rPr>
      </w:pPr>
      <w:r>
        <w:rPr>
          <w:rFonts w:ascii="Arial" w:cs="Arial" w:eastAsia="Arial" w:hAnsi="Arial"/>
          <w:sz w:val="15"/>
          <w:szCs w:val="15"/>
          <w:color w:val="auto"/>
        </w:rPr>
        <w:t>The governance and sustainability committee believes that non-employee directors should hold a meaningful stake in ManpowerGroup to align their economic interests with those of the shareholders. To that end, the board of directors has adopted stock ownership guidelines for non-employee directors and reviews them on an annual basis. For all directors appointed prior to November 12, 2021, the total share ownership guideline is equal in value to $450,000. In 2021, the board of directors reviewed the stock ownership guidelines and determined to adjust the guidelines to further align with best practice. Under the new stock ownership guidelines, for any non-employee director appointed after November 12, 2021, the share ownership guideline is five times the annual cash retainer in effect when the director joins the board of directors. The committee considers vested deferred stock and common stock in determining targeted ownership levels. The following table details each non-employee director’s stock ownership relative to the stock ownership guidelines:</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420" w:type="dxa"/>
            <w:vAlign w:val="bottom"/>
            <w:shd w:val="clear" w:color="auto" w:fill="EAEAEA"/>
          </w:tcPr>
          <w:p>
            <w:pPr>
              <w:spacing w:after="0"/>
              <w:rPr>
                <w:sz w:val="18"/>
                <w:szCs w:val="18"/>
                <w:color w:val="auto"/>
              </w:rPr>
            </w:pPr>
          </w:p>
        </w:tc>
        <w:tc>
          <w:tcPr>
            <w:tcW w:w="2360" w:type="dxa"/>
            <w:vAlign w:val="bottom"/>
            <w:shd w:val="clear" w:color="auto" w:fill="EAEAEA"/>
          </w:tcPr>
          <w:p>
            <w:pPr>
              <w:jc w:val="right"/>
              <w:ind w:right="225"/>
              <w:spacing w:after="0"/>
              <w:rPr>
                <w:sz w:val="20"/>
                <w:szCs w:val="20"/>
                <w:color w:val="auto"/>
              </w:rPr>
            </w:pPr>
            <w:r>
              <w:rPr>
                <w:rFonts w:ascii="Arial" w:cs="Arial" w:eastAsia="Arial" w:hAnsi="Arial"/>
                <w:sz w:val="14"/>
                <w:szCs w:val="14"/>
                <w:b w:val="1"/>
                <w:bCs w:val="1"/>
                <w:color w:val="5D89B4"/>
              </w:rPr>
              <w:t>TARGET</w:t>
            </w:r>
          </w:p>
        </w:tc>
        <w:tc>
          <w:tcPr>
            <w:tcW w:w="2080" w:type="dxa"/>
            <w:vAlign w:val="bottom"/>
            <w:shd w:val="clear" w:color="auto" w:fill="EAEAEA"/>
          </w:tcPr>
          <w:p>
            <w:pPr>
              <w:spacing w:after="0"/>
              <w:rPr>
                <w:sz w:val="18"/>
                <w:szCs w:val="18"/>
                <w:color w:val="auto"/>
              </w:rPr>
            </w:pPr>
          </w:p>
        </w:tc>
        <w:tc>
          <w:tcPr>
            <w:tcW w:w="1940" w:type="dxa"/>
            <w:vAlign w:val="bottom"/>
            <w:shd w:val="clear" w:color="auto" w:fill="EAEAEA"/>
          </w:tcPr>
          <w:p>
            <w:pPr>
              <w:spacing w:after="0"/>
              <w:rPr>
                <w:sz w:val="18"/>
                <w:szCs w:val="18"/>
                <w:color w:val="auto"/>
              </w:rPr>
            </w:pPr>
          </w:p>
        </w:tc>
        <w:tc>
          <w:tcPr>
            <w:tcW w:w="2080" w:type="dxa"/>
            <w:vAlign w:val="bottom"/>
            <w:shd w:val="clear" w:color="auto" w:fill="EAEAEA"/>
          </w:tcPr>
          <w:p>
            <w:pPr>
              <w:spacing w:after="0"/>
              <w:rPr>
                <w:sz w:val="18"/>
                <w:szCs w:val="18"/>
                <w:color w:val="auto"/>
              </w:rPr>
            </w:pPr>
          </w:p>
        </w:tc>
      </w:tr>
      <w:tr>
        <w:trPr>
          <w:trHeight w:val="160"/>
        </w:trPr>
        <w:tc>
          <w:tcPr>
            <w:tcW w:w="2420" w:type="dxa"/>
            <w:vAlign w:val="bottom"/>
            <w:shd w:val="clear" w:color="auto" w:fill="EAEAEA"/>
          </w:tcPr>
          <w:p>
            <w:pPr>
              <w:spacing w:after="0"/>
              <w:rPr>
                <w:sz w:val="13"/>
                <w:szCs w:val="13"/>
                <w:color w:val="auto"/>
              </w:rPr>
            </w:pPr>
          </w:p>
        </w:tc>
        <w:tc>
          <w:tcPr>
            <w:tcW w:w="2360" w:type="dxa"/>
            <w:vAlign w:val="bottom"/>
            <w:shd w:val="clear" w:color="auto" w:fill="EAEAEA"/>
          </w:tcPr>
          <w:p>
            <w:pPr>
              <w:jc w:val="right"/>
              <w:ind w:right="225"/>
              <w:spacing w:after="0"/>
              <w:rPr>
                <w:sz w:val="20"/>
                <w:szCs w:val="20"/>
                <w:color w:val="auto"/>
              </w:rPr>
            </w:pPr>
            <w:r>
              <w:rPr>
                <w:rFonts w:ascii="Arial" w:cs="Arial" w:eastAsia="Arial" w:hAnsi="Arial"/>
                <w:sz w:val="14"/>
                <w:szCs w:val="14"/>
                <w:b w:val="1"/>
                <w:bCs w:val="1"/>
                <w:color w:val="5D89B4"/>
              </w:rPr>
              <w:t>NUMBER OF SHARES</w:t>
            </w:r>
          </w:p>
        </w:tc>
        <w:tc>
          <w:tcPr>
            <w:tcW w:w="2080" w:type="dxa"/>
            <w:vAlign w:val="bottom"/>
            <w:shd w:val="clear" w:color="auto" w:fill="EAEAEA"/>
          </w:tcPr>
          <w:p>
            <w:pPr>
              <w:jc w:val="right"/>
              <w:ind w:right="225"/>
              <w:spacing w:after="0"/>
              <w:rPr>
                <w:sz w:val="20"/>
                <w:szCs w:val="20"/>
                <w:color w:val="auto"/>
              </w:rPr>
            </w:pPr>
            <w:r>
              <w:rPr>
                <w:rFonts w:ascii="Arial" w:cs="Arial" w:eastAsia="Arial" w:hAnsi="Arial"/>
                <w:sz w:val="14"/>
                <w:szCs w:val="14"/>
                <w:b w:val="1"/>
                <w:bCs w:val="1"/>
                <w:color w:val="5D89B4"/>
              </w:rPr>
              <w:t>NUMBER OF SHARES</w:t>
            </w:r>
          </w:p>
        </w:tc>
        <w:tc>
          <w:tcPr>
            <w:tcW w:w="1940" w:type="dxa"/>
            <w:vAlign w:val="bottom"/>
            <w:shd w:val="clear" w:color="auto" w:fill="EAEAEA"/>
          </w:tcPr>
          <w:p>
            <w:pPr>
              <w:jc w:val="right"/>
              <w:ind w:right="205"/>
              <w:spacing w:after="0"/>
              <w:rPr>
                <w:sz w:val="20"/>
                <w:szCs w:val="20"/>
                <w:color w:val="auto"/>
              </w:rPr>
            </w:pPr>
            <w:r>
              <w:rPr>
                <w:rFonts w:ascii="Arial" w:cs="Arial" w:eastAsia="Arial" w:hAnsi="Arial"/>
                <w:sz w:val="14"/>
                <w:szCs w:val="14"/>
                <w:b w:val="1"/>
                <w:bCs w:val="1"/>
                <w:color w:val="5D89B4"/>
              </w:rPr>
              <w:t>VALUE OF SHARES</w:t>
            </w:r>
          </w:p>
        </w:tc>
        <w:tc>
          <w:tcPr>
            <w:tcW w:w="2080" w:type="dxa"/>
            <w:vAlign w:val="bottom"/>
            <w:shd w:val="clear" w:color="auto" w:fill="EAEAEA"/>
          </w:tcPr>
          <w:p>
            <w:pPr>
              <w:jc w:val="center"/>
              <w:ind w:left="107"/>
              <w:spacing w:after="0"/>
              <w:rPr>
                <w:sz w:val="20"/>
                <w:szCs w:val="20"/>
                <w:color w:val="auto"/>
              </w:rPr>
            </w:pPr>
            <w:r>
              <w:rPr>
                <w:rFonts w:ascii="Arial" w:cs="Arial" w:eastAsia="Arial" w:hAnsi="Arial"/>
                <w:sz w:val="14"/>
                <w:szCs w:val="14"/>
                <w:b w:val="1"/>
                <w:bCs w:val="1"/>
                <w:color w:val="5D89B4"/>
                <w:w w:val="99"/>
              </w:rPr>
              <w:t>TARGET DATE TO</w:t>
            </w:r>
          </w:p>
        </w:tc>
      </w:tr>
      <w:tr>
        <w:trPr>
          <w:trHeight w:val="229"/>
        </w:trPr>
        <w:tc>
          <w:tcPr>
            <w:tcW w:w="2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360" w:type="dxa"/>
            <w:vAlign w:val="bottom"/>
            <w:tcBorders>
              <w:bottom w:val="single" w:sz="8" w:color="EAEAEA"/>
            </w:tcBorders>
            <w:shd w:val="clear" w:color="auto" w:fill="EAEAEA"/>
          </w:tcPr>
          <w:p>
            <w:pPr>
              <w:jc w:val="right"/>
              <w:ind w:right="225"/>
              <w:spacing w:after="0"/>
              <w:rPr>
                <w:sz w:val="20"/>
                <w:szCs w:val="20"/>
                <w:color w:val="auto"/>
              </w:rPr>
            </w:pPr>
            <w:r>
              <w:rPr>
                <w:rFonts w:ascii="Arial" w:cs="Arial" w:eastAsia="Arial" w:hAnsi="Arial"/>
                <w:sz w:val="14"/>
                <w:szCs w:val="14"/>
                <w:b w:val="1"/>
                <w:bCs w:val="1"/>
                <w:color w:val="5D89B4"/>
              </w:rPr>
              <w:t>(#)(1)</w:t>
            </w:r>
          </w:p>
        </w:tc>
        <w:tc>
          <w:tcPr>
            <w:tcW w:w="2080" w:type="dxa"/>
            <w:vAlign w:val="bottom"/>
            <w:tcBorders>
              <w:bottom w:val="single" w:sz="8" w:color="EAEAEA"/>
            </w:tcBorders>
            <w:shd w:val="clear" w:color="auto" w:fill="EAEAEA"/>
          </w:tcPr>
          <w:p>
            <w:pPr>
              <w:jc w:val="right"/>
              <w:ind w:right="225"/>
              <w:spacing w:after="0"/>
              <w:rPr>
                <w:sz w:val="20"/>
                <w:szCs w:val="20"/>
                <w:color w:val="auto"/>
              </w:rPr>
            </w:pPr>
            <w:r>
              <w:rPr>
                <w:rFonts w:ascii="Arial" w:cs="Arial" w:eastAsia="Arial" w:hAnsi="Arial"/>
                <w:sz w:val="14"/>
                <w:szCs w:val="14"/>
                <w:b w:val="1"/>
                <w:bCs w:val="1"/>
                <w:color w:val="5D89B4"/>
              </w:rPr>
              <w:t>HELD(#)(2)</w:t>
            </w:r>
          </w:p>
        </w:tc>
        <w:tc>
          <w:tcPr>
            <w:tcW w:w="1940" w:type="dxa"/>
            <w:vAlign w:val="bottom"/>
            <w:tcBorders>
              <w:bottom w:val="single" w:sz="8" w:color="EAEAEA"/>
            </w:tcBorders>
            <w:shd w:val="clear" w:color="auto" w:fill="EAEAEA"/>
          </w:tcPr>
          <w:p>
            <w:pPr>
              <w:jc w:val="right"/>
              <w:ind w:right="205"/>
              <w:spacing w:after="0"/>
              <w:rPr>
                <w:sz w:val="20"/>
                <w:szCs w:val="20"/>
                <w:color w:val="auto"/>
              </w:rPr>
            </w:pPr>
            <w:r>
              <w:rPr>
                <w:rFonts w:ascii="Arial" w:cs="Arial" w:eastAsia="Arial" w:hAnsi="Arial"/>
                <w:sz w:val="14"/>
                <w:szCs w:val="14"/>
                <w:b w:val="1"/>
                <w:bCs w:val="1"/>
                <w:color w:val="5D89B4"/>
              </w:rPr>
              <w:t>($)(3)</w:t>
            </w:r>
          </w:p>
        </w:tc>
        <w:tc>
          <w:tcPr>
            <w:tcW w:w="2080" w:type="dxa"/>
            <w:vAlign w:val="bottom"/>
            <w:tcBorders>
              <w:bottom w:val="single" w:sz="8" w:color="EAEAEA"/>
            </w:tcBorders>
            <w:shd w:val="clear" w:color="auto" w:fill="EAEAEA"/>
          </w:tcPr>
          <w:p>
            <w:pPr>
              <w:jc w:val="center"/>
              <w:ind w:left="107"/>
              <w:spacing w:after="0"/>
              <w:rPr>
                <w:sz w:val="20"/>
                <w:szCs w:val="20"/>
                <w:color w:val="auto"/>
              </w:rPr>
            </w:pPr>
            <w:r>
              <w:rPr>
                <w:rFonts w:ascii="Arial" w:cs="Arial" w:eastAsia="Arial" w:hAnsi="Arial"/>
                <w:sz w:val="14"/>
                <w:szCs w:val="14"/>
                <w:b w:val="1"/>
                <w:bCs w:val="1"/>
                <w:color w:val="5D89B4"/>
              </w:rPr>
              <w:t>SATISFY GUIDELINES(4)</w:t>
            </w:r>
          </w:p>
        </w:tc>
      </w:tr>
      <w:tr>
        <w:trPr>
          <w:trHeight w:val="25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4,990</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6,347</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459,205</w:t>
            </w:r>
          </w:p>
        </w:tc>
        <w:tc>
          <w:tcPr>
            <w:tcW w:w="2080" w:type="dxa"/>
            <w:vAlign w:val="bottom"/>
          </w:tcPr>
          <w:p>
            <w:pPr>
              <w:spacing w:after="0"/>
              <w:rPr>
                <w:sz w:val="21"/>
                <w:szCs w:val="21"/>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6,601</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63,087</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4,564,344</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5,894</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22,984</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1,662,892</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4,990</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10,472</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757,649</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6,601</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21,320</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1,542,502</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5,064</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23,253</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1,682,355</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6,601</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16,368</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1,184,225</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Muriel Pénicaud</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6,674</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2,298</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166,260</w:t>
            </w:r>
          </w:p>
        </w:tc>
        <w:tc>
          <w:tcPr>
            <w:tcW w:w="2080" w:type="dxa"/>
            <w:vAlign w:val="bottom"/>
          </w:tcPr>
          <w:p>
            <w:pPr>
              <w:jc w:val="center"/>
              <w:ind w:left="127"/>
              <w:spacing w:after="0"/>
              <w:rPr>
                <w:sz w:val="20"/>
                <w:szCs w:val="20"/>
                <w:color w:val="auto"/>
              </w:rPr>
            </w:pPr>
            <w:r>
              <w:rPr>
                <w:rFonts w:ascii="Arial" w:cs="Arial" w:eastAsia="Arial" w:hAnsi="Arial"/>
                <w:sz w:val="15"/>
                <w:szCs w:val="15"/>
                <w:color w:val="5D89B4"/>
              </w:rPr>
              <w:t>December 12, 2027</w:t>
            </w: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6,601</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19,796</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1,432,241</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6,601</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30,337</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2,194,882</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360" w:type="dxa"/>
            <w:vAlign w:val="bottom"/>
          </w:tcPr>
          <w:p>
            <w:pPr>
              <w:jc w:val="right"/>
              <w:ind w:right="225"/>
              <w:spacing w:after="0"/>
              <w:rPr>
                <w:sz w:val="20"/>
                <w:szCs w:val="20"/>
                <w:color w:val="auto"/>
              </w:rPr>
            </w:pPr>
            <w:r>
              <w:rPr>
                <w:rFonts w:ascii="Arial" w:cs="Arial" w:eastAsia="Arial" w:hAnsi="Arial"/>
                <w:sz w:val="15"/>
                <w:szCs w:val="15"/>
                <w:color w:val="auto"/>
              </w:rPr>
              <w:t>3,568</w:t>
            </w:r>
          </w:p>
        </w:tc>
        <w:tc>
          <w:tcPr>
            <w:tcW w:w="2080" w:type="dxa"/>
            <w:vAlign w:val="bottom"/>
          </w:tcPr>
          <w:p>
            <w:pPr>
              <w:jc w:val="right"/>
              <w:ind w:right="225"/>
              <w:spacing w:after="0"/>
              <w:rPr>
                <w:sz w:val="20"/>
                <w:szCs w:val="20"/>
                <w:color w:val="auto"/>
              </w:rPr>
            </w:pPr>
            <w:r>
              <w:rPr>
                <w:rFonts w:ascii="Arial" w:cs="Arial" w:eastAsia="Arial" w:hAnsi="Arial"/>
                <w:sz w:val="15"/>
                <w:szCs w:val="15"/>
                <w:color w:val="auto"/>
              </w:rPr>
              <w:t>20,605</w:t>
            </w:r>
          </w:p>
        </w:tc>
        <w:tc>
          <w:tcPr>
            <w:tcW w:w="1940" w:type="dxa"/>
            <w:vAlign w:val="bottom"/>
          </w:tcPr>
          <w:p>
            <w:pPr>
              <w:jc w:val="right"/>
              <w:ind w:right="205"/>
              <w:spacing w:after="0"/>
              <w:rPr>
                <w:sz w:val="20"/>
                <w:szCs w:val="20"/>
                <w:color w:val="auto"/>
              </w:rPr>
            </w:pPr>
            <w:r>
              <w:rPr>
                <w:rFonts w:ascii="Arial" w:cs="Arial" w:eastAsia="Arial" w:hAnsi="Arial"/>
                <w:sz w:val="15"/>
                <w:szCs w:val="15"/>
                <w:color w:val="auto"/>
              </w:rPr>
              <w:t>1,490,772</w:t>
            </w:r>
          </w:p>
        </w:tc>
        <w:tc>
          <w:tcPr>
            <w:tcW w:w="2080" w:type="dxa"/>
            <w:vAlign w:val="bottom"/>
          </w:tcPr>
          <w:p>
            <w:pPr>
              <w:spacing w:after="0"/>
              <w:rPr>
                <w:sz w:val="20"/>
                <w:szCs w:val="20"/>
                <w:color w:val="auto"/>
              </w:rPr>
            </w:pPr>
          </w:p>
        </w:tc>
      </w:tr>
      <w:tr>
        <w:trPr>
          <w:trHeight w:val="28"/>
        </w:trPr>
        <w:tc>
          <w:tcPr>
            <w:tcW w:w="2420" w:type="dxa"/>
            <w:vAlign w:val="bottom"/>
            <w:tcBorders>
              <w:bottom w:val="single" w:sz="8" w:color="5D89B4"/>
            </w:tcBorders>
          </w:tcPr>
          <w:p>
            <w:pPr>
              <w:spacing w:after="0"/>
              <w:rPr>
                <w:sz w:val="2"/>
                <w:szCs w:val="2"/>
                <w:color w:val="auto"/>
              </w:rPr>
            </w:pPr>
          </w:p>
        </w:tc>
        <w:tc>
          <w:tcPr>
            <w:tcW w:w="236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c>
          <w:tcPr>
            <w:tcW w:w="1940" w:type="dxa"/>
            <w:vAlign w:val="bottom"/>
            <w:tcBorders>
              <w:bottom w:val="single" w:sz="8" w:color="5D89B4"/>
            </w:tcBorders>
          </w:tcPr>
          <w:p>
            <w:pPr>
              <w:spacing w:after="0"/>
              <w:rPr>
                <w:sz w:val="2"/>
                <w:szCs w:val="2"/>
                <w:color w:val="auto"/>
              </w:rPr>
            </w:pPr>
          </w:p>
        </w:tc>
        <w:tc>
          <w:tcPr>
            <w:tcW w:w="2080" w:type="dxa"/>
            <w:vAlign w:val="bottom"/>
            <w:tcBorders>
              <w:bottom w:val="single" w:sz="8" w:color="5D89B4"/>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-1880235</wp:posOffset>
            </wp:positionV>
            <wp:extent cx="50800" cy="590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-1702435</wp:posOffset>
            </wp:positionV>
            <wp:extent cx="50800" cy="590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-1524635</wp:posOffset>
            </wp:positionV>
            <wp:extent cx="50800" cy="590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-1346200</wp:posOffset>
            </wp:positionV>
            <wp:extent cx="50800" cy="590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-1168400</wp:posOffset>
            </wp:positionV>
            <wp:extent cx="50800" cy="590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-990600</wp:posOffset>
            </wp:positionV>
            <wp:extent cx="50800" cy="590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-812800</wp:posOffset>
            </wp:positionV>
            <wp:extent cx="50800" cy="590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-456565</wp:posOffset>
            </wp:positionV>
            <wp:extent cx="50800" cy="590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-278765</wp:posOffset>
            </wp:positionV>
            <wp:extent cx="50800" cy="590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-100965</wp:posOffset>
            </wp:positionV>
            <wp:extent cx="50800" cy="590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0800" cy="59055"/>
                    </a:xfrm>
                    <a:prstGeom prst="rect">
                      <a:avLst/>
                    </a:prstGeom>
                    <a:noFill/>
                  </pic:spPr>
                </pic:pic>
              </a:graphicData>
            </a:graphic>
          </wp:anchor>
        </w:drawing>
      </w:r>
    </w:p>
    <w:p>
      <w:pPr>
        <w:spacing w:after="0" w:line="91" w:lineRule="exact"/>
        <w:rPr>
          <w:sz w:val="20"/>
          <w:szCs w:val="20"/>
          <w:color w:val="auto"/>
        </w:rPr>
      </w:pPr>
    </w:p>
    <w:p>
      <w:pPr>
        <w:ind w:left="600" w:hanging="420"/>
        <w:spacing w:after="0" w:line="249" w:lineRule="auto"/>
        <w:tabs>
          <w:tab w:leader="none" w:pos="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Target shares are based on target value divided by the closing stock price on December 31, 2014 of $68.17 for non-employee directors in office as of January 1, 2015. For non-employee directors appointed between January 1, 2015 and November 12, 2021 target shares are based on target value ($450,000) divided by the closing price of the Company’s common stock on the last business day of the month during which the director was first appointed to the Board of Directors. For non-employee directors appointed after November 12, 2021 the share ownership guideline is five times the annual cash retainer in effect when the director joined the board of directors divided by the closing price of the Company’s common stock on the day the director was first appointed to the board of directors.</w:t>
      </w:r>
    </w:p>
    <w:p>
      <w:pPr>
        <w:spacing w:after="0" w:line="32" w:lineRule="exact"/>
        <w:rPr>
          <w:rFonts w:ascii="Arial" w:cs="Arial" w:eastAsia="Arial" w:hAnsi="Arial"/>
          <w:sz w:val="14"/>
          <w:szCs w:val="14"/>
          <w:color w:val="auto"/>
        </w:rPr>
      </w:pPr>
    </w:p>
    <w:p>
      <w:pPr>
        <w:ind w:left="600" w:hanging="420"/>
        <w:spacing w:after="0"/>
        <w:tabs>
          <w:tab w:leader="none" w:pos="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February 23, 2024 as follows:</w:t>
      </w:r>
    </w:p>
    <w:p>
      <w:pPr>
        <w:spacing w:after="0" w:line="66" w:lineRule="exact"/>
        <w:rPr>
          <w:sz w:val="20"/>
          <w:szCs w:val="20"/>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Mr. Courtois, 2,237 shares of common stock and 4,110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Mr. Downe, 31,450 shares of common stock and 31,637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Mr. Ferraro, 2,265 shares of commons stock and 20,719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Mr. Gipson, 10,472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Ms. Hemingway Hall, 16,527 shares of common stock and 4,793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Ms. Howard, 4,085 shares of common stock and 19,168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Mr. Payne, 10,752 shares of common stock and 5,616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Ms. Pénicaud, 2,298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Mr. Read, 18,290 shares of common stock and 1,506 shares of vested deferred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Ms. Sartain, 30,337 shares of common stock.</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Mr. Van Handel, 16,495 shares of common stock and 4,110 shares of vested deferred stock.</w:t>
      </w:r>
    </w:p>
    <w:p>
      <w:pPr>
        <w:spacing w:after="0" w:line="66" w:lineRule="exact"/>
        <w:rPr>
          <w:sz w:val="20"/>
          <w:szCs w:val="20"/>
          <w:color w:val="auto"/>
        </w:rPr>
      </w:pPr>
    </w:p>
    <w:p>
      <w:pPr>
        <w:ind w:left="600" w:hanging="420"/>
        <w:spacing w:after="0"/>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February 23, 2024 of $72.35.</w:t>
      </w:r>
    </w:p>
    <w:p>
      <w:pPr>
        <w:spacing w:after="0" w:line="65" w:lineRule="exact"/>
        <w:rPr>
          <w:rFonts w:ascii="Arial" w:cs="Arial" w:eastAsia="Arial" w:hAnsi="Arial"/>
          <w:sz w:val="14"/>
          <w:szCs w:val="14"/>
          <w:color w:val="auto"/>
        </w:rPr>
      </w:pPr>
    </w:p>
    <w:p>
      <w:pPr>
        <w:ind w:left="600" w:right="360" w:hanging="420"/>
        <w:spacing w:after="0" w:line="259" w:lineRule="auto"/>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the current policy, non-employee directors in office prior to November 21, 2021 have four years from the date of his or her appointment to attain targeted ownership levels. Any non-employee directors joining the board after November 12, 2021, including Ms. Pénicaud, will have five years from the date of his or her appointment to attain targeted ownership levels.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We Prohibit Non-Employee Directors from Hedging, Pledging and Short-selling Our Securities</w:t>
      </w:r>
    </w:p>
    <w:p>
      <w:pPr>
        <w:spacing w:after="0" w:line="98" w:lineRule="exact"/>
        <w:rPr>
          <w:sz w:val="20"/>
          <w:szCs w:val="20"/>
          <w:color w:val="auto"/>
        </w:rPr>
      </w:pPr>
    </w:p>
    <w:p>
      <w:pPr>
        <w:ind w:left="180" w:right="100"/>
        <w:spacing w:after="0" w:line="236" w:lineRule="auto"/>
        <w:rPr>
          <w:sz w:val="20"/>
          <w:szCs w:val="20"/>
          <w:color w:val="auto"/>
        </w:rPr>
      </w:pPr>
      <w:r>
        <w:rPr>
          <w:rFonts w:ascii="Arial" w:cs="Arial" w:eastAsia="Arial" w:hAnsi="Arial"/>
          <w:sz w:val="15"/>
          <w:szCs w:val="15"/>
          <w:color w:val="auto"/>
        </w:rPr>
        <w:t>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 or derivative instruments involving ManpowerGroup securities. Further, we do not allow non-employee directors to pledge ManpowerGroup securities at any time, which includes having ManpowerGroup stock in a margin account or using ManpowerGroup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97155</wp:posOffset>
            </wp:positionV>
            <wp:extent cx="69138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652145</wp:posOffset>
            </wp:positionV>
            <wp:extent cx="6913880" cy="336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Board Leadership Structure</w:t>
      </w:r>
    </w:p>
    <w:p>
      <w:pPr>
        <w:spacing w:after="0" w:line="378"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5D89B4"/>
        </w:rPr>
        <w:t>Chairman of the Board –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-13970</wp:posOffset>
            </wp:positionV>
            <wp:extent cx="1482725" cy="1482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113" w:lineRule="exact"/>
        <w:rPr>
          <w:sz w:val="20"/>
          <w:szCs w:val="20"/>
          <w:color w:val="auto"/>
        </w:rPr>
      </w:pPr>
    </w:p>
    <w:p>
      <w:pPr>
        <w:ind w:left="3040"/>
        <w:spacing w:after="0" w:line="228" w:lineRule="auto"/>
        <w:rPr>
          <w:sz w:val="20"/>
          <w:szCs w:val="20"/>
          <w:color w:val="auto"/>
        </w:rPr>
      </w:pPr>
      <w:r>
        <w:rPr>
          <w:rFonts w:ascii="Arial" w:cs="Arial" w:eastAsia="Arial" w:hAnsi="Arial"/>
          <w:sz w:val="15"/>
          <w:szCs w:val="15"/>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5D89B4"/>
        </w:rPr>
        <w:t>Lead Director – Julie Howard</w:t>
      </w:r>
    </w:p>
    <w:p>
      <w:pPr>
        <w:spacing w:after="0" w:line="133" w:lineRule="exact"/>
        <w:rPr>
          <w:sz w:val="20"/>
          <w:szCs w:val="20"/>
          <w:color w:val="auto"/>
        </w:rPr>
      </w:pPr>
    </w:p>
    <w:p>
      <w:pPr>
        <w:ind w:left="3040" w:right="100"/>
        <w:spacing w:after="0" w:line="231" w:lineRule="auto"/>
        <w:rPr>
          <w:sz w:val="20"/>
          <w:szCs w:val="20"/>
          <w:color w:val="auto"/>
        </w:rPr>
      </w:pPr>
      <w:r>
        <w:rPr>
          <w:rFonts w:ascii="Arial" w:cs="Arial" w:eastAsia="Arial" w:hAnsi="Arial"/>
          <w:sz w:val="15"/>
          <w:szCs w:val="15"/>
          <w:color w:val="auto"/>
        </w:rPr>
        <w:t>The board of directors has selected Ms. Howard, retired CEO of Riveron Consulting as well as Navigant Consulting, to serve as lead director. 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-603885</wp:posOffset>
            </wp:positionV>
            <wp:extent cx="1482725" cy="1482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82725" cy="1482725"/>
                    </a:xfrm>
                    <a:prstGeom prst="rect">
                      <a:avLst/>
                    </a:prstGeom>
                    <a:noFill/>
                  </pic:spPr>
                </pic:pic>
              </a:graphicData>
            </a:graphic>
          </wp:anchor>
        </w:drawing>
      </w:r>
    </w:p>
    <w:p>
      <w:pPr>
        <w:spacing w:after="0" w:line="105" w:lineRule="exact"/>
        <w:rPr>
          <w:sz w:val="20"/>
          <w:szCs w:val="20"/>
          <w:color w:val="auto"/>
        </w:rPr>
      </w:pPr>
    </w:p>
    <w:p>
      <w:pPr>
        <w:ind w:left="3040" w:right="20"/>
        <w:spacing w:after="0" w:line="231" w:lineRule="auto"/>
        <w:rPr>
          <w:sz w:val="20"/>
          <w:szCs w:val="20"/>
          <w:color w:val="auto"/>
        </w:rPr>
      </w:pPr>
      <w:r>
        <w:rPr>
          <w:rFonts w:ascii="Arial" w:cs="Arial" w:eastAsia="Arial" w:hAnsi="Arial"/>
          <w:sz w:val="15"/>
          <w:szCs w:val="15"/>
          <w:color w:val="auto"/>
        </w:rPr>
        <w:t>Our corporate governance guidelines contemplate that the lead director will be appointed annually and that he or she should be willing to serve for at least three years in such capacity. The board of directors believes having a lead director serving consecutive terms provides greater continuity to the role, enhances board leadership and performance and facilitates effective oversight of the performance of senior management. Ms. Howard has served as lead director since May 2023, and at a board meeting in February 2024, the board of directors re-appointed Ms. Howard to serve as lead director for another year.</w:t>
      </w:r>
    </w:p>
    <w:p>
      <w:pPr>
        <w:spacing w:after="0" w:line="125" w:lineRule="exact"/>
        <w:rPr>
          <w:sz w:val="20"/>
          <w:szCs w:val="20"/>
          <w:color w:val="auto"/>
        </w:rPr>
      </w:pPr>
    </w:p>
    <w:p>
      <w:pPr>
        <w:ind w:left="3040"/>
        <w:spacing w:after="0"/>
        <w:rPr>
          <w:sz w:val="20"/>
          <w:szCs w:val="20"/>
          <w:color w:val="auto"/>
        </w:rPr>
      </w:pPr>
      <w:r>
        <w:rPr>
          <w:rFonts w:ascii="Arial" w:cs="Arial" w:eastAsia="Arial" w:hAnsi="Arial"/>
          <w:sz w:val="15"/>
          <w:szCs w:val="15"/>
          <w:color w:val="auto"/>
        </w:rPr>
        <w:t>The lead director’s duties include the following:</w:t>
      </w:r>
    </w:p>
    <w:p>
      <w:pPr>
        <w:spacing w:after="0" w:line="68" w:lineRule="exact"/>
        <w:rPr>
          <w:sz w:val="20"/>
          <w:szCs w:val="20"/>
          <w:color w:val="auto"/>
        </w:rPr>
      </w:pPr>
    </w:p>
    <w:p>
      <w:pPr>
        <w:ind w:left="3040"/>
        <w:spacing w:after="0"/>
        <w:rPr>
          <w:sz w:val="20"/>
          <w:szCs w:val="20"/>
          <w:color w:val="auto"/>
        </w:rPr>
      </w:pPr>
      <w:r>
        <w:rPr>
          <w:rFonts w:ascii="Arial" w:cs="Arial" w:eastAsia="Arial" w:hAnsi="Arial"/>
          <w:sz w:val="15"/>
          <w:szCs w:val="15"/>
          <w:color w:val="auto"/>
        </w:rPr>
        <w:t>•   Preside at executive sessions of the non-employee directors;</w:t>
      </w:r>
    </w:p>
    <w:p>
      <w:pPr>
        <w:spacing w:after="0" w:line="68" w:lineRule="exact"/>
        <w:rPr>
          <w:sz w:val="20"/>
          <w:szCs w:val="20"/>
          <w:color w:val="auto"/>
        </w:rPr>
      </w:pPr>
    </w:p>
    <w:p>
      <w:pPr>
        <w:ind w:left="3040" w:right="1960"/>
        <w:spacing w:after="0" w:line="334" w:lineRule="auto"/>
        <w:rPr>
          <w:sz w:val="20"/>
          <w:szCs w:val="20"/>
          <w:color w:val="auto"/>
        </w:rPr>
      </w:pPr>
      <w:r>
        <w:rPr>
          <w:rFonts w:ascii="Arial" w:cs="Arial" w:eastAsia="Arial" w:hAnsi="Arial"/>
          <w:sz w:val="15"/>
          <w:szCs w:val="15"/>
          <w:color w:val="auto"/>
        </w:rPr>
        <w:t>•   Preside at all other meetings of directors where the chairman of the board is not present; •   Serve as liaison between the chairman of the board and the non-employee directors; •   Approve what information is sent to the board;</w:t>
      </w:r>
    </w:p>
    <w:p>
      <w:pPr>
        <w:ind w:left="3040"/>
        <w:spacing w:after="0"/>
        <w:rPr>
          <w:sz w:val="20"/>
          <w:szCs w:val="20"/>
          <w:color w:val="auto"/>
        </w:rPr>
      </w:pPr>
      <w:r>
        <w:rPr>
          <w:rFonts w:ascii="Arial" w:cs="Arial" w:eastAsia="Arial" w:hAnsi="Arial"/>
          <w:sz w:val="15"/>
          <w:szCs w:val="15"/>
          <w:color w:val="auto"/>
        </w:rPr>
        <w:t>•   Approve the meeting agendas for the board;</w:t>
      </w:r>
    </w:p>
    <w:p>
      <w:pPr>
        <w:spacing w:after="0" w:line="68" w:lineRule="exact"/>
        <w:rPr>
          <w:sz w:val="20"/>
          <w:szCs w:val="20"/>
          <w:color w:val="auto"/>
        </w:rPr>
      </w:pPr>
    </w:p>
    <w:p>
      <w:pPr>
        <w:ind w:left="3040"/>
        <w:spacing w:after="0"/>
        <w:rPr>
          <w:sz w:val="20"/>
          <w:szCs w:val="20"/>
          <w:color w:val="auto"/>
        </w:rPr>
      </w:pPr>
      <w:r>
        <w:rPr>
          <w:rFonts w:ascii="Arial" w:cs="Arial" w:eastAsia="Arial" w:hAnsi="Arial"/>
          <w:sz w:val="15"/>
          <w:szCs w:val="15"/>
          <w:color w:val="auto"/>
        </w:rPr>
        <w:t>•   Approve meeting schedules to assure that there is sufficient time for discussion on all agenda items;</w:t>
      </w:r>
    </w:p>
    <w:p>
      <w:pPr>
        <w:spacing w:after="0" w:line="68" w:lineRule="exact"/>
        <w:rPr>
          <w:sz w:val="20"/>
          <w:szCs w:val="20"/>
          <w:color w:val="auto"/>
        </w:rPr>
      </w:pPr>
    </w:p>
    <w:p>
      <w:pPr>
        <w:ind w:left="3220" w:right="220" w:hanging="177"/>
        <w:spacing w:after="0" w:line="259" w:lineRule="auto"/>
        <w:rPr>
          <w:sz w:val="20"/>
          <w:szCs w:val="20"/>
          <w:color w:val="auto"/>
        </w:rPr>
      </w:pPr>
      <w:r>
        <w:rPr>
          <w:rFonts w:ascii="Arial" w:cs="Arial" w:eastAsia="Arial" w:hAnsi="Arial"/>
          <w:sz w:val="15"/>
          <w:szCs w:val="15"/>
          <w:color w:val="auto"/>
        </w:rPr>
        <w:t>•   Provide feedback from executive sessions of the independent directors to the Chairman and CEO and other senior management;</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5"/>
          <w:szCs w:val="15"/>
          <w:color w:val="auto"/>
        </w:rPr>
        <w:t>•   Serve in a key role in the board evaluation processes and in evaluation of the CEO;</w:t>
      </w:r>
    </w:p>
    <w:p>
      <w:pPr>
        <w:spacing w:after="0" w:line="68" w:lineRule="exact"/>
        <w:rPr>
          <w:sz w:val="20"/>
          <w:szCs w:val="20"/>
          <w:color w:val="auto"/>
        </w:rPr>
      </w:pPr>
    </w:p>
    <w:p>
      <w:pPr>
        <w:ind w:left="3220" w:right="180" w:hanging="177"/>
        <w:spacing w:after="0" w:line="259" w:lineRule="auto"/>
        <w:rPr>
          <w:sz w:val="20"/>
          <w:szCs w:val="20"/>
          <w:color w:val="auto"/>
        </w:rPr>
      </w:pPr>
      <w:r>
        <w:rPr>
          <w:rFonts w:ascii="Arial" w:cs="Arial" w:eastAsia="Arial" w:hAnsi="Arial"/>
          <w:sz w:val="15"/>
          <w:szCs w:val="15"/>
          <w:color w:val="auto"/>
        </w:rPr>
        <w:t>•   Recommend to the board and the board committees the retention of advisers and consultants who report directly to the board;</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5"/>
          <w:szCs w:val="15"/>
          <w:color w:val="auto"/>
        </w:rPr>
        <w:t>•   Have the authority to call meetings of the non-employee directors;</w:t>
      </w:r>
    </w:p>
    <w:p>
      <w:pPr>
        <w:spacing w:after="0" w:line="68" w:lineRule="exact"/>
        <w:rPr>
          <w:sz w:val="20"/>
          <w:szCs w:val="20"/>
          <w:color w:val="auto"/>
        </w:rPr>
      </w:pPr>
    </w:p>
    <w:p>
      <w:pPr>
        <w:ind w:left="3040" w:right="60"/>
        <w:spacing w:after="0" w:line="370" w:lineRule="auto"/>
        <w:rPr>
          <w:sz w:val="20"/>
          <w:szCs w:val="20"/>
          <w:color w:val="auto"/>
        </w:rPr>
      </w:pPr>
      <w:r>
        <w:rPr>
          <w:rFonts w:ascii="Arial" w:cs="Arial" w:eastAsia="Arial" w:hAnsi="Arial"/>
          <w:sz w:val="15"/>
          <w:szCs w:val="15"/>
          <w:color w:val="auto"/>
        </w:rPr>
        <w:t>•   If requested by major shareholders, ensure that he or she is available for consultation and direct communication; and •   Perform such other duties as the board may delegate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46355</wp:posOffset>
            </wp:positionV>
            <wp:extent cx="69138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18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20</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Board Oversight</w:t>
      </w:r>
    </w:p>
    <w:p>
      <w:pPr>
        <w:spacing w:after="0" w:line="346" w:lineRule="exact"/>
        <w:rPr>
          <w:sz w:val="20"/>
          <w:szCs w:val="20"/>
          <w:color w:val="auto"/>
        </w:rPr>
      </w:pPr>
    </w:p>
    <w:p>
      <w:pPr>
        <w:ind w:left="180"/>
        <w:spacing w:after="0" w:line="236" w:lineRule="auto"/>
        <w:rPr>
          <w:sz w:val="20"/>
          <w:szCs w:val="20"/>
          <w:color w:val="auto"/>
        </w:rPr>
      </w:pPr>
      <w:r>
        <w:rPr>
          <w:rFonts w:ascii="Arial" w:cs="Arial" w:eastAsia="Arial" w:hAnsi="Arial"/>
          <w:sz w:val="15"/>
          <w:szCs w:val="15"/>
          <w:color w:val="auto"/>
        </w:rPr>
        <w:t>Our board of directors and its committees work closely with management to provide oversight, review, and counsel related to long-term strategy, opportunities and risks. In particular, the board oversees business affairs and integrity, works with management to determine our mission and long-term strategy, oversees enterprise risk management, performs the annual CEO evaluation, oversees CEO succession planning, and oversees internal control over financial reporting and external audit. The board looks to the expertise of its committees to provide strategic oversight in their areas of focus. Examples of oversight areas are provided below.</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Strategy</w:t>
      </w:r>
    </w:p>
    <w:p>
      <w:pPr>
        <w:spacing w:after="0" w:line="58" w:lineRule="exact"/>
        <w:rPr>
          <w:sz w:val="20"/>
          <w:szCs w:val="20"/>
          <w:color w:val="auto"/>
        </w:rPr>
      </w:pPr>
    </w:p>
    <w:p>
      <w:pPr>
        <w:ind w:left="180" w:right="20"/>
        <w:spacing w:after="0" w:line="231" w:lineRule="auto"/>
        <w:rPr>
          <w:sz w:val="20"/>
          <w:szCs w:val="20"/>
          <w:color w:val="auto"/>
        </w:rPr>
      </w:pPr>
      <w:r>
        <w:rPr>
          <w:rFonts w:ascii="Arial" w:cs="Arial" w:eastAsia="Arial" w:hAnsi="Arial"/>
          <w:sz w:val="15"/>
          <w:szCs w:val="15"/>
          <w:color w:val="auto"/>
        </w:rPr>
        <w:t>Led by the CEO, the Company’s executive management drives our strategy and operations and works to develop and execute business strategy, foster our desired culture, establish accountability, and control risk. Management also aligns our structure, operations, people, policies, and compliance efforts to our mission and strategy. Overseeing management’s development and execution of the Company’s strategy is one of the board’s primary responsibilities. The board works closely with executive management to respond to a dynamically changing business environment. Executive management and other leaders from across the Company provide business and strategy updates to our board quarterly, and the board participates in an annual strategy meeting with management. At meetings throughout the year, the board also assesses the strategic alignment of the Company’s budget, capital plan and strategic acquisition process.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Enterprise Risk Management</w:t>
      </w:r>
    </w:p>
    <w:p>
      <w:pPr>
        <w:spacing w:after="0" w:line="71" w:lineRule="exact"/>
        <w:rPr>
          <w:sz w:val="20"/>
          <w:szCs w:val="20"/>
          <w:color w:val="auto"/>
        </w:rPr>
      </w:pPr>
    </w:p>
    <w:p>
      <w:pPr>
        <w:ind w:left="180" w:right="60"/>
        <w:spacing w:after="0" w:line="231" w:lineRule="auto"/>
        <w:rPr>
          <w:sz w:val="20"/>
          <w:szCs w:val="20"/>
          <w:color w:val="auto"/>
        </w:rPr>
      </w:pPr>
      <w:r>
        <w:rPr>
          <w:rFonts w:ascii="Arial" w:cs="Arial" w:eastAsia="Arial" w:hAnsi="Arial"/>
          <w:sz w:val="15"/>
          <w:szCs w:val="15"/>
          <w:color w:val="auto"/>
        </w:rPr>
        <w:t>The board of directors is responsible for overseeing the execution of management’s enterprise risk management program for the Company. The board fulfills this responsibility both directly and through its standing committees, each of which assists the board in overseeing a part of the Company’s overall risk management. Our enterprise risk management program and disclosure controls and procedures are designed to appropriately escalate key risks to the board as well as to analyze potential risks for disclosure. The risks described in this section include those formally monitored at a board or committee level as part of the enterprise risk management program, which includes the annual risk assessment process, program scope, status of priority and emerging risks and risk profile, among other things, or pursuant to committee charters.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committees of the board oversee specific areas of the Company’s risk management as described below:</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5D89B4"/>
        </w:rPr>
        <w:t>Audit Committee</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audit committee is responsible for assisting the board of directors with its oversight of the performance of the Company’s risk management functions including:</w:t>
      </w:r>
    </w:p>
    <w:p>
      <w:pPr>
        <w:spacing w:after="0" w:line="68" w:lineRule="exact"/>
        <w:rPr>
          <w:sz w:val="20"/>
          <w:szCs w:val="20"/>
          <w:color w:val="auto"/>
        </w:rPr>
      </w:pPr>
    </w:p>
    <w:p>
      <w:pPr>
        <w:ind w:left="400" w:right="720" w:hanging="220"/>
        <w:spacing w:after="0" w:line="259" w:lineRule="auto"/>
        <w:tabs>
          <w:tab w:leader="none" w:pos="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Reviewing and discussing with management the Company’s risk management framework, including policies, practices and procedures regarding risk assessment and management;</w:t>
      </w:r>
    </w:p>
    <w:p>
      <w:pPr>
        <w:spacing w:after="0" w:line="28" w:lineRule="exact"/>
        <w:rPr>
          <w:rFonts w:ascii="Arial" w:cs="Arial" w:eastAsia="Arial" w:hAnsi="Arial"/>
          <w:sz w:val="15"/>
          <w:szCs w:val="15"/>
          <w:color w:val="auto"/>
        </w:rPr>
      </w:pPr>
    </w:p>
    <w:p>
      <w:pPr>
        <w:ind w:left="400" w:hanging="220"/>
        <w:spacing w:after="0"/>
        <w:tabs>
          <w:tab w:leader="none" w:pos="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cybersecurity and data privacy risk;</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other risk topics as the committee or management deems appropriate from time to time; and</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Reporting to the board of directors on its activities in this oversight role.</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5D89B4"/>
        </w:rPr>
        <w:t>People, Culture and Compensation Committee</w:t>
      </w:r>
    </w:p>
    <w:p>
      <w:pPr>
        <w:spacing w:after="0" w:line="56" w:lineRule="exact"/>
        <w:rPr>
          <w:sz w:val="20"/>
          <w:szCs w:val="20"/>
          <w:color w:val="auto"/>
        </w:rPr>
      </w:pPr>
    </w:p>
    <w:p>
      <w:pPr>
        <w:ind w:left="180"/>
        <w:spacing w:after="0" w:line="241" w:lineRule="auto"/>
        <w:rPr>
          <w:sz w:val="20"/>
          <w:szCs w:val="20"/>
          <w:color w:val="auto"/>
        </w:rPr>
      </w:pPr>
      <w:r>
        <w:rPr>
          <w:rFonts w:ascii="Arial" w:cs="Arial" w:eastAsia="Arial" w:hAnsi="Arial"/>
          <w:sz w:val="15"/>
          <w:szCs w:val="15"/>
          <w:color w:val="auto"/>
        </w:rPr>
        <w:t>The people, culture and compensation committee reviews and discusses with management the Company’s compensation policies and practices, and the assessment of certain risks, including whether any risks arising from the Company’s compensation policies and practices related to its people are reasonably likely to have a material adverse effect on the Company.</w:t>
      </w:r>
    </w:p>
    <w:p>
      <w:pPr>
        <w:spacing w:after="0" w:line="107" w:lineRule="exact"/>
        <w:rPr>
          <w:sz w:val="20"/>
          <w:szCs w:val="20"/>
          <w:color w:val="auto"/>
        </w:rPr>
      </w:pPr>
    </w:p>
    <w:p>
      <w:pPr>
        <w:ind w:left="180" w:right="160"/>
        <w:spacing w:after="0" w:line="241" w:lineRule="auto"/>
        <w:rPr>
          <w:sz w:val="20"/>
          <w:szCs w:val="20"/>
          <w:color w:val="auto"/>
        </w:rPr>
      </w:pPr>
      <w:r>
        <w:rPr>
          <w:rFonts w:ascii="Arial" w:cs="Arial" w:eastAsia="Arial" w:hAnsi="Arial"/>
          <w:sz w:val="15"/>
          <w:szCs w:val="15"/>
          <w:color w:val="auto"/>
        </w:rPr>
        <w:t>The people, culture and compensation committee also reviews and discusses with management the development, implementation and effectiveness of the Company’s policies and strategies relating to its human capital management function, including key policies and strategies regarding recruiting, retention, career development and progression, employee engagement, management succession, diversity and inclusion, employment practices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87630</wp:posOffset>
            </wp:positionV>
            <wp:extent cx="69138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5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21</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BOARD OVERSIGHT</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5D89B4"/>
        </w:rPr>
        <w:t>Governance and Sustainability Committee</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governance and sustainability committee evaluates the overall effectiveness of the board of directors, including its focus on the most critical issues and risks.</w:t>
      </w:r>
    </w:p>
    <w:p>
      <w:pPr>
        <w:spacing w:after="0" w:line="134" w:lineRule="exact"/>
        <w:rPr>
          <w:sz w:val="20"/>
          <w:szCs w:val="20"/>
          <w:color w:val="auto"/>
        </w:rPr>
      </w:pPr>
    </w:p>
    <w:p>
      <w:pPr>
        <w:ind w:left="180" w:right="320"/>
        <w:spacing w:after="0" w:line="233" w:lineRule="auto"/>
        <w:rPr>
          <w:sz w:val="20"/>
          <w:szCs w:val="20"/>
          <w:color w:val="auto"/>
        </w:rPr>
      </w:pPr>
      <w:r>
        <w:rPr>
          <w:rFonts w:ascii="Arial" w:cs="Arial" w:eastAsia="Arial" w:hAnsi="Arial"/>
          <w:sz w:val="15"/>
          <w:szCs w:val="15"/>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Environmental, Social and Governance (“ESG”) Matters</w:t>
      </w:r>
    </w:p>
    <w:p>
      <w:pPr>
        <w:spacing w:after="0" w:line="98" w:lineRule="exact"/>
        <w:rPr>
          <w:sz w:val="20"/>
          <w:szCs w:val="20"/>
          <w:color w:val="auto"/>
        </w:rPr>
      </w:pPr>
    </w:p>
    <w:p>
      <w:pPr>
        <w:ind w:left="180"/>
        <w:spacing w:after="0" w:line="230" w:lineRule="auto"/>
        <w:rPr>
          <w:sz w:val="20"/>
          <w:szCs w:val="20"/>
          <w:color w:val="auto"/>
        </w:rPr>
      </w:pPr>
      <w:r>
        <w:rPr>
          <w:rFonts w:ascii="Arial" w:cs="Arial" w:eastAsia="Arial" w:hAnsi="Arial"/>
          <w:sz w:val="15"/>
          <w:szCs w:val="15"/>
          <w:color w:val="auto"/>
        </w:rPr>
        <w:t xml:space="preserve">Corporate responsibility and sustainability are important priorities for the board of directors and the Company. We believe businesses have a responsibility to be a positive contributor to societal change. Our commitment to social responsibility extends to human capital, diversity and inclusion, human rights and fair employment, worker health and safety and climate change. We also see in these commitments additional ways of creating value for our shareholders that result in benefits to our employees, our customers and society. As part of our enterprise-wide approach to risk management and our strategies for long-term value creation, the board and management monitor long-term risks that may be impacted by environmental, social and governance issues. Additional information about ManpowerGroup’s corporate social responsibility efforts is located in the Proxy Summary under “Our Working to Change the World Plan” and available on our website at </w:t>
      </w:r>
      <w:r>
        <w:rPr>
          <w:rFonts w:ascii="Arial" w:cs="Arial" w:eastAsia="Arial" w:hAnsi="Arial"/>
          <w:sz w:val="15"/>
          <w:szCs w:val="15"/>
          <w:i w:val="1"/>
          <w:iCs w:val="1"/>
          <w:color w:val="auto"/>
        </w:rPr>
        <w:t>https://manpowergroup.com/sustainability.</w:t>
      </w:r>
    </w:p>
    <w:p>
      <w:pPr>
        <w:spacing w:after="0" w:line="97" w:lineRule="exact"/>
        <w:rPr>
          <w:sz w:val="20"/>
          <w:szCs w:val="20"/>
          <w:color w:val="auto"/>
        </w:rPr>
      </w:pPr>
    </w:p>
    <w:p>
      <w:pPr>
        <w:ind w:left="180" w:right="60"/>
        <w:spacing w:after="0" w:line="233" w:lineRule="auto"/>
        <w:rPr>
          <w:sz w:val="20"/>
          <w:szCs w:val="20"/>
          <w:color w:val="auto"/>
        </w:rPr>
      </w:pPr>
      <w:r>
        <w:rPr>
          <w:rFonts w:ascii="Arial" w:cs="Arial" w:eastAsia="Arial" w:hAnsi="Arial"/>
          <w:sz w:val="15"/>
          <w:szCs w:val="15"/>
          <w:color w:val="auto"/>
        </w:rPr>
        <w:t>As ESG matters continue to increase in significance, the board of directors has determined oversight of ESG matters should be consolidated with one of its standing committees and has delegated the oversight responsibility to the governance and sustainability committee. The governance and sustainability committee regularly meets with the chief sustainability and communications officer to review the effectiveness of management’s strategies, programs and policy implementation with respect to initiatives and programs related to sustainability, corporate culture, human capital management and climate change. In addition, each of the committees continues to address specific ESG matters related to its respective areas of oversight.</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Cybersecurity and Data Privacy</w:t>
      </w:r>
    </w:p>
    <w:p>
      <w:pPr>
        <w:spacing w:after="0" w:line="98" w:lineRule="exact"/>
        <w:rPr>
          <w:sz w:val="20"/>
          <w:szCs w:val="20"/>
          <w:color w:val="auto"/>
        </w:rPr>
      </w:pPr>
    </w:p>
    <w:p>
      <w:pPr>
        <w:ind w:left="180" w:right="100"/>
        <w:spacing w:after="0" w:line="230" w:lineRule="auto"/>
        <w:rPr>
          <w:sz w:val="20"/>
          <w:szCs w:val="20"/>
          <w:color w:val="auto"/>
        </w:rPr>
      </w:pPr>
      <w:r>
        <w:rPr>
          <w:rFonts w:ascii="Arial" w:cs="Arial" w:eastAsia="Arial" w:hAnsi="Arial"/>
          <w:sz w:val="15"/>
          <w:szCs w:val="15"/>
          <w:color w:val="auto"/>
        </w:rPr>
        <w:t>As part of the board’s role in overseeing the Company’s enterprise risk management program, the board devotes time and attention to cybersecurity and data privacy related risks. The audit committee is responsible for overseeing information technology risk exposures, including cybersecurity, data privacy and data security. The audit committee regularly receives reports on cybersecurity and data privacy matters and related risk exposures from management, including our chief information security and chief privacy officer. The audit committee will regularly update the board of directors on such matters and the board will also periodically receive reports from management directly. All employees regularly participate in required and targeted information security and data privacy trainings. We also assess the efficacy of our information security program through internal detection and monitoring systems, as well as through the engagement of third-party experts.</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Human Capital Management</w:t>
      </w:r>
    </w:p>
    <w:p>
      <w:pPr>
        <w:spacing w:after="0" w:line="98" w:lineRule="exact"/>
        <w:rPr>
          <w:sz w:val="20"/>
          <w:szCs w:val="20"/>
          <w:color w:val="auto"/>
        </w:rPr>
      </w:pPr>
    </w:p>
    <w:p>
      <w:pPr>
        <w:ind w:left="180"/>
        <w:spacing w:after="0" w:line="229" w:lineRule="auto"/>
        <w:rPr>
          <w:sz w:val="20"/>
          <w:szCs w:val="20"/>
          <w:color w:val="auto"/>
        </w:rPr>
      </w:pPr>
      <w:r>
        <w:rPr>
          <w:rFonts w:ascii="Arial" w:cs="Arial" w:eastAsia="Arial" w:hAnsi="Arial"/>
          <w:sz w:val="15"/>
          <w:szCs w:val="15"/>
          <w:color w:val="auto"/>
        </w:rPr>
        <w:t>Human capital management is at the core of our business and is how we create value for individuals, organizations and communities. Our purpose is to provide meaningful and sustainable employment and is rooted in our values: People, Knowledge and Innovation. Our board and its committees are actively engaged in overseeing the Company’s human capital management strategy. The people, culture and compensation committee is responsible for overseeing the Company’s policies and strategies related to human capital management matters, including recruiting, retention, career development and progression, employee engagement, management succession, diversity and inclusion, employment practices and culture. Management provides regular updates to the people, culture and compensation committee on these human capital management matters, and the board is kept apprised of any developments in these areas. In addition, the people, culture and compensation committee considers the impact of our executive compensation program and the incentives created by compensation awards on the Company’s overall risk profile. It also oversees management’s assessment of compensation risk arising from our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98425</wp:posOffset>
            </wp:positionV>
            <wp:extent cx="69138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7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Independent Compensation Consultant</w:t>
      </w:r>
    </w:p>
    <w:p>
      <w:pPr>
        <w:spacing w:after="0" w:line="239" w:lineRule="exact"/>
        <w:rPr>
          <w:sz w:val="20"/>
          <w:szCs w:val="20"/>
          <w:color w:val="auto"/>
        </w:rPr>
      </w:pPr>
    </w:p>
    <w:p>
      <w:pPr>
        <w:ind w:left="180"/>
        <w:spacing w:after="0" w:line="236" w:lineRule="auto"/>
        <w:rPr>
          <w:sz w:val="20"/>
          <w:szCs w:val="20"/>
          <w:color w:val="auto"/>
        </w:rPr>
      </w:pPr>
      <w:r>
        <w:rPr>
          <w:rFonts w:ascii="Arial" w:cs="Arial" w:eastAsia="Arial" w:hAnsi="Arial"/>
          <w:sz w:val="15"/>
          <w:szCs w:val="15"/>
          <w:color w:val="auto"/>
        </w:rPr>
        <w:t>The people, culture and compensation committee has selected Mercer (US) Inc. (“Mercer”) to advise it on executive compensation matters. Mercer is engaged directly by the committee, and reports to the chair of the committee. Fees are set annually and are reflected in a one-year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2023 were $493,603.</w:t>
      </w:r>
    </w:p>
    <w:p>
      <w:pPr>
        <w:spacing w:after="0" w:line="109" w:lineRule="exact"/>
        <w:rPr>
          <w:sz w:val="20"/>
          <w:szCs w:val="20"/>
          <w:color w:val="auto"/>
        </w:rPr>
      </w:pPr>
    </w:p>
    <w:p>
      <w:pPr>
        <w:ind w:left="180" w:right="280"/>
        <w:spacing w:after="0" w:line="241" w:lineRule="auto"/>
        <w:rPr>
          <w:sz w:val="20"/>
          <w:szCs w:val="20"/>
          <w:color w:val="auto"/>
        </w:rPr>
      </w:pPr>
      <w:r>
        <w:rPr>
          <w:rFonts w:ascii="Arial" w:cs="Arial" w:eastAsia="Arial" w:hAnsi="Arial"/>
          <w:sz w:val="15"/>
          <w:szCs w:val="15"/>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Mercer’s engagement included the following services for the committee in 2023:</w:t>
      </w:r>
    </w:p>
    <w:p>
      <w:pPr>
        <w:spacing w:after="0" w:line="134" w:lineRule="exact"/>
        <w:rPr>
          <w:sz w:val="20"/>
          <w:szCs w:val="20"/>
          <w:color w:val="auto"/>
        </w:rPr>
      </w:pPr>
    </w:p>
    <w:p>
      <w:pPr>
        <w:ind w:left="400" w:hanging="220"/>
        <w:spacing w:after="0"/>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 and recommend the companies used in our peer group;</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 guiding principles for executive compensation and recommend areas for modernization;</w:t>
      </w:r>
    </w:p>
    <w:p>
      <w:pPr>
        <w:spacing w:after="0" w:line="67" w:lineRule="exact"/>
        <w:rPr>
          <w:rFonts w:ascii="Arial" w:cs="Arial" w:eastAsia="Arial" w:hAnsi="Arial"/>
          <w:sz w:val="15"/>
          <w:szCs w:val="15"/>
          <w:color w:val="auto"/>
        </w:rPr>
      </w:pPr>
    </w:p>
    <w:p>
      <w:pPr>
        <w:ind w:left="400" w:right="60" w:hanging="220"/>
        <w:spacing w:after="0" w:line="259"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Evaluate the competitiveness of our total executive compensation and benefits program for the senior executives, including base salary, annual incentive, total cash compensation, long-term incentive awards, total direct compensation, perquisites, retirement benefits and total remuneration against the market;</w:t>
      </w:r>
    </w:p>
    <w:p>
      <w:pPr>
        <w:spacing w:after="0" w:line="28" w:lineRule="exact"/>
        <w:rPr>
          <w:rFonts w:ascii="Arial" w:cs="Arial" w:eastAsia="Arial" w:hAnsi="Arial"/>
          <w:sz w:val="15"/>
          <w:szCs w:val="15"/>
          <w:color w:val="auto"/>
        </w:rPr>
      </w:pPr>
    </w:p>
    <w:p>
      <w:pPr>
        <w:ind w:left="400" w:right="620" w:hanging="220"/>
        <w:spacing w:after="0" w:line="259"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Assess how well the compensation and benefits programs are aligned with the committee’s stated philosophy to align pay with performance, including analyzing our performance against comparator companies;</w:t>
      </w:r>
    </w:p>
    <w:p>
      <w:pPr>
        <w:spacing w:after="0" w:line="28" w:lineRule="exact"/>
        <w:rPr>
          <w:rFonts w:ascii="Arial" w:cs="Arial" w:eastAsia="Arial" w:hAnsi="Arial"/>
          <w:sz w:val="15"/>
          <w:szCs w:val="15"/>
          <w:color w:val="auto"/>
        </w:rPr>
      </w:pPr>
    </w:p>
    <w:p>
      <w:pPr>
        <w:ind w:left="400" w:hanging="220"/>
        <w:spacing w:after="0"/>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Provide advice and assistance to the committee on the levels of total compensation and the principal elements of compensation for our senior executives;</w:t>
      </w:r>
    </w:p>
    <w:p>
      <w:pPr>
        <w:spacing w:after="0" w:line="67" w:lineRule="exact"/>
        <w:rPr>
          <w:rFonts w:ascii="Arial" w:cs="Arial" w:eastAsia="Arial" w:hAnsi="Arial"/>
          <w:sz w:val="15"/>
          <w:szCs w:val="15"/>
          <w:color w:val="auto"/>
        </w:rPr>
      </w:pPr>
    </w:p>
    <w:p>
      <w:pPr>
        <w:ind w:left="400" w:hanging="220"/>
        <w:spacing w:after="0" w:line="259"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Advise the committee on salary, target incentive opportunities and equity grants as well as on the design and features of our short-term and long-term incentive programs for our senior executives;</w:t>
      </w:r>
    </w:p>
    <w:p>
      <w:pPr>
        <w:spacing w:after="0" w:line="28" w:lineRule="exact"/>
        <w:rPr>
          <w:rFonts w:ascii="Arial" w:cs="Arial" w:eastAsia="Arial" w:hAnsi="Arial"/>
          <w:sz w:val="15"/>
          <w:szCs w:val="15"/>
          <w:color w:val="auto"/>
        </w:rPr>
      </w:pPr>
    </w:p>
    <w:p>
      <w:pPr>
        <w:ind w:left="400" w:right="200" w:hanging="220"/>
        <w:spacing w:after="0" w:line="259" w:lineRule="auto"/>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Brief the committee on trends, including legislative and regulatory, in executive compensation and benefits among large public companies and on regulatory, legislative and other developments; and</w:t>
      </w:r>
    </w:p>
    <w:p>
      <w:pPr>
        <w:spacing w:after="0" w:line="28" w:lineRule="exact"/>
        <w:rPr>
          <w:rFonts w:ascii="Arial" w:cs="Arial" w:eastAsia="Arial" w:hAnsi="Arial"/>
          <w:sz w:val="15"/>
          <w:szCs w:val="15"/>
          <w:color w:val="auto"/>
        </w:rPr>
      </w:pPr>
    </w:p>
    <w:p>
      <w:pPr>
        <w:ind w:left="400" w:hanging="220"/>
        <w:spacing w:after="0"/>
        <w:tabs>
          <w:tab w:leader="none" w:pos="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Assist in reviewing the Compensation Discussion and Analysis and other executive compensation disclosures to be included in this proxy statement.</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committee has reviewed whether the work provided by Mercer raises any conflict of interest. Factors considered by the committee include:</w:t>
      </w:r>
    </w:p>
    <w:p>
      <w:pPr>
        <w:spacing w:after="0" w:line="134" w:lineRule="exact"/>
        <w:rPr>
          <w:sz w:val="20"/>
          <w:szCs w:val="20"/>
          <w:color w:val="auto"/>
        </w:rPr>
      </w:pPr>
    </w:p>
    <w:p>
      <w:pPr>
        <w:ind w:left="400" w:hanging="220"/>
        <w:spacing w:after="0"/>
        <w:tabs>
          <w:tab w:leader="none" w:pos="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 services provided to the Company by the consultant;</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What percentage of the consultant’s total revenue is made up of fees from the Company;</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Policies or procedures of the consultant that are designed to prevent a conflict of interest;</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business or personal relationships between individual consultants involved in the engagement and committee members;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shares of the Company’s stock owned by individual consultants involved in the engagement; and</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business or personal relationships between our executive officers and the consulting firm or the individual consultants involved in the engagement.</w:t>
      </w:r>
    </w:p>
    <w:p>
      <w:pPr>
        <w:spacing w:after="0" w:line="134" w:lineRule="exact"/>
        <w:rPr>
          <w:sz w:val="20"/>
          <w:szCs w:val="20"/>
          <w:color w:val="auto"/>
        </w:rPr>
      </w:pPr>
    </w:p>
    <w:p>
      <w:pPr>
        <w:jc w:val="both"/>
        <w:ind w:left="180" w:right="100"/>
        <w:spacing w:after="0" w:line="241" w:lineRule="auto"/>
        <w:rPr>
          <w:sz w:val="20"/>
          <w:szCs w:val="20"/>
          <w:color w:val="auto"/>
        </w:rPr>
      </w:pPr>
      <w:r>
        <w:rPr>
          <w:rFonts w:ascii="Arial" w:cs="Arial" w:eastAsia="Arial" w:hAnsi="Arial"/>
          <w:sz w:val="15"/>
          <w:szCs w:val="15"/>
          <w:color w:val="auto"/>
        </w:rPr>
        <w:t>Based on its review, the committee does not believe that Mercer has a conflict of interest with respect to the work performed by the Company or the committee in 2023. The committee has also evaluated the independence of Mercer pursuant to the rules of the Securities and Exchange Commission and the New York Stock Exchange and no relationships were identified that would impact Mercer’s independence.</w:t>
      </w:r>
    </w:p>
    <w:p>
      <w:pPr>
        <w:spacing w:after="0" w:line="94" w:lineRule="exact"/>
        <w:rPr>
          <w:sz w:val="20"/>
          <w:szCs w:val="20"/>
          <w:color w:val="auto"/>
        </w:rPr>
      </w:pPr>
    </w:p>
    <w:p>
      <w:pPr>
        <w:ind w:left="180" w:right="260"/>
        <w:spacing w:after="0" w:line="241" w:lineRule="auto"/>
        <w:rPr>
          <w:sz w:val="20"/>
          <w:szCs w:val="20"/>
          <w:color w:val="auto"/>
        </w:rPr>
      </w:pPr>
      <w:r>
        <w:rPr>
          <w:rFonts w:ascii="Arial" w:cs="Arial" w:eastAsia="Arial" w:hAnsi="Arial"/>
          <w:sz w:val="15"/>
          <w:szCs w:val="15"/>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96520</wp:posOffset>
            </wp:positionV>
            <wp:extent cx="69138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7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20"/>
          </w:cols>
          <w:pgMar w:left="320" w:top="480"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INDEPENDENT COMPENSATION CONSULTANT</w:t>
      </w:r>
    </w:p>
    <w:p>
      <w:pPr>
        <w:spacing w:after="0" w:line="146" w:lineRule="exact"/>
        <w:rPr>
          <w:sz w:val="20"/>
          <w:szCs w:val="20"/>
          <w:color w:val="auto"/>
        </w:rPr>
      </w:pPr>
    </w:p>
    <w:p>
      <w:pPr>
        <w:ind w:left="180"/>
        <w:spacing w:after="0" w:line="233" w:lineRule="auto"/>
        <w:rPr>
          <w:sz w:val="20"/>
          <w:szCs w:val="20"/>
          <w:color w:val="auto"/>
        </w:rPr>
      </w:pPr>
      <w:r>
        <w:rPr>
          <w:rFonts w:ascii="Arial" w:cs="Arial" w:eastAsia="Arial" w:hAnsi="Arial"/>
          <w:sz w:val="15"/>
          <w:szCs w:val="15"/>
          <w:color w:val="auto"/>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2023 was $329,582. These services included actuarial and pension reporting services and insurance services. The majority of these services are provided not by Mercer itself, but by other companies owned by Marsh &amp; McLennan, the parent company of Mercer, which therefore are considered affiliates even though they operate independently of Mercer.</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committee concluded that the services provided by the Marsh &amp; McLennan affiliates (other than Mercer), did not raise any conflicts of interest.</w:t>
      </w:r>
    </w:p>
    <w:p>
      <w:pPr>
        <w:spacing w:after="0" w:line="134" w:lineRule="exact"/>
        <w:rPr>
          <w:sz w:val="20"/>
          <w:szCs w:val="20"/>
          <w:color w:val="auto"/>
        </w:rPr>
      </w:pPr>
    </w:p>
    <w:p>
      <w:pPr>
        <w:ind w:left="180" w:right="80"/>
        <w:spacing w:after="0" w:line="259" w:lineRule="auto"/>
        <w:rPr>
          <w:sz w:val="20"/>
          <w:szCs w:val="20"/>
          <w:color w:val="auto"/>
        </w:rPr>
      </w:pPr>
      <w:r>
        <w:rPr>
          <w:rFonts w:ascii="Arial" w:cs="Arial" w:eastAsia="Arial" w:hAnsi="Arial"/>
          <w:sz w:val="15"/>
          <w:szCs w:val="15"/>
          <w:color w:val="auto"/>
        </w:rPr>
        <w:t>The committee believes the advice it receives from the individual executive compensation consultants is objective and not influenced by Mercer’s or its affiliates’ other relationships with us because of the procedures Mercer and the committee have in place, including the following:</w:t>
      </w:r>
    </w:p>
    <w:p>
      <w:pPr>
        <w:spacing w:after="0" w:line="28" w:lineRule="exact"/>
        <w:rPr>
          <w:sz w:val="20"/>
          <w:szCs w:val="20"/>
          <w:color w:val="auto"/>
        </w:rPr>
      </w:pPr>
    </w:p>
    <w:p>
      <w:pPr>
        <w:ind w:left="400" w:hanging="220"/>
        <w:spacing w:after="0"/>
        <w:tabs>
          <w:tab w:leader="none" w:pos="4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consultants receive no incentive or other compensation based on the fees charged to us for other services provided by Mercer or any of its affiliates;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consultants are not responsible for selling other Mercer or affiliate services to us;</w:t>
      </w:r>
    </w:p>
    <w:p>
      <w:pPr>
        <w:spacing w:after="0" w:line="67" w:lineRule="exact"/>
        <w:rPr>
          <w:rFonts w:ascii="Arial" w:cs="Arial" w:eastAsia="Arial" w:hAnsi="Arial"/>
          <w:sz w:val="15"/>
          <w:szCs w:val="15"/>
          <w:color w:val="auto"/>
        </w:rPr>
      </w:pPr>
    </w:p>
    <w:p>
      <w:pPr>
        <w:ind w:left="400" w:right="220" w:hanging="220"/>
        <w:spacing w:after="0" w:line="259" w:lineRule="auto"/>
        <w:tabs>
          <w:tab w:leader="none" w:pos="4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Mercer’s professional standards prohibit an individual consultant from considering any other relationships Mercer or any of its affiliates may have with us in rendering his or her advice and recommendations; and</w:t>
      </w:r>
    </w:p>
    <w:p>
      <w:pPr>
        <w:spacing w:after="0" w:line="28" w:lineRule="exact"/>
        <w:rPr>
          <w:rFonts w:ascii="Arial" w:cs="Arial" w:eastAsia="Arial" w:hAnsi="Arial"/>
          <w:sz w:val="15"/>
          <w:szCs w:val="15"/>
          <w:color w:val="auto"/>
        </w:rPr>
      </w:pPr>
    </w:p>
    <w:p>
      <w:pPr>
        <w:ind w:left="400" w:right="240" w:hanging="220"/>
        <w:spacing w:after="0" w:line="259" w:lineRule="auto"/>
        <w:tabs>
          <w:tab w:leader="none" w:pos="4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committee evaluates the quality and objectivity of the services provided by the consultants each year and determines whether to continue to retain the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88265</wp:posOffset>
            </wp:positionV>
            <wp:extent cx="69138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940"/>
          </w:cols>
          <w:pgMar w:left="320" w:top="480"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5D89B4"/>
        </w:rPr>
        <w:t>Board Independence and Related Party Transactions</w:t>
      </w:r>
    </w:p>
    <w:p>
      <w:pPr>
        <w:spacing w:after="0" w:line="346" w:lineRule="exact"/>
        <w:rPr>
          <w:sz w:val="20"/>
          <w:szCs w:val="20"/>
          <w:color w:val="auto"/>
        </w:rPr>
      </w:pPr>
    </w:p>
    <w:p>
      <w:pPr>
        <w:ind w:left="180" w:right="40"/>
        <w:spacing w:after="0" w:line="236" w:lineRule="auto"/>
        <w:rPr>
          <w:sz w:val="20"/>
          <w:szCs w:val="20"/>
          <w:color w:val="auto"/>
        </w:rPr>
      </w:pPr>
      <w:r>
        <w:rPr>
          <w:rFonts w:ascii="Arial" w:cs="Arial" w:eastAsia="Arial" w:hAnsi="Arial"/>
          <w:sz w:val="15"/>
          <w:szCs w:val="15"/>
          <w:color w:val="auto"/>
        </w:rPr>
        <w:t>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https://investor.manpowergroup.com/governance. As required under the Corporate Governance Guidelines, our board of directors reviews and determines the independence of all directors on an annual basis.</w:t>
      </w:r>
    </w:p>
    <w:p>
      <w:pPr>
        <w:spacing w:after="0" w:line="109" w:lineRule="exact"/>
        <w:rPr>
          <w:sz w:val="20"/>
          <w:szCs w:val="20"/>
          <w:color w:val="auto"/>
        </w:rPr>
      </w:pPr>
    </w:p>
    <w:p>
      <w:pPr>
        <w:ind w:left="180"/>
        <w:spacing w:after="0" w:line="236" w:lineRule="auto"/>
        <w:rPr>
          <w:sz w:val="20"/>
          <w:szCs w:val="20"/>
          <w:color w:val="auto"/>
        </w:rPr>
      </w:pPr>
      <w:r>
        <w:rPr>
          <w:rFonts w:ascii="Arial" w:cs="Arial" w:eastAsia="Arial" w:hAnsi="Arial"/>
          <w:sz w:val="15"/>
          <w:szCs w:val="15"/>
          <w:color w:val="auto"/>
        </w:rPr>
        <w:t>In making its independence determinations, the governance and sustainability committee evaluates the various commercial and employment transactions and relationships known to the committee that exist between ManpowerGroup and the entities with which certain of our directors or members of their immediate families are, or have been, affiliated. The governance and sustainability committee also reviews any other relevant facts and circumstances regarding the nature of these relationships to determine whether other factors, regardless of the categorical standards, might compromise a director’s independence.</w:t>
      </w:r>
    </w:p>
    <w:p>
      <w:pPr>
        <w:spacing w:after="0" w:line="95" w:lineRule="exact"/>
        <w:rPr>
          <w:sz w:val="20"/>
          <w:szCs w:val="20"/>
          <w:color w:val="auto"/>
        </w:rPr>
      </w:pPr>
    </w:p>
    <w:p>
      <w:pPr>
        <w:ind w:left="180" w:right="220"/>
        <w:spacing w:after="0" w:line="233" w:lineRule="auto"/>
        <w:rPr>
          <w:sz w:val="20"/>
          <w:szCs w:val="20"/>
          <w:color w:val="auto"/>
        </w:rPr>
      </w:pPr>
      <w:r>
        <w:rPr>
          <w:rFonts w:ascii="Arial" w:cs="Arial" w:eastAsia="Arial" w:hAnsi="Arial"/>
          <w:sz w:val="15"/>
          <w:szCs w:val="15"/>
          <w:color w:val="auto"/>
        </w:rPr>
        <w:t>The board of directors has determined that eleven of the current directors of ManpowerGroup, including Mr. Downe who is not standing for re-election, are independent under the listing standards of the New York Stock Exchange after taking into account the categorical standards. Certain of our directors serve as directors, and are officers or former officers, of companies that have engaged ManpowerGroup to provide services, all of which such relationships fall within the categorial standards. Mr. Prising does not qualify as independent under the listing rules of the New York Stock Exchange because he is currently an executive officer.</w:t>
      </w:r>
    </w:p>
    <w:p>
      <w:pPr>
        <w:spacing w:after="0" w:line="110" w:lineRule="exact"/>
        <w:rPr>
          <w:sz w:val="20"/>
          <w:szCs w:val="20"/>
          <w:color w:val="auto"/>
        </w:rPr>
      </w:pPr>
    </w:p>
    <w:p>
      <w:pPr>
        <w:ind w:left="180" w:right="120"/>
        <w:spacing w:after="0" w:line="241" w:lineRule="auto"/>
        <w:rPr>
          <w:sz w:val="20"/>
          <w:szCs w:val="20"/>
          <w:color w:val="auto"/>
        </w:rPr>
      </w:pPr>
      <w:r>
        <w:rPr>
          <w:rFonts w:ascii="Arial" w:cs="Arial" w:eastAsia="Arial" w:hAnsi="Arial"/>
          <w:sz w:val="15"/>
          <w:szCs w:val="15"/>
          <w:color w:val="auto"/>
        </w:rPr>
        <w:t>The governance and sustainability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“Composition and Qualifications of Board Members.”</w:t>
      </w:r>
    </w:p>
    <w:p>
      <w:pPr>
        <w:spacing w:after="0" w:line="107" w:lineRule="exact"/>
        <w:rPr>
          <w:sz w:val="20"/>
          <w:szCs w:val="20"/>
          <w:color w:val="auto"/>
        </w:rPr>
      </w:pPr>
    </w:p>
    <w:p>
      <w:pPr>
        <w:ind w:left="180" w:right="440"/>
        <w:spacing w:after="0" w:line="259" w:lineRule="auto"/>
        <w:rPr>
          <w:sz w:val="20"/>
          <w:szCs w:val="20"/>
          <w:color w:val="auto"/>
        </w:rPr>
      </w:pPr>
      <w:r>
        <w:rPr>
          <w:rFonts w:ascii="Arial" w:cs="Arial" w:eastAsia="Arial" w:hAnsi="Arial"/>
          <w:sz w:val="15"/>
          <w:szCs w:val="15"/>
          <w:color w:val="auto"/>
        </w:rPr>
        <w:t>ManpowerGroup does not have a policy regarding board members’ attendance at the annual meeting of shareholders. All of the directors attended the 2023 annual meeting of shareholders.</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Communicating With Our Board</w:t>
      </w:r>
    </w:p>
    <w:p>
      <w:pPr>
        <w:spacing w:after="0" w:line="346" w:lineRule="exact"/>
        <w:rPr>
          <w:sz w:val="20"/>
          <w:szCs w:val="20"/>
          <w:color w:val="auto"/>
        </w:rPr>
      </w:pPr>
    </w:p>
    <w:p>
      <w:pPr>
        <w:ind w:left="180" w:right="60"/>
        <w:spacing w:after="0" w:line="236" w:lineRule="auto"/>
        <w:rPr>
          <w:sz w:val="20"/>
          <w:szCs w:val="20"/>
          <w:color w:val="auto"/>
        </w:rPr>
      </w:pPr>
      <w:r>
        <w:rPr>
          <w:rFonts w:ascii="Arial" w:cs="Arial" w:eastAsia="Arial" w:hAnsi="Arial"/>
          <w:sz w:val="15"/>
          <w:szCs w:val="15"/>
          <w:color w:val="auto"/>
        </w:rPr>
        <w:t>Any interested parties, including shareholders, may submit their communication to our Secretary, who will determine when communications and concerns will be forwarded to the Board, our independent directors as a group or our independent Lead Director. Communications received in writing are forwarded to the Board, committee, or to any individual director or directors to whom the communication is directed, unless the communication does not reasonably relate to the Company or its business, or is similarly inappropriate.</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Such communications must be submitted to Richard Buchband, Secretary, ManpowerGroup Inc., 100 Manpower Place, Milwaukee, Wisconsin 53212.</w:t>
      </w:r>
    </w:p>
    <w:p>
      <w:pPr>
        <w:spacing w:after="0" w:line="134" w:lineRule="exact"/>
        <w:rPr>
          <w:sz w:val="20"/>
          <w:szCs w:val="20"/>
          <w:color w:val="auto"/>
        </w:rPr>
      </w:pPr>
    </w:p>
    <w:p>
      <w:pPr>
        <w:ind w:left="180" w:right="40"/>
        <w:spacing w:after="0" w:line="259" w:lineRule="auto"/>
        <w:rPr>
          <w:sz w:val="20"/>
          <w:szCs w:val="20"/>
          <w:color w:val="auto"/>
        </w:rPr>
      </w:pPr>
      <w:r>
        <w:rPr>
          <w:rFonts w:ascii="Arial" w:cs="Arial" w:eastAsia="Arial" w:hAnsi="Arial"/>
          <w:sz w:val="15"/>
          <w:szCs w:val="15"/>
          <w:color w:val="auto"/>
        </w:rPr>
        <w:t>Concerns about possible violations of our Code of Business Conduct and Ethics (the “Code”) should be reported as outlined in the Code, which is available on our website at https://investor.manpowergroup.com/governance.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88265</wp:posOffset>
            </wp:positionV>
            <wp:extent cx="69138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Meetings and Committees of the Board</w:t>
      </w:r>
    </w:p>
    <w:p>
      <w:pPr>
        <w:spacing w:after="0" w:line="132" w:lineRule="exact"/>
        <w:rPr>
          <w:sz w:val="20"/>
          <w:szCs w:val="20"/>
          <w:color w:val="auto"/>
        </w:rPr>
      </w:pPr>
    </w:p>
    <w:p>
      <w:pPr>
        <w:ind w:left="180" w:right="140"/>
        <w:spacing w:after="0" w:line="259" w:lineRule="auto"/>
        <w:rPr>
          <w:sz w:val="20"/>
          <w:szCs w:val="20"/>
          <w:color w:val="auto"/>
        </w:rPr>
      </w:pPr>
      <w:r>
        <w:rPr>
          <w:rFonts w:ascii="Arial" w:cs="Arial" w:eastAsia="Arial" w:hAnsi="Arial"/>
          <w:sz w:val="15"/>
          <w:szCs w:val="15"/>
          <w:color w:val="auto"/>
        </w:rPr>
        <w:t>The board of directors has standing audit, people, culture and compensation, and governance and sustainability committees. The board of directors has adopted written charters for these committees, which are available on ManpowerGroup’s web site at https://investor.manpowergroup.com/governance.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130175</wp:posOffset>
            </wp:positionV>
            <wp:extent cx="6913880" cy="2203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13880" cy="2203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5D89B4"/>
        </w:rPr>
        <w:t>AUDIT COMMITTEE</w:t>
      </w:r>
    </w:p>
    <w:p>
      <w:pPr>
        <w:spacing w:after="0" w:line="24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Paul Read</w:t>
      </w:r>
    </w:p>
    <w:p>
      <w:pPr>
        <w:spacing w:after="0" w:line="1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Chair</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w:t>
      </w:r>
    </w:p>
    <w:p>
      <w:pPr>
        <w:spacing w:after="0" w:line="231"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Members:</w:t>
      </w:r>
    </w:p>
    <w:p>
      <w:pPr>
        <w:spacing w:after="0" w:line="2" w:lineRule="exact"/>
        <w:rPr>
          <w:sz w:val="20"/>
          <w:szCs w:val="20"/>
          <w:color w:val="auto"/>
        </w:rPr>
      </w:pPr>
    </w:p>
    <w:p>
      <w:pPr>
        <w:jc w:val="center"/>
        <w:ind w:left="500"/>
        <w:spacing w:after="0" w:line="231" w:lineRule="auto"/>
        <w:rPr>
          <w:sz w:val="20"/>
          <w:szCs w:val="20"/>
          <w:color w:val="auto"/>
        </w:rPr>
      </w:pPr>
      <w:r>
        <w:rPr>
          <w:rFonts w:ascii="Arial" w:cs="Arial" w:eastAsia="Arial" w:hAnsi="Arial"/>
          <w:sz w:val="15"/>
          <w:szCs w:val="15"/>
          <w:color w:val="auto"/>
        </w:rPr>
        <w:t>Jean-Philippe Courtois John F. Ferraro Patricia Hemingway Hall Ulice Payne, Jr.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5D89B4"/>
        </w:rPr>
        <w:t>NUMBER OF MEETINGS IN 2023: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-129540</wp:posOffset>
            </wp:positionV>
            <wp:extent cx="6913880" cy="5244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13880" cy="524446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-129540</wp:posOffset>
            </wp:positionV>
            <wp:extent cx="6913880" cy="5244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13880" cy="5244465"/>
                    </a:xfrm>
                    <a:prstGeom prst="rect">
                      <a:avLst/>
                    </a:prstGeom>
                    <a:noFill/>
                  </pic:spPr>
                </pic:pic>
              </a:graphicData>
            </a:graphic>
          </wp:anchor>
        </w:drawing>
      </w:r>
    </w:p>
    <w:p>
      <w:pPr>
        <w:spacing w:after="0" w:line="113"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The board of directors has determined that each member of the audit committee meets the financial literacy and independence requirements of the SEC and New York Stock Exchange, as applicable, and that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and no member of the audit committee currently does.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functions of this committee are to:</w:t>
      </w:r>
    </w:p>
    <w:p>
      <w:pPr>
        <w:spacing w:after="0" w:line="39" w:lineRule="exact"/>
        <w:rPr>
          <w:sz w:val="20"/>
          <w:szCs w:val="20"/>
          <w:color w:val="auto"/>
        </w:rPr>
      </w:pPr>
    </w:p>
    <w:p>
      <w:pPr>
        <w:ind w:right="800"/>
        <w:spacing w:after="0" w:line="298" w:lineRule="auto"/>
        <w:rPr>
          <w:sz w:val="20"/>
          <w:szCs w:val="20"/>
          <w:color w:val="auto"/>
        </w:rPr>
      </w:pPr>
      <w:r>
        <w:rPr>
          <w:rFonts w:ascii="Arial" w:cs="Arial" w:eastAsia="Arial" w:hAnsi="Arial"/>
          <w:sz w:val="14"/>
          <w:szCs w:val="14"/>
          <w:color w:val="auto"/>
        </w:rPr>
        <w:t>•    appoint the independent auditors for the annual audit and approve the fee arrangements with the independent auditors; •    monitor the independence, qualifications and performance of the independent auditors; •    review the planned scope of the annual audit;</w:t>
      </w:r>
    </w:p>
    <w:p>
      <w:pPr>
        <w:spacing w:after="0" w:line="1" w:lineRule="exact"/>
        <w:rPr>
          <w:sz w:val="20"/>
          <w:szCs w:val="20"/>
          <w:color w:val="auto"/>
        </w:rPr>
      </w:pPr>
    </w:p>
    <w:p>
      <w:pPr>
        <w:ind w:left="180" w:right="140" w:hanging="177"/>
        <w:spacing w:after="0" w:line="258" w:lineRule="auto"/>
        <w:rPr>
          <w:sz w:val="20"/>
          <w:szCs w:val="20"/>
          <w:color w:val="auto"/>
        </w:rPr>
      </w:pPr>
      <w:r>
        <w:rPr>
          <w:rFonts w:ascii="Arial" w:cs="Arial" w:eastAsia="Arial" w:hAnsi="Arial"/>
          <w:sz w:val="14"/>
          <w:szCs w:val="14"/>
          <w:color w:val="auto"/>
        </w:rPr>
        <w:t>•    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review compliance with and reporting under Section 404 of the Sarbanes-Oxley Act of 2002;</w:t>
      </w:r>
    </w:p>
    <w:p>
      <w:pPr>
        <w:spacing w:after="0" w:line="39" w:lineRule="exact"/>
        <w:rPr>
          <w:sz w:val="20"/>
          <w:szCs w:val="20"/>
          <w:color w:val="auto"/>
        </w:rPr>
      </w:pPr>
    </w:p>
    <w:p>
      <w:pPr>
        <w:ind w:left="180" w:right="200" w:hanging="177"/>
        <w:spacing w:after="0" w:line="268" w:lineRule="auto"/>
        <w:rPr>
          <w:sz w:val="20"/>
          <w:szCs w:val="20"/>
          <w:color w:val="auto"/>
        </w:rPr>
      </w:pPr>
      <w:r>
        <w:rPr>
          <w:rFonts w:ascii="Arial" w:cs="Arial" w:eastAsia="Arial" w:hAnsi="Arial"/>
          <w:sz w:val="14"/>
          <w:szCs w:val="14"/>
          <w:color w:val="auto"/>
        </w:rPr>
        <w:t>•    review our financial reporting processes and internal controls and any significant audit adjustments proposed by the independent auditors;</w:t>
      </w:r>
    </w:p>
    <w:p>
      <w:pPr>
        <w:spacing w:after="0" w:line="1" w:lineRule="exact"/>
        <w:rPr>
          <w:sz w:val="20"/>
          <w:szCs w:val="20"/>
          <w:color w:val="auto"/>
        </w:rPr>
      </w:pPr>
    </w:p>
    <w:p>
      <w:pPr>
        <w:ind w:left="180" w:right="280" w:hanging="177"/>
        <w:spacing w:after="0" w:line="268" w:lineRule="auto"/>
        <w:rPr>
          <w:sz w:val="20"/>
          <w:szCs w:val="20"/>
          <w:color w:val="auto"/>
        </w:rPr>
      </w:pPr>
      <w:r>
        <w:rPr>
          <w:rFonts w:ascii="Arial" w:cs="Arial" w:eastAsia="Arial" w:hAnsi="Arial"/>
          <w:sz w:val="14"/>
          <w:szCs w:val="14"/>
          <w:color w:val="auto"/>
        </w:rPr>
        <w:t>•    make a recommendation to the board of directors regarding inclusion of the audited financial statements in our annual report on Form 10-K;</w:t>
      </w:r>
    </w:p>
    <w:p>
      <w:pPr>
        <w:spacing w:after="0" w:line="1" w:lineRule="exact"/>
        <w:rPr>
          <w:sz w:val="20"/>
          <w:szCs w:val="20"/>
          <w:color w:val="auto"/>
        </w:rPr>
      </w:pPr>
    </w:p>
    <w:p>
      <w:pPr>
        <w:ind w:left="180" w:hanging="177"/>
        <w:spacing w:after="0" w:line="268" w:lineRule="auto"/>
        <w:rPr>
          <w:sz w:val="20"/>
          <w:szCs w:val="20"/>
          <w:color w:val="auto"/>
        </w:rPr>
      </w:pPr>
      <w:r>
        <w:rPr>
          <w:rFonts w:ascii="Arial" w:cs="Arial" w:eastAsia="Arial" w:hAnsi="Arial"/>
          <w:sz w:val="14"/>
          <w:szCs w:val="14"/>
          <w:color w:val="auto"/>
        </w:rPr>
        <w:t>•    review recommendations, if any, by the independent auditors resulting from the audit to ensure that appropriate actions are taken by management;</w:t>
      </w:r>
    </w:p>
    <w:p>
      <w:pPr>
        <w:spacing w:after="0" w:line="1" w:lineRule="exact"/>
        <w:rPr>
          <w:sz w:val="20"/>
          <w:szCs w:val="20"/>
          <w:color w:val="auto"/>
        </w:rPr>
      </w:pPr>
    </w:p>
    <w:p>
      <w:pPr>
        <w:ind w:left="180" w:hanging="177"/>
        <w:spacing w:after="0" w:line="268" w:lineRule="auto"/>
        <w:rPr>
          <w:sz w:val="20"/>
          <w:szCs w:val="20"/>
          <w:color w:val="auto"/>
        </w:rPr>
      </w:pPr>
      <w:r>
        <w:rPr>
          <w:rFonts w:ascii="Arial" w:cs="Arial" w:eastAsia="Arial" w:hAnsi="Arial"/>
          <w:sz w:val="14"/>
          <w:szCs w:val="14"/>
          <w:color w:val="auto"/>
        </w:rPr>
        <w:t>•    review and discuss with the independent auditors any critical audit matter (“CAM”) addressed in the audit and disclosures that relate to each CAM;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review matters of disagreement, if any, between management and the independent auditors;</w:t>
      </w:r>
    </w:p>
    <w:p>
      <w:pPr>
        <w:spacing w:after="0" w:line="39" w:lineRule="exact"/>
        <w:rPr>
          <w:sz w:val="20"/>
          <w:szCs w:val="20"/>
          <w:color w:val="auto"/>
        </w:rPr>
      </w:pPr>
    </w:p>
    <w:p>
      <w:pPr>
        <w:ind w:right="1880"/>
        <w:spacing w:after="0" w:line="298" w:lineRule="auto"/>
        <w:rPr>
          <w:sz w:val="20"/>
          <w:szCs w:val="20"/>
          <w:color w:val="auto"/>
        </w:rPr>
      </w:pPr>
      <w:r>
        <w:rPr>
          <w:rFonts w:ascii="Arial" w:cs="Arial" w:eastAsia="Arial" w:hAnsi="Arial"/>
          <w:sz w:val="14"/>
          <w:szCs w:val="14"/>
          <w:color w:val="auto"/>
        </w:rPr>
        <w:t>•    periodically review our Policy Regarding the Retention of Former Employees of Independent Auditors; •    oversee compliance with our Independent Auditor Services Policy;</w:t>
      </w:r>
    </w:p>
    <w:p>
      <w:pPr>
        <w:ind w:left="180" w:right="20" w:hanging="177"/>
        <w:spacing w:after="0" w:line="268" w:lineRule="auto"/>
        <w:rPr>
          <w:sz w:val="20"/>
          <w:szCs w:val="20"/>
          <w:color w:val="auto"/>
        </w:rPr>
      </w:pPr>
      <w:r>
        <w:rPr>
          <w:rFonts w:ascii="Arial" w:cs="Arial" w:eastAsia="Arial" w:hAnsi="Arial"/>
          <w:sz w:val="14"/>
          <w:szCs w:val="14"/>
          <w:color w:val="auto"/>
        </w:rPr>
        <w:t>•    meet privately on a periodic basis with the independent auditors, internal audit staff and management to review the adequacy of our internal controls and other finance related matters;</w:t>
      </w:r>
    </w:p>
    <w:p>
      <w:pPr>
        <w:spacing w:after="0" w:line="1" w:lineRule="exact"/>
        <w:rPr>
          <w:sz w:val="20"/>
          <w:szCs w:val="20"/>
          <w:color w:val="auto"/>
        </w:rPr>
      </w:pPr>
    </w:p>
    <w:p>
      <w:pPr>
        <w:ind w:right="680"/>
        <w:spacing w:after="0" w:line="298" w:lineRule="auto"/>
        <w:rPr>
          <w:sz w:val="20"/>
          <w:szCs w:val="20"/>
          <w:color w:val="auto"/>
        </w:rPr>
      </w:pPr>
      <w:r>
        <w:rPr>
          <w:rFonts w:ascii="Arial" w:cs="Arial" w:eastAsia="Arial" w:hAnsi="Arial"/>
          <w:sz w:val="14"/>
          <w:szCs w:val="14"/>
          <w:color w:val="auto"/>
        </w:rPr>
        <w:t>•    meet privately with management to review the competence, performance and independence of the independent auditors; •    monitor our internal audit department, including our internal audit plan;</w:t>
      </w:r>
    </w:p>
    <w:p>
      <w:pPr>
        <w:ind w:left="180" w:right="100" w:hanging="177"/>
        <w:spacing w:after="0" w:line="268" w:lineRule="auto"/>
        <w:rPr>
          <w:sz w:val="20"/>
          <w:szCs w:val="20"/>
          <w:color w:val="auto"/>
        </w:rPr>
      </w:pPr>
      <w:r>
        <w:rPr>
          <w:rFonts w:ascii="Arial" w:cs="Arial" w:eastAsia="Arial" w:hAnsi="Arial"/>
          <w:sz w:val="14"/>
          <w:szCs w:val="14"/>
          <w:color w:val="auto"/>
        </w:rPr>
        <w:t>•    review guidelines and policies regarding compliance by our employees with our code of business conduct and ethics, including the anti-corruption policy;</w:t>
      </w:r>
    </w:p>
    <w:p>
      <w:pPr>
        <w:spacing w:after="0" w:line="1" w:lineRule="exact"/>
        <w:rPr>
          <w:sz w:val="20"/>
          <w:szCs w:val="20"/>
          <w:color w:val="auto"/>
        </w:rPr>
      </w:pPr>
    </w:p>
    <w:p>
      <w:pPr>
        <w:ind w:left="180" w:right="220" w:hanging="177"/>
        <w:spacing w:after="0" w:line="268" w:lineRule="auto"/>
        <w:rPr>
          <w:sz w:val="20"/>
          <w:szCs w:val="20"/>
          <w:color w:val="auto"/>
        </w:rPr>
      </w:pPr>
      <w:r>
        <w:rPr>
          <w:rFonts w:ascii="Arial" w:cs="Arial" w:eastAsia="Arial" w:hAnsi="Arial"/>
          <w:sz w:val="14"/>
          <w:szCs w:val="14"/>
          <w:color w:val="auto"/>
        </w:rPr>
        <w:t>•    review procedures for receipt, retention and treatment of, and the confidential and anonymous submission of concerns regarding questionable accounting or auditing matters;</w:t>
      </w:r>
    </w:p>
    <w:p>
      <w:pPr>
        <w:spacing w:after="0" w:line="1" w:lineRule="exact"/>
        <w:rPr>
          <w:sz w:val="20"/>
          <w:szCs w:val="20"/>
          <w:color w:val="auto"/>
        </w:rPr>
      </w:pPr>
    </w:p>
    <w:p>
      <w:pPr>
        <w:ind w:left="180" w:right="220" w:hanging="177"/>
        <w:spacing w:after="0" w:line="258" w:lineRule="auto"/>
        <w:rPr>
          <w:sz w:val="20"/>
          <w:szCs w:val="20"/>
          <w:color w:val="auto"/>
        </w:rPr>
      </w:pPr>
      <w:r>
        <w:rPr>
          <w:rFonts w:ascii="Arial" w:cs="Arial" w:eastAsia="Arial" w:hAnsi="Arial"/>
          <w:sz w:val="14"/>
          <w:szCs w:val="14"/>
          <w:color w:val="auto"/>
        </w:rPr>
        <w:t>•    assist the board of directors with its oversight of the performance of the Company’s risk management function, including meeting periodically with the chief information officer and chief information security and chief privacy officer regarding the Company’s information technology and receiving periodic updates on the Company’s cybersecurity program;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review current tax matters affecting us;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•    periodically discuss with management our risk management framework;</w:t>
      </w:r>
    </w:p>
    <w:p>
      <w:pPr>
        <w:spacing w:after="0" w:line="39" w:lineRule="exact"/>
        <w:rPr>
          <w:sz w:val="20"/>
          <w:szCs w:val="20"/>
          <w:color w:val="auto"/>
        </w:rPr>
      </w:pPr>
    </w:p>
    <w:p>
      <w:pPr>
        <w:ind w:left="180" w:right="20" w:hanging="177"/>
        <w:spacing w:after="0" w:line="268" w:lineRule="auto"/>
        <w:rPr>
          <w:sz w:val="20"/>
          <w:szCs w:val="20"/>
          <w:color w:val="auto"/>
        </w:rPr>
      </w:pPr>
      <w:r>
        <w:rPr>
          <w:rFonts w:ascii="Arial" w:cs="Arial" w:eastAsia="Arial" w:hAnsi="Arial"/>
          <w:sz w:val="14"/>
          <w:szCs w:val="14"/>
          <w:color w:val="auto"/>
        </w:rPr>
        <w:t>•    periodically discuss with the Company’s general counsel and chief compliance officer any significant legal, compliance or regulatory matters that may have a material impact on the Company’s business, financial statements or compliance policies;</w:t>
      </w:r>
    </w:p>
    <w:p>
      <w:pPr>
        <w:spacing w:after="0" w:line="1" w:lineRule="exact"/>
        <w:rPr>
          <w:sz w:val="20"/>
          <w:szCs w:val="20"/>
          <w:color w:val="auto"/>
        </w:rPr>
      </w:pPr>
    </w:p>
    <w:p>
      <w:pPr>
        <w:ind w:left="180" w:right="300" w:hanging="177"/>
        <w:spacing w:after="0" w:line="268" w:lineRule="auto"/>
        <w:rPr>
          <w:sz w:val="20"/>
          <w:szCs w:val="20"/>
          <w:color w:val="auto"/>
        </w:rPr>
      </w:pPr>
      <w:r>
        <w:rPr>
          <w:rFonts w:ascii="Arial" w:cs="Arial" w:eastAsia="Arial" w:hAnsi="Arial"/>
          <w:sz w:val="14"/>
          <w:szCs w:val="14"/>
          <w:color w:val="auto"/>
        </w:rPr>
        <w:t>•    monitor any litigation involving ManpowerGroup that may have a material financial impact on ManpowerGroup or that relates to matters entrusted to the audit committee;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approve the retention, compensation and termination of outside legal, accounting and other such advisors to the committee.</w:t>
      </w:r>
    </w:p>
    <w:p>
      <w:pPr>
        <w:spacing w:after="0" w:line="200" w:lineRule="exact"/>
        <w:rPr>
          <w:sz w:val="20"/>
          <w:szCs w:val="20"/>
          <w:color w:val="auto"/>
        </w:rPr>
      </w:pPr>
    </w:p>
    <w:p>
      <w:pPr>
        <w:sectPr>
          <w:pgSz w:w="11900" w:h="16838" w:orient="portrait"/>
          <w:cols w:equalWidth="0" w:num="2">
            <w:col w:w="2140" w:space="440"/>
            <w:col w:w="8460"/>
          </w:cols>
          <w:pgMar w:left="320" w:top="480" w:right="539" w:bottom="1440" w:gutter="0" w:footer="0" w:header="0"/>
          <w:type w:val="continuous"/>
        </w:sectPr>
      </w:pPr>
    </w:p>
    <w:p>
      <w:pPr>
        <w:spacing w:after="0" w:line="85" w:lineRule="exact"/>
        <w:rPr>
          <w:sz w:val="20"/>
          <w:szCs w:val="20"/>
          <w:color w:val="auto"/>
        </w:rPr>
      </w:pPr>
    </w:p>
    <w:p>
      <w:pPr>
        <w:ind w:left="180" w:right="120"/>
        <w:spacing w:after="0" w:line="236" w:lineRule="auto"/>
        <w:rPr>
          <w:sz w:val="20"/>
          <w:szCs w:val="20"/>
          <w:color w:val="auto"/>
        </w:rPr>
      </w:pPr>
      <w:r>
        <w:rPr>
          <w:rFonts w:ascii="Arial" w:cs="Arial" w:eastAsia="Arial" w:hAnsi="Arial"/>
          <w:sz w:val="15"/>
          <w:szCs w:val="15"/>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88900</wp:posOffset>
            </wp:positionV>
            <wp:extent cx="69138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460"/>
        <w:spacing w:after="0"/>
        <w:rPr>
          <w:sz w:val="20"/>
          <w:szCs w:val="20"/>
          <w:color w:val="auto"/>
        </w:rPr>
      </w:pPr>
      <w:r>
        <w:rPr>
          <w:rFonts w:ascii="Arial" w:cs="Arial" w:eastAsia="Arial" w:hAnsi="Arial"/>
          <w:sz w:val="15"/>
          <w:szCs w:val="15"/>
          <w:b w:val="1"/>
          <w:bCs w:val="1"/>
          <w:color w:val="5D89B4"/>
        </w:rPr>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111125</wp:posOffset>
            </wp:positionV>
            <wp:extent cx="6913880" cy="2203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13880" cy="220345"/>
                    </a:xfrm>
                    <a:prstGeom prst="rect">
                      <a:avLst/>
                    </a:prstGeom>
                    <a:noFill/>
                  </pic:spPr>
                </pic:pic>
              </a:graphicData>
            </a:graphic>
          </wp:anchor>
        </w:drawing>
      </w:r>
    </w:p>
    <w:p>
      <w:pPr>
        <w:spacing w:after="0" w:line="208" w:lineRule="exact"/>
        <w:rPr>
          <w:sz w:val="20"/>
          <w:szCs w:val="20"/>
          <w:color w:val="auto"/>
        </w:rPr>
      </w:pPr>
    </w:p>
    <w:p>
      <w:pPr>
        <w:ind w:left="260"/>
        <w:spacing w:after="0"/>
        <w:tabs>
          <w:tab w:leader="none" w:pos="8640" w:val="left"/>
        </w:tabs>
        <w:rPr>
          <w:sz w:val="20"/>
          <w:szCs w:val="20"/>
          <w:color w:val="auto"/>
        </w:rPr>
      </w:pPr>
      <w:r>
        <w:rPr>
          <w:rFonts w:ascii="Arial" w:cs="Arial" w:eastAsia="Arial" w:hAnsi="Arial"/>
          <w:sz w:val="19"/>
          <w:szCs w:val="19"/>
          <w:b w:val="1"/>
          <w:bCs w:val="1"/>
          <w:color w:val="5D89B4"/>
        </w:rPr>
        <w:t>PEOPLE, CULTURE AND COMPENSATION COMMITTEE</w:t>
      </w:r>
      <w:r>
        <w:rPr>
          <w:sz w:val="20"/>
          <w:szCs w:val="20"/>
          <w:color w:val="auto"/>
        </w:rPr>
        <w:tab/>
      </w:r>
      <w:r>
        <w:rPr>
          <w:rFonts w:ascii="Arial" w:cs="Arial" w:eastAsia="Arial" w:hAnsi="Arial"/>
          <w:sz w:val="14"/>
          <w:szCs w:val="14"/>
          <w:b w:val="1"/>
          <w:bCs w:val="1"/>
          <w:color w:val="5D89B4"/>
        </w:rPr>
        <w:t>NUMBER OF MEETINGS IN 2023: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-129540</wp:posOffset>
            </wp:positionV>
            <wp:extent cx="6913880" cy="46259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13880" cy="462597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-129540</wp:posOffset>
            </wp:positionV>
            <wp:extent cx="6913880" cy="46259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13880" cy="462597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12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Elizabeth P.</w:t>
      </w:r>
    </w:p>
    <w:p>
      <w:pPr>
        <w:ind w:left="1180"/>
        <w:spacing w:after="0" w:line="181" w:lineRule="auto"/>
        <w:rPr>
          <w:sz w:val="20"/>
          <w:szCs w:val="20"/>
          <w:color w:val="auto"/>
        </w:rPr>
      </w:pPr>
      <w:r>
        <w:rPr>
          <w:rFonts w:ascii="Arial" w:cs="Arial" w:eastAsia="Arial" w:hAnsi="Arial"/>
          <w:sz w:val="15"/>
          <w:szCs w:val="15"/>
          <w:b w:val="1"/>
          <w:bCs w:val="1"/>
          <w:color w:val="auto"/>
        </w:rPr>
        <w:t>Sartain</w:t>
      </w:r>
      <w:r>
        <w:rPr>
          <w:rFonts w:ascii="Arial" w:cs="Arial" w:eastAsia="Arial" w:hAnsi="Arial"/>
          <w:sz w:val="23"/>
          <w:szCs w:val="23"/>
          <w:b w:val="1"/>
          <w:bCs w:val="1"/>
          <w:color w:val="auto"/>
          <w:vertAlign w:val="superscript"/>
        </w:rPr>
        <w:t>(1)</w:t>
      </w:r>
    </w:p>
    <w:p>
      <w:pPr>
        <w:ind w:left="1180"/>
        <w:spacing w:after="0" w:line="194" w:lineRule="auto"/>
        <w:rPr>
          <w:sz w:val="20"/>
          <w:szCs w:val="20"/>
          <w:color w:val="auto"/>
        </w:rPr>
      </w:pPr>
      <w:r>
        <w:rPr>
          <w:rFonts w:ascii="Arial" w:cs="Arial" w:eastAsia="Arial" w:hAnsi="Arial"/>
          <w:sz w:val="15"/>
          <w:szCs w:val="15"/>
          <w:color w:val="auto"/>
        </w:rPr>
        <w:t>Chair</w:t>
      </w:r>
    </w:p>
    <w:p>
      <w:pPr>
        <w:ind w:left="180"/>
        <w:spacing w:after="0"/>
        <w:rPr>
          <w:sz w:val="20"/>
          <w:szCs w:val="20"/>
          <w:color w:val="auto"/>
        </w:rPr>
      </w:pPr>
      <w:r>
        <w:rPr>
          <w:rFonts w:ascii="Arial" w:cs="Arial" w:eastAsia="Arial" w:hAnsi="Arial"/>
          <w:sz w:val="16"/>
          <w:szCs w:val="16"/>
          <w:color w:val="auto"/>
        </w:rPr>
        <w:t> </w:t>
      </w:r>
    </w:p>
    <w:p>
      <w:pPr>
        <w:spacing w:after="0" w:line="24" w:lineRule="exact"/>
        <w:rPr>
          <w:sz w:val="20"/>
          <w:szCs w:val="20"/>
          <w:color w:val="auto"/>
        </w:rPr>
      </w:pPr>
    </w:p>
    <w:p>
      <w:pPr>
        <w:jc w:val="center"/>
        <w:ind w:left="820"/>
        <w:spacing w:after="0"/>
        <w:rPr>
          <w:sz w:val="20"/>
          <w:szCs w:val="20"/>
          <w:color w:val="auto"/>
        </w:rPr>
      </w:pPr>
      <w:r>
        <w:rPr>
          <w:rFonts w:ascii="Arial" w:cs="Arial" w:eastAsia="Arial" w:hAnsi="Arial"/>
          <w:sz w:val="15"/>
          <w:szCs w:val="15"/>
          <w:b w:val="1"/>
          <w:bCs w:val="1"/>
          <w:color w:val="auto"/>
        </w:rPr>
        <w:t>Members:</w:t>
      </w:r>
    </w:p>
    <w:p>
      <w:pPr>
        <w:jc w:val="center"/>
        <w:ind w:left="820"/>
        <w:spacing w:after="0" w:line="225" w:lineRule="auto"/>
        <w:rPr>
          <w:sz w:val="20"/>
          <w:szCs w:val="20"/>
          <w:color w:val="auto"/>
        </w:rPr>
      </w:pPr>
      <w:r>
        <w:rPr>
          <w:rFonts w:ascii="Arial" w:cs="Arial" w:eastAsia="Arial" w:hAnsi="Arial"/>
          <w:sz w:val="15"/>
          <w:szCs w:val="15"/>
          <w:color w:val="auto"/>
        </w:rPr>
        <w:t>William Downe</w:t>
      </w:r>
      <w:r>
        <w:rPr>
          <w:rFonts w:ascii="Arial" w:cs="Arial" w:eastAsia="Arial" w:hAnsi="Arial"/>
          <w:sz w:val="11"/>
          <w:szCs w:val="11"/>
          <w:color w:val="auto"/>
        </w:rPr>
        <w:t>(2)</w:t>
      </w:r>
    </w:p>
    <w:p>
      <w:pPr>
        <w:jc w:val="center"/>
        <w:ind w:left="820"/>
        <w:spacing w:after="0" w:line="222" w:lineRule="auto"/>
        <w:rPr>
          <w:sz w:val="20"/>
          <w:szCs w:val="20"/>
          <w:color w:val="auto"/>
        </w:rPr>
      </w:pPr>
      <w:r>
        <w:rPr>
          <w:rFonts w:ascii="Arial" w:cs="Arial" w:eastAsia="Arial" w:hAnsi="Arial"/>
          <w:sz w:val="15"/>
          <w:szCs w:val="15"/>
          <w:color w:val="auto"/>
        </w:rPr>
        <w:t>William P. Gipson</w:t>
      </w:r>
    </w:p>
    <w:p>
      <w:pPr>
        <w:jc w:val="center"/>
        <w:ind w:left="820"/>
        <w:spacing w:after="0" w:line="223" w:lineRule="auto"/>
        <w:rPr>
          <w:sz w:val="20"/>
          <w:szCs w:val="20"/>
          <w:color w:val="auto"/>
        </w:rPr>
      </w:pPr>
      <w:r>
        <w:rPr>
          <w:rFonts w:ascii="Arial" w:cs="Arial" w:eastAsia="Arial" w:hAnsi="Arial"/>
          <w:sz w:val="15"/>
          <w:szCs w:val="15"/>
          <w:color w:val="auto"/>
        </w:rPr>
        <w:t>Julie M. Howard</w:t>
      </w:r>
      <w:r>
        <w:rPr>
          <w:rFonts w:ascii="Arial" w:cs="Arial" w:eastAsia="Arial" w:hAnsi="Arial"/>
          <w:sz w:val="11"/>
          <w:szCs w:val="11"/>
          <w:color w:val="auto"/>
        </w:rPr>
        <w:t>(1)</w:t>
      </w:r>
    </w:p>
    <w:p>
      <w:pPr>
        <w:jc w:val="center"/>
        <w:ind w:left="820"/>
        <w:spacing w:after="0"/>
        <w:rPr>
          <w:sz w:val="20"/>
          <w:szCs w:val="20"/>
          <w:color w:val="auto"/>
        </w:rPr>
      </w:pPr>
      <w:r>
        <w:rPr>
          <w:rFonts w:ascii="Arial" w:cs="Arial" w:eastAsia="Arial" w:hAnsi="Arial"/>
          <w:sz w:val="15"/>
          <w:szCs w:val="15"/>
          <w:color w:val="auto"/>
        </w:rPr>
        <w:t>Muriel Pénicaud</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680"/>
        <w:spacing w:after="0" w:line="259" w:lineRule="auto"/>
        <w:rPr>
          <w:sz w:val="20"/>
          <w:szCs w:val="20"/>
          <w:color w:val="auto"/>
        </w:rPr>
      </w:pPr>
      <w:r>
        <w:rPr>
          <w:rFonts w:ascii="Arial" w:cs="Arial" w:eastAsia="Arial" w:hAnsi="Arial"/>
          <w:sz w:val="15"/>
          <w:szCs w:val="15"/>
          <w:color w:val="auto"/>
        </w:rPr>
        <w:t>Each member of the people, culture and compensation committee is “independent” within the meaning of the applicable listing standards of the New York Stock Exchange.</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functions of this committee are to:</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review and approve the Company’s general compensation philosophies and principles;</w:t>
      </w:r>
    </w:p>
    <w:p>
      <w:pPr>
        <w:spacing w:after="0" w:line="68" w:lineRule="exact"/>
        <w:rPr>
          <w:sz w:val="20"/>
          <w:szCs w:val="20"/>
          <w:color w:val="auto"/>
        </w:rPr>
      </w:pPr>
    </w:p>
    <w:p>
      <w:pPr>
        <w:ind w:left="180" w:right="740" w:hanging="177"/>
        <w:spacing w:after="0" w:line="259" w:lineRule="auto"/>
        <w:rPr>
          <w:sz w:val="20"/>
          <w:szCs w:val="20"/>
          <w:color w:val="auto"/>
        </w:rPr>
      </w:pPr>
      <w:r>
        <w:rPr>
          <w:rFonts w:ascii="Arial" w:cs="Arial" w:eastAsia="Arial" w:hAnsi="Arial"/>
          <w:sz w:val="15"/>
          <w:szCs w:val="15"/>
          <w:color w:val="auto"/>
        </w:rPr>
        <w:t>•    establish the compensation of the chief executive officer of ManpowerGroup, subject to ratification by the independent members of the board of directors;</w:t>
      </w:r>
    </w:p>
    <w:p>
      <w:pPr>
        <w:spacing w:after="0" w:line="28" w:lineRule="exact"/>
        <w:rPr>
          <w:sz w:val="20"/>
          <w:szCs w:val="20"/>
          <w:color w:val="auto"/>
        </w:rPr>
      </w:pPr>
    </w:p>
    <w:p>
      <w:pPr>
        <w:ind w:left="180" w:right="20" w:hanging="177"/>
        <w:spacing w:after="0" w:line="259" w:lineRule="auto"/>
        <w:rPr>
          <w:sz w:val="20"/>
          <w:szCs w:val="20"/>
          <w:color w:val="auto"/>
        </w:rPr>
      </w:pPr>
      <w:r>
        <w:rPr>
          <w:rFonts w:ascii="Arial" w:cs="Arial" w:eastAsia="Arial" w:hAnsi="Arial"/>
          <w:sz w:val="15"/>
          <w:szCs w:val="15"/>
          <w:color w:val="auto"/>
        </w:rPr>
        <w:t>•    approve the compensation, based on the recommendations of the chief executive officer of ManpowerGroup, of any president and the chief financial officer, and certain other senior executives of ManpowerGroup;</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•    establish officer stock ownership guidelines and monitor compliance with such guidelines;</w:t>
      </w:r>
    </w:p>
    <w:p>
      <w:pPr>
        <w:spacing w:after="0" w:line="68" w:lineRule="exact"/>
        <w:rPr>
          <w:sz w:val="20"/>
          <w:szCs w:val="20"/>
          <w:color w:val="auto"/>
        </w:rPr>
      </w:pPr>
    </w:p>
    <w:p>
      <w:pPr>
        <w:ind w:left="180" w:right="60" w:hanging="177"/>
        <w:spacing w:after="0" w:line="241" w:lineRule="auto"/>
        <w:rPr>
          <w:sz w:val="20"/>
          <w:szCs w:val="20"/>
          <w:color w:val="auto"/>
        </w:rPr>
      </w:pPr>
      <w:r>
        <w:rPr>
          <w:rFonts w:ascii="Arial" w:cs="Arial" w:eastAsia="Arial" w:hAnsi="Arial"/>
          <w:sz w:val="15"/>
          <w:szCs w:val="15"/>
          <w:color w:val="auto"/>
        </w:rPr>
        <w:t>•    determine the terms of any agreements concerning employment, compensation or employment termination, as well as monitor the application of ManpowerGroup’s retirement and other fringe benefit plans, with respect to the individuals listed above;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•    monitor the professional development of ManpowerGroup’s key executive officers;</w:t>
      </w:r>
    </w:p>
    <w:p>
      <w:pPr>
        <w:spacing w:after="0" w:line="68" w:lineRule="exact"/>
        <w:rPr>
          <w:sz w:val="20"/>
          <w:szCs w:val="20"/>
          <w:color w:val="auto"/>
        </w:rPr>
      </w:pPr>
    </w:p>
    <w:p>
      <w:pPr>
        <w:ind w:left="180" w:right="140" w:hanging="177"/>
        <w:spacing w:after="0" w:line="259" w:lineRule="auto"/>
        <w:rPr>
          <w:sz w:val="20"/>
          <w:szCs w:val="20"/>
          <w:color w:val="auto"/>
        </w:rPr>
      </w:pPr>
      <w:r>
        <w:rPr>
          <w:rFonts w:ascii="Arial" w:cs="Arial" w:eastAsia="Arial" w:hAnsi="Arial"/>
          <w:sz w:val="15"/>
          <w:szCs w:val="15"/>
          <w:color w:val="auto"/>
        </w:rPr>
        <w:t>•    review succession plans for the chief executive officer of ManpowerGroup, of any president and the chief financial officer and certain other senior executives of ManpowerGroup;</w:t>
      </w:r>
    </w:p>
    <w:p>
      <w:pPr>
        <w:spacing w:after="0" w:line="28" w:lineRule="exact"/>
        <w:rPr>
          <w:sz w:val="20"/>
          <w:szCs w:val="20"/>
          <w:color w:val="auto"/>
        </w:rPr>
      </w:pPr>
    </w:p>
    <w:p>
      <w:pPr>
        <w:ind w:left="180" w:right="960" w:hanging="177"/>
        <w:spacing w:after="0" w:line="259" w:lineRule="auto"/>
        <w:rPr>
          <w:sz w:val="20"/>
          <w:szCs w:val="20"/>
          <w:color w:val="auto"/>
        </w:rPr>
      </w:pPr>
      <w:r>
        <w:rPr>
          <w:rFonts w:ascii="Arial" w:cs="Arial" w:eastAsia="Arial" w:hAnsi="Arial"/>
          <w:sz w:val="15"/>
          <w:szCs w:val="15"/>
          <w:color w:val="auto"/>
        </w:rPr>
        <w:t>•    administer ManpowerGroup’s equity incentive plans and employee stock purchase plans and oversee ManpowerGroup’s employee retirement and welfare plans;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•    administer ManpowerGroup’s annual incentive plan;</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oversee the administration of the Company’s Senior Executive Compensation Recovery Policy;</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review and recommend the “Compensation Discussion and Analysis” to be included in our annual proxy statement;</w:t>
      </w:r>
    </w:p>
    <w:p>
      <w:pPr>
        <w:spacing w:after="0" w:line="68" w:lineRule="exact"/>
        <w:rPr>
          <w:sz w:val="20"/>
          <w:szCs w:val="20"/>
          <w:color w:val="auto"/>
        </w:rPr>
      </w:pPr>
    </w:p>
    <w:p>
      <w:pPr>
        <w:ind w:left="180" w:right="120" w:hanging="177"/>
        <w:spacing w:after="0" w:line="259" w:lineRule="auto"/>
        <w:rPr>
          <w:sz w:val="20"/>
          <w:szCs w:val="20"/>
          <w:color w:val="auto"/>
        </w:rPr>
      </w:pPr>
      <w:r>
        <w:rPr>
          <w:rFonts w:ascii="Arial" w:cs="Arial" w:eastAsia="Arial" w:hAnsi="Arial"/>
          <w:sz w:val="15"/>
          <w:szCs w:val="15"/>
          <w:color w:val="auto"/>
        </w:rPr>
        <w:t>•    discuss with management reports regarding the development, implementation and effectiveness of the Company’s policies and strategies relating to its human capital management function;</w:t>
      </w:r>
    </w:p>
    <w:p>
      <w:pPr>
        <w:spacing w:after="0" w:line="28" w:lineRule="exact"/>
        <w:rPr>
          <w:sz w:val="20"/>
          <w:szCs w:val="20"/>
          <w:color w:val="auto"/>
        </w:rPr>
      </w:pPr>
    </w:p>
    <w:p>
      <w:pPr>
        <w:ind w:left="180" w:right="440" w:hanging="177"/>
        <w:spacing w:after="0" w:line="259" w:lineRule="auto"/>
        <w:rPr>
          <w:sz w:val="20"/>
          <w:szCs w:val="20"/>
          <w:color w:val="auto"/>
        </w:rPr>
      </w:pPr>
      <w:r>
        <w:rPr>
          <w:rFonts w:ascii="Arial" w:cs="Arial" w:eastAsia="Arial" w:hAnsi="Arial"/>
          <w:sz w:val="15"/>
          <w:szCs w:val="15"/>
          <w:color w:val="auto"/>
        </w:rPr>
        <w:t>•    approve the retention, compensation and termination of outside compensation consultants, independent legal advisors or other advisors and have oversight of their work;</w:t>
      </w:r>
    </w:p>
    <w:p>
      <w:pPr>
        <w:spacing w:after="0" w:line="28" w:lineRule="exact"/>
        <w:rPr>
          <w:sz w:val="20"/>
          <w:szCs w:val="20"/>
          <w:color w:val="auto"/>
        </w:rPr>
      </w:pPr>
    </w:p>
    <w:p>
      <w:pPr>
        <w:ind w:left="180" w:right="160" w:hanging="177"/>
        <w:spacing w:after="0" w:line="259" w:lineRule="auto"/>
        <w:rPr>
          <w:sz w:val="20"/>
          <w:szCs w:val="20"/>
          <w:color w:val="auto"/>
        </w:rPr>
      </w:pPr>
      <w:r>
        <w:rPr>
          <w:rFonts w:ascii="Arial" w:cs="Arial" w:eastAsia="Arial" w:hAnsi="Arial"/>
          <w:sz w:val="15"/>
          <w:szCs w:val="15"/>
          <w:color w:val="auto"/>
        </w:rPr>
        <w:t>•    consider the independence of any outside compensation consultant, independent legal advisor or other advisor to the committee;</w:t>
      </w:r>
    </w:p>
    <w:p>
      <w:pPr>
        <w:spacing w:after="0" w:line="28" w:lineRule="exact"/>
        <w:rPr>
          <w:sz w:val="20"/>
          <w:szCs w:val="20"/>
          <w:color w:val="auto"/>
        </w:rPr>
      </w:pPr>
    </w:p>
    <w:p>
      <w:pPr>
        <w:ind w:left="180" w:right="700" w:hanging="177"/>
        <w:spacing w:after="0" w:line="259" w:lineRule="auto"/>
        <w:rPr>
          <w:sz w:val="20"/>
          <w:szCs w:val="20"/>
          <w:color w:val="auto"/>
        </w:rPr>
      </w:pPr>
      <w:r>
        <w:rPr>
          <w:rFonts w:ascii="Arial" w:cs="Arial" w:eastAsia="Arial" w:hAnsi="Arial"/>
          <w:sz w:val="15"/>
          <w:szCs w:val="15"/>
          <w:color w:val="auto"/>
        </w:rPr>
        <w:t>•    monitor the Company’s policies, objectives and programs related to diversity and inclusion and review the Company’s performance in light of appropriate measures; and</w:t>
      </w:r>
    </w:p>
    <w:p>
      <w:pPr>
        <w:spacing w:after="0" w:line="28" w:lineRule="exact"/>
        <w:rPr>
          <w:sz w:val="20"/>
          <w:szCs w:val="20"/>
          <w:color w:val="auto"/>
        </w:rPr>
      </w:pPr>
    </w:p>
    <w:p>
      <w:pPr>
        <w:ind w:left="180" w:right="20" w:hanging="177"/>
        <w:spacing w:after="0" w:line="259" w:lineRule="auto"/>
        <w:rPr>
          <w:sz w:val="20"/>
          <w:szCs w:val="20"/>
          <w:color w:val="auto"/>
        </w:rPr>
      </w:pPr>
      <w:r>
        <w:rPr>
          <w:rFonts w:ascii="Arial" w:cs="Arial" w:eastAsia="Arial" w:hAnsi="Arial"/>
          <w:sz w:val="15"/>
          <w:szCs w:val="15"/>
          <w:color w:val="auto"/>
        </w:rPr>
        <w:t>•    review the results of any advisory shareholder votes on executive compensation and consider whether to recommend adjustments to the Company’s executive compensation policies and practices as a result of such votes.</w:t>
      </w:r>
    </w:p>
    <w:p>
      <w:pPr>
        <w:spacing w:after="0" w:line="200" w:lineRule="exact"/>
        <w:rPr>
          <w:sz w:val="20"/>
          <w:szCs w:val="20"/>
          <w:color w:val="auto"/>
        </w:rPr>
      </w:pPr>
    </w:p>
    <w:p>
      <w:pPr>
        <w:sectPr>
          <w:pgSz w:w="11900" w:h="16838" w:orient="portrait"/>
          <w:cols w:equalWidth="0" w:num="2">
            <w:col w:w="2400" w:space="720"/>
            <w:col w:w="7940"/>
          </w:cols>
          <w:pgMar w:left="320" w:top="480" w:right="51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600" w:right="240" w:hanging="420"/>
        <w:spacing w:after="0" w:line="249" w:lineRule="auto"/>
        <w:tabs>
          <w:tab w:leader="none" w:pos="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Howard will become chair of the People, Culture and Compensation Committee in May 2024, succeeding Ms. Sartain. Ms. Sartain will remain a member of the committee.</w:t>
      </w:r>
    </w:p>
    <w:p>
      <w:pPr>
        <w:ind w:left="600" w:right="140" w:hanging="420"/>
        <w:spacing w:after="0" w:line="259" w:lineRule="auto"/>
        <w:tabs>
          <w:tab w:leader="none" w:pos="6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Downe has determined he will not be seeking re-election at the annual meeting in May 2024 and will therefore no longer be a member of the committee effective May 3, 2024.</w:t>
      </w:r>
    </w:p>
    <w:p>
      <w:pPr>
        <w:spacing w:after="0" w:line="25" w:lineRule="exact"/>
        <w:rPr>
          <w:sz w:val="20"/>
          <w:szCs w:val="20"/>
          <w:color w:val="auto"/>
        </w:rPr>
      </w:pPr>
    </w:p>
    <w:p>
      <w:pPr>
        <w:ind w:left="180" w:right="120"/>
        <w:spacing w:after="0" w:line="259" w:lineRule="auto"/>
        <w:rPr>
          <w:sz w:val="20"/>
          <w:szCs w:val="20"/>
          <w:color w:val="auto"/>
        </w:rPr>
      </w:pPr>
      <w:r>
        <w:rPr>
          <w:rFonts w:ascii="Arial" w:cs="Arial" w:eastAsia="Arial" w:hAnsi="Arial"/>
          <w:sz w:val="14"/>
          <w:szCs w:val="14"/>
          <w:color w:val="auto"/>
        </w:rPr>
        <w:t>In accordance with the terms of its charter, the people, culture and compensation committee may from time-to-time delegate authority and assign responsibility with respect to such of its functions to officers of the Company, or to a subcommittee of the committee. The people, culture and compensation committee did not take any action by written consent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90170</wp:posOffset>
            </wp:positionV>
            <wp:extent cx="69138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104140</wp:posOffset>
            </wp:positionV>
            <wp:extent cx="6913880" cy="2203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13880" cy="220345"/>
                    </a:xfrm>
                    <a:prstGeom prst="rect">
                      <a:avLst/>
                    </a:prstGeom>
                    <a:noFill/>
                  </pic:spPr>
                </pic:pic>
              </a:graphicData>
            </a:graphic>
          </wp:anchor>
        </w:drawing>
      </w:r>
    </w:p>
    <w:p>
      <w:pPr>
        <w:spacing w:after="0" w:line="197" w:lineRule="exact"/>
        <w:rPr>
          <w:sz w:val="20"/>
          <w:szCs w:val="20"/>
          <w:color w:val="auto"/>
        </w:rPr>
      </w:pPr>
    </w:p>
    <w:p>
      <w:pPr>
        <w:ind w:left="260"/>
        <w:spacing w:after="0"/>
        <w:tabs>
          <w:tab w:leader="none" w:pos="8640" w:val="left"/>
        </w:tabs>
        <w:rPr>
          <w:sz w:val="20"/>
          <w:szCs w:val="20"/>
          <w:color w:val="auto"/>
        </w:rPr>
      </w:pPr>
      <w:r>
        <w:rPr>
          <w:rFonts w:ascii="Arial" w:cs="Arial" w:eastAsia="Arial" w:hAnsi="Arial"/>
          <w:sz w:val="19"/>
          <w:szCs w:val="19"/>
          <w:b w:val="1"/>
          <w:bCs w:val="1"/>
          <w:color w:val="5D89B4"/>
        </w:rPr>
        <w:t>GOVERNANCE AND SUSTAINABILITY COMMITTEE</w:t>
      </w:r>
      <w:r>
        <w:rPr>
          <w:sz w:val="20"/>
          <w:szCs w:val="20"/>
          <w:color w:val="auto"/>
        </w:rPr>
        <w:tab/>
      </w:r>
      <w:r>
        <w:rPr>
          <w:rFonts w:ascii="Arial" w:cs="Arial" w:eastAsia="Arial" w:hAnsi="Arial"/>
          <w:sz w:val="14"/>
          <w:szCs w:val="14"/>
          <w:b w:val="1"/>
          <w:bCs w:val="1"/>
          <w:color w:val="5D89B4"/>
        </w:rPr>
        <w:t>NUMBER OF MEETINGS IN 2023: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-129540</wp:posOffset>
            </wp:positionV>
            <wp:extent cx="6913880" cy="51854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13880" cy="518541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-129540</wp:posOffset>
            </wp:positionV>
            <wp:extent cx="6913880" cy="51854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13880" cy="5185410"/>
                    </a:xfrm>
                    <a:prstGeom prst="rect">
                      <a:avLst/>
                    </a:prstGeom>
                    <a:noFill/>
                  </pic:spPr>
                </pic:pic>
              </a:graphicData>
            </a:graphic>
          </wp:anchor>
        </w:drawing>
      </w:r>
    </w:p>
    <w:p>
      <w:pPr>
        <w:sectPr>
          <w:pgSz w:w="11900" w:h="16838" w:orient="portrait"/>
          <w:cols w:equalWidth="0" w:num="1">
            <w:col w:w="11000"/>
          </w:cols>
          <w:pgMar w:left="320" w:top="480" w:right="579" w:bottom="1440" w:gutter="0" w:footer="0" w:header="0"/>
        </w:sectPr>
      </w:pPr>
    </w:p>
    <w:p>
      <w:pPr>
        <w:spacing w:after="0" w:line="128" w:lineRule="exact"/>
        <w:rPr>
          <w:sz w:val="20"/>
          <w:szCs w:val="20"/>
          <w:color w:val="auto"/>
        </w:rPr>
      </w:pPr>
    </w:p>
    <w:p>
      <w:pPr>
        <w:ind w:left="1180"/>
        <w:spacing w:after="0" w:line="200" w:lineRule="auto"/>
        <w:rPr>
          <w:sz w:val="20"/>
          <w:szCs w:val="20"/>
          <w:color w:val="auto"/>
        </w:rPr>
      </w:pPr>
      <w:r>
        <w:rPr>
          <w:rFonts w:ascii="Arial" w:cs="Arial" w:eastAsia="Arial" w:hAnsi="Arial"/>
          <w:sz w:val="16"/>
          <w:szCs w:val="16"/>
          <w:b w:val="1"/>
          <w:bCs w:val="1"/>
          <w:color w:val="auto"/>
        </w:rPr>
        <w:t>Patricia Hemingway Hall</w:t>
      </w:r>
      <w:r>
        <w:rPr>
          <w:rFonts w:ascii="Arial" w:cs="Arial" w:eastAsia="Arial" w:hAnsi="Arial"/>
          <w:sz w:val="24"/>
          <w:szCs w:val="24"/>
          <w:b w:val="1"/>
          <w:bCs w:val="1"/>
          <w:color w:val="auto"/>
          <w:vertAlign w:val="superscript"/>
        </w:rPr>
        <w:t>(1)</w:t>
      </w:r>
    </w:p>
    <w:p>
      <w:pPr>
        <w:ind w:left="1180"/>
        <w:spacing w:after="0" w:line="194" w:lineRule="auto"/>
        <w:rPr>
          <w:sz w:val="20"/>
          <w:szCs w:val="20"/>
          <w:color w:val="auto"/>
        </w:rPr>
      </w:pPr>
      <w:r>
        <w:rPr>
          <w:rFonts w:ascii="Arial" w:cs="Arial" w:eastAsia="Arial" w:hAnsi="Arial"/>
          <w:sz w:val="15"/>
          <w:szCs w:val="15"/>
          <w:color w:val="auto"/>
        </w:rPr>
        <w:t>Chair</w:t>
      </w:r>
    </w:p>
    <w:p>
      <w:pPr>
        <w:ind w:left="180"/>
        <w:spacing w:after="0"/>
        <w:rPr>
          <w:sz w:val="20"/>
          <w:szCs w:val="20"/>
          <w:color w:val="auto"/>
        </w:rPr>
      </w:pPr>
      <w:r>
        <w:rPr>
          <w:rFonts w:ascii="Arial" w:cs="Arial" w:eastAsia="Arial" w:hAnsi="Arial"/>
          <w:sz w:val="16"/>
          <w:szCs w:val="16"/>
          <w:color w:val="auto"/>
        </w:rPr>
        <w:t> </w:t>
      </w:r>
    </w:p>
    <w:p>
      <w:pPr>
        <w:spacing w:after="0" w:line="24"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Members:</w:t>
      </w:r>
    </w:p>
    <w:p>
      <w:pPr>
        <w:spacing w:after="0" w:line="2" w:lineRule="exact"/>
        <w:rPr>
          <w:sz w:val="20"/>
          <w:szCs w:val="20"/>
          <w:color w:val="auto"/>
        </w:rPr>
      </w:pPr>
    </w:p>
    <w:p>
      <w:pPr>
        <w:jc w:val="center"/>
        <w:ind w:left="500" w:right="280"/>
        <w:spacing w:after="0" w:line="234" w:lineRule="auto"/>
        <w:rPr>
          <w:sz w:val="20"/>
          <w:szCs w:val="20"/>
          <w:color w:val="auto"/>
        </w:rPr>
      </w:pPr>
      <w:r>
        <w:rPr>
          <w:rFonts w:ascii="Arial" w:cs="Arial" w:eastAsia="Arial" w:hAnsi="Arial"/>
          <w:sz w:val="15"/>
          <w:szCs w:val="15"/>
          <w:color w:val="auto"/>
        </w:rPr>
        <w:t>Julie M. Howard Ulice Payne, Jr. Michael J. Van Handel</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5"/>
          <w:szCs w:val="15"/>
          <w:color w:val="auto"/>
        </w:rPr>
        <w:t>Each member of the governance and sustainability committee is “independent” within the meaning of the applicable listing standards of the New York Stock Exchange.</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The functions of this committee are to:</w:t>
      </w:r>
    </w:p>
    <w:p>
      <w:pPr>
        <w:spacing w:after="0" w:line="68" w:lineRule="exact"/>
        <w:rPr>
          <w:sz w:val="20"/>
          <w:szCs w:val="20"/>
          <w:color w:val="auto"/>
        </w:rPr>
      </w:pPr>
    </w:p>
    <w:p>
      <w:pPr>
        <w:ind w:left="180" w:right="260" w:hanging="177"/>
        <w:spacing w:after="0" w:line="259" w:lineRule="auto"/>
        <w:rPr>
          <w:sz w:val="20"/>
          <w:szCs w:val="20"/>
          <w:color w:val="auto"/>
        </w:rPr>
      </w:pPr>
      <w:r>
        <w:rPr>
          <w:rFonts w:ascii="Arial" w:cs="Arial" w:eastAsia="Arial" w:hAnsi="Arial"/>
          <w:sz w:val="15"/>
          <w:szCs w:val="15"/>
          <w:color w:val="auto"/>
        </w:rPr>
        <w:t>•    recommend nominees to stand for election at annual meetings of shareholders, to fill vacancies on the board of directors and to serve on committees of the board of directors;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•    establish procedures and assist in identifying candidates for board membership;</w:t>
      </w:r>
    </w:p>
    <w:p>
      <w:pPr>
        <w:spacing w:after="0" w:line="68" w:lineRule="exact"/>
        <w:rPr>
          <w:sz w:val="20"/>
          <w:szCs w:val="20"/>
          <w:color w:val="auto"/>
        </w:rPr>
      </w:pPr>
    </w:p>
    <w:p>
      <w:pPr>
        <w:ind w:left="180" w:right="20" w:hanging="177"/>
        <w:spacing w:after="0" w:line="259" w:lineRule="auto"/>
        <w:rPr>
          <w:sz w:val="20"/>
          <w:szCs w:val="20"/>
          <w:color w:val="auto"/>
        </w:rPr>
      </w:pPr>
      <w:r>
        <w:rPr>
          <w:rFonts w:ascii="Arial" w:cs="Arial" w:eastAsia="Arial" w:hAnsi="Arial"/>
          <w:sz w:val="15"/>
          <w:szCs w:val="15"/>
          <w:color w:val="auto"/>
        </w:rPr>
        <w:t>•    review the qualifications of candidates for board membership, including any candidates nominated by shareholders in accordance with our bylaws;</w:t>
      </w:r>
    </w:p>
    <w:p>
      <w:pPr>
        <w:spacing w:after="0" w:line="28" w:lineRule="exact"/>
        <w:rPr>
          <w:sz w:val="20"/>
          <w:szCs w:val="20"/>
          <w:color w:val="auto"/>
        </w:rPr>
      </w:pPr>
    </w:p>
    <w:p>
      <w:pPr>
        <w:ind w:left="180" w:right="280" w:hanging="177"/>
        <w:spacing w:after="0" w:line="259" w:lineRule="auto"/>
        <w:rPr>
          <w:sz w:val="20"/>
          <w:szCs w:val="20"/>
          <w:color w:val="auto"/>
        </w:rPr>
      </w:pPr>
      <w:r>
        <w:rPr>
          <w:rFonts w:ascii="Arial" w:cs="Arial" w:eastAsia="Arial" w:hAnsi="Arial"/>
          <w:sz w:val="15"/>
          <w:szCs w:val="15"/>
          <w:color w:val="auto"/>
        </w:rPr>
        <w:t>•    periodically review the compensation arrangements in effect for the non-management members of the board of directors and recommend any changes deemed appropriate;</w:t>
      </w:r>
    </w:p>
    <w:p>
      <w:pPr>
        <w:spacing w:after="0" w:line="28" w:lineRule="exact"/>
        <w:rPr>
          <w:sz w:val="20"/>
          <w:szCs w:val="20"/>
          <w:color w:val="auto"/>
        </w:rPr>
      </w:pPr>
    </w:p>
    <w:p>
      <w:pPr>
        <w:ind w:left="180" w:right="300" w:hanging="177"/>
        <w:spacing w:after="0" w:line="259" w:lineRule="auto"/>
        <w:rPr>
          <w:sz w:val="20"/>
          <w:szCs w:val="20"/>
          <w:color w:val="auto"/>
        </w:rPr>
      </w:pPr>
      <w:r>
        <w:rPr>
          <w:rFonts w:ascii="Arial" w:cs="Arial" w:eastAsia="Arial" w:hAnsi="Arial"/>
          <w:sz w:val="15"/>
          <w:szCs w:val="15"/>
          <w:color w:val="auto"/>
        </w:rPr>
        <w:t>•    oversee the annual self-evaluation of the performance of the board of directors and each of its committees and oversee, or ensure another committee oversees, the annual evaluation of the performance of management;</w:t>
      </w:r>
    </w:p>
    <w:p>
      <w:pPr>
        <w:spacing w:after="0" w:line="28" w:lineRule="exact"/>
        <w:rPr>
          <w:sz w:val="20"/>
          <w:szCs w:val="20"/>
          <w:color w:val="auto"/>
        </w:rPr>
      </w:pPr>
    </w:p>
    <w:p>
      <w:pPr>
        <w:ind w:left="180" w:right="180" w:hanging="177"/>
        <w:spacing w:after="0" w:line="241" w:lineRule="auto"/>
        <w:rPr>
          <w:sz w:val="20"/>
          <w:szCs w:val="20"/>
          <w:color w:val="auto"/>
        </w:rPr>
      </w:pPr>
      <w:r>
        <w:rPr>
          <w:rFonts w:ascii="Arial" w:cs="Arial" w:eastAsia="Arial" w:hAnsi="Arial"/>
          <w:sz w:val="15"/>
          <w:szCs w:val="15"/>
          <w:color w:val="auto"/>
        </w:rPr>
        <w:t>•    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•    review the Board’s leadership structure and recommend any changes deemed appropriate;</w:t>
      </w:r>
    </w:p>
    <w:p>
      <w:pPr>
        <w:spacing w:after="0" w:line="68" w:lineRule="exact"/>
        <w:rPr>
          <w:sz w:val="20"/>
          <w:szCs w:val="20"/>
          <w:color w:val="auto"/>
        </w:rPr>
      </w:pPr>
    </w:p>
    <w:p>
      <w:pPr>
        <w:ind w:left="180" w:right="440" w:hanging="177"/>
        <w:spacing w:after="0" w:line="259" w:lineRule="auto"/>
        <w:rPr>
          <w:sz w:val="20"/>
          <w:szCs w:val="20"/>
          <w:color w:val="auto"/>
        </w:rPr>
      </w:pPr>
      <w:r>
        <w:rPr>
          <w:rFonts w:ascii="Arial" w:cs="Arial" w:eastAsia="Arial" w:hAnsi="Arial"/>
          <w:sz w:val="15"/>
          <w:szCs w:val="15"/>
          <w:color w:val="auto"/>
        </w:rPr>
        <w:t>•    oversee the content and format of our code of business conduct and ethics and recommend any changes as deemed appropriate;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•    monitor compliance by the non-management directors with our code of business conduct and ethics;</w:t>
      </w:r>
    </w:p>
    <w:p>
      <w:pPr>
        <w:spacing w:after="0" w:line="68" w:lineRule="exact"/>
        <w:rPr>
          <w:sz w:val="20"/>
          <w:szCs w:val="20"/>
          <w:color w:val="auto"/>
        </w:rPr>
      </w:pPr>
    </w:p>
    <w:p>
      <w:pPr>
        <w:ind w:left="180" w:right="100" w:hanging="177"/>
        <w:spacing w:after="0" w:line="259" w:lineRule="auto"/>
        <w:rPr>
          <w:sz w:val="20"/>
          <w:szCs w:val="20"/>
          <w:color w:val="auto"/>
        </w:rPr>
      </w:pPr>
      <w:r>
        <w:rPr>
          <w:rFonts w:ascii="Arial" w:cs="Arial" w:eastAsia="Arial" w:hAnsi="Arial"/>
          <w:sz w:val="15"/>
          <w:szCs w:val="15"/>
          <w:color w:val="auto"/>
        </w:rPr>
        <w:t>•    review and approve the establishment of any stock ownership guidelines for the non-management directors of the Company and monitor compliance with such guidelines;</w:t>
      </w:r>
    </w:p>
    <w:p>
      <w:pPr>
        <w:spacing w:after="0" w:line="28" w:lineRule="exact"/>
        <w:rPr>
          <w:sz w:val="20"/>
          <w:szCs w:val="20"/>
          <w:color w:val="auto"/>
        </w:rPr>
      </w:pPr>
    </w:p>
    <w:p>
      <w:pPr>
        <w:ind w:left="180" w:right="280" w:hanging="177"/>
        <w:spacing w:after="0" w:line="259" w:lineRule="auto"/>
        <w:rPr>
          <w:sz w:val="20"/>
          <w:szCs w:val="20"/>
          <w:color w:val="auto"/>
        </w:rPr>
      </w:pPr>
      <w:r>
        <w:rPr>
          <w:rFonts w:ascii="Arial" w:cs="Arial" w:eastAsia="Arial" w:hAnsi="Arial"/>
          <w:sz w:val="15"/>
          <w:szCs w:val="15"/>
          <w:color w:val="auto"/>
        </w:rPr>
        <w:t>•    review and make recommendations to the board on proposals related to corporate governance, public policy or sustainability submitted by shareholders;</w:t>
      </w:r>
    </w:p>
    <w:p>
      <w:pPr>
        <w:spacing w:after="0" w:line="28" w:lineRule="exact"/>
        <w:rPr>
          <w:sz w:val="20"/>
          <w:szCs w:val="20"/>
          <w:color w:val="auto"/>
        </w:rPr>
      </w:pPr>
    </w:p>
    <w:p>
      <w:pPr>
        <w:ind w:left="180" w:right="280" w:hanging="177"/>
        <w:spacing w:after="0" w:line="259" w:lineRule="auto"/>
        <w:rPr>
          <w:sz w:val="20"/>
          <w:szCs w:val="20"/>
          <w:color w:val="auto"/>
        </w:rPr>
      </w:pPr>
      <w:r>
        <w:rPr>
          <w:rFonts w:ascii="Arial" w:cs="Arial" w:eastAsia="Arial" w:hAnsi="Arial"/>
          <w:sz w:val="15"/>
          <w:szCs w:val="15"/>
          <w:color w:val="auto"/>
        </w:rPr>
        <w:t>•    oversee and make recommendations to the board regarding ESG matters relevant to the Company’s business, including Company policies, opportunities, reporting and activities;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•    develop and periodically review succession plans for the directors;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periodically review the corporate governance guidelines and recommend any changes as deemed appropriate;</w:t>
      </w:r>
    </w:p>
    <w:p>
      <w:pPr>
        <w:spacing w:after="0" w:line="68" w:lineRule="exact"/>
        <w:rPr>
          <w:sz w:val="20"/>
          <w:szCs w:val="20"/>
          <w:color w:val="auto"/>
        </w:rPr>
      </w:pPr>
    </w:p>
    <w:p>
      <w:pPr>
        <w:ind w:left="180" w:right="100" w:hanging="177"/>
        <w:spacing w:after="0" w:line="259" w:lineRule="auto"/>
        <w:rPr>
          <w:sz w:val="20"/>
          <w:szCs w:val="20"/>
          <w:color w:val="auto"/>
        </w:rPr>
      </w:pPr>
      <w:r>
        <w:rPr>
          <w:rFonts w:ascii="Arial" w:cs="Arial" w:eastAsia="Arial" w:hAnsi="Arial"/>
          <w:sz w:val="15"/>
          <w:szCs w:val="15"/>
          <w:color w:val="auto"/>
        </w:rPr>
        <w:t>•    review and recommend categorical standards for determining non-management director independence consistent with the rules of the New York Stock Exchange and other requirements;</w:t>
      </w:r>
    </w:p>
    <w:p>
      <w:pPr>
        <w:spacing w:after="0" w:line="28" w:lineRule="exact"/>
        <w:rPr>
          <w:sz w:val="20"/>
          <w:szCs w:val="20"/>
          <w:color w:val="auto"/>
        </w:rPr>
      </w:pPr>
    </w:p>
    <w:p>
      <w:pPr>
        <w:ind w:left="180" w:right="20" w:hanging="177"/>
        <w:spacing w:after="0" w:line="259" w:lineRule="auto"/>
        <w:rPr>
          <w:sz w:val="20"/>
          <w:szCs w:val="20"/>
          <w:color w:val="auto"/>
        </w:rPr>
      </w:pPr>
      <w:r>
        <w:rPr>
          <w:rFonts w:ascii="Arial" w:cs="Arial" w:eastAsia="Arial" w:hAnsi="Arial"/>
          <w:sz w:val="15"/>
          <w:szCs w:val="15"/>
          <w:color w:val="auto"/>
        </w:rPr>
        <w:t>•    consider and recommend to the Board the action to be taken with respect to any resignation tendered by a director with respect to a change in professional responsibilities or personal circumstances; and</w:t>
      </w:r>
    </w:p>
    <w:p>
      <w:pPr>
        <w:spacing w:after="0" w:line="28"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•    approve the retention, compensation and termination of any outside independent advisors to the committee.</w:t>
      </w:r>
    </w:p>
    <w:p>
      <w:pPr>
        <w:spacing w:after="0" w:line="200" w:lineRule="exact"/>
        <w:rPr>
          <w:sz w:val="20"/>
          <w:szCs w:val="20"/>
          <w:color w:val="auto"/>
        </w:rPr>
      </w:pPr>
    </w:p>
    <w:p>
      <w:pPr>
        <w:sectPr>
          <w:pgSz w:w="11900" w:h="16838" w:orient="portrait"/>
          <w:cols w:equalWidth="0" w:num="2">
            <w:col w:w="2700" w:space="420"/>
            <w:col w:w="7880"/>
          </w:cols>
          <w:pgMar w:left="320" w:top="480"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0" w:right="60" w:hanging="420"/>
        <w:spacing w:after="0" w:line="280" w:lineRule="auto"/>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Van Handel will become chair of the Governance and Sustainability Committee in May 2024, succeeding Ms. Hemingway Hall. Ms. Hemingway Hall will remain a member of the committee.</w:t>
      </w:r>
    </w:p>
    <w:p>
      <w:pPr>
        <w:spacing w:after="0" w:line="3" w:lineRule="exact"/>
        <w:rPr>
          <w:sz w:val="20"/>
          <w:szCs w:val="20"/>
          <w:color w:val="auto"/>
        </w:rPr>
      </w:pPr>
    </w:p>
    <w:p>
      <w:pPr>
        <w:ind w:left="180" w:right="620"/>
        <w:spacing w:after="0" w:line="259" w:lineRule="auto"/>
        <w:rPr>
          <w:sz w:val="20"/>
          <w:szCs w:val="20"/>
          <w:color w:val="auto"/>
        </w:rPr>
      </w:pPr>
      <w:r>
        <w:rPr>
          <w:rFonts w:ascii="Arial" w:cs="Arial" w:eastAsia="Arial" w:hAnsi="Arial"/>
          <w:sz w:val="15"/>
          <w:szCs w:val="15"/>
          <w:color w:val="auto"/>
        </w:rPr>
        <w:t>The governance and sustainability committee has from time to time engaged director search firms to assist it in identifying and evaluating potential board candidates. The governance and sustainability committee did not take any action by written consent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88265</wp:posOffset>
            </wp:positionV>
            <wp:extent cx="69138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00"/>
          </w:cols>
          <w:pgMar w:left="320" w:top="480" w:right="5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677545</wp:posOffset>
            </wp:positionV>
            <wp:extent cx="6913880" cy="336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47535" cy="389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4753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Board Effectiveness and Evaluation</w:t>
      </w:r>
    </w:p>
    <w:p>
      <w:pPr>
        <w:spacing w:after="0" w:line="346" w:lineRule="exact"/>
        <w:rPr>
          <w:sz w:val="20"/>
          <w:szCs w:val="20"/>
          <w:color w:val="auto"/>
        </w:rPr>
      </w:pPr>
    </w:p>
    <w:p>
      <w:pPr>
        <w:ind w:left="180"/>
        <w:spacing w:after="0" w:line="259" w:lineRule="auto"/>
        <w:rPr>
          <w:sz w:val="20"/>
          <w:szCs w:val="20"/>
          <w:color w:val="auto"/>
        </w:rPr>
      </w:pPr>
      <w:r>
        <w:rPr>
          <w:rFonts w:ascii="Arial" w:cs="Arial" w:eastAsia="Arial" w:hAnsi="Arial"/>
          <w:sz w:val="15"/>
          <w:szCs w:val="15"/>
          <w:color w:val="auto"/>
        </w:rPr>
        <w:t>Our board of directors is committed to performing effectively for the benefit of the Company and its shareholders at both the board and committee level. Each year, the governance and sustainability committee oversees the board and committee evaluation process and determines the format and framework for the process.</w:t>
      </w:r>
    </w:p>
    <w:p>
      <w:pPr>
        <w:spacing w:after="0" w:line="26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Annual Evaluation Process with an Independent Consultant</w:t>
      </w:r>
    </w:p>
    <w:p>
      <w:pPr>
        <w:spacing w:after="0" w:line="120" w:lineRule="exact"/>
        <w:rPr>
          <w:sz w:val="20"/>
          <w:szCs w:val="20"/>
          <w:color w:val="auto"/>
        </w:rPr>
      </w:pPr>
    </w:p>
    <w:p>
      <w:pPr>
        <w:ind w:left="180" w:right="180"/>
        <w:spacing w:after="0" w:line="241" w:lineRule="auto"/>
        <w:rPr>
          <w:sz w:val="20"/>
          <w:szCs w:val="20"/>
          <w:color w:val="auto"/>
        </w:rPr>
      </w:pPr>
      <w:r>
        <w:rPr>
          <w:rFonts w:ascii="Arial" w:cs="Arial" w:eastAsia="Arial" w:hAnsi="Arial"/>
          <w:sz w:val="15"/>
          <w:szCs w:val="15"/>
          <w:color w:val="auto"/>
        </w:rPr>
        <w:t>The governance and sustainability committee engages a third-party consultant, experienced in corporate governance matters, to assist with the board and committee evaluation process. The purpose of the annual evaluation process is to ensure that the board continues to operate at a high level, with an opportunity for self-reflection and improvement.</w:t>
      </w:r>
    </w:p>
    <w:p>
      <w:pPr>
        <w:spacing w:after="0" w:line="107" w:lineRule="exact"/>
        <w:rPr>
          <w:sz w:val="20"/>
          <w:szCs w:val="20"/>
          <w:color w:val="auto"/>
        </w:rPr>
      </w:pPr>
    </w:p>
    <w:p>
      <w:pPr>
        <w:ind w:left="180" w:right="80"/>
        <w:spacing w:after="0" w:line="227" w:lineRule="auto"/>
        <w:rPr>
          <w:sz w:val="20"/>
          <w:szCs w:val="20"/>
          <w:color w:val="auto"/>
        </w:rPr>
      </w:pPr>
      <w:r>
        <w:rPr>
          <w:rFonts w:ascii="Arial" w:cs="Arial" w:eastAsia="Arial" w:hAnsi="Arial"/>
          <w:sz w:val="15"/>
          <w:szCs w:val="15"/>
          <w:color w:val="auto"/>
        </w:rPr>
        <w:t>Each year, directors are interviewed by the independent third party, and give specific feedback addressing various topics of focus that are determined in advance. Among other items, topics have included board effectiveness, corporate strategy, individual contributions, committee functioning, as well as suggestions to enhance the efficiency and productivity of the board in general. Individual director effectiveness is also included. Directors respond to questions designed to elicit this information, and the independent third party synthesizes the results and comments received during such interviews. These findings are then presented by the independent third party and the chair of the governance and sustainability committee to the full governance and sustainability committee. The chair of the governance and sustainability committee then presents the findings with the full board, followed by a review and discussion. The chair of the governance and sustainability committee also provides any committee findings to each committee chair, which are used to facilitate discussion during the committee assessments that also occur annually. The independent third party also provides feedback to each of the individual directors regarding individual director effectiveness. The board believes this facilitated process provides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91440</wp:posOffset>
            </wp:positionV>
            <wp:extent cx="69138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Compensation Discussion and Analysis</w:t>
      </w:r>
    </w:p>
    <w:p>
      <w:pPr>
        <w:spacing w:after="0" w:line="33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Table of Contents</w:t>
      </w:r>
    </w:p>
    <w:p>
      <w:pPr>
        <w:spacing w:after="0" w:line="24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600" w:type="dxa"/>
            <w:vAlign w:val="bottom"/>
            <w:gridSpan w:val="32"/>
          </w:tcPr>
          <w:p>
            <w:pPr>
              <w:spacing w:after="0"/>
              <w:rPr>
                <w:sz w:val="20"/>
                <w:szCs w:val="20"/>
                <w:color w:val="auto"/>
              </w:rPr>
            </w:pPr>
            <w:r>
              <w:rPr>
                <w:rFonts w:ascii="Arial" w:cs="Arial" w:eastAsia="Arial" w:hAnsi="Arial"/>
                <w:sz w:val="16"/>
                <w:szCs w:val="16"/>
                <w:color w:val="0000EE"/>
              </w:rPr>
              <w:t>Background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32</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Executive Summary</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32</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478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w w:val="99"/>
              </w:rPr>
              <w:t>2023 Results Reflect Challenging Environment for Staffing Services</w:t>
            </w:r>
          </w:p>
        </w:tc>
        <w:tc>
          <w:tcPr>
            <w:tcW w:w="600" w:type="dxa"/>
            <w:vAlign w:val="bottom"/>
            <w:gridSpan w:val="5"/>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32</w:t>
            </w:r>
          </w:p>
        </w:tc>
      </w:tr>
      <w:tr>
        <w:trPr>
          <w:trHeight w:val="220"/>
        </w:trPr>
        <w:tc>
          <w:tcPr>
            <w:tcW w:w="220" w:type="dxa"/>
            <w:vAlign w:val="bottom"/>
          </w:tcPr>
          <w:p>
            <w:pPr>
              <w:spacing w:after="0"/>
              <w:rPr>
                <w:sz w:val="19"/>
                <w:szCs w:val="19"/>
                <w:color w:val="auto"/>
              </w:rPr>
            </w:pPr>
          </w:p>
        </w:tc>
        <w:tc>
          <w:tcPr>
            <w:tcW w:w="166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8"/>
              </w:rPr>
              <w:t>Key Committee Actions</w:t>
            </w:r>
          </w:p>
        </w:tc>
        <w:tc>
          <w:tcPr>
            <w:tcW w:w="3720" w:type="dxa"/>
            <w:vAlign w:val="bottom"/>
            <w:gridSpan w:val="21"/>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32</w:t>
            </w:r>
          </w:p>
        </w:tc>
      </w:tr>
      <w:tr>
        <w:trPr>
          <w:trHeight w:val="220"/>
        </w:trPr>
        <w:tc>
          <w:tcPr>
            <w:tcW w:w="220" w:type="dxa"/>
            <w:vAlign w:val="bottom"/>
          </w:tcPr>
          <w:p>
            <w:pPr>
              <w:spacing w:after="0"/>
              <w:rPr>
                <w:sz w:val="19"/>
                <w:szCs w:val="19"/>
                <w:color w:val="auto"/>
              </w:rPr>
            </w:pPr>
          </w:p>
        </w:tc>
        <w:tc>
          <w:tcPr>
            <w:tcW w:w="458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w w:val="98"/>
              </w:rPr>
              <w:t>Short-Term and Long-Term Performance Compensation for 2023</w:t>
            </w:r>
          </w:p>
        </w:tc>
        <w:tc>
          <w:tcPr>
            <w:tcW w:w="800" w:type="dxa"/>
            <w:vAlign w:val="bottom"/>
            <w:gridSpan w:val="6"/>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33</w:t>
            </w:r>
          </w:p>
        </w:tc>
      </w:tr>
      <w:tr>
        <w:trPr>
          <w:trHeight w:val="220"/>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Calculation of Financial Metrics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35</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538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w w:val="99"/>
              </w:rPr>
              <w:t>CEO Compensation was Below Target, Aligned with Company Performance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36</w:t>
            </w:r>
          </w:p>
        </w:tc>
      </w:tr>
      <w:tr>
        <w:trPr>
          <w:trHeight w:val="220"/>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Key Compensation Practices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37</w:t>
            </w:r>
          </w:p>
        </w:tc>
      </w:tr>
      <w:tr>
        <w:trPr>
          <w:trHeight w:val="193"/>
        </w:trPr>
        <w:tc>
          <w:tcPr>
            <w:tcW w:w="220" w:type="dxa"/>
            <w:vAlign w:val="bottom"/>
            <w:tcBorders>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ManpowerGroup Compensation Principles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38</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Say on Pay Vote</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39</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Shareholder Engagement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39</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Compensation Elements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40</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Target Total Compensation</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42</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580" w:type="dxa"/>
            <w:vAlign w:val="bottom"/>
            <w:tcBorders>
              <w:bottom w:val="single" w:sz="8" w:color="0000EE"/>
            </w:tcBorders>
            <w:gridSpan w:val="31"/>
          </w:tcPr>
          <w:p>
            <w:pPr>
              <w:spacing w:after="0" w:line="154" w:lineRule="exact"/>
              <w:rPr>
                <w:sz w:val="20"/>
                <w:szCs w:val="20"/>
                <w:color w:val="auto"/>
              </w:rPr>
            </w:pPr>
            <w:r>
              <w:rPr>
                <w:rFonts w:ascii="Arial" w:cs="Arial" w:eastAsia="Arial" w:hAnsi="Arial"/>
                <w:sz w:val="16"/>
                <w:szCs w:val="16"/>
                <w:color w:val="0000EE"/>
                <w:w w:val="99"/>
              </w:rPr>
              <w:t>Market Positioning: 2023 Target Compensation in the Competitive Marketplace</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43</w:t>
            </w:r>
          </w:p>
        </w:tc>
      </w:tr>
      <w:tr>
        <w:trPr>
          <w:trHeight w:val="220"/>
        </w:trPr>
        <w:tc>
          <w:tcPr>
            <w:tcW w:w="220" w:type="dxa"/>
            <w:vAlign w:val="bottom"/>
          </w:tcPr>
          <w:p>
            <w:pPr>
              <w:spacing w:after="0"/>
              <w:rPr>
                <w:sz w:val="19"/>
                <w:szCs w:val="19"/>
                <w:color w:val="auto"/>
              </w:rPr>
            </w:pPr>
          </w:p>
        </w:tc>
        <w:tc>
          <w:tcPr>
            <w:tcW w:w="8940" w:type="dxa"/>
            <w:vAlign w:val="bottom"/>
            <w:gridSpan w:val="35"/>
          </w:tcPr>
          <w:p>
            <w:pPr>
              <w:spacing w:after="0"/>
              <w:rPr>
                <w:sz w:val="20"/>
                <w:szCs w:val="20"/>
                <w:color w:val="auto"/>
              </w:rPr>
            </w:pPr>
            <w:r>
              <w:rPr>
                <w:rFonts w:ascii="Arial" w:cs="Arial" w:eastAsia="Arial" w:hAnsi="Arial"/>
                <w:sz w:val="16"/>
                <w:szCs w:val="16"/>
                <w:color w:val="0000EE"/>
              </w:rPr>
              <w:t>How We Determine the Competitive Market: Challenges in Identifying a Relevant Peer Group</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r>
      <w:tr>
        <w:trPr>
          <w:trHeight w:val="220"/>
        </w:trPr>
        <w:tc>
          <w:tcPr>
            <w:tcW w:w="22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6"/>
                <w:szCs w:val="16"/>
                <w:color w:val="0000EE"/>
                <w:w w:val="99"/>
              </w:rPr>
              <w:t>The 2023 Peer Group</w:t>
            </w:r>
          </w:p>
        </w:tc>
        <w:tc>
          <w:tcPr>
            <w:tcW w:w="3820" w:type="dxa"/>
            <w:vAlign w:val="bottom"/>
            <w:tcBorders>
              <w:top w:val="single" w:sz="8" w:color="0000EE"/>
            </w:tcBorders>
            <w:gridSpan w:val="23"/>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r>
      <w:tr>
        <w:trPr>
          <w:trHeight w:val="220"/>
        </w:trPr>
        <w:tc>
          <w:tcPr>
            <w:tcW w:w="220" w:type="dxa"/>
            <w:vAlign w:val="bottom"/>
          </w:tcPr>
          <w:p>
            <w:pPr>
              <w:spacing w:after="0"/>
              <w:rPr>
                <w:sz w:val="19"/>
                <w:szCs w:val="19"/>
                <w:color w:val="auto"/>
              </w:rPr>
            </w:pPr>
          </w:p>
        </w:tc>
        <w:tc>
          <w:tcPr>
            <w:tcW w:w="172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w w:val="99"/>
              </w:rPr>
              <w:t>Additional Data Sources</w:t>
            </w:r>
          </w:p>
        </w:tc>
        <w:tc>
          <w:tcPr>
            <w:tcW w:w="3660" w:type="dxa"/>
            <w:vAlign w:val="bottom"/>
            <w:gridSpan w:val="19"/>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r>
      <w:tr>
        <w:trPr>
          <w:trHeight w:val="220"/>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Assessing Individual Factors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r>
      <w:tr>
        <w:trPr>
          <w:trHeight w:val="193"/>
        </w:trPr>
        <w:tc>
          <w:tcPr>
            <w:tcW w:w="220" w:type="dxa"/>
            <w:vAlign w:val="bottom"/>
            <w:tcBorders>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The Committee’s Decision-Making Process</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44</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Components of the 2023 Executive Compensation Program — Base Salary</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44</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6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60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9160" w:type="dxa"/>
            <w:vAlign w:val="bottom"/>
            <w:gridSpan w:val="36"/>
          </w:tcPr>
          <w:p>
            <w:pPr>
              <w:spacing w:after="0" w:line="154" w:lineRule="exact"/>
              <w:rPr>
                <w:sz w:val="20"/>
                <w:szCs w:val="20"/>
                <w:color w:val="auto"/>
              </w:rPr>
            </w:pPr>
            <w:r>
              <w:rPr>
                <w:rFonts w:ascii="Arial" w:cs="Arial" w:eastAsia="Arial" w:hAnsi="Arial"/>
                <w:sz w:val="16"/>
                <w:szCs w:val="16"/>
                <w:color w:val="0000EE"/>
              </w:rPr>
              <w:t>Components of the 2023 Executive Compensation Program — Annual Cash Incentives</w:t>
            </w: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44</w:t>
            </w:r>
          </w:p>
        </w:tc>
      </w:tr>
      <w:tr>
        <w:trPr>
          <w:trHeight w:val="220"/>
        </w:trPr>
        <w:tc>
          <w:tcPr>
            <w:tcW w:w="220" w:type="dxa"/>
            <w:vAlign w:val="bottom"/>
            <w:tcBorders>
              <w:top w:val="single" w:sz="8" w:color="0000EE"/>
            </w:tcBorders>
          </w:tcPr>
          <w:p>
            <w:pPr>
              <w:spacing w:after="0"/>
              <w:rPr>
                <w:sz w:val="19"/>
                <w:szCs w:val="19"/>
                <w:color w:val="auto"/>
              </w:rPr>
            </w:pPr>
          </w:p>
        </w:tc>
        <w:tc>
          <w:tcPr>
            <w:tcW w:w="5380" w:type="dxa"/>
            <w:vAlign w:val="bottom"/>
            <w:tcBorders>
              <w:top w:val="single" w:sz="8" w:color="0000EE"/>
            </w:tcBorders>
            <w:gridSpan w:val="31"/>
          </w:tcPr>
          <w:p>
            <w:pPr>
              <w:spacing w:after="0"/>
              <w:rPr>
                <w:sz w:val="20"/>
                <w:szCs w:val="20"/>
                <w:color w:val="auto"/>
              </w:rPr>
            </w:pPr>
            <w:r>
              <w:rPr>
                <w:rFonts w:ascii="Arial" w:cs="Arial" w:eastAsia="Arial" w:hAnsi="Arial"/>
                <w:sz w:val="16"/>
                <w:szCs w:val="16"/>
                <w:color w:val="0000EE"/>
              </w:rPr>
              <w:t>How EPS, ROIC and Revenue are Calculated</w:t>
            </w:r>
          </w:p>
        </w:tc>
        <w:tc>
          <w:tcPr>
            <w:tcW w:w="4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44</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358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9"/>
              </w:rPr>
              <w:t>Why the Company Uses EPS, ROIC and Revenue</w:t>
            </w:r>
          </w:p>
        </w:tc>
        <w:tc>
          <w:tcPr>
            <w:tcW w:w="1800" w:type="dxa"/>
            <w:vAlign w:val="bottom"/>
            <w:gridSpan w:val="9"/>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r>
      <w:tr>
        <w:trPr>
          <w:trHeight w:val="220"/>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The 2023 EPS, ROIC and Revenue Goals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r>
      <w:tr>
        <w:trPr>
          <w:trHeight w:val="220"/>
        </w:trPr>
        <w:tc>
          <w:tcPr>
            <w:tcW w:w="220" w:type="dxa"/>
            <w:vAlign w:val="bottom"/>
          </w:tcPr>
          <w:p>
            <w:pPr>
              <w:spacing w:after="0"/>
              <w:rPr>
                <w:sz w:val="19"/>
                <w:szCs w:val="19"/>
                <w:color w:val="auto"/>
              </w:rPr>
            </w:pPr>
          </w:p>
        </w:tc>
        <w:tc>
          <w:tcPr>
            <w:tcW w:w="2980" w:type="dxa"/>
            <w:vAlign w:val="bottom"/>
            <w:tcBorders>
              <w:top w:val="single" w:sz="8" w:color="0000EE"/>
            </w:tcBorders>
            <w:gridSpan w:val="20"/>
          </w:tcPr>
          <w:p>
            <w:pPr>
              <w:spacing w:after="0"/>
              <w:rPr>
                <w:sz w:val="20"/>
                <w:szCs w:val="20"/>
                <w:color w:val="auto"/>
              </w:rPr>
            </w:pPr>
            <w:r>
              <w:rPr>
                <w:rFonts w:ascii="Arial" w:cs="Arial" w:eastAsia="Arial" w:hAnsi="Arial"/>
                <w:sz w:val="16"/>
                <w:szCs w:val="16"/>
                <w:color w:val="0000EE"/>
              </w:rPr>
              <w:t>Annual Incentive Award Opportunities</w:t>
            </w:r>
          </w:p>
        </w:tc>
        <w:tc>
          <w:tcPr>
            <w:tcW w:w="2400" w:type="dxa"/>
            <w:vAlign w:val="bottom"/>
            <w:gridSpan w:val="11"/>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2023 Strategic KPIs and ESG Goals and Annual Incentive Award Payouts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r>
      <w:tr>
        <w:trPr>
          <w:trHeight w:val="220"/>
        </w:trPr>
        <w:tc>
          <w:tcPr>
            <w:tcW w:w="220" w:type="dxa"/>
            <w:vAlign w:val="bottom"/>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5020" w:type="dxa"/>
            <w:vAlign w:val="bottom"/>
            <w:tcBorders>
              <w:top w:val="single" w:sz="8" w:color="0000EE"/>
            </w:tcBorders>
            <w:gridSpan w:val="28"/>
          </w:tcPr>
          <w:p>
            <w:pPr>
              <w:spacing w:after="0"/>
              <w:rPr>
                <w:sz w:val="20"/>
                <w:szCs w:val="20"/>
                <w:color w:val="auto"/>
              </w:rPr>
            </w:pPr>
            <w:r>
              <w:rPr>
                <w:rFonts w:ascii="Arial" w:cs="Arial" w:eastAsia="Arial" w:hAnsi="Arial"/>
                <w:sz w:val="16"/>
                <w:szCs w:val="16"/>
                <w:color w:val="0000EE"/>
              </w:rPr>
              <w:t>Jonas Prising</w:t>
            </w:r>
          </w:p>
        </w:tc>
        <w:tc>
          <w:tcPr>
            <w:tcW w:w="16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7"/>
              </w:rPr>
              <w:t>John T. McGinnis</w:t>
            </w:r>
          </w:p>
        </w:tc>
        <w:tc>
          <w:tcPr>
            <w:tcW w:w="3940" w:type="dxa"/>
            <w:vAlign w:val="bottom"/>
            <w:gridSpan w:val="26"/>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47</w:t>
            </w:r>
          </w:p>
        </w:tc>
      </w:tr>
      <w:tr>
        <w:trPr>
          <w:trHeight w:val="220"/>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Michelle S. Nettles</w:t>
            </w:r>
          </w:p>
        </w:tc>
        <w:tc>
          <w:tcPr>
            <w:tcW w:w="3840" w:type="dxa"/>
            <w:vAlign w:val="bottom"/>
            <w:gridSpan w:val="24"/>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47</w:t>
            </w:r>
          </w:p>
        </w:tc>
      </w:tr>
      <w:tr>
        <w:trPr>
          <w:trHeight w:val="220"/>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80" w:type="dxa"/>
            <w:vAlign w:val="bottom"/>
            <w:gridSpan w:val="30"/>
          </w:tcPr>
          <w:p>
            <w:pPr>
              <w:spacing w:after="0"/>
              <w:rPr>
                <w:sz w:val="20"/>
                <w:szCs w:val="20"/>
                <w:color w:val="auto"/>
              </w:rPr>
            </w:pPr>
            <w:r>
              <w:rPr>
                <w:rFonts w:ascii="Arial" w:cs="Arial" w:eastAsia="Arial" w:hAnsi="Arial"/>
                <w:sz w:val="16"/>
                <w:szCs w:val="16"/>
                <w:color w:val="0000EE"/>
              </w:rPr>
              <w:t>Richard Buchband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48</w:t>
            </w:r>
          </w:p>
        </w:tc>
      </w:tr>
      <w:tr>
        <w:trPr>
          <w:trHeight w:val="193"/>
        </w:trPr>
        <w:tc>
          <w:tcPr>
            <w:tcW w:w="22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44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0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6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9160" w:type="dxa"/>
            <w:vAlign w:val="bottom"/>
            <w:gridSpan w:val="36"/>
          </w:tcPr>
          <w:p>
            <w:pPr>
              <w:spacing w:after="0" w:line="154" w:lineRule="exact"/>
              <w:rPr>
                <w:sz w:val="20"/>
                <w:szCs w:val="20"/>
                <w:color w:val="auto"/>
              </w:rPr>
            </w:pPr>
            <w:r>
              <w:rPr>
                <w:rFonts w:ascii="Arial" w:cs="Arial" w:eastAsia="Arial" w:hAnsi="Arial"/>
                <w:sz w:val="16"/>
                <w:szCs w:val="16"/>
                <w:color w:val="0000EE"/>
              </w:rPr>
              <w:t>Components of the 2023 Executive Compensation Program — Long-Term Incentives</w:t>
            </w: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48</w:t>
            </w:r>
          </w:p>
        </w:tc>
      </w:tr>
      <w:tr>
        <w:trPr>
          <w:trHeight w:val="220"/>
        </w:trPr>
        <w:tc>
          <w:tcPr>
            <w:tcW w:w="220" w:type="dxa"/>
            <w:vAlign w:val="bottom"/>
            <w:tcBorders>
              <w:top w:val="single" w:sz="8" w:color="0000EE"/>
            </w:tcBorders>
          </w:tcPr>
          <w:p>
            <w:pPr>
              <w:spacing w:after="0"/>
              <w:rPr>
                <w:sz w:val="19"/>
                <w:szCs w:val="19"/>
                <w:color w:val="auto"/>
              </w:rPr>
            </w:pPr>
          </w:p>
        </w:tc>
        <w:tc>
          <w:tcPr>
            <w:tcW w:w="180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6"/>
                <w:szCs w:val="16"/>
                <w:color w:val="0000EE"/>
                <w:w w:val="99"/>
              </w:rPr>
              <w:t>Performance Share Units</w:t>
            </w:r>
          </w:p>
        </w:tc>
        <w:tc>
          <w:tcPr>
            <w:tcW w:w="3580" w:type="dxa"/>
            <w:vAlign w:val="bottom"/>
            <w:tcBorders>
              <w:top w:val="single" w:sz="8" w:color="0000EE"/>
            </w:tcBorders>
            <w:gridSpan w:val="18"/>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48</w:t>
            </w:r>
          </w:p>
        </w:tc>
      </w:tr>
      <w:tr>
        <w:trPr>
          <w:trHeight w:val="220"/>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w w:val="99"/>
              </w:rPr>
              <w:t>How the Company Sets EBITA Margin Percent Goals</w:t>
            </w:r>
          </w:p>
        </w:tc>
        <w:tc>
          <w:tcPr>
            <w:tcW w:w="1400" w:type="dxa"/>
            <w:vAlign w:val="bottom"/>
            <w:gridSpan w:val="7"/>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49</w:t>
            </w:r>
          </w:p>
        </w:tc>
      </w:tr>
      <w:tr>
        <w:trPr>
          <w:trHeight w:val="220"/>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w w:val="99"/>
              </w:rPr>
              <w:t>Shares Earned under the 2021 Annual PSU Grant</w:t>
            </w:r>
          </w:p>
        </w:tc>
        <w:tc>
          <w:tcPr>
            <w:tcW w:w="1620" w:type="dxa"/>
            <w:vAlign w:val="bottom"/>
            <w:gridSpan w:val="8"/>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50</w:t>
            </w:r>
          </w:p>
        </w:tc>
      </w:tr>
      <w:tr>
        <w:trPr>
          <w:trHeight w:val="220"/>
        </w:trPr>
        <w:tc>
          <w:tcPr>
            <w:tcW w:w="220" w:type="dxa"/>
            <w:vAlign w:val="bottom"/>
          </w:tcPr>
          <w:p>
            <w:pPr>
              <w:spacing w:after="0"/>
              <w:rPr>
                <w:sz w:val="19"/>
                <w:szCs w:val="19"/>
                <w:color w:val="auto"/>
              </w:rPr>
            </w:pPr>
          </w:p>
        </w:tc>
        <w:tc>
          <w:tcPr>
            <w:tcW w:w="498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w w:val="99"/>
              </w:rPr>
              <w:t>Changes in 2024 - Introduction of Relative Total Share Return Modifier</w:t>
            </w:r>
          </w:p>
        </w:tc>
        <w:tc>
          <w:tcPr>
            <w:tcW w:w="400" w:type="dxa"/>
            <w:vAlign w:val="bottom"/>
            <w:gridSpan w:val="4"/>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50</w:t>
            </w:r>
          </w:p>
        </w:tc>
      </w:tr>
      <w:tr>
        <w:trPr>
          <w:trHeight w:val="220"/>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Restricted Stock Units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50</w:t>
            </w:r>
          </w:p>
        </w:tc>
      </w:tr>
      <w:tr>
        <w:trPr>
          <w:trHeight w:val="180"/>
        </w:trPr>
        <w:tc>
          <w:tcPr>
            <w:tcW w:w="220" w:type="dxa"/>
            <w:vAlign w:val="bottom"/>
            <w:tcBorders>
              <w:bottom w:val="single" w:sz="8" w:color="5D89B4"/>
            </w:tcBorders>
          </w:tcPr>
          <w:p>
            <w:pPr>
              <w:spacing w:after="0"/>
              <w:rPr>
                <w:sz w:val="15"/>
                <w:szCs w:val="15"/>
                <w:color w:val="auto"/>
              </w:rPr>
            </w:pPr>
          </w:p>
        </w:tc>
        <w:tc>
          <w:tcPr>
            <w:tcW w:w="200" w:type="dxa"/>
            <w:vAlign w:val="bottom"/>
            <w:tcBorders>
              <w:top w:val="single" w:sz="8" w:color="0000EE"/>
              <w:bottom w:val="single" w:sz="8" w:color="5D89B4"/>
            </w:tcBorders>
          </w:tcPr>
          <w:p>
            <w:pPr>
              <w:spacing w:after="0"/>
              <w:rPr>
                <w:sz w:val="15"/>
                <w:szCs w:val="15"/>
                <w:color w:val="auto"/>
              </w:rPr>
            </w:pPr>
          </w:p>
        </w:tc>
        <w:tc>
          <w:tcPr>
            <w:tcW w:w="440" w:type="dxa"/>
            <w:vAlign w:val="bottom"/>
            <w:tcBorders>
              <w:top w:val="single" w:sz="8" w:color="0000EE"/>
              <w:bottom w:val="single" w:sz="8" w:color="5D89B4"/>
            </w:tcBorders>
          </w:tcPr>
          <w:p>
            <w:pPr>
              <w:spacing w:after="0"/>
              <w:rPr>
                <w:sz w:val="15"/>
                <w:szCs w:val="15"/>
                <w:color w:val="auto"/>
              </w:rPr>
            </w:pPr>
          </w:p>
        </w:tc>
        <w:tc>
          <w:tcPr>
            <w:tcW w:w="320" w:type="dxa"/>
            <w:vAlign w:val="bottom"/>
            <w:tcBorders>
              <w:top w:val="single" w:sz="8" w:color="0000EE"/>
              <w:bottom w:val="single" w:sz="8" w:color="5D89B4"/>
            </w:tcBorders>
          </w:tcPr>
          <w:p>
            <w:pPr>
              <w:spacing w:after="0"/>
              <w:rPr>
                <w:sz w:val="15"/>
                <w:szCs w:val="15"/>
                <w:color w:val="auto"/>
              </w:rPr>
            </w:pPr>
          </w:p>
        </w:tc>
        <w:tc>
          <w:tcPr>
            <w:tcW w:w="200" w:type="dxa"/>
            <w:vAlign w:val="bottom"/>
            <w:tcBorders>
              <w:top w:val="single" w:sz="8" w:color="0000EE"/>
              <w:bottom w:val="single" w:sz="8" w:color="5D89B4"/>
            </w:tcBorders>
          </w:tcPr>
          <w:p>
            <w:pPr>
              <w:spacing w:after="0"/>
              <w:rPr>
                <w:sz w:val="15"/>
                <w:szCs w:val="15"/>
                <w:color w:val="auto"/>
              </w:rPr>
            </w:pPr>
          </w:p>
        </w:tc>
        <w:tc>
          <w:tcPr>
            <w:tcW w:w="280" w:type="dxa"/>
            <w:vAlign w:val="bottom"/>
            <w:tcBorders>
              <w:top w:val="single" w:sz="8" w:color="0000EE"/>
              <w:bottom w:val="single" w:sz="8" w:color="5D89B4"/>
            </w:tcBorders>
          </w:tcPr>
          <w:p>
            <w:pPr>
              <w:spacing w:after="0"/>
              <w:rPr>
                <w:sz w:val="15"/>
                <w:szCs w:val="15"/>
                <w:color w:val="auto"/>
              </w:rPr>
            </w:pPr>
          </w:p>
        </w:tc>
        <w:tc>
          <w:tcPr>
            <w:tcW w:w="80" w:type="dxa"/>
            <w:vAlign w:val="bottom"/>
            <w:tcBorders>
              <w:top w:val="single" w:sz="8" w:color="0000EE"/>
              <w:bottom w:val="single" w:sz="8" w:color="5D89B4"/>
            </w:tcBorders>
          </w:tcPr>
          <w:p>
            <w:pPr>
              <w:spacing w:after="0"/>
              <w:rPr>
                <w:sz w:val="15"/>
                <w:szCs w:val="15"/>
                <w:color w:val="auto"/>
              </w:rPr>
            </w:pPr>
          </w:p>
        </w:tc>
        <w:tc>
          <w:tcPr>
            <w:tcW w:w="20" w:type="dxa"/>
            <w:vAlign w:val="bottom"/>
            <w:tcBorders>
              <w:top w:val="single" w:sz="8" w:color="0000EE"/>
              <w:bottom w:val="single" w:sz="8" w:color="5D89B4"/>
            </w:tcBorders>
          </w:tcPr>
          <w:p>
            <w:pPr>
              <w:spacing w:after="0"/>
              <w:rPr>
                <w:sz w:val="15"/>
                <w:szCs w:val="15"/>
                <w:color w:val="auto"/>
              </w:rPr>
            </w:pPr>
          </w:p>
        </w:tc>
        <w:tc>
          <w:tcPr>
            <w:tcW w:w="20" w:type="dxa"/>
            <w:vAlign w:val="bottom"/>
            <w:tcBorders>
              <w:top w:val="single" w:sz="8" w:color="0000EE"/>
              <w:bottom w:val="single" w:sz="8" w:color="5D89B4"/>
            </w:tcBorders>
          </w:tcPr>
          <w:p>
            <w:pPr>
              <w:spacing w:after="0"/>
              <w:rPr>
                <w:sz w:val="15"/>
                <w:szCs w:val="15"/>
                <w:color w:val="auto"/>
              </w:rPr>
            </w:pPr>
          </w:p>
        </w:tc>
        <w:tc>
          <w:tcPr>
            <w:tcW w:w="40" w:type="dxa"/>
            <w:vAlign w:val="bottom"/>
            <w:tcBorders>
              <w:bottom w:val="single" w:sz="8" w:color="5D89B4"/>
            </w:tcBorders>
          </w:tcPr>
          <w:p>
            <w:pPr>
              <w:spacing w:after="0"/>
              <w:rPr>
                <w:sz w:val="15"/>
                <w:szCs w:val="15"/>
                <w:color w:val="auto"/>
              </w:rPr>
            </w:pPr>
          </w:p>
        </w:tc>
        <w:tc>
          <w:tcPr>
            <w:tcW w:w="6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40" w:type="dxa"/>
            <w:vAlign w:val="bottom"/>
            <w:tcBorders>
              <w:bottom w:val="single" w:sz="8" w:color="5D89B4"/>
            </w:tcBorders>
          </w:tcPr>
          <w:p>
            <w:pPr>
              <w:spacing w:after="0"/>
              <w:rPr>
                <w:sz w:val="15"/>
                <w:szCs w:val="15"/>
                <w:color w:val="auto"/>
              </w:rPr>
            </w:pPr>
          </w:p>
        </w:tc>
        <w:tc>
          <w:tcPr>
            <w:tcW w:w="80" w:type="dxa"/>
            <w:vAlign w:val="bottom"/>
            <w:tcBorders>
              <w:bottom w:val="single" w:sz="8" w:color="5D89B4"/>
            </w:tcBorders>
          </w:tcPr>
          <w:p>
            <w:pPr>
              <w:spacing w:after="0"/>
              <w:rPr>
                <w:sz w:val="15"/>
                <w:szCs w:val="15"/>
                <w:color w:val="auto"/>
              </w:rPr>
            </w:pPr>
          </w:p>
        </w:tc>
        <w:tc>
          <w:tcPr>
            <w:tcW w:w="22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160" w:type="dxa"/>
            <w:vAlign w:val="bottom"/>
            <w:tcBorders>
              <w:bottom w:val="single" w:sz="8" w:color="5D89B4"/>
            </w:tcBorders>
          </w:tcPr>
          <w:p>
            <w:pPr>
              <w:spacing w:after="0"/>
              <w:rPr>
                <w:sz w:val="15"/>
                <w:szCs w:val="15"/>
                <w:color w:val="auto"/>
              </w:rPr>
            </w:pPr>
          </w:p>
        </w:tc>
        <w:tc>
          <w:tcPr>
            <w:tcW w:w="46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6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260" w:type="dxa"/>
            <w:vAlign w:val="bottom"/>
            <w:tcBorders>
              <w:bottom w:val="single" w:sz="8" w:color="5D89B4"/>
            </w:tcBorders>
          </w:tcPr>
          <w:p>
            <w:pPr>
              <w:spacing w:after="0"/>
              <w:rPr>
                <w:sz w:val="15"/>
                <w:szCs w:val="15"/>
                <w:color w:val="auto"/>
              </w:rPr>
            </w:pPr>
          </w:p>
        </w:tc>
        <w:tc>
          <w:tcPr>
            <w:tcW w:w="340" w:type="dxa"/>
            <w:vAlign w:val="bottom"/>
            <w:tcBorders>
              <w:bottom w:val="single" w:sz="8" w:color="5D89B4"/>
            </w:tcBorders>
          </w:tcPr>
          <w:p>
            <w:pPr>
              <w:spacing w:after="0"/>
              <w:rPr>
                <w:sz w:val="15"/>
                <w:szCs w:val="15"/>
                <w:color w:val="auto"/>
              </w:rPr>
            </w:pPr>
          </w:p>
        </w:tc>
        <w:tc>
          <w:tcPr>
            <w:tcW w:w="180" w:type="dxa"/>
            <w:vAlign w:val="bottom"/>
            <w:tcBorders>
              <w:bottom w:val="single" w:sz="8" w:color="5D89B4"/>
            </w:tcBorders>
          </w:tcPr>
          <w:p>
            <w:pPr>
              <w:spacing w:after="0"/>
              <w:rPr>
                <w:sz w:val="15"/>
                <w:szCs w:val="15"/>
                <w:color w:val="auto"/>
              </w:rPr>
            </w:pPr>
          </w:p>
        </w:tc>
        <w:tc>
          <w:tcPr>
            <w:tcW w:w="220" w:type="dxa"/>
            <w:vAlign w:val="bottom"/>
            <w:tcBorders>
              <w:bottom w:val="single" w:sz="8" w:color="5D89B4"/>
            </w:tcBorders>
          </w:tcPr>
          <w:p>
            <w:pPr>
              <w:spacing w:after="0"/>
              <w:rPr>
                <w:sz w:val="15"/>
                <w:szCs w:val="15"/>
                <w:color w:val="auto"/>
              </w:rPr>
            </w:pPr>
          </w:p>
        </w:tc>
        <w:tc>
          <w:tcPr>
            <w:tcW w:w="600" w:type="dxa"/>
            <w:vAlign w:val="bottom"/>
            <w:tcBorders>
              <w:bottom w:val="single" w:sz="8" w:color="5D89B4"/>
            </w:tcBorders>
          </w:tcPr>
          <w:p>
            <w:pPr>
              <w:spacing w:after="0"/>
              <w:rPr>
                <w:sz w:val="15"/>
                <w:szCs w:val="15"/>
                <w:color w:val="auto"/>
              </w:rPr>
            </w:pPr>
          </w:p>
        </w:tc>
        <w:tc>
          <w:tcPr>
            <w:tcW w:w="200" w:type="dxa"/>
            <w:vAlign w:val="bottom"/>
            <w:tcBorders>
              <w:bottom w:val="single" w:sz="8" w:color="5D89B4"/>
            </w:tcBorders>
          </w:tcPr>
          <w:p>
            <w:pPr>
              <w:spacing w:after="0"/>
              <w:rPr>
                <w:sz w:val="15"/>
                <w:szCs w:val="15"/>
                <w:color w:val="auto"/>
              </w:rPr>
            </w:pPr>
          </w:p>
        </w:tc>
        <w:tc>
          <w:tcPr>
            <w:tcW w:w="20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400" w:type="dxa"/>
            <w:vAlign w:val="bottom"/>
            <w:tcBorders>
              <w:bottom w:val="single" w:sz="8" w:color="5D89B4"/>
            </w:tcBorders>
          </w:tcPr>
          <w:p>
            <w:pPr>
              <w:spacing w:after="0"/>
              <w:rPr>
                <w:sz w:val="15"/>
                <w:szCs w:val="15"/>
                <w:color w:val="auto"/>
              </w:rPr>
            </w:pPr>
          </w:p>
        </w:tc>
        <w:tc>
          <w:tcPr>
            <w:tcW w:w="160" w:type="dxa"/>
            <w:vAlign w:val="bottom"/>
            <w:tcBorders>
              <w:bottom w:val="single" w:sz="8" w:color="5D89B4"/>
            </w:tcBorders>
          </w:tcPr>
          <w:p>
            <w:pPr>
              <w:spacing w:after="0"/>
              <w:rPr>
                <w:sz w:val="15"/>
                <w:szCs w:val="15"/>
                <w:color w:val="auto"/>
              </w:rPr>
            </w:pPr>
          </w:p>
        </w:tc>
        <w:tc>
          <w:tcPr>
            <w:tcW w:w="640" w:type="dxa"/>
            <w:vAlign w:val="bottom"/>
            <w:tcBorders>
              <w:bottom w:val="single" w:sz="8" w:color="5D89B4"/>
            </w:tcBorders>
          </w:tcPr>
          <w:p>
            <w:pPr>
              <w:spacing w:after="0"/>
              <w:rPr>
                <w:sz w:val="15"/>
                <w:szCs w:val="15"/>
                <w:color w:val="auto"/>
              </w:rPr>
            </w:pPr>
          </w:p>
        </w:tc>
        <w:tc>
          <w:tcPr>
            <w:tcW w:w="2360" w:type="dxa"/>
            <w:vAlign w:val="bottom"/>
            <w:tcBorders>
              <w:bottom w:val="single" w:sz="8" w:color="5D89B4"/>
            </w:tcBorders>
          </w:tcPr>
          <w:p>
            <w:pPr>
              <w:spacing w:after="0"/>
              <w:rPr>
                <w:sz w:val="15"/>
                <w:szCs w:val="15"/>
                <w:color w:val="auto"/>
              </w:rPr>
            </w:pPr>
          </w:p>
        </w:tc>
        <w:tc>
          <w:tcPr>
            <w:tcW w:w="1720" w:type="dxa"/>
            <w:vAlign w:val="bottom"/>
            <w:tcBorders>
              <w:bottom w:val="single" w:sz="8" w:color="5D89B4"/>
            </w:tcBorders>
          </w:tcPr>
          <w:p>
            <w:pPr>
              <w:spacing w:after="0"/>
              <w:rPr>
                <w:sz w:val="15"/>
                <w:szCs w:val="15"/>
                <w:color w:val="auto"/>
              </w:rPr>
            </w:pPr>
          </w:p>
        </w:tc>
      </w:tr>
      <w:tr>
        <w:trPr>
          <w:trHeight w:val="386"/>
        </w:trPr>
        <w:tc>
          <w:tcPr>
            <w:tcW w:w="5580" w:type="dxa"/>
            <w:vAlign w:val="bottom"/>
            <w:gridSpan w:val="31"/>
          </w:tcPr>
          <w:p>
            <w:pPr>
              <w:ind w:left="5340"/>
              <w:spacing w:after="0"/>
              <w:rPr>
                <w:sz w:val="20"/>
                <w:szCs w:val="20"/>
                <w:color w:val="auto"/>
              </w:rPr>
            </w:pPr>
            <w:r>
              <w:rPr>
                <w:rFonts w:ascii="Arial" w:cs="Arial" w:eastAsia="Arial" w:hAnsi="Arial"/>
                <w:sz w:val="20"/>
                <w:szCs w:val="20"/>
                <w:b w:val="1"/>
                <w:bCs w:val="1"/>
                <w:color w:val="5D89B4"/>
                <w:w w:val="98"/>
              </w:rPr>
              <w:t>30</w:t>
            </w:r>
          </w:p>
        </w:tc>
        <w:tc>
          <w:tcPr>
            <w:tcW w:w="20" w:type="dxa"/>
            <w:vAlign w:val="bottom"/>
          </w:tcPr>
          <w:p>
            <w:pPr>
              <w:spacing w:after="0"/>
              <w:rPr>
                <w:sz w:val="24"/>
                <w:szCs w:val="24"/>
                <w:color w:val="auto"/>
              </w:rPr>
            </w:pPr>
          </w:p>
        </w:tc>
        <w:tc>
          <w:tcPr>
            <w:tcW w:w="3560" w:type="dxa"/>
            <w:vAlign w:val="bottom"/>
            <w:gridSpan w:val="4"/>
          </w:tcPr>
          <w:p>
            <w:pPr>
              <w:ind w:left="400"/>
              <w:spacing w:after="0"/>
              <w:rPr>
                <w:sz w:val="20"/>
                <w:szCs w:val="20"/>
                <w:color w:val="auto"/>
              </w:rPr>
            </w:pPr>
            <w:r>
              <w:rPr>
                <w:rFonts w:ascii="Arial" w:cs="Arial" w:eastAsia="Arial" w:hAnsi="Arial"/>
                <w:sz w:val="16"/>
                <w:szCs w:val="16"/>
                <w:b w:val="1"/>
                <w:bCs w:val="1"/>
                <w:color w:val="BFBFBF"/>
              </w:rPr>
              <w:t>2024 Proxy Statement</w:t>
            </w: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-154940</wp:posOffset>
            </wp:positionV>
            <wp:extent cx="932180" cy="169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40" w:type="dxa"/>
            <w:vAlign w:val="bottom"/>
            <w:gridSpan w:val="2"/>
          </w:tcPr>
          <w:p>
            <w:pPr>
              <w:jc w:val="right"/>
              <w:spacing w:after="0"/>
              <w:rPr>
                <w:sz w:val="20"/>
                <w:szCs w:val="20"/>
                <w:color w:val="auto"/>
              </w:rPr>
            </w:pPr>
            <w:r>
              <w:rPr>
                <w:rFonts w:ascii="Arial" w:cs="Arial" w:eastAsia="Arial" w:hAnsi="Arial"/>
                <w:sz w:val="16"/>
                <w:szCs w:val="16"/>
                <w:b w:val="1"/>
                <w:bCs w:val="1"/>
                <w:color w:val="5D89B4"/>
              </w:rPr>
              <w:t>COMPENSATION DISCUSSION AND ANALYSIS</w:t>
            </w:r>
          </w:p>
        </w:tc>
      </w:tr>
      <w:tr>
        <w:trPr>
          <w:trHeight w:val="287"/>
        </w:trPr>
        <w:tc>
          <w:tcPr>
            <w:tcW w:w="5780" w:type="dxa"/>
            <w:vAlign w:val="bottom"/>
            <w:gridSpan w:val="9"/>
          </w:tcPr>
          <w:p>
            <w:pPr>
              <w:spacing w:after="0"/>
              <w:rPr>
                <w:sz w:val="20"/>
                <w:szCs w:val="20"/>
                <w:color w:val="auto"/>
              </w:rPr>
            </w:pPr>
            <w:r>
              <w:rPr>
                <w:rFonts w:ascii="Arial" w:cs="Arial" w:eastAsia="Arial" w:hAnsi="Arial"/>
                <w:sz w:val="16"/>
                <w:szCs w:val="16"/>
                <w:color w:val="0000EE"/>
              </w:rPr>
              <w:t>Career Shares, Retirement and Deferred Compensation Plans</w:t>
            </w: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80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20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10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302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780" w:type="dxa"/>
            <w:vAlign w:val="bottom"/>
            <w:gridSpan w:val="9"/>
          </w:tcPr>
          <w:p>
            <w:pPr>
              <w:spacing w:after="0" w:line="154" w:lineRule="exact"/>
              <w:rPr>
                <w:sz w:val="20"/>
                <w:szCs w:val="20"/>
                <w:color w:val="auto"/>
              </w:rPr>
            </w:pPr>
            <w:r>
              <w:rPr>
                <w:rFonts w:ascii="Arial" w:cs="Arial" w:eastAsia="Arial" w:hAnsi="Arial"/>
                <w:sz w:val="16"/>
                <w:szCs w:val="16"/>
                <w:color w:val="0000EE"/>
              </w:rPr>
              <w:t>Other Benefits</w:t>
            </w:r>
          </w:p>
        </w:tc>
        <w:tc>
          <w:tcPr>
            <w:tcW w:w="3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51</w:t>
            </w:r>
          </w:p>
        </w:tc>
      </w:tr>
      <w:tr>
        <w:trPr>
          <w:trHeight w:val="20"/>
        </w:trPr>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5560" w:type="dxa"/>
            <w:vAlign w:val="bottom"/>
            <w:gridSpan w:val="8"/>
          </w:tcPr>
          <w:p>
            <w:pPr>
              <w:spacing w:after="0"/>
              <w:rPr>
                <w:sz w:val="20"/>
                <w:szCs w:val="20"/>
                <w:color w:val="auto"/>
              </w:rPr>
            </w:pPr>
            <w:r>
              <w:rPr>
                <w:rFonts w:ascii="Arial" w:cs="Arial" w:eastAsia="Arial" w:hAnsi="Arial"/>
                <w:sz w:val="16"/>
                <w:szCs w:val="16"/>
                <w:color w:val="0000EE"/>
              </w:rPr>
              <w:t>Severance Agreements</w:t>
            </w:r>
          </w:p>
        </w:tc>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51</w:t>
            </w:r>
          </w:p>
        </w:tc>
      </w:tr>
      <w:tr>
        <w:trPr>
          <w:trHeight w:val="193"/>
        </w:trPr>
        <w:tc>
          <w:tcPr>
            <w:tcW w:w="220" w:type="dxa"/>
            <w:vAlign w:val="bottom"/>
            <w:tcBorders>
              <w:bottom w:val="single" w:sz="8" w:color="5D89B4"/>
            </w:tcBorders>
          </w:tcPr>
          <w:p>
            <w:pPr>
              <w:spacing w:after="0"/>
              <w:rPr>
                <w:sz w:val="16"/>
                <w:szCs w:val="16"/>
                <w:color w:val="auto"/>
              </w:rPr>
            </w:pPr>
          </w:p>
        </w:tc>
        <w:tc>
          <w:tcPr>
            <w:tcW w:w="80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220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10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302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4600" w:type="dxa"/>
            <w:vAlign w:val="bottom"/>
            <w:tcBorders>
              <w:bottom w:val="single" w:sz="8" w:color="0000EE"/>
            </w:tcBorders>
            <w:gridSpan w:val="7"/>
          </w:tcPr>
          <w:p>
            <w:pPr>
              <w:spacing w:after="0" w:line="154" w:lineRule="exact"/>
              <w:rPr>
                <w:sz w:val="20"/>
                <w:szCs w:val="20"/>
                <w:color w:val="auto"/>
              </w:rPr>
            </w:pPr>
            <w:r>
              <w:rPr>
                <w:rFonts w:ascii="Arial" w:cs="Arial" w:eastAsia="Arial" w:hAnsi="Arial"/>
                <w:sz w:val="16"/>
                <w:szCs w:val="16"/>
                <w:color w:val="0000EE"/>
                <w:w w:val="99"/>
              </w:rPr>
              <w:t>Governance Features of Our Executive Compensation Programs</w:t>
            </w:r>
          </w:p>
        </w:tc>
        <w:tc>
          <w:tcPr>
            <w:tcW w:w="118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51</w:t>
            </w:r>
          </w:p>
        </w:tc>
      </w:tr>
      <w:tr>
        <w:trPr>
          <w:trHeight w:val="220"/>
        </w:trPr>
        <w:tc>
          <w:tcPr>
            <w:tcW w:w="220" w:type="dxa"/>
            <w:vAlign w:val="bottom"/>
          </w:tcPr>
          <w:p>
            <w:pPr>
              <w:spacing w:after="0"/>
              <w:rPr>
                <w:sz w:val="19"/>
                <w:szCs w:val="19"/>
                <w:color w:val="auto"/>
              </w:rPr>
            </w:pPr>
          </w:p>
        </w:tc>
        <w:tc>
          <w:tcPr>
            <w:tcW w:w="5560" w:type="dxa"/>
            <w:vAlign w:val="bottom"/>
            <w:gridSpan w:val="8"/>
          </w:tcPr>
          <w:p>
            <w:pPr>
              <w:spacing w:after="0"/>
              <w:rPr>
                <w:sz w:val="20"/>
                <w:szCs w:val="20"/>
                <w:color w:val="auto"/>
              </w:rPr>
            </w:pPr>
            <w:r>
              <w:rPr>
                <w:rFonts w:ascii="Arial" w:cs="Arial" w:eastAsia="Arial" w:hAnsi="Arial"/>
                <w:sz w:val="16"/>
                <w:szCs w:val="16"/>
                <w:color w:val="0000EE"/>
              </w:rPr>
              <w:t>We Have Stock Ownership Guidelines for Executive Officers</w:t>
            </w:r>
          </w:p>
        </w:tc>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51</w:t>
            </w:r>
          </w:p>
        </w:tc>
      </w:tr>
      <w:tr>
        <w:trPr>
          <w:trHeight w:val="220"/>
        </w:trPr>
        <w:tc>
          <w:tcPr>
            <w:tcW w:w="220" w:type="dxa"/>
            <w:vAlign w:val="bottom"/>
          </w:tcPr>
          <w:p>
            <w:pPr>
              <w:spacing w:after="0"/>
              <w:rPr>
                <w:sz w:val="19"/>
                <w:szCs w:val="19"/>
                <w:color w:val="auto"/>
              </w:rPr>
            </w:pPr>
          </w:p>
        </w:tc>
        <w:tc>
          <w:tcPr>
            <w:tcW w:w="2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8"/>
              </w:rPr>
              <w:t>We Have a Clawback Policy</w:t>
            </w:r>
          </w:p>
        </w:tc>
        <w:tc>
          <w:tcPr>
            <w:tcW w:w="2260" w:type="dxa"/>
            <w:vAlign w:val="bottom"/>
            <w:tcBorders>
              <w:top w:val="single" w:sz="8" w:color="0000EE"/>
            </w:tcBorders>
            <w:gridSpan w:val="2"/>
          </w:tcPr>
          <w:p>
            <w:pPr>
              <w:spacing w:after="0"/>
              <w:rPr>
                <w:sz w:val="19"/>
                <w:szCs w:val="19"/>
                <w:color w:val="auto"/>
              </w:rPr>
            </w:pPr>
          </w:p>
        </w:tc>
        <w:tc>
          <w:tcPr>
            <w:tcW w:w="1300" w:type="dxa"/>
            <w:vAlign w:val="bottom"/>
            <w:gridSpan w:val="3"/>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51</w:t>
            </w:r>
          </w:p>
        </w:tc>
      </w:tr>
      <w:tr>
        <w:trPr>
          <w:trHeight w:val="220"/>
        </w:trPr>
        <w:tc>
          <w:tcPr>
            <w:tcW w:w="220" w:type="dxa"/>
            <w:vAlign w:val="bottom"/>
          </w:tcPr>
          <w:p>
            <w:pPr>
              <w:spacing w:after="0"/>
              <w:rPr>
                <w:sz w:val="19"/>
                <w:szCs w:val="19"/>
                <w:color w:val="auto"/>
              </w:rPr>
            </w:pPr>
          </w:p>
        </w:tc>
        <w:tc>
          <w:tcPr>
            <w:tcW w:w="8940" w:type="dxa"/>
            <w:vAlign w:val="bottom"/>
            <w:gridSpan w:val="10"/>
          </w:tcPr>
          <w:p>
            <w:pPr>
              <w:spacing w:after="0"/>
              <w:rPr>
                <w:sz w:val="20"/>
                <w:szCs w:val="20"/>
                <w:color w:val="auto"/>
              </w:rPr>
            </w:pPr>
            <w:r>
              <w:rPr>
                <w:rFonts w:ascii="Arial" w:cs="Arial" w:eastAsia="Arial" w:hAnsi="Arial"/>
                <w:sz w:val="16"/>
                <w:szCs w:val="16"/>
                <w:color w:val="0000EE"/>
              </w:rPr>
              <w:t>Our Insider Trading Policy Prohibits Hedging, Pledging and Short-Sale Transactions</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5D89B4"/>
              </w:rPr>
              <w:t>52</w:t>
            </w:r>
          </w:p>
        </w:tc>
      </w:tr>
      <w:tr>
        <w:trPr>
          <w:trHeight w:val="193"/>
        </w:trPr>
        <w:tc>
          <w:tcPr>
            <w:tcW w:w="220" w:type="dxa"/>
            <w:vAlign w:val="bottom"/>
            <w:tcBorders>
              <w:bottom w:val="single" w:sz="8" w:color="5D89B4"/>
            </w:tcBorders>
          </w:tcPr>
          <w:p>
            <w:pPr>
              <w:spacing w:after="0"/>
              <w:rPr>
                <w:sz w:val="16"/>
                <w:szCs w:val="16"/>
                <w:color w:val="auto"/>
              </w:rPr>
            </w:pPr>
          </w:p>
        </w:tc>
        <w:tc>
          <w:tcPr>
            <w:tcW w:w="80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2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100" w:type="dxa"/>
            <w:vAlign w:val="bottom"/>
            <w:tcBorders>
              <w:top w:val="single" w:sz="8" w:color="0000EE"/>
              <w:bottom w:val="single" w:sz="8" w:color="5D89B4"/>
            </w:tcBorders>
          </w:tcPr>
          <w:p>
            <w:pPr>
              <w:spacing w:after="0"/>
              <w:rPr>
                <w:sz w:val="16"/>
                <w:szCs w:val="16"/>
                <w:color w:val="auto"/>
              </w:rPr>
            </w:pPr>
          </w:p>
        </w:tc>
        <w:tc>
          <w:tcPr>
            <w:tcW w:w="360" w:type="dxa"/>
            <w:vAlign w:val="bottom"/>
            <w:tcBorders>
              <w:top w:val="single" w:sz="8" w:color="0000EE"/>
              <w:bottom w:val="single" w:sz="8" w:color="5D89B4"/>
            </w:tcBorders>
          </w:tcPr>
          <w:p>
            <w:pPr>
              <w:spacing w:after="0"/>
              <w:rPr>
                <w:sz w:val="16"/>
                <w:szCs w:val="16"/>
                <w:color w:val="auto"/>
              </w:rPr>
            </w:pPr>
          </w:p>
        </w:tc>
        <w:tc>
          <w:tcPr>
            <w:tcW w:w="302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5780" w:type="dxa"/>
            <w:vAlign w:val="bottom"/>
            <w:gridSpan w:val="9"/>
          </w:tcPr>
          <w:p>
            <w:pPr>
              <w:spacing w:after="0" w:line="154" w:lineRule="exact"/>
              <w:rPr>
                <w:sz w:val="20"/>
                <w:szCs w:val="20"/>
                <w:color w:val="auto"/>
              </w:rPr>
            </w:pPr>
            <w:r>
              <w:rPr>
                <w:rFonts w:ascii="Arial" w:cs="Arial" w:eastAsia="Arial" w:hAnsi="Arial"/>
                <w:sz w:val="16"/>
                <w:szCs w:val="16"/>
                <w:color w:val="0000EE"/>
              </w:rPr>
              <w:t>Material Tax Implications of the Executive Compensation Program</w:t>
            </w:r>
          </w:p>
        </w:tc>
        <w:tc>
          <w:tcPr>
            <w:tcW w:w="3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52</w:t>
            </w:r>
          </w:p>
        </w:tc>
      </w:tr>
      <w:tr>
        <w:trPr>
          <w:trHeight w:val="193"/>
        </w:trPr>
        <w:tc>
          <w:tcPr>
            <w:tcW w:w="220" w:type="dxa"/>
            <w:vAlign w:val="bottom"/>
            <w:tcBorders>
              <w:top w:val="single" w:sz="8" w:color="0000EE"/>
              <w:bottom w:val="single" w:sz="8" w:color="5D89B4"/>
            </w:tcBorders>
          </w:tcPr>
          <w:p>
            <w:pPr>
              <w:spacing w:after="0"/>
              <w:rPr>
                <w:sz w:val="16"/>
                <w:szCs w:val="16"/>
                <w:color w:val="auto"/>
              </w:rPr>
            </w:pPr>
          </w:p>
        </w:tc>
        <w:tc>
          <w:tcPr>
            <w:tcW w:w="80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20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1100" w:type="dxa"/>
            <w:vAlign w:val="bottom"/>
            <w:tcBorders>
              <w:bottom w:val="single" w:sz="8" w:color="5D89B4"/>
            </w:tcBorders>
          </w:tcPr>
          <w:p>
            <w:pPr>
              <w:spacing w:after="0"/>
              <w:rPr>
                <w:sz w:val="16"/>
                <w:szCs w:val="16"/>
                <w:color w:val="auto"/>
              </w:rPr>
            </w:pPr>
          </w:p>
        </w:tc>
        <w:tc>
          <w:tcPr>
            <w:tcW w:w="360" w:type="dxa"/>
            <w:vAlign w:val="bottom"/>
            <w:tcBorders>
              <w:bottom w:val="single" w:sz="8" w:color="5D89B4"/>
            </w:tcBorders>
          </w:tcPr>
          <w:p>
            <w:pPr>
              <w:spacing w:after="0"/>
              <w:rPr>
                <w:sz w:val="16"/>
                <w:szCs w:val="16"/>
                <w:color w:val="auto"/>
              </w:rPr>
            </w:pPr>
          </w:p>
        </w:tc>
        <w:tc>
          <w:tcPr>
            <w:tcW w:w="3020" w:type="dxa"/>
            <w:vAlign w:val="bottom"/>
            <w:tcBorders>
              <w:bottom w:val="single" w:sz="8" w:color="5D89B4"/>
            </w:tcBorders>
          </w:tcPr>
          <w:p>
            <w:pPr>
              <w:spacing w:after="0"/>
              <w:rPr>
                <w:sz w:val="16"/>
                <w:szCs w:val="16"/>
                <w:color w:val="auto"/>
              </w:rPr>
            </w:pPr>
          </w:p>
        </w:tc>
        <w:tc>
          <w:tcPr>
            <w:tcW w:w="1720" w:type="dxa"/>
            <w:vAlign w:val="bottom"/>
            <w:tcBorders>
              <w:bottom w:val="single" w:sz="8" w:color="5D89B4"/>
            </w:tcBorders>
          </w:tcPr>
          <w:p>
            <w:pPr>
              <w:spacing w:after="0"/>
              <w:rPr>
                <w:sz w:val="16"/>
                <w:szCs w:val="16"/>
                <w:color w:val="auto"/>
              </w:rPr>
            </w:pPr>
          </w:p>
        </w:tc>
      </w:tr>
      <w:tr>
        <w:trPr>
          <w:trHeight w:val="153"/>
        </w:trPr>
        <w:tc>
          <w:tcPr>
            <w:tcW w:w="220" w:type="dxa"/>
            <w:vAlign w:val="bottom"/>
            <w:tcBorders>
              <w:bottom w:val="single" w:sz="8" w:color="5D89B4"/>
            </w:tcBorders>
          </w:tcPr>
          <w:p>
            <w:pPr>
              <w:spacing w:after="0"/>
              <w:rPr>
                <w:sz w:val="13"/>
                <w:szCs w:val="13"/>
                <w:color w:val="auto"/>
              </w:rPr>
            </w:pPr>
          </w:p>
        </w:tc>
        <w:tc>
          <w:tcPr>
            <w:tcW w:w="800" w:type="dxa"/>
            <w:vAlign w:val="bottom"/>
            <w:tcBorders>
              <w:bottom w:val="single" w:sz="8" w:color="5D89B4"/>
            </w:tcBorders>
          </w:tcPr>
          <w:p>
            <w:pPr>
              <w:spacing w:after="0"/>
              <w:rPr>
                <w:sz w:val="13"/>
                <w:szCs w:val="13"/>
                <w:color w:val="auto"/>
              </w:rPr>
            </w:pPr>
          </w:p>
        </w:tc>
        <w:tc>
          <w:tcPr>
            <w:tcW w:w="860" w:type="dxa"/>
            <w:vAlign w:val="bottom"/>
            <w:tcBorders>
              <w:bottom w:val="single" w:sz="8" w:color="5D89B4"/>
            </w:tcBorders>
          </w:tcPr>
          <w:p>
            <w:pPr>
              <w:spacing w:after="0"/>
              <w:rPr>
                <w:sz w:val="13"/>
                <w:szCs w:val="13"/>
                <w:color w:val="auto"/>
              </w:rPr>
            </w:pPr>
          </w:p>
        </w:tc>
        <w:tc>
          <w:tcPr>
            <w:tcW w:w="340" w:type="dxa"/>
            <w:vAlign w:val="bottom"/>
            <w:tcBorders>
              <w:bottom w:val="single" w:sz="8" w:color="5D89B4"/>
            </w:tcBorders>
          </w:tcPr>
          <w:p>
            <w:pPr>
              <w:spacing w:after="0"/>
              <w:rPr>
                <w:sz w:val="13"/>
                <w:szCs w:val="13"/>
                <w:color w:val="auto"/>
              </w:rPr>
            </w:pPr>
          </w:p>
        </w:tc>
        <w:tc>
          <w:tcPr>
            <w:tcW w:w="2200" w:type="dxa"/>
            <w:vAlign w:val="bottom"/>
            <w:tcBorders>
              <w:bottom w:val="single" w:sz="8" w:color="5D89B4"/>
            </w:tcBorders>
          </w:tcPr>
          <w:p>
            <w:pPr>
              <w:spacing w:after="0"/>
              <w:rPr>
                <w:sz w:val="13"/>
                <w:szCs w:val="13"/>
                <w:color w:val="auto"/>
              </w:rPr>
            </w:pPr>
          </w:p>
        </w:tc>
        <w:tc>
          <w:tcPr>
            <w:tcW w:w="60" w:type="dxa"/>
            <w:vAlign w:val="bottom"/>
            <w:tcBorders>
              <w:bottom w:val="single" w:sz="8" w:color="5D89B4"/>
            </w:tcBorders>
          </w:tcPr>
          <w:p>
            <w:pPr>
              <w:spacing w:after="0"/>
              <w:rPr>
                <w:sz w:val="13"/>
                <w:szCs w:val="13"/>
                <w:color w:val="auto"/>
              </w:rPr>
            </w:pPr>
          </w:p>
        </w:tc>
        <w:tc>
          <w:tcPr>
            <w:tcW w:w="120" w:type="dxa"/>
            <w:vAlign w:val="bottom"/>
            <w:tcBorders>
              <w:bottom w:val="single" w:sz="8" w:color="5D89B4"/>
            </w:tcBorders>
          </w:tcPr>
          <w:p>
            <w:pPr>
              <w:spacing w:after="0"/>
              <w:rPr>
                <w:sz w:val="13"/>
                <w:szCs w:val="13"/>
                <w:color w:val="auto"/>
              </w:rPr>
            </w:pPr>
          </w:p>
        </w:tc>
        <w:tc>
          <w:tcPr>
            <w:tcW w:w="80" w:type="dxa"/>
            <w:vAlign w:val="bottom"/>
            <w:tcBorders>
              <w:bottom w:val="single" w:sz="8" w:color="5D89B4"/>
            </w:tcBorders>
          </w:tcPr>
          <w:p>
            <w:pPr>
              <w:spacing w:after="0"/>
              <w:rPr>
                <w:sz w:val="13"/>
                <w:szCs w:val="13"/>
                <w:color w:val="auto"/>
              </w:rPr>
            </w:pPr>
          </w:p>
        </w:tc>
        <w:tc>
          <w:tcPr>
            <w:tcW w:w="1100" w:type="dxa"/>
            <w:vAlign w:val="bottom"/>
            <w:tcBorders>
              <w:bottom w:val="single" w:sz="8" w:color="5D89B4"/>
            </w:tcBorders>
          </w:tcPr>
          <w:p>
            <w:pPr>
              <w:spacing w:after="0"/>
              <w:rPr>
                <w:sz w:val="13"/>
                <w:szCs w:val="13"/>
                <w:color w:val="auto"/>
              </w:rPr>
            </w:pPr>
          </w:p>
        </w:tc>
        <w:tc>
          <w:tcPr>
            <w:tcW w:w="360" w:type="dxa"/>
            <w:vAlign w:val="bottom"/>
            <w:tcBorders>
              <w:bottom w:val="single" w:sz="8" w:color="5D89B4"/>
            </w:tcBorders>
          </w:tcPr>
          <w:p>
            <w:pPr>
              <w:spacing w:after="0"/>
              <w:rPr>
                <w:sz w:val="13"/>
                <w:szCs w:val="13"/>
                <w:color w:val="auto"/>
              </w:rPr>
            </w:pPr>
          </w:p>
        </w:tc>
        <w:tc>
          <w:tcPr>
            <w:tcW w:w="3020" w:type="dxa"/>
            <w:vAlign w:val="bottom"/>
            <w:tcBorders>
              <w:bottom w:val="single" w:sz="8" w:color="5D89B4"/>
            </w:tcBorders>
          </w:tcPr>
          <w:p>
            <w:pPr>
              <w:spacing w:after="0"/>
              <w:rPr>
                <w:sz w:val="13"/>
                <w:szCs w:val="13"/>
                <w:color w:val="auto"/>
              </w:rPr>
            </w:pPr>
          </w:p>
        </w:tc>
        <w:tc>
          <w:tcPr>
            <w:tcW w:w="1720" w:type="dxa"/>
            <w:vAlign w:val="bottom"/>
            <w:tcBorders>
              <w:bottom w:val="single" w:sz="8" w:color="5D89B4"/>
            </w:tcBorders>
          </w:tcPr>
          <w:p>
            <w:pPr>
              <w:spacing w:after="0"/>
              <w:rPr>
                <w:sz w:val="13"/>
                <w:szCs w:val="13"/>
                <w:color w:val="auto"/>
              </w:rPr>
            </w:pPr>
          </w:p>
        </w:tc>
      </w:tr>
      <w:tr>
        <w:trPr>
          <w:trHeight w:val="399"/>
        </w:trPr>
        <w:tc>
          <w:tcPr>
            <w:tcW w:w="5780" w:type="dxa"/>
            <w:vAlign w:val="bottom"/>
            <w:gridSpan w:val="9"/>
          </w:tcPr>
          <w:p>
            <w:pPr>
              <w:ind w:left="5340"/>
              <w:spacing w:after="0"/>
              <w:rPr>
                <w:sz w:val="20"/>
                <w:szCs w:val="20"/>
                <w:color w:val="auto"/>
              </w:rPr>
            </w:pPr>
            <w:r>
              <w:rPr>
                <w:rFonts w:ascii="Arial" w:cs="Arial" w:eastAsia="Arial" w:hAnsi="Arial"/>
                <w:sz w:val="20"/>
                <w:szCs w:val="20"/>
                <w:b w:val="1"/>
                <w:bCs w:val="1"/>
                <w:color w:val="5D89B4"/>
              </w:rPr>
              <w:t>31</w:t>
            </w:r>
          </w:p>
        </w:tc>
        <w:tc>
          <w:tcPr>
            <w:tcW w:w="3380" w:type="dxa"/>
            <w:vAlign w:val="bottom"/>
            <w:gridSpan w:val="2"/>
          </w:tcPr>
          <w:p>
            <w:pPr>
              <w:ind w:left="220"/>
              <w:spacing w:after="0"/>
              <w:rPr>
                <w:sz w:val="20"/>
                <w:szCs w:val="20"/>
                <w:color w:val="auto"/>
              </w:rPr>
            </w:pPr>
            <w:r>
              <w:rPr>
                <w:rFonts w:ascii="Arial" w:cs="Arial" w:eastAsia="Arial" w:hAnsi="Arial"/>
                <w:sz w:val="16"/>
                <w:szCs w:val="16"/>
                <w:b w:val="1"/>
                <w:bCs w:val="1"/>
                <w:color w:val="BFBFBF"/>
              </w:rPr>
              <w:t>2024 Proxy Statement</w:t>
            </w: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-154940</wp:posOffset>
            </wp:positionV>
            <wp:extent cx="932180" cy="169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101600</wp:posOffset>
            </wp:positionV>
            <wp:extent cx="6917690" cy="6248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17690" cy="624840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5D89B4"/>
        </w:rPr>
        <w:t>Background</w:t>
      </w:r>
    </w:p>
    <w:p>
      <w:pPr>
        <w:spacing w:after="0" w:line="120" w:lineRule="exact"/>
        <w:rPr>
          <w:sz w:val="20"/>
          <w:szCs w:val="20"/>
          <w:color w:val="auto"/>
        </w:rPr>
      </w:pPr>
    </w:p>
    <w:p>
      <w:pPr>
        <w:jc w:val="both"/>
        <w:ind w:left="360" w:right="380"/>
        <w:spacing w:after="0" w:line="241" w:lineRule="auto"/>
        <w:rPr>
          <w:sz w:val="20"/>
          <w:szCs w:val="20"/>
          <w:color w:val="auto"/>
        </w:rPr>
      </w:pPr>
      <w:r>
        <w:rPr>
          <w:rFonts w:ascii="Arial" w:cs="Arial" w:eastAsia="Arial" w:hAnsi="Arial"/>
          <w:sz w:val="15"/>
          <w:szCs w:val="15"/>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w:t>
      </w: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274"/>
        </w:trPr>
        <w:tc>
          <w:tcPr>
            <w:tcW w:w="26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788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D89B4"/>
              </w:rPr>
              <w:t>TITLE</w:t>
            </w:r>
          </w:p>
        </w:tc>
      </w:tr>
      <w:tr>
        <w:trPr>
          <w:trHeight w:val="275"/>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7880" w:type="dxa"/>
            <w:vAlign w:val="bottom"/>
          </w:tcPr>
          <w:p>
            <w:pPr>
              <w:ind w:left="100"/>
              <w:spacing w:after="0"/>
              <w:rPr>
                <w:sz w:val="20"/>
                <w:szCs w:val="20"/>
                <w:color w:val="auto"/>
              </w:rPr>
            </w:pPr>
            <w:r>
              <w:rPr>
                <w:rFonts w:ascii="Arial" w:cs="Arial" w:eastAsia="Arial" w:hAnsi="Arial"/>
                <w:sz w:val="15"/>
                <w:szCs w:val="15"/>
                <w:color w:val="auto"/>
              </w:rPr>
              <w:t>Chairman and Chief Executive Officer</w:t>
            </w:r>
          </w:p>
        </w:tc>
      </w:tr>
      <w:tr>
        <w:trPr>
          <w:trHeight w:val="45"/>
        </w:trPr>
        <w:tc>
          <w:tcPr>
            <w:tcW w:w="2640" w:type="dxa"/>
            <w:vAlign w:val="bottom"/>
            <w:tcBorders>
              <w:bottom w:val="single" w:sz="8" w:color="5D89B4"/>
            </w:tcBorders>
          </w:tcPr>
          <w:p>
            <w:pPr>
              <w:spacing w:after="0"/>
              <w:rPr>
                <w:sz w:val="3"/>
                <w:szCs w:val="3"/>
                <w:color w:val="auto"/>
              </w:rPr>
            </w:pPr>
          </w:p>
        </w:tc>
        <w:tc>
          <w:tcPr>
            <w:tcW w:w="7880" w:type="dxa"/>
            <w:vAlign w:val="bottom"/>
            <w:tcBorders>
              <w:bottom w:val="single" w:sz="8" w:color="5D89B4"/>
            </w:tcBorders>
          </w:tcPr>
          <w:p>
            <w:pPr>
              <w:spacing w:after="0"/>
              <w:rPr>
                <w:sz w:val="3"/>
                <w:szCs w:val="3"/>
                <w:color w:val="auto"/>
              </w:rPr>
            </w:pPr>
          </w:p>
        </w:tc>
      </w:tr>
      <w:tr>
        <w:trPr>
          <w:trHeight w:val="255"/>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John T. McGinnis</w:t>
            </w:r>
          </w:p>
        </w:tc>
        <w:tc>
          <w:tcPr>
            <w:tcW w:w="7880" w:type="dxa"/>
            <w:vAlign w:val="bottom"/>
          </w:tcPr>
          <w:p>
            <w:pPr>
              <w:ind w:left="100"/>
              <w:spacing w:after="0"/>
              <w:rPr>
                <w:sz w:val="20"/>
                <w:szCs w:val="20"/>
                <w:color w:val="auto"/>
              </w:rPr>
            </w:pPr>
            <w:r>
              <w:rPr>
                <w:rFonts w:ascii="Arial" w:cs="Arial" w:eastAsia="Arial" w:hAnsi="Arial"/>
                <w:sz w:val="15"/>
                <w:szCs w:val="15"/>
                <w:color w:val="auto"/>
              </w:rPr>
              <w:t>Executive Vice President and Chief Financial Officer</w:t>
            </w:r>
          </w:p>
        </w:tc>
      </w:tr>
      <w:tr>
        <w:trPr>
          <w:trHeight w:val="45"/>
        </w:trPr>
        <w:tc>
          <w:tcPr>
            <w:tcW w:w="2640" w:type="dxa"/>
            <w:vAlign w:val="bottom"/>
            <w:tcBorders>
              <w:bottom w:val="single" w:sz="8" w:color="5D89B4"/>
            </w:tcBorders>
          </w:tcPr>
          <w:p>
            <w:pPr>
              <w:spacing w:after="0"/>
              <w:rPr>
                <w:sz w:val="3"/>
                <w:szCs w:val="3"/>
                <w:color w:val="auto"/>
              </w:rPr>
            </w:pPr>
          </w:p>
        </w:tc>
        <w:tc>
          <w:tcPr>
            <w:tcW w:w="7880" w:type="dxa"/>
            <w:vAlign w:val="bottom"/>
            <w:tcBorders>
              <w:bottom w:val="single" w:sz="8" w:color="5D89B4"/>
            </w:tcBorders>
          </w:tcPr>
          <w:p>
            <w:pPr>
              <w:spacing w:after="0"/>
              <w:rPr>
                <w:sz w:val="3"/>
                <w:szCs w:val="3"/>
                <w:color w:val="auto"/>
              </w:rPr>
            </w:pPr>
          </w:p>
        </w:tc>
      </w:tr>
      <w:tr>
        <w:trPr>
          <w:trHeight w:val="255"/>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Michelle S. Nettles</w:t>
            </w:r>
          </w:p>
        </w:tc>
        <w:tc>
          <w:tcPr>
            <w:tcW w:w="7880" w:type="dxa"/>
            <w:vAlign w:val="bottom"/>
          </w:tcPr>
          <w:p>
            <w:pPr>
              <w:ind w:left="100"/>
              <w:spacing w:after="0"/>
              <w:rPr>
                <w:sz w:val="20"/>
                <w:szCs w:val="20"/>
                <w:color w:val="auto"/>
              </w:rPr>
            </w:pPr>
            <w:r>
              <w:rPr>
                <w:rFonts w:ascii="Arial" w:cs="Arial" w:eastAsia="Arial" w:hAnsi="Arial"/>
                <w:sz w:val="15"/>
                <w:szCs w:val="15"/>
                <w:color w:val="auto"/>
              </w:rPr>
              <w:t>Executive Vice President and Chief People and Culture Officer</w:t>
            </w:r>
          </w:p>
        </w:tc>
      </w:tr>
      <w:tr>
        <w:trPr>
          <w:trHeight w:val="45"/>
        </w:trPr>
        <w:tc>
          <w:tcPr>
            <w:tcW w:w="2640" w:type="dxa"/>
            <w:vAlign w:val="bottom"/>
            <w:tcBorders>
              <w:bottom w:val="single" w:sz="8" w:color="5D89B4"/>
            </w:tcBorders>
          </w:tcPr>
          <w:p>
            <w:pPr>
              <w:spacing w:after="0"/>
              <w:rPr>
                <w:sz w:val="3"/>
                <w:szCs w:val="3"/>
                <w:color w:val="auto"/>
              </w:rPr>
            </w:pPr>
          </w:p>
        </w:tc>
        <w:tc>
          <w:tcPr>
            <w:tcW w:w="7880" w:type="dxa"/>
            <w:vAlign w:val="bottom"/>
            <w:tcBorders>
              <w:bottom w:val="single" w:sz="8" w:color="5D89B4"/>
            </w:tcBorders>
          </w:tcPr>
          <w:p>
            <w:pPr>
              <w:spacing w:after="0"/>
              <w:rPr>
                <w:sz w:val="3"/>
                <w:szCs w:val="3"/>
                <w:color w:val="auto"/>
              </w:rPr>
            </w:pPr>
          </w:p>
        </w:tc>
      </w:tr>
      <w:tr>
        <w:trPr>
          <w:trHeight w:val="255"/>
        </w:trPr>
        <w:tc>
          <w:tcPr>
            <w:tcW w:w="2640" w:type="dxa"/>
            <w:vAlign w:val="bottom"/>
          </w:tcPr>
          <w:p>
            <w:pPr>
              <w:ind w:left="80"/>
              <w:spacing w:after="0"/>
              <w:rPr>
                <w:sz w:val="20"/>
                <w:szCs w:val="20"/>
                <w:color w:val="auto"/>
              </w:rPr>
            </w:pPr>
            <w:r>
              <w:rPr>
                <w:rFonts w:ascii="Arial" w:cs="Arial" w:eastAsia="Arial" w:hAnsi="Arial"/>
                <w:sz w:val="16"/>
                <w:szCs w:val="16"/>
                <w:b w:val="1"/>
                <w:bCs w:val="1"/>
                <w:color w:val="auto"/>
              </w:rPr>
              <w:t>Richard Buchband</w:t>
            </w:r>
          </w:p>
        </w:tc>
        <w:tc>
          <w:tcPr>
            <w:tcW w:w="7880" w:type="dxa"/>
            <w:vAlign w:val="bottom"/>
          </w:tcPr>
          <w:p>
            <w:pPr>
              <w:ind w:left="100"/>
              <w:spacing w:after="0"/>
              <w:rPr>
                <w:sz w:val="20"/>
                <w:szCs w:val="20"/>
                <w:color w:val="auto"/>
              </w:rPr>
            </w:pPr>
            <w:r>
              <w:rPr>
                <w:rFonts w:ascii="Arial" w:cs="Arial" w:eastAsia="Arial" w:hAnsi="Arial"/>
                <w:sz w:val="15"/>
                <w:szCs w:val="15"/>
                <w:color w:val="auto"/>
              </w:rPr>
              <w:t>Senior Vice President, General Counsel and Secretary</w:t>
            </w:r>
          </w:p>
        </w:tc>
      </w:tr>
      <w:tr>
        <w:trPr>
          <w:trHeight w:val="45"/>
        </w:trPr>
        <w:tc>
          <w:tcPr>
            <w:tcW w:w="2640" w:type="dxa"/>
            <w:vAlign w:val="bottom"/>
            <w:tcBorders>
              <w:bottom w:val="single" w:sz="8" w:color="5D89B4"/>
            </w:tcBorders>
          </w:tcPr>
          <w:p>
            <w:pPr>
              <w:spacing w:after="0"/>
              <w:rPr>
                <w:sz w:val="3"/>
                <w:szCs w:val="3"/>
                <w:color w:val="auto"/>
              </w:rPr>
            </w:pPr>
          </w:p>
        </w:tc>
        <w:tc>
          <w:tcPr>
            <w:tcW w:w="7880" w:type="dxa"/>
            <w:vAlign w:val="bottom"/>
            <w:tcBorders>
              <w:bottom w:val="single" w:sz="8" w:color="5D89B4"/>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5D89B4"/>
        </w:rPr>
        <w:t>Executive Summary</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5D89B4"/>
        </w:rPr>
        <w:t>2023 Results Reflect Challenging Environment for Staffing Services</w:t>
      </w:r>
    </w:p>
    <w:p>
      <w:pPr>
        <w:spacing w:after="0" w:line="98" w:lineRule="exact"/>
        <w:rPr>
          <w:sz w:val="20"/>
          <w:szCs w:val="20"/>
          <w:color w:val="auto"/>
        </w:rPr>
      </w:pPr>
    </w:p>
    <w:p>
      <w:pPr>
        <w:ind w:left="360" w:right="100"/>
        <w:spacing w:after="0" w:line="230" w:lineRule="auto"/>
        <w:rPr>
          <w:sz w:val="20"/>
          <w:szCs w:val="20"/>
          <w:color w:val="auto"/>
        </w:rPr>
      </w:pPr>
      <w:r>
        <w:rPr>
          <w:rFonts w:ascii="Arial" w:cs="Arial" w:eastAsia="Arial" w:hAnsi="Arial"/>
          <w:sz w:val="15"/>
          <w:szCs w:val="15"/>
          <w:color w:val="auto"/>
        </w:rPr>
        <w:t>Our executive compensation programs are designed to reward performance, and our financial results for the year did not meet the levels anticipated by the People, Culture and Compensation Committee (the “Committee”) when performance targets were set in February 2023. While some of our regions and countries delivered strong performance, our largest operations in Southern Europe, Northern Europe and in the United States continued to be impacted by a decline in demand for staffing services over the course of 2023. The staffing services industry is highly sensitive to uncertainty and employer confidence involving the economic outlook. In a year marked by economic uncertainty, many employers, in particular large enterprise organizations, remained cautious, reducing their expenditures on flexible workforce services and non-critical investments, and postponing projects until greater clarity is available. This softening in demand had a negative impact on our industry, and our results, during 2023.</w:t>
      </w:r>
    </w:p>
    <w:p>
      <w:pPr>
        <w:spacing w:after="0" w:line="110" w:lineRule="exact"/>
        <w:rPr>
          <w:sz w:val="20"/>
          <w:szCs w:val="20"/>
          <w:color w:val="auto"/>
        </w:rPr>
      </w:pPr>
    </w:p>
    <w:p>
      <w:pPr>
        <w:ind w:left="360" w:right="80"/>
        <w:spacing w:after="0" w:line="259" w:lineRule="auto"/>
        <w:rPr>
          <w:sz w:val="20"/>
          <w:szCs w:val="20"/>
          <w:color w:val="auto"/>
        </w:rPr>
      </w:pPr>
      <w:r>
        <w:rPr>
          <w:rFonts w:ascii="Arial" w:cs="Arial" w:eastAsia="Arial" w:hAnsi="Arial"/>
          <w:sz w:val="15"/>
          <w:szCs w:val="15"/>
          <w:color w:val="auto"/>
        </w:rPr>
        <w:t>In a challenging and uncertain environment, our executive team remained focused on priorities designed to generate value for our shareholders. Key actions included:</w:t>
      </w:r>
    </w:p>
    <w:p>
      <w:pPr>
        <w:spacing w:after="0" w:line="95" w:lineRule="exact"/>
        <w:rPr>
          <w:sz w:val="20"/>
          <w:szCs w:val="20"/>
          <w:color w:val="auto"/>
        </w:rPr>
      </w:pPr>
    </w:p>
    <w:p>
      <w:pPr>
        <w:ind w:left="740" w:right="100" w:hanging="183"/>
        <w:spacing w:after="0" w:line="241"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remained highly committed to managing financial performance in the current cycle, while positioning the company for profitable long-term growth when conditions improve. We took significant cost reduction actions throughout the year to adjust our resources to the operating environment while we progressed various initiatives to improve market share in our largest businesses.</w:t>
      </w:r>
    </w:p>
    <w:p>
      <w:pPr>
        <w:spacing w:after="0" w:line="40" w:lineRule="exact"/>
        <w:rPr>
          <w:rFonts w:ascii="Arial" w:cs="Arial" w:eastAsia="Arial" w:hAnsi="Arial"/>
          <w:sz w:val="15"/>
          <w:szCs w:val="15"/>
          <w:color w:val="auto"/>
        </w:rPr>
      </w:pPr>
    </w:p>
    <w:p>
      <w:pPr>
        <w:ind w:left="740" w:right="100" w:hanging="183"/>
        <w:spacing w:after="0" w:line="259"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Despite declines, we continued to enjoy strong cash flow, which enabled us to continue our practice of progressive dividend increases. We approved a new share repurchase program, underscoring our philosophy of returning excess cash to shareholders through share buybacks.</w:t>
      </w:r>
    </w:p>
    <w:p>
      <w:pPr>
        <w:spacing w:after="0" w:line="28" w:lineRule="exact"/>
        <w:rPr>
          <w:rFonts w:ascii="Arial" w:cs="Arial" w:eastAsia="Arial" w:hAnsi="Arial"/>
          <w:sz w:val="15"/>
          <w:szCs w:val="15"/>
          <w:color w:val="auto"/>
        </w:rPr>
      </w:pPr>
    </w:p>
    <w:p>
      <w:pPr>
        <w:ind w:left="740" w:right="200" w:hanging="183"/>
        <w:spacing w:after="0" w:line="259"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delivered significant technology enhancements and entered the next phase of our Digitization, Diversification and Innovation initiatives, with long-term investments in our technology and finance infrastructure expected to generate future productivity and efficiency enhancements worldwide.</w:t>
      </w:r>
    </w:p>
    <w:p>
      <w:pPr>
        <w:spacing w:after="0" w:line="68" w:lineRule="exact"/>
        <w:rPr>
          <w:rFonts w:ascii="Arial" w:cs="Arial" w:eastAsia="Arial" w:hAnsi="Arial"/>
          <w:sz w:val="15"/>
          <w:szCs w:val="15"/>
          <w:color w:val="auto"/>
        </w:rPr>
      </w:pPr>
    </w:p>
    <w:p>
      <w:pPr>
        <w:ind w:left="740" w:right="540" w:hanging="183"/>
        <w:spacing w:after="0" w:line="259"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Management continued to focus on optimizing the composition of our global businesses based on growth and profit objectives, and successfully executed key wind-down activities to exit a non-core business in Germany, strengthening the business for the future.</w:t>
      </w:r>
    </w:p>
    <w:p>
      <w:pPr>
        <w:spacing w:after="0" w:line="28" w:lineRule="exact"/>
        <w:rPr>
          <w:rFonts w:ascii="Arial" w:cs="Arial" w:eastAsia="Arial" w:hAnsi="Arial"/>
          <w:sz w:val="15"/>
          <w:szCs w:val="15"/>
          <w:color w:val="auto"/>
        </w:rPr>
      </w:pPr>
    </w:p>
    <w:p>
      <w:pPr>
        <w:ind w:left="740" w:right="560" w:hanging="183"/>
        <w:spacing w:after="0" w:line="259"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We accelerated our innovation agenda, our responsible use of AI tools, and our investment in our people and culture, releasing our third annual </w:t>
      </w:r>
      <w:r>
        <w:rPr>
          <w:rFonts w:ascii="Arial" w:cs="Arial" w:eastAsia="Arial" w:hAnsi="Arial"/>
          <w:sz w:val="15"/>
          <w:szCs w:val="15"/>
          <w:i w:val="1"/>
          <w:iCs w:val="1"/>
          <w:color w:val="auto"/>
        </w:rPr>
        <w:t xml:space="preserve">Working to Change the World </w:t>
      </w:r>
      <w:r>
        <w:rPr>
          <w:rFonts w:ascii="Arial" w:cs="Arial" w:eastAsia="Arial" w:hAnsi="Arial"/>
          <w:sz w:val="15"/>
          <w:szCs w:val="15"/>
          <w:color w:val="auto"/>
        </w:rPr>
        <w:t>sustainability report.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5D89B4"/>
        </w:rPr>
        <w:t>Key Committee Actions</w:t>
      </w:r>
    </w:p>
    <w:p>
      <w:pPr>
        <w:spacing w:after="0" w:line="138" w:lineRule="exact"/>
        <w:rPr>
          <w:sz w:val="20"/>
          <w:szCs w:val="20"/>
          <w:color w:val="auto"/>
        </w:rPr>
      </w:pPr>
    </w:p>
    <w:p>
      <w:pPr>
        <w:ind w:left="360" w:right="640"/>
        <w:spacing w:after="0" w:line="259" w:lineRule="auto"/>
        <w:rPr>
          <w:sz w:val="20"/>
          <w:szCs w:val="20"/>
          <w:color w:val="auto"/>
        </w:rPr>
      </w:pPr>
      <w:r>
        <w:rPr>
          <w:rFonts w:ascii="Arial" w:cs="Arial" w:eastAsia="Arial" w:hAnsi="Arial"/>
          <w:sz w:val="15"/>
          <w:szCs w:val="15"/>
          <w:color w:val="auto"/>
        </w:rPr>
        <w:t>The Committee continues to be guided by the ManpowerGroup Compensation Principles described below, including its commitment to being market competitive in executive compensation and aligning pay with performance. Important actions by the Committee include:</w:t>
      </w:r>
    </w:p>
    <w:p>
      <w:pPr>
        <w:spacing w:after="0" w:line="95" w:lineRule="exact"/>
        <w:rPr>
          <w:sz w:val="20"/>
          <w:szCs w:val="20"/>
          <w:color w:val="auto"/>
        </w:rPr>
      </w:pPr>
    </w:p>
    <w:p>
      <w:pPr>
        <w:ind w:left="740" w:right="480" w:hanging="183"/>
        <w:spacing w:after="0" w:line="259" w:lineRule="auto"/>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Continued to use a more targeted compensation peer group for benchmarking 2023 NEO compensation that creates greater comparability 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189865</wp:posOffset>
            </wp:positionV>
            <wp:extent cx="69138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880"/>
          </w:cols>
          <w:pgMar w:left="320" w:top="480"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101600</wp:posOffset>
            </wp:positionV>
            <wp:extent cx="6917690" cy="5740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17690" cy="5740400"/>
                    </a:xfrm>
                    <a:prstGeom prst="rect">
                      <a:avLst/>
                    </a:prstGeom>
                    <a:noFill/>
                  </pic:spPr>
                </pic:pic>
              </a:graphicData>
            </a:graphic>
          </wp:anchor>
        </w:drawing>
      </w:r>
    </w:p>
    <w:p>
      <w:pPr>
        <w:spacing w:after="0" w:line="300" w:lineRule="exact"/>
        <w:rPr>
          <w:sz w:val="20"/>
          <w:szCs w:val="20"/>
          <w:color w:val="auto"/>
        </w:rPr>
      </w:pPr>
    </w:p>
    <w:p>
      <w:pPr>
        <w:jc w:val="both"/>
        <w:ind w:left="740" w:right="360" w:hanging="183"/>
        <w:spacing w:after="0" w:line="241"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Adopted the Senior Executive Compensation Recovery Policy, applicable to the NEOs as well as certain other senior leaders, adhering to the rules of the SEC and the listing standards of the New York Stock Exchange (NYSE). The Committee also adopted a more narrow broad-based compensation recovery policy applicable to all other employees;</w:t>
      </w:r>
    </w:p>
    <w:p>
      <w:pPr>
        <w:spacing w:after="0" w:line="80" w:lineRule="exact"/>
        <w:rPr>
          <w:rFonts w:ascii="Arial" w:cs="Arial" w:eastAsia="Arial" w:hAnsi="Arial"/>
          <w:sz w:val="15"/>
          <w:szCs w:val="15"/>
          <w:color w:val="auto"/>
        </w:rPr>
      </w:pPr>
    </w:p>
    <w:p>
      <w:pPr>
        <w:jc w:val="both"/>
        <w:ind w:left="740" w:right="280" w:hanging="183"/>
        <w:spacing w:after="0" w:line="241"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Continued to utilize Earnings Before Interest, Taxes and Amortization (“EBITA”) Margin Percent as the performance metric for PSU grants, as a means of focusing executive officers on the long-term profitability of the Company. This metric replaced Operating Profit Margin Percent (“OPMP”), which was last used in PSU awards granted in 2021;</w:t>
      </w:r>
    </w:p>
    <w:p>
      <w:pPr>
        <w:spacing w:after="0" w:line="40" w:lineRule="exact"/>
        <w:rPr>
          <w:rFonts w:ascii="Arial" w:cs="Arial" w:eastAsia="Arial" w:hAnsi="Arial"/>
          <w:sz w:val="15"/>
          <w:szCs w:val="15"/>
          <w:color w:val="auto"/>
        </w:rPr>
      </w:pPr>
    </w:p>
    <w:p>
      <w:pPr>
        <w:ind w:left="740" w:right="580" w:hanging="183"/>
        <w:spacing w:after="0" w:line="259"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Say on Pay vote declined in 2023, relative to historical levels. Leadership of the Committee and the Board held conversations with our largest shareholders who voted against on our Say on Pay, to better understand any concerns they have with our executive compensation program; and</w:t>
      </w:r>
    </w:p>
    <w:p>
      <w:pPr>
        <w:spacing w:after="0" w:line="28" w:lineRule="exact"/>
        <w:rPr>
          <w:rFonts w:ascii="Arial" w:cs="Arial" w:eastAsia="Arial" w:hAnsi="Arial"/>
          <w:sz w:val="15"/>
          <w:szCs w:val="15"/>
          <w:color w:val="auto"/>
        </w:rPr>
      </w:pPr>
    </w:p>
    <w:p>
      <w:pPr>
        <w:ind w:left="740" w:right="360" w:hanging="183"/>
        <w:spacing w:after="0" w:line="259"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Starting with PSU awards made in February 2024, the Committee introduced a modifier based on relative Total Shareholder Return (“rTSR”) in lieu of the prior Strategic KPIs and ESG modifier.</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5D89B4"/>
        </w:rPr>
        <w:t>Short-Term and Long-Term Performance Compensation for 2023</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5D89B4"/>
        </w:rPr>
        <w:t>Annual Incentive Compensation for 2023</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6"/>
          <w:szCs w:val="16"/>
          <w:color w:val="5D89B4"/>
        </w:rPr>
        <w:t>The Committee set key financial performance metrics in mid-February 2023, as summarized below and in the diagram on the next page.</w:t>
      </w:r>
    </w:p>
    <w:p>
      <w:pPr>
        <w:sectPr>
          <w:pgSz w:w="11900" w:h="16838" w:orient="portrait"/>
          <w:cols w:equalWidth="0" w:num="1">
            <w:col w:w="11060"/>
          </w:cols>
          <w:pgMar w:left="320" w:top="480" w:right="519" w:bottom="1440" w:gutter="0" w:footer="0" w:header="0"/>
        </w:sectPr>
      </w:pPr>
    </w:p>
    <w:p>
      <w:pPr>
        <w:spacing w:after="0" w:line="141" w:lineRule="exact"/>
        <w:rPr>
          <w:sz w:val="20"/>
          <w:szCs w:val="20"/>
          <w:color w:val="auto"/>
        </w:rPr>
      </w:pPr>
    </w:p>
    <w:p>
      <w:pPr>
        <w:ind w:left="640" w:hanging="177"/>
        <w:spacing w:after="0" w:line="249"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EPS</w:t>
      </w:r>
      <w:r>
        <w:rPr>
          <w:rFonts w:ascii="Arial" w:cs="Arial" w:eastAsia="Arial" w:hAnsi="Arial"/>
          <w:sz w:val="14"/>
          <w:szCs w:val="14"/>
          <w:color w:val="auto"/>
        </w:rPr>
        <w:t xml:space="preserve"> – Designed to focus our executives on producing financial results that align with shareholder interest. We consider this metric a critical measure of executive performance.</w:t>
      </w:r>
    </w:p>
    <w:p>
      <w:pPr>
        <w:spacing w:after="0" w:line="45" w:lineRule="exact"/>
        <w:rPr>
          <w:sz w:val="20"/>
          <w:szCs w:val="20"/>
          <w:color w:val="auto"/>
        </w:rPr>
      </w:pPr>
    </w:p>
    <w:p>
      <w:pPr>
        <w:jc w:val="both"/>
        <w:ind w:left="640" w:right="20" w:hanging="177"/>
        <w:spacing w:after="0" w:line="263" w:lineRule="auto"/>
        <w:rPr>
          <w:sz w:val="20"/>
          <w:szCs w:val="20"/>
          <w:color w:val="auto"/>
        </w:rPr>
      </w:pPr>
      <w:r>
        <w:rPr>
          <w:rFonts w:ascii="Arial" w:cs="Arial" w:eastAsia="Arial" w:hAnsi="Arial"/>
          <w:sz w:val="14"/>
          <w:szCs w:val="14"/>
          <w:color w:val="auto"/>
        </w:rPr>
        <w:t xml:space="preserve">•   For 2023, EPS was $5.39 which fell below the threshold level. </w:t>
      </w:r>
      <w:r>
        <w:rPr>
          <w:rFonts w:ascii="Arial" w:cs="Arial" w:eastAsia="Arial" w:hAnsi="Arial"/>
          <w:sz w:val="14"/>
          <w:szCs w:val="14"/>
          <w:b w:val="1"/>
          <w:bCs w:val="1"/>
          <w:color w:val="auto"/>
        </w:rPr>
        <w:t>As a result, there was</w:t>
      </w:r>
      <w:r>
        <w:rPr>
          <w:rFonts w:ascii="Arial" w:cs="Arial" w:eastAsia="Arial" w:hAnsi="Arial"/>
          <w:sz w:val="14"/>
          <w:szCs w:val="14"/>
          <w:color w:val="auto"/>
        </w:rPr>
        <w:t xml:space="preserve"> </w:t>
      </w:r>
      <w:r>
        <w:rPr>
          <w:rFonts w:ascii="Arial" w:cs="Arial" w:eastAsia="Arial" w:hAnsi="Arial"/>
          <w:sz w:val="14"/>
          <w:szCs w:val="14"/>
          <w:b w:val="1"/>
          <w:bCs w:val="1"/>
          <w:color w:val="auto"/>
        </w:rPr>
        <w:t>no payout against the EPS metric.</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ROIC</w:t>
      </w:r>
      <w:r>
        <w:rPr>
          <w:rFonts w:ascii="Arial" w:cs="Arial" w:eastAsia="Arial" w:hAnsi="Arial"/>
          <w:sz w:val="13"/>
          <w:szCs w:val="13"/>
          <w:color w:val="auto"/>
        </w:rPr>
        <w:t xml:space="preserve"> – Even though we operate in the services industry, our</w:t>
      </w:r>
    </w:p>
    <w:p>
      <w:pPr>
        <w:spacing w:after="0" w:line="25" w:lineRule="exact"/>
        <w:rPr>
          <w:sz w:val="20"/>
          <w:szCs w:val="20"/>
          <w:color w:val="auto"/>
        </w:rPr>
      </w:pPr>
    </w:p>
    <w:p>
      <w:pPr>
        <w:ind w:left="180" w:right="80"/>
        <w:spacing w:after="0" w:line="245" w:lineRule="auto"/>
        <w:rPr>
          <w:sz w:val="20"/>
          <w:szCs w:val="20"/>
          <w:color w:val="auto"/>
        </w:rPr>
      </w:pPr>
      <w:r>
        <w:rPr>
          <w:rFonts w:ascii="Arial" w:cs="Arial" w:eastAsia="Arial" w:hAnsi="Arial"/>
          <w:sz w:val="14"/>
          <w:szCs w:val="14"/>
          <w:color w:val="auto"/>
        </w:rPr>
        <w:t>business is capital intensive. We must pay our associates and consultants before we typically bill and collect from our clients. ROIC measures how efficiently we are converting our services into cash.</w:t>
      </w:r>
    </w:p>
    <w:p>
      <w:pPr>
        <w:spacing w:after="0" w:line="49" w:lineRule="exact"/>
        <w:rPr>
          <w:sz w:val="20"/>
          <w:szCs w:val="20"/>
          <w:color w:val="auto"/>
        </w:rPr>
      </w:pPr>
    </w:p>
    <w:p>
      <w:pPr>
        <w:ind w:left="180" w:right="40" w:hanging="177"/>
        <w:spacing w:after="0" w:line="263" w:lineRule="auto"/>
        <w:rPr>
          <w:sz w:val="20"/>
          <w:szCs w:val="20"/>
          <w:color w:val="auto"/>
        </w:rPr>
      </w:pPr>
      <w:r>
        <w:rPr>
          <w:rFonts w:ascii="Arial" w:cs="Arial" w:eastAsia="Arial" w:hAnsi="Arial"/>
          <w:sz w:val="14"/>
          <w:szCs w:val="14"/>
          <w:color w:val="auto"/>
        </w:rPr>
        <w:t xml:space="preserve">•   For 2023, ROIC was 9.0%, which fell below the threshold level. </w:t>
      </w:r>
      <w:r>
        <w:rPr>
          <w:rFonts w:ascii="Arial" w:cs="Arial" w:eastAsia="Arial" w:hAnsi="Arial"/>
          <w:sz w:val="14"/>
          <w:szCs w:val="14"/>
          <w:b w:val="1"/>
          <w:bCs w:val="1"/>
          <w:color w:val="auto"/>
        </w:rPr>
        <w:t>As a result, there was no payout against the ROIC</w:t>
      </w:r>
      <w:r>
        <w:rPr>
          <w:rFonts w:ascii="Arial" w:cs="Arial" w:eastAsia="Arial" w:hAnsi="Arial"/>
          <w:sz w:val="14"/>
          <w:szCs w:val="14"/>
          <w:color w:val="auto"/>
        </w:rPr>
        <w:t xml:space="preserve"> </w:t>
      </w:r>
      <w:r>
        <w:rPr>
          <w:rFonts w:ascii="Arial" w:cs="Arial" w:eastAsia="Arial" w:hAnsi="Arial"/>
          <w:sz w:val="14"/>
          <w:szCs w:val="14"/>
          <w:b w:val="1"/>
          <w:bCs w:val="1"/>
          <w:color w:val="auto"/>
        </w:rPr>
        <w:t>metric.</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420" w:hanging="177"/>
        <w:spacing w:after="0" w:line="252"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Revenue</w:t>
      </w:r>
      <w:r>
        <w:rPr>
          <w:rFonts w:ascii="Arial" w:cs="Arial" w:eastAsia="Arial" w:hAnsi="Arial"/>
          <w:sz w:val="14"/>
          <w:szCs w:val="14"/>
          <w:color w:val="auto"/>
        </w:rPr>
        <w:t xml:space="preserve"> – We believe Revenue is a key metric as it keeps executives focused on top-line growth, in addition to profitability.</w:t>
      </w:r>
    </w:p>
    <w:p>
      <w:pPr>
        <w:spacing w:after="0" w:line="44" w:lineRule="exact"/>
        <w:rPr>
          <w:sz w:val="20"/>
          <w:szCs w:val="20"/>
          <w:color w:val="auto"/>
        </w:rPr>
      </w:pPr>
    </w:p>
    <w:p>
      <w:pPr>
        <w:ind w:right="500" w:hanging="177"/>
        <w:spacing w:after="0" w:line="251" w:lineRule="auto"/>
        <w:rPr>
          <w:sz w:val="20"/>
          <w:szCs w:val="20"/>
          <w:color w:val="auto"/>
        </w:rPr>
      </w:pPr>
      <w:r>
        <w:rPr>
          <w:rFonts w:ascii="Arial" w:cs="Arial" w:eastAsia="Arial" w:hAnsi="Arial"/>
          <w:sz w:val="14"/>
          <w:szCs w:val="14"/>
          <w:color w:val="auto"/>
        </w:rPr>
        <w:t xml:space="preserve">•   For 2023, Revenue was $19.0 billion, which fell between the threshold and target levels. </w:t>
      </w:r>
      <w:r>
        <w:rPr>
          <w:rFonts w:ascii="Arial" w:cs="Arial" w:eastAsia="Arial" w:hAnsi="Arial"/>
          <w:sz w:val="14"/>
          <w:szCs w:val="14"/>
          <w:b w:val="1"/>
          <w:bCs w:val="1"/>
          <w:color w:val="auto"/>
        </w:rPr>
        <w:t>As a result, payouts</w:t>
      </w:r>
      <w:r>
        <w:rPr>
          <w:rFonts w:ascii="Arial" w:cs="Arial" w:eastAsia="Arial" w:hAnsi="Arial"/>
          <w:sz w:val="14"/>
          <w:szCs w:val="14"/>
          <w:color w:val="auto"/>
        </w:rPr>
        <w:t xml:space="preserve"> </w:t>
      </w:r>
      <w:r>
        <w:rPr>
          <w:rFonts w:ascii="Arial" w:cs="Arial" w:eastAsia="Arial" w:hAnsi="Arial"/>
          <w:sz w:val="14"/>
          <w:szCs w:val="14"/>
          <w:b w:val="1"/>
          <w:bCs w:val="1"/>
          <w:color w:val="auto"/>
        </w:rPr>
        <w:t>against the Revenue metric were below target levels.</w:t>
      </w:r>
    </w:p>
    <w:p>
      <w:pPr>
        <w:spacing w:after="0" w:line="164" w:lineRule="exact"/>
        <w:rPr>
          <w:sz w:val="20"/>
          <w:szCs w:val="20"/>
          <w:color w:val="auto"/>
        </w:rPr>
      </w:pPr>
    </w:p>
    <w:p>
      <w:pPr>
        <w:sectPr>
          <w:pgSz w:w="11900" w:h="16838" w:orient="portrait"/>
          <w:cols w:equalWidth="0" w:num="3">
            <w:col w:w="3360" w:space="380"/>
            <w:col w:w="3960" w:space="540"/>
            <w:col w:w="2820"/>
          </w:cols>
          <w:pgMar w:left="320" w:top="480" w:right="519" w:bottom="1440" w:gutter="0" w:footer="0" w:header="0"/>
          <w:type w:val="continuous"/>
        </w:sectPr>
      </w:pPr>
    </w:p>
    <w:p>
      <w:pPr>
        <w:ind w:left="580" w:right="780"/>
        <w:spacing w:after="0" w:line="270" w:lineRule="auto"/>
        <w:rPr>
          <w:sz w:val="20"/>
          <w:szCs w:val="20"/>
          <w:color w:val="auto"/>
        </w:rPr>
      </w:pPr>
      <w:r>
        <w:rPr>
          <w:rFonts w:ascii="Arial" w:cs="Arial" w:eastAsia="Arial" w:hAnsi="Arial"/>
          <w:sz w:val="15"/>
          <w:szCs w:val="15"/>
          <w:color w:val="5D89B4"/>
        </w:rPr>
        <w:t xml:space="preserve">The Committee also set KPIs for executives based on individual Strategic KPIs and ESG goals. </w:t>
      </w:r>
      <w:r>
        <w:rPr>
          <w:rFonts w:ascii="Arial" w:cs="Arial" w:eastAsia="Arial" w:hAnsi="Arial"/>
          <w:sz w:val="15"/>
          <w:szCs w:val="15"/>
          <w:b w:val="1"/>
          <w:bCs w:val="1"/>
          <w:color w:val="5D89B4"/>
        </w:rPr>
        <w:t>While these varied for each of the NEOs, in all</w:t>
      </w:r>
      <w:r>
        <w:rPr>
          <w:rFonts w:ascii="Arial" w:cs="Arial" w:eastAsia="Arial" w:hAnsi="Arial"/>
          <w:sz w:val="15"/>
          <w:szCs w:val="15"/>
          <w:color w:val="5D89B4"/>
        </w:rPr>
        <w:t xml:space="preserve"> </w:t>
      </w:r>
      <w:r>
        <w:rPr>
          <w:rFonts w:ascii="Arial" w:cs="Arial" w:eastAsia="Arial" w:hAnsi="Arial"/>
          <w:sz w:val="15"/>
          <w:szCs w:val="15"/>
          <w:b w:val="1"/>
          <w:bCs w:val="1"/>
          <w:color w:val="5D89B4"/>
        </w:rPr>
        <w:t>cases they resulted in payouts below target levels</w:t>
      </w:r>
      <w:r>
        <w:rPr>
          <w:rFonts w:ascii="Arial" w:cs="Arial" w:eastAsia="Arial" w:hAnsi="Arial"/>
          <w:sz w:val="15"/>
          <w:szCs w:val="15"/>
          <w:color w:val="5D89B4"/>
        </w:rPr>
        <w:t>.</w:t>
      </w:r>
    </w:p>
    <w:p>
      <w:pPr>
        <w:spacing w:after="0" w:line="200" w:lineRule="exact"/>
        <w:rPr>
          <w:sz w:val="20"/>
          <w:szCs w:val="20"/>
          <w:color w:val="auto"/>
        </w:rPr>
      </w:pP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5D89B4"/>
        </w:rPr>
        <w:t>Long-Term Incentive Compensation for 2023</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6"/>
          <w:szCs w:val="16"/>
          <w:color w:val="5D89B4"/>
        </w:rPr>
        <w:t>The Committee has continued its long practice of utilizing PSUs to be the predominant component of compensation for our NEOs for 2023.</w:t>
      </w:r>
    </w:p>
    <w:p>
      <w:pPr>
        <w:spacing w:after="0" w:line="128" w:lineRule="exact"/>
        <w:rPr>
          <w:sz w:val="20"/>
          <w:szCs w:val="20"/>
          <w:color w:val="auto"/>
        </w:rPr>
      </w:pPr>
    </w:p>
    <w:p>
      <w:pPr>
        <w:ind w:left="640" w:right="340" w:hanging="177"/>
        <w:spacing w:after="0" w:line="249"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PSUs</w:t>
      </w:r>
      <w:r>
        <w:rPr>
          <w:rFonts w:ascii="Arial" w:cs="Arial" w:eastAsia="Arial" w:hAnsi="Arial"/>
          <w:sz w:val="14"/>
          <w:szCs w:val="14"/>
          <w:color w:val="auto"/>
        </w:rPr>
        <w:t xml:space="preserve"> – Beginning in 2022, we began using EBITA Margin Percent as the key performance metric for PSU grants, replacing the former metric of OPMP, which applied for PSUs awarded in 2021 and earlier. EBITA Margin Percent better aligns with how the Company and its largest competitors measure performance as it measures operating efficiency without the impact of amortization. In addition, EBITA Margin Percent continues to focus executive officers on the long-term profitability of the Company. The awards are subject to a KPI modifier that can increase or decrease the final PSU payout by up to 30%, as determined by the Committee, based on pre-established strategic KPIs and ESG goals.</w:t>
      </w:r>
    </w:p>
    <w:p>
      <w:pPr>
        <w:spacing w:after="0" w:line="197" w:lineRule="exact"/>
        <w:rPr>
          <w:sz w:val="20"/>
          <w:szCs w:val="20"/>
          <w:color w:val="auto"/>
        </w:rPr>
      </w:pPr>
    </w:p>
    <w:p>
      <w:pPr>
        <w:ind w:left="580" w:right="400"/>
        <w:spacing w:after="0" w:line="231" w:lineRule="auto"/>
        <w:rPr>
          <w:sz w:val="20"/>
          <w:szCs w:val="20"/>
          <w:color w:val="auto"/>
        </w:rPr>
      </w:pPr>
      <w:r>
        <w:rPr>
          <w:rFonts w:ascii="Arial" w:cs="Arial" w:eastAsia="Arial" w:hAnsi="Arial"/>
          <w:sz w:val="15"/>
          <w:szCs w:val="15"/>
          <w:color w:val="auto"/>
        </w:rPr>
        <w:t>As disclosed previously, in light of the difficulty setting performance targets in February 2021 during pandemic-era uncertainty, the Committee departed from its customary use of a three-year performance period and instead used a one-year performance period, calibrated to pre-established OPMP goals for 2021. These were coupled with a three-year holding and KPI modifier period (from the date of grant). As disclosed in our 2022 Proxy Statement, the actual OPMP for these PSUs exceeded the outstanding level based on Company performance. Based on this performance, and after consideration of KPIs, the Committee approved a final payout percent of 195%, slightly below the outstanding level. After 2021, the Committee returned to a three-year performance period for the annual PSU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344170</wp:posOffset>
            </wp:positionV>
            <wp:extent cx="69138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101600</wp:posOffset>
            </wp:positionV>
            <wp:extent cx="6917690" cy="39357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17690" cy="3935730"/>
                    </a:xfrm>
                    <a:prstGeom prst="rect">
                      <a:avLst/>
                    </a:prstGeom>
                    <a:noFill/>
                  </pic:spPr>
                </pic:pic>
              </a:graphicData>
            </a:graphic>
          </wp:anchor>
        </w:drawing>
      </w:r>
    </w:p>
    <w:p>
      <w:pPr>
        <w:spacing w:after="0" w:line="29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5D89B4"/>
        </w:rPr>
        <w:t>Annual Incentive Plan Metrics</w:t>
      </w:r>
    </w:p>
    <w:p>
      <w:pPr>
        <w:spacing w:after="0" w:line="1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5D89B4"/>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2300"/>
        <w:spacing w:after="0" w:line="242" w:lineRule="auto"/>
        <w:rPr>
          <w:sz w:val="20"/>
          <w:szCs w:val="20"/>
          <w:color w:val="auto"/>
        </w:rPr>
      </w:pPr>
      <w:r>
        <w:rPr>
          <w:rFonts w:ascii="Arial" w:cs="Arial" w:eastAsia="Arial" w:hAnsi="Arial"/>
          <w:sz w:val="18"/>
          <w:szCs w:val="18"/>
          <w:color w:val="auto"/>
        </w:rPr>
        <w:t>Performance under the financial targets in the Annual Incentive Plan was below threshold for EPS and ROIC and between the threshold and target level for Revenue. Performance for the NEOs was also below target for the individual Strategic KPIs and ESG Goals. The resulting AIP payouts ranged from 35% to 36% of target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260350</wp:posOffset>
            </wp:positionV>
            <wp:extent cx="69138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101600</wp:posOffset>
            </wp:positionV>
            <wp:extent cx="6917690" cy="5477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17690" cy="5477510"/>
                    </a:xfrm>
                    <a:prstGeom prst="rect">
                      <a:avLst/>
                    </a:prstGeom>
                    <a:noFill/>
                  </pic:spPr>
                </pic:pic>
              </a:graphicData>
            </a:graphic>
          </wp:anchor>
        </w:drawing>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PSU Performance Metric—Operating Profit Margin Percent</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2021 Annual PSU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520" w:right="1840"/>
        <w:spacing w:after="0" w:line="242" w:lineRule="auto"/>
        <w:rPr>
          <w:sz w:val="20"/>
          <w:szCs w:val="20"/>
          <w:color w:val="auto"/>
        </w:rPr>
      </w:pPr>
      <w:r>
        <w:rPr>
          <w:rFonts w:ascii="Arial" w:cs="Arial" w:eastAsia="Arial" w:hAnsi="Arial"/>
          <w:sz w:val="18"/>
          <w:szCs w:val="18"/>
          <w:color w:val="auto"/>
        </w:rPr>
        <w:t>The OPMP for 2021 under the 2021 Annual PSU Grant was 2.97%. The grant vested at the end of 2023, following the completion of both the 1-year performance period and the 3-year holding period. The Committee approved a final payout percent of 195%, slightly below the outstanding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5D89B4"/>
        </w:rPr>
        <w:t>Calculation of Financial Metrics</w:t>
      </w:r>
    </w:p>
    <w:p>
      <w:pPr>
        <w:spacing w:after="0" w:line="66" w:lineRule="exact"/>
        <w:rPr>
          <w:sz w:val="20"/>
          <w:szCs w:val="20"/>
          <w:color w:val="auto"/>
        </w:rPr>
      </w:pPr>
    </w:p>
    <w:p>
      <w:pPr>
        <w:ind w:left="360" w:right="280"/>
        <w:spacing w:after="0" w:line="280" w:lineRule="auto"/>
        <w:rPr>
          <w:sz w:val="20"/>
          <w:szCs w:val="20"/>
          <w:color w:val="auto"/>
        </w:rPr>
      </w:pPr>
      <w:r>
        <w:rPr>
          <w:rFonts w:ascii="Arial" w:cs="Arial" w:eastAsia="Arial" w:hAnsi="Arial"/>
          <w:sz w:val="14"/>
          <w:szCs w:val="14"/>
          <w:color w:val="auto"/>
        </w:rPr>
        <w:t>One of our principles is that NEO compensation should reward for the underlying performance of our business. As is our practice, the Committee, in adopting financial targets at the beginning of the 2023 performance year, determined that certain items should be excluded from our performance metrics:</w:t>
      </w:r>
    </w:p>
    <w:p>
      <w:pPr>
        <w:spacing w:after="0" w:line="57" w:lineRule="exact"/>
        <w:rPr>
          <w:sz w:val="20"/>
          <w:szCs w:val="20"/>
          <w:color w:val="auto"/>
        </w:rPr>
      </w:pPr>
    </w:p>
    <w:p>
      <w:pPr>
        <w:ind w:left="540" w:right="400" w:hanging="184"/>
        <w:spacing w:after="0" w:line="259"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5D89B4"/>
        </w:rPr>
        <w:t xml:space="preserve">Constant Currency. </w:t>
      </w:r>
      <w:r>
        <w:rPr>
          <w:rFonts w:ascii="Arial" w:cs="Arial" w:eastAsia="Arial" w:hAnsi="Arial"/>
          <w:sz w:val="15"/>
          <w:szCs w:val="15"/>
          <w:color w:val="000000"/>
        </w:rPr>
        <w:t>We eliminate the impact of changes in exchange rates for EPS, ROIC and Revenue. This allows us to better capture year-over-year</w:t>
      </w:r>
      <w:r>
        <w:rPr>
          <w:rFonts w:ascii="Arial" w:cs="Arial" w:eastAsia="Arial" w:hAnsi="Arial"/>
          <w:sz w:val="15"/>
          <w:szCs w:val="15"/>
          <w:color w:val="5D89B4"/>
        </w:rPr>
        <w:t xml:space="preserve"> </w:t>
      </w:r>
      <w:r>
        <w:rPr>
          <w:rFonts w:ascii="Arial" w:cs="Arial" w:eastAsia="Arial" w:hAnsi="Arial"/>
          <w:sz w:val="15"/>
          <w:szCs w:val="15"/>
          <w:color w:val="000000"/>
        </w:rPr>
        <w:t>changes in underlying performance.</w:t>
      </w:r>
    </w:p>
    <w:p>
      <w:pPr>
        <w:spacing w:after="0" w:line="28" w:lineRule="exact"/>
        <w:rPr>
          <w:rFonts w:ascii="Arial" w:cs="Arial" w:eastAsia="Arial" w:hAnsi="Arial"/>
          <w:sz w:val="15"/>
          <w:szCs w:val="15"/>
          <w:color w:val="auto"/>
        </w:rPr>
      </w:pPr>
    </w:p>
    <w:p>
      <w:pPr>
        <w:ind w:left="540" w:right="260" w:hanging="184"/>
        <w:spacing w:after="0" w:line="259"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5D89B4"/>
        </w:rPr>
        <w:t xml:space="preserve">Share Repurchases. </w:t>
      </w:r>
      <w:r>
        <w:rPr>
          <w:rFonts w:ascii="Arial" w:cs="Arial" w:eastAsia="Arial" w:hAnsi="Arial"/>
          <w:sz w:val="15"/>
          <w:szCs w:val="15"/>
          <w:color w:val="000000"/>
        </w:rPr>
        <w:t>We remove the benefit of share repurchases from our EPS calculation except to the extent necessary to offset dilution resulting from</w:t>
      </w:r>
      <w:r>
        <w:rPr>
          <w:rFonts w:ascii="Arial" w:cs="Arial" w:eastAsia="Arial" w:hAnsi="Arial"/>
          <w:sz w:val="15"/>
          <w:szCs w:val="15"/>
          <w:color w:val="5D89B4"/>
        </w:rPr>
        <w:t xml:space="preserve"> </w:t>
      </w:r>
      <w:r>
        <w:rPr>
          <w:rFonts w:ascii="Arial" w:cs="Arial" w:eastAsia="Arial" w:hAnsi="Arial"/>
          <w:sz w:val="15"/>
          <w:szCs w:val="15"/>
          <w:color w:val="000000"/>
        </w:rPr>
        <w:t>shares issued under our equity plans.</w:t>
      </w:r>
    </w:p>
    <w:p>
      <w:pPr>
        <w:spacing w:after="0" w:line="28" w:lineRule="exact"/>
        <w:rPr>
          <w:rFonts w:ascii="Arial" w:cs="Arial" w:eastAsia="Arial" w:hAnsi="Arial"/>
          <w:sz w:val="15"/>
          <w:szCs w:val="15"/>
          <w:color w:val="auto"/>
        </w:rPr>
      </w:pPr>
    </w:p>
    <w:p>
      <w:pPr>
        <w:ind w:left="540" w:right="180" w:hanging="184"/>
        <w:spacing w:after="0" w:line="259"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5D89B4"/>
        </w:rPr>
        <w:t xml:space="preserve">Restructuring Costs. </w:t>
      </w:r>
      <w:r>
        <w:rPr>
          <w:rFonts w:ascii="Arial" w:cs="Arial" w:eastAsia="Arial" w:hAnsi="Arial"/>
          <w:sz w:val="15"/>
          <w:szCs w:val="15"/>
          <w:color w:val="000000"/>
        </w:rPr>
        <w:t>We exclude restructuring costs from our EPS, ROIC and EBITA Margin Percent calculations, net of the savings related to these costs.</w:t>
      </w:r>
      <w:r>
        <w:rPr>
          <w:rFonts w:ascii="Arial" w:cs="Arial" w:eastAsia="Arial" w:hAnsi="Arial"/>
          <w:sz w:val="15"/>
          <w:szCs w:val="15"/>
          <w:color w:val="5D89B4"/>
        </w:rPr>
        <w:t xml:space="preserve"> </w:t>
      </w:r>
      <w:r>
        <w:rPr>
          <w:rFonts w:ascii="Arial" w:cs="Arial" w:eastAsia="Arial" w:hAnsi="Arial"/>
          <w:sz w:val="15"/>
          <w:szCs w:val="15"/>
          <w:color w:val="000000"/>
        </w:rPr>
        <w:t>This allows us to better reflect the Company’s performance for the year.</w:t>
      </w:r>
    </w:p>
    <w:p>
      <w:pPr>
        <w:spacing w:after="0" w:line="28" w:lineRule="exact"/>
        <w:rPr>
          <w:rFonts w:ascii="Arial" w:cs="Arial" w:eastAsia="Arial" w:hAnsi="Arial"/>
          <w:sz w:val="15"/>
          <w:szCs w:val="15"/>
          <w:color w:val="auto"/>
        </w:rPr>
      </w:pPr>
    </w:p>
    <w:p>
      <w:pPr>
        <w:ind w:left="540" w:right="320" w:hanging="184"/>
        <w:spacing w:after="0" w:line="259"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5D89B4"/>
        </w:rPr>
        <w:t xml:space="preserve">Goodwill Impairment. </w:t>
      </w:r>
      <w:r>
        <w:rPr>
          <w:rFonts w:ascii="Arial" w:cs="Arial" w:eastAsia="Arial" w:hAnsi="Arial"/>
          <w:sz w:val="15"/>
          <w:szCs w:val="15"/>
          <w:color w:val="000000"/>
        </w:rPr>
        <w:t>We exclude goodwill impairment charges from our EPS, ROIC and EBITA Margin Percent calculations. This, too, better reflects the</w:t>
      </w:r>
      <w:r>
        <w:rPr>
          <w:rFonts w:ascii="Arial" w:cs="Arial" w:eastAsia="Arial" w:hAnsi="Arial"/>
          <w:sz w:val="15"/>
          <w:szCs w:val="15"/>
          <w:color w:val="5D89B4"/>
        </w:rPr>
        <w:t xml:space="preserve"> </w:t>
      </w:r>
      <w:r>
        <w:rPr>
          <w:rFonts w:ascii="Arial" w:cs="Arial" w:eastAsia="Arial" w:hAnsi="Arial"/>
          <w:sz w:val="15"/>
          <w:szCs w:val="15"/>
          <w:color w:val="000000"/>
        </w:rPr>
        <w:t>Company’s performance for the year.</w:t>
      </w:r>
    </w:p>
    <w:p>
      <w:pPr>
        <w:spacing w:after="0" w:line="28" w:lineRule="exact"/>
        <w:rPr>
          <w:rFonts w:ascii="Arial" w:cs="Arial" w:eastAsia="Arial" w:hAnsi="Arial"/>
          <w:sz w:val="15"/>
          <w:szCs w:val="15"/>
          <w:color w:val="auto"/>
        </w:rPr>
      </w:pPr>
    </w:p>
    <w:p>
      <w:pPr>
        <w:jc w:val="both"/>
        <w:ind w:left="540" w:right="600" w:hanging="184"/>
        <w:spacing w:after="0" w:line="241"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5D89B4"/>
        </w:rPr>
        <w:t xml:space="preserve">Other Non-Recurring Costs. </w:t>
      </w:r>
      <w:r>
        <w:rPr>
          <w:rFonts w:ascii="Arial" w:cs="Arial" w:eastAsia="Arial" w:hAnsi="Arial"/>
          <w:sz w:val="15"/>
          <w:szCs w:val="15"/>
          <w:color w:val="000000"/>
        </w:rPr>
        <w:t>We exclude from EPS and EBITA Margin Percent any non-recurring accrual adjustments including tax or regulatory law</w:t>
      </w:r>
      <w:r>
        <w:rPr>
          <w:rFonts w:ascii="Arial" w:cs="Arial" w:eastAsia="Arial" w:hAnsi="Arial"/>
          <w:sz w:val="15"/>
          <w:szCs w:val="15"/>
          <w:color w:val="5D89B4"/>
        </w:rPr>
        <w:t xml:space="preserve"> </w:t>
      </w:r>
      <w:r>
        <w:rPr>
          <w:rFonts w:ascii="Arial" w:cs="Arial" w:eastAsia="Arial" w:hAnsi="Arial"/>
          <w:sz w:val="15"/>
          <w:szCs w:val="15"/>
          <w:color w:val="000000"/>
        </w:rPr>
        <w:t>changes, acquisitions or dispositions and other non-recurring adjustments greater than $10 million. As explained above, excluding these costs better reflects the Company’s performance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206375</wp:posOffset>
            </wp:positionV>
            <wp:extent cx="69138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101600</wp:posOffset>
            </wp:positionV>
            <wp:extent cx="6917690" cy="55708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17690" cy="5570855"/>
                    </a:xfrm>
                    <a:prstGeom prst="rect">
                      <a:avLst/>
                    </a:prstGeom>
                    <a:noFill/>
                  </pic:spPr>
                </pic:pic>
              </a:graphicData>
            </a:graphic>
          </wp:anchor>
        </w:drawing>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shows the impact of each of these items on our performance metrics for 2023:</w:t>
      </w:r>
    </w:p>
    <w:p>
      <w:pPr>
        <w:spacing w:after="0" w:line="245" w:lineRule="exact"/>
        <w:rPr>
          <w:sz w:val="20"/>
          <w:szCs w:val="20"/>
          <w:color w:val="auto"/>
        </w:rPr>
      </w:pPr>
    </w:p>
    <w:tbl>
      <w:tblPr>
        <w:tblLayout w:type="fixed"/>
        <w:tblInd w:w="360" w:type="dxa"/>
        <w:tblCellMar>
          <w:top w:w="0" w:type="dxa"/>
          <w:left w:w="0" w:type="dxa"/>
          <w:bottom w:w="0" w:type="dxa"/>
          <w:right w:w="0" w:type="dxa"/>
        </w:tblCellMar>
      </w:tblPr>
      <w:tr>
        <w:trPr>
          <w:trHeight w:val="182"/>
        </w:trPr>
        <w:tc>
          <w:tcPr>
            <w:tcW w:w="1540" w:type="dxa"/>
            <w:vAlign w:val="bottom"/>
            <w:shd w:val="clear" w:color="auto" w:fill="EAEAEA"/>
          </w:tcPr>
          <w:p>
            <w:pPr>
              <w:spacing w:after="0"/>
              <w:rPr>
                <w:sz w:val="15"/>
                <w:szCs w:val="15"/>
                <w:color w:val="auto"/>
              </w:rPr>
            </w:pPr>
          </w:p>
        </w:tc>
        <w:tc>
          <w:tcPr>
            <w:tcW w:w="52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42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340" w:type="dxa"/>
            <w:vAlign w:val="bottom"/>
            <w:shd w:val="clear" w:color="auto" w:fill="EAEAEA"/>
          </w:tcPr>
          <w:p>
            <w:pPr>
              <w:spacing w:after="0"/>
              <w:rPr>
                <w:sz w:val="15"/>
                <w:szCs w:val="15"/>
                <w:color w:val="auto"/>
              </w:rPr>
            </w:pPr>
          </w:p>
        </w:tc>
        <w:tc>
          <w:tcPr>
            <w:tcW w:w="940" w:type="dxa"/>
            <w:vAlign w:val="bottom"/>
            <w:shd w:val="clear" w:color="auto" w:fill="EAEAEA"/>
          </w:tcPr>
          <w:p>
            <w:pPr>
              <w:spacing w:after="0"/>
              <w:rPr>
                <w:sz w:val="15"/>
                <w:szCs w:val="15"/>
                <w:color w:val="auto"/>
              </w:rPr>
            </w:pPr>
          </w:p>
        </w:tc>
        <w:tc>
          <w:tcPr>
            <w:tcW w:w="540" w:type="dxa"/>
            <w:vAlign w:val="bottom"/>
            <w:shd w:val="clear" w:color="auto" w:fill="EAEAEA"/>
          </w:tcPr>
          <w:p>
            <w:pPr>
              <w:spacing w:after="0"/>
              <w:rPr>
                <w:sz w:val="15"/>
                <w:szCs w:val="15"/>
                <w:color w:val="auto"/>
              </w:rPr>
            </w:pPr>
          </w:p>
        </w:tc>
        <w:tc>
          <w:tcPr>
            <w:tcW w:w="1000" w:type="dxa"/>
            <w:vAlign w:val="bottom"/>
            <w:shd w:val="clear" w:color="auto" w:fill="EAEAEA"/>
          </w:tcPr>
          <w:p>
            <w:pPr>
              <w:spacing w:after="0"/>
              <w:rPr>
                <w:sz w:val="15"/>
                <w:szCs w:val="15"/>
                <w:color w:val="auto"/>
              </w:rPr>
            </w:pPr>
          </w:p>
        </w:tc>
        <w:tc>
          <w:tcPr>
            <w:tcW w:w="260" w:type="dxa"/>
            <w:vAlign w:val="bottom"/>
            <w:shd w:val="clear" w:color="auto" w:fill="EAEAEA"/>
          </w:tcPr>
          <w:p>
            <w:pPr>
              <w:spacing w:after="0"/>
              <w:rPr>
                <w:sz w:val="15"/>
                <w:szCs w:val="15"/>
                <w:color w:val="auto"/>
              </w:rPr>
            </w:pPr>
          </w:p>
        </w:tc>
        <w:tc>
          <w:tcPr>
            <w:tcW w:w="980" w:type="dxa"/>
            <w:vAlign w:val="bottom"/>
            <w:shd w:val="clear" w:color="auto" w:fill="EAEAEA"/>
          </w:tcPr>
          <w:p>
            <w:pPr>
              <w:spacing w:after="0"/>
              <w:rPr>
                <w:sz w:val="15"/>
                <w:szCs w:val="15"/>
                <w:color w:val="auto"/>
              </w:rPr>
            </w:pPr>
          </w:p>
        </w:tc>
        <w:tc>
          <w:tcPr>
            <w:tcW w:w="300" w:type="dxa"/>
            <w:vAlign w:val="bottom"/>
            <w:shd w:val="clear" w:color="auto" w:fill="EAEAEA"/>
          </w:tcPr>
          <w:p>
            <w:pPr>
              <w:spacing w:after="0"/>
              <w:rPr>
                <w:sz w:val="15"/>
                <w:szCs w:val="15"/>
                <w:color w:val="auto"/>
              </w:rPr>
            </w:pPr>
          </w:p>
        </w:tc>
        <w:tc>
          <w:tcPr>
            <w:tcW w:w="860" w:type="dxa"/>
            <w:vAlign w:val="bottom"/>
            <w:vMerge w:val="restart"/>
            <w:shd w:val="clear" w:color="auto" w:fill="EAEAEA"/>
          </w:tcPr>
          <w:p>
            <w:pPr>
              <w:jc w:val="right"/>
              <w:ind w:right="170"/>
              <w:spacing w:after="0"/>
              <w:rPr>
                <w:sz w:val="20"/>
                <w:szCs w:val="20"/>
                <w:color w:val="auto"/>
              </w:rPr>
            </w:pPr>
            <w:r>
              <w:rPr>
                <w:rFonts w:ascii="Arial" w:cs="Arial" w:eastAsia="Arial" w:hAnsi="Arial"/>
                <w:sz w:val="12"/>
                <w:szCs w:val="12"/>
                <w:b w:val="1"/>
                <w:bCs w:val="1"/>
                <w:color w:val="5D89B4"/>
              </w:rPr>
              <w:t>OTHER</w:t>
            </w:r>
          </w:p>
        </w:tc>
        <w:tc>
          <w:tcPr>
            <w:tcW w:w="220" w:type="dxa"/>
            <w:vAlign w:val="bottom"/>
            <w:shd w:val="clear" w:color="auto" w:fill="EAEAEA"/>
          </w:tcPr>
          <w:p>
            <w:pPr>
              <w:spacing w:after="0"/>
              <w:rPr>
                <w:sz w:val="15"/>
                <w:szCs w:val="15"/>
                <w:color w:val="auto"/>
              </w:rPr>
            </w:pPr>
          </w:p>
        </w:tc>
        <w:tc>
          <w:tcPr>
            <w:tcW w:w="1120" w:type="dxa"/>
            <w:vAlign w:val="bottom"/>
            <w:shd w:val="clear" w:color="auto" w:fill="EAEAEA"/>
          </w:tcPr>
          <w:p>
            <w:pPr>
              <w:jc w:val="right"/>
              <w:ind w:right="171"/>
              <w:spacing w:after="0"/>
              <w:rPr>
                <w:sz w:val="20"/>
                <w:szCs w:val="20"/>
                <w:color w:val="auto"/>
              </w:rPr>
            </w:pPr>
            <w:r>
              <w:rPr>
                <w:rFonts w:ascii="Arial" w:cs="Arial" w:eastAsia="Arial" w:hAnsi="Arial"/>
                <w:sz w:val="12"/>
                <w:szCs w:val="12"/>
                <w:b w:val="1"/>
                <w:bCs w:val="1"/>
                <w:color w:val="5D89B4"/>
              </w:rPr>
              <w:t>AS</w:t>
            </w:r>
          </w:p>
        </w:tc>
        <w:tc>
          <w:tcPr>
            <w:tcW w:w="0" w:type="dxa"/>
            <w:vAlign w:val="bottom"/>
          </w:tcPr>
          <w:p>
            <w:pPr>
              <w:spacing w:after="0"/>
              <w:rPr>
                <w:sz w:val="1"/>
                <w:szCs w:val="1"/>
                <w:color w:val="auto"/>
              </w:rPr>
            </w:pPr>
          </w:p>
        </w:tc>
      </w:tr>
      <w:tr>
        <w:trPr>
          <w:trHeight w:val="125"/>
        </w:trPr>
        <w:tc>
          <w:tcPr>
            <w:tcW w:w="1540" w:type="dxa"/>
            <w:vAlign w:val="bottom"/>
            <w:shd w:val="clear" w:color="auto" w:fill="EAEAEA"/>
          </w:tcPr>
          <w:p>
            <w:pPr>
              <w:spacing w:after="0"/>
              <w:rPr>
                <w:sz w:val="10"/>
                <w:szCs w:val="10"/>
                <w:color w:val="auto"/>
              </w:rPr>
            </w:pPr>
          </w:p>
        </w:tc>
        <w:tc>
          <w:tcPr>
            <w:tcW w:w="520" w:type="dxa"/>
            <w:vAlign w:val="bottom"/>
            <w:shd w:val="clear" w:color="auto" w:fill="EAEAEA"/>
          </w:tcPr>
          <w:p>
            <w:pPr>
              <w:spacing w:after="0"/>
              <w:rPr>
                <w:sz w:val="10"/>
                <w:szCs w:val="10"/>
                <w:color w:val="auto"/>
              </w:rPr>
            </w:pPr>
          </w:p>
        </w:tc>
        <w:tc>
          <w:tcPr>
            <w:tcW w:w="740" w:type="dxa"/>
            <w:vAlign w:val="bottom"/>
            <w:shd w:val="clear" w:color="auto" w:fill="EAEAEA"/>
          </w:tcPr>
          <w:p>
            <w:pPr>
              <w:spacing w:after="0"/>
              <w:rPr>
                <w:sz w:val="10"/>
                <w:szCs w:val="10"/>
                <w:color w:val="auto"/>
              </w:rPr>
            </w:pPr>
          </w:p>
        </w:tc>
        <w:tc>
          <w:tcPr>
            <w:tcW w:w="1160" w:type="dxa"/>
            <w:vAlign w:val="bottom"/>
            <w:gridSpan w:val="2"/>
            <w:vMerge w:val="restart"/>
            <w:shd w:val="clear" w:color="auto" w:fill="EAEAEA"/>
          </w:tcPr>
          <w:p>
            <w:pPr>
              <w:jc w:val="right"/>
              <w:ind w:right="224"/>
              <w:spacing w:after="0"/>
              <w:rPr>
                <w:sz w:val="20"/>
                <w:szCs w:val="20"/>
                <w:color w:val="auto"/>
              </w:rPr>
            </w:pPr>
            <w:r>
              <w:rPr>
                <w:rFonts w:ascii="Arial" w:cs="Arial" w:eastAsia="Arial" w:hAnsi="Arial"/>
                <w:sz w:val="12"/>
                <w:szCs w:val="12"/>
                <w:b w:val="1"/>
                <w:bCs w:val="1"/>
                <w:color w:val="5D89B4"/>
              </w:rPr>
              <w:t>IMPACT OF</w:t>
            </w:r>
          </w:p>
        </w:tc>
        <w:tc>
          <w:tcPr>
            <w:tcW w:w="340" w:type="dxa"/>
            <w:vAlign w:val="bottom"/>
            <w:shd w:val="clear" w:color="auto" w:fill="EAEAEA"/>
          </w:tcPr>
          <w:p>
            <w:pPr>
              <w:spacing w:after="0"/>
              <w:rPr>
                <w:sz w:val="10"/>
                <w:szCs w:val="10"/>
                <w:color w:val="auto"/>
              </w:rPr>
            </w:pPr>
          </w:p>
        </w:tc>
        <w:tc>
          <w:tcPr>
            <w:tcW w:w="940" w:type="dxa"/>
            <w:vAlign w:val="bottom"/>
            <w:vMerge w:val="restart"/>
            <w:shd w:val="clear" w:color="auto" w:fill="EAEAEA"/>
          </w:tcPr>
          <w:p>
            <w:pPr>
              <w:jc w:val="right"/>
              <w:ind w:right="89"/>
              <w:spacing w:after="0"/>
              <w:rPr>
                <w:sz w:val="20"/>
                <w:szCs w:val="20"/>
                <w:color w:val="auto"/>
              </w:rPr>
            </w:pPr>
            <w:r>
              <w:rPr>
                <w:rFonts w:ascii="Arial" w:cs="Arial" w:eastAsia="Arial" w:hAnsi="Arial"/>
                <w:sz w:val="12"/>
                <w:szCs w:val="12"/>
                <w:b w:val="1"/>
                <w:bCs w:val="1"/>
                <w:color w:val="5D89B4"/>
              </w:rPr>
              <w:t>IMPACT OF</w:t>
            </w:r>
          </w:p>
        </w:tc>
        <w:tc>
          <w:tcPr>
            <w:tcW w:w="540" w:type="dxa"/>
            <w:vAlign w:val="bottom"/>
            <w:shd w:val="clear" w:color="auto" w:fill="EAEAEA"/>
          </w:tcPr>
          <w:p>
            <w:pPr>
              <w:spacing w:after="0"/>
              <w:rPr>
                <w:sz w:val="10"/>
                <w:szCs w:val="10"/>
                <w:color w:val="auto"/>
              </w:rPr>
            </w:pPr>
          </w:p>
        </w:tc>
        <w:tc>
          <w:tcPr>
            <w:tcW w:w="100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980" w:type="dxa"/>
            <w:vAlign w:val="bottom"/>
            <w:shd w:val="clear" w:color="auto" w:fill="EAEAEA"/>
          </w:tcPr>
          <w:p>
            <w:pPr>
              <w:spacing w:after="0"/>
              <w:rPr>
                <w:sz w:val="10"/>
                <w:szCs w:val="10"/>
                <w:color w:val="auto"/>
              </w:rPr>
            </w:pPr>
          </w:p>
        </w:tc>
        <w:tc>
          <w:tcPr>
            <w:tcW w:w="300" w:type="dxa"/>
            <w:vAlign w:val="bottom"/>
            <w:shd w:val="clear" w:color="auto" w:fill="EAEAEA"/>
          </w:tcPr>
          <w:p>
            <w:pPr>
              <w:spacing w:after="0"/>
              <w:rPr>
                <w:sz w:val="10"/>
                <w:szCs w:val="10"/>
                <w:color w:val="auto"/>
              </w:rPr>
            </w:pPr>
          </w:p>
        </w:tc>
        <w:tc>
          <w:tcPr>
            <w:tcW w:w="860" w:type="dxa"/>
            <w:vAlign w:val="bottom"/>
            <w:vMerge w:val="continue"/>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1120" w:type="dxa"/>
            <w:vAlign w:val="bottom"/>
            <w:shd w:val="clear" w:color="auto" w:fill="EAEAEA"/>
          </w:tcPr>
          <w:p>
            <w:pPr>
              <w:jc w:val="right"/>
              <w:ind w:right="171"/>
              <w:spacing w:after="0" w:line="125" w:lineRule="exact"/>
              <w:rPr>
                <w:sz w:val="20"/>
                <w:szCs w:val="20"/>
                <w:color w:val="auto"/>
              </w:rPr>
            </w:pPr>
            <w:r>
              <w:rPr>
                <w:rFonts w:ascii="Arial" w:cs="Arial" w:eastAsia="Arial" w:hAnsi="Arial"/>
                <w:sz w:val="12"/>
                <w:szCs w:val="12"/>
                <w:b w:val="1"/>
                <w:bCs w:val="1"/>
                <w:color w:val="5D89B4"/>
              </w:rPr>
              <w:t>CALCULATED</w:t>
            </w:r>
          </w:p>
        </w:tc>
        <w:tc>
          <w:tcPr>
            <w:tcW w:w="0" w:type="dxa"/>
            <w:vAlign w:val="bottom"/>
          </w:tcPr>
          <w:p>
            <w:pPr>
              <w:spacing w:after="0"/>
              <w:rPr>
                <w:sz w:val="1"/>
                <w:szCs w:val="1"/>
                <w:color w:val="auto"/>
              </w:rPr>
            </w:pPr>
          </w:p>
        </w:tc>
      </w:tr>
      <w:tr>
        <w:trPr>
          <w:trHeight w:val="133"/>
        </w:trPr>
        <w:tc>
          <w:tcPr>
            <w:tcW w:w="1540" w:type="dxa"/>
            <w:vAlign w:val="bottom"/>
            <w:shd w:val="clear" w:color="auto" w:fill="EAEAEA"/>
          </w:tcPr>
          <w:p>
            <w:pPr>
              <w:spacing w:after="0"/>
              <w:rPr>
                <w:sz w:val="11"/>
                <w:szCs w:val="11"/>
                <w:color w:val="auto"/>
              </w:rPr>
            </w:pPr>
          </w:p>
        </w:tc>
        <w:tc>
          <w:tcPr>
            <w:tcW w:w="520" w:type="dxa"/>
            <w:vAlign w:val="bottom"/>
            <w:shd w:val="clear" w:color="auto" w:fill="EAEAEA"/>
          </w:tcPr>
          <w:p>
            <w:pPr>
              <w:spacing w:after="0"/>
              <w:rPr>
                <w:sz w:val="11"/>
                <w:szCs w:val="11"/>
                <w:color w:val="auto"/>
              </w:rPr>
            </w:pPr>
          </w:p>
        </w:tc>
        <w:tc>
          <w:tcPr>
            <w:tcW w:w="740" w:type="dxa"/>
            <w:vAlign w:val="bottom"/>
            <w:vMerge w:val="restart"/>
            <w:shd w:val="clear" w:color="auto" w:fill="EAEAEA"/>
          </w:tcPr>
          <w:p>
            <w:pPr>
              <w:jc w:val="right"/>
              <w:ind w:right="227"/>
              <w:spacing w:after="0"/>
              <w:rPr>
                <w:sz w:val="20"/>
                <w:szCs w:val="20"/>
                <w:color w:val="auto"/>
              </w:rPr>
            </w:pPr>
            <w:r>
              <w:rPr>
                <w:rFonts w:ascii="Arial" w:cs="Arial" w:eastAsia="Arial" w:hAnsi="Arial"/>
                <w:sz w:val="12"/>
                <w:szCs w:val="12"/>
                <w:b w:val="1"/>
                <w:bCs w:val="1"/>
                <w:color w:val="5D89B4"/>
              </w:rPr>
              <w:t>AS</w:t>
            </w:r>
          </w:p>
        </w:tc>
        <w:tc>
          <w:tcPr>
            <w:tcW w:w="1160" w:type="dxa"/>
            <w:vAlign w:val="bottom"/>
            <w:gridSpan w:val="2"/>
            <w:vMerge w:val="continue"/>
            <w:shd w:val="clear" w:color="auto" w:fill="EAEAEA"/>
          </w:tcPr>
          <w:p>
            <w:pPr>
              <w:spacing w:after="0"/>
              <w:rPr>
                <w:sz w:val="11"/>
                <w:szCs w:val="11"/>
                <w:color w:val="auto"/>
              </w:rPr>
            </w:pPr>
          </w:p>
        </w:tc>
        <w:tc>
          <w:tcPr>
            <w:tcW w:w="340" w:type="dxa"/>
            <w:vAlign w:val="bottom"/>
            <w:shd w:val="clear" w:color="auto" w:fill="EAEAEA"/>
          </w:tcPr>
          <w:p>
            <w:pPr>
              <w:spacing w:after="0"/>
              <w:rPr>
                <w:sz w:val="11"/>
                <w:szCs w:val="11"/>
                <w:color w:val="auto"/>
              </w:rPr>
            </w:pPr>
          </w:p>
        </w:tc>
        <w:tc>
          <w:tcPr>
            <w:tcW w:w="940" w:type="dxa"/>
            <w:vAlign w:val="bottom"/>
            <w:vMerge w:val="continue"/>
            <w:shd w:val="clear" w:color="auto" w:fill="EAEAEA"/>
          </w:tcPr>
          <w:p>
            <w:pPr>
              <w:spacing w:after="0"/>
              <w:rPr>
                <w:sz w:val="11"/>
                <w:szCs w:val="11"/>
                <w:color w:val="auto"/>
              </w:rPr>
            </w:pPr>
          </w:p>
        </w:tc>
        <w:tc>
          <w:tcPr>
            <w:tcW w:w="1540" w:type="dxa"/>
            <w:vAlign w:val="bottom"/>
            <w:gridSpan w:val="2"/>
            <w:vMerge w:val="restart"/>
            <w:shd w:val="clear" w:color="auto" w:fill="EAEAEA"/>
          </w:tcPr>
          <w:p>
            <w:pPr>
              <w:jc w:val="right"/>
              <w:ind w:right="227"/>
              <w:spacing w:after="0"/>
              <w:rPr>
                <w:sz w:val="20"/>
                <w:szCs w:val="20"/>
                <w:color w:val="auto"/>
              </w:rPr>
            </w:pPr>
            <w:r>
              <w:rPr>
                <w:rFonts w:ascii="Arial" w:cs="Arial" w:eastAsia="Arial" w:hAnsi="Arial"/>
                <w:sz w:val="12"/>
                <w:szCs w:val="12"/>
                <w:b w:val="1"/>
                <w:bCs w:val="1"/>
                <w:color w:val="5D89B4"/>
              </w:rPr>
              <w:t>RESTRUCTURING</w:t>
            </w:r>
          </w:p>
        </w:tc>
        <w:tc>
          <w:tcPr>
            <w:tcW w:w="260" w:type="dxa"/>
            <w:vAlign w:val="bottom"/>
            <w:shd w:val="clear" w:color="auto" w:fill="EAEAEA"/>
          </w:tcPr>
          <w:p>
            <w:pPr>
              <w:spacing w:after="0"/>
              <w:rPr>
                <w:sz w:val="11"/>
                <w:szCs w:val="11"/>
                <w:color w:val="auto"/>
              </w:rPr>
            </w:pPr>
          </w:p>
        </w:tc>
        <w:tc>
          <w:tcPr>
            <w:tcW w:w="980" w:type="dxa"/>
            <w:vAlign w:val="bottom"/>
            <w:vMerge w:val="restart"/>
            <w:shd w:val="clear" w:color="auto" w:fill="EAEAEA"/>
          </w:tcPr>
          <w:p>
            <w:pPr>
              <w:jc w:val="right"/>
              <w:ind w:right="227"/>
              <w:spacing w:after="0"/>
              <w:rPr>
                <w:sz w:val="20"/>
                <w:szCs w:val="20"/>
                <w:color w:val="auto"/>
              </w:rPr>
            </w:pPr>
            <w:r>
              <w:rPr>
                <w:rFonts w:ascii="Arial" w:cs="Arial" w:eastAsia="Arial" w:hAnsi="Arial"/>
                <w:sz w:val="12"/>
                <w:szCs w:val="12"/>
                <w:b w:val="1"/>
                <w:bCs w:val="1"/>
                <w:color w:val="5D89B4"/>
                <w:w w:val="99"/>
              </w:rPr>
              <w:t>GOODWILL</w:t>
            </w:r>
          </w:p>
        </w:tc>
        <w:tc>
          <w:tcPr>
            <w:tcW w:w="30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NON-</w:t>
            </w:r>
          </w:p>
        </w:tc>
        <w:tc>
          <w:tcPr>
            <w:tcW w:w="220" w:type="dxa"/>
            <w:vAlign w:val="bottom"/>
            <w:shd w:val="clear" w:color="auto" w:fill="EAEAEA"/>
          </w:tcPr>
          <w:p>
            <w:pPr>
              <w:spacing w:after="0"/>
              <w:rPr>
                <w:sz w:val="11"/>
                <w:szCs w:val="11"/>
                <w:color w:val="auto"/>
              </w:rPr>
            </w:pPr>
          </w:p>
        </w:tc>
        <w:tc>
          <w:tcPr>
            <w:tcW w:w="1120" w:type="dxa"/>
            <w:vAlign w:val="bottom"/>
            <w:shd w:val="clear" w:color="auto" w:fill="EAEAEA"/>
          </w:tcPr>
          <w:p>
            <w:pPr>
              <w:jc w:val="right"/>
              <w:ind w:right="171"/>
              <w:spacing w:after="0" w:line="134" w:lineRule="exact"/>
              <w:rPr>
                <w:sz w:val="20"/>
                <w:szCs w:val="20"/>
                <w:color w:val="auto"/>
              </w:rPr>
            </w:pPr>
            <w:r>
              <w:rPr>
                <w:rFonts w:ascii="Arial" w:cs="Arial" w:eastAsia="Arial" w:hAnsi="Arial"/>
                <w:sz w:val="12"/>
                <w:szCs w:val="12"/>
                <w:b w:val="1"/>
                <w:bCs w:val="1"/>
                <w:color w:val="5D89B4"/>
              </w:rPr>
              <w:t>UNDER</w:t>
            </w:r>
          </w:p>
        </w:tc>
        <w:tc>
          <w:tcPr>
            <w:tcW w:w="0" w:type="dxa"/>
            <w:vAlign w:val="bottom"/>
          </w:tcPr>
          <w:p>
            <w:pPr>
              <w:spacing w:after="0"/>
              <w:rPr>
                <w:sz w:val="1"/>
                <w:szCs w:val="1"/>
                <w:color w:val="auto"/>
              </w:rPr>
            </w:pPr>
          </w:p>
        </w:tc>
      </w:tr>
      <w:tr>
        <w:trPr>
          <w:trHeight w:val="133"/>
        </w:trPr>
        <w:tc>
          <w:tcPr>
            <w:tcW w:w="1540" w:type="dxa"/>
            <w:vAlign w:val="bottom"/>
            <w:shd w:val="clear" w:color="auto" w:fill="EAEAEA"/>
          </w:tcPr>
          <w:p>
            <w:pPr>
              <w:spacing w:after="0"/>
              <w:rPr>
                <w:sz w:val="11"/>
                <w:szCs w:val="11"/>
                <w:color w:val="auto"/>
              </w:rPr>
            </w:pPr>
          </w:p>
        </w:tc>
        <w:tc>
          <w:tcPr>
            <w:tcW w:w="520" w:type="dxa"/>
            <w:vAlign w:val="bottom"/>
            <w:shd w:val="clear" w:color="auto" w:fill="EAEAEA"/>
          </w:tcPr>
          <w:p>
            <w:pPr>
              <w:spacing w:after="0"/>
              <w:rPr>
                <w:sz w:val="11"/>
                <w:szCs w:val="11"/>
                <w:color w:val="auto"/>
              </w:rPr>
            </w:pPr>
          </w:p>
        </w:tc>
        <w:tc>
          <w:tcPr>
            <w:tcW w:w="740" w:type="dxa"/>
            <w:vAlign w:val="bottom"/>
            <w:vMerge w:val="continue"/>
            <w:shd w:val="clear" w:color="auto" w:fill="EAEAEA"/>
          </w:tcPr>
          <w:p>
            <w:pPr>
              <w:spacing w:after="0"/>
              <w:rPr>
                <w:sz w:val="11"/>
                <w:szCs w:val="11"/>
                <w:color w:val="auto"/>
              </w:rPr>
            </w:pPr>
          </w:p>
        </w:tc>
        <w:tc>
          <w:tcPr>
            <w:tcW w:w="1160" w:type="dxa"/>
            <w:vAlign w:val="bottom"/>
            <w:gridSpan w:val="2"/>
            <w:shd w:val="clear" w:color="auto" w:fill="EAEAEA"/>
          </w:tcPr>
          <w:p>
            <w:pPr>
              <w:jc w:val="right"/>
              <w:ind w:right="224"/>
              <w:spacing w:after="0" w:line="134" w:lineRule="exact"/>
              <w:rPr>
                <w:sz w:val="20"/>
                <w:szCs w:val="20"/>
                <w:color w:val="auto"/>
              </w:rPr>
            </w:pPr>
            <w:r>
              <w:rPr>
                <w:rFonts w:ascii="Arial" w:cs="Arial" w:eastAsia="Arial" w:hAnsi="Arial"/>
                <w:sz w:val="12"/>
                <w:szCs w:val="12"/>
                <w:b w:val="1"/>
                <w:bCs w:val="1"/>
                <w:color w:val="5D89B4"/>
              </w:rPr>
              <w:t>CONSTANT</w:t>
            </w:r>
          </w:p>
        </w:tc>
        <w:tc>
          <w:tcPr>
            <w:tcW w:w="340" w:type="dxa"/>
            <w:vAlign w:val="bottom"/>
            <w:shd w:val="clear" w:color="auto" w:fill="EAEAEA"/>
          </w:tcPr>
          <w:p>
            <w:pPr>
              <w:spacing w:after="0"/>
              <w:rPr>
                <w:sz w:val="11"/>
                <w:szCs w:val="11"/>
                <w:color w:val="auto"/>
              </w:rPr>
            </w:pPr>
          </w:p>
        </w:tc>
        <w:tc>
          <w:tcPr>
            <w:tcW w:w="940" w:type="dxa"/>
            <w:vAlign w:val="bottom"/>
            <w:shd w:val="clear" w:color="auto" w:fill="EAEAEA"/>
          </w:tcPr>
          <w:p>
            <w:pPr>
              <w:jc w:val="right"/>
              <w:ind w:right="89"/>
              <w:spacing w:after="0" w:line="134" w:lineRule="exact"/>
              <w:rPr>
                <w:sz w:val="20"/>
                <w:szCs w:val="20"/>
                <w:color w:val="auto"/>
              </w:rPr>
            </w:pPr>
            <w:r>
              <w:rPr>
                <w:rFonts w:ascii="Arial" w:cs="Arial" w:eastAsia="Arial" w:hAnsi="Arial"/>
                <w:sz w:val="12"/>
                <w:szCs w:val="12"/>
                <w:b w:val="1"/>
                <w:bCs w:val="1"/>
                <w:color w:val="5D89B4"/>
              </w:rPr>
              <w:t>SHARE</w:t>
            </w:r>
          </w:p>
        </w:tc>
        <w:tc>
          <w:tcPr>
            <w:tcW w:w="1540" w:type="dxa"/>
            <w:vAlign w:val="bottom"/>
            <w:gridSpan w:val="2"/>
            <w:vMerge w:val="continue"/>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980" w:type="dxa"/>
            <w:vAlign w:val="bottom"/>
            <w:vMerge w:val="continue"/>
            <w:shd w:val="clear" w:color="auto" w:fill="EAEAEA"/>
          </w:tcPr>
          <w:p>
            <w:pPr>
              <w:spacing w:after="0"/>
              <w:rPr>
                <w:sz w:val="11"/>
                <w:szCs w:val="11"/>
                <w:color w:val="auto"/>
              </w:rPr>
            </w:pPr>
          </w:p>
        </w:tc>
        <w:tc>
          <w:tcPr>
            <w:tcW w:w="1160" w:type="dxa"/>
            <w:vAlign w:val="bottom"/>
            <w:gridSpan w:val="2"/>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RECURRING</w:t>
            </w:r>
          </w:p>
        </w:tc>
        <w:tc>
          <w:tcPr>
            <w:tcW w:w="1340" w:type="dxa"/>
            <w:vAlign w:val="bottom"/>
            <w:gridSpan w:val="2"/>
            <w:shd w:val="clear" w:color="auto" w:fill="EAEAEA"/>
          </w:tcPr>
          <w:p>
            <w:pPr>
              <w:jc w:val="right"/>
              <w:ind w:right="171"/>
              <w:spacing w:after="0" w:line="134" w:lineRule="exact"/>
              <w:rPr>
                <w:sz w:val="20"/>
                <w:szCs w:val="20"/>
                <w:color w:val="auto"/>
              </w:rPr>
            </w:pPr>
            <w:r>
              <w:rPr>
                <w:rFonts w:ascii="Arial" w:cs="Arial" w:eastAsia="Arial" w:hAnsi="Arial"/>
                <w:sz w:val="12"/>
                <w:szCs w:val="12"/>
                <w:b w:val="1"/>
                <w:bCs w:val="1"/>
                <w:color w:val="5D89B4"/>
              </w:rPr>
              <w:t>COMPENSATION</w:t>
            </w:r>
          </w:p>
        </w:tc>
        <w:tc>
          <w:tcPr>
            <w:tcW w:w="0" w:type="dxa"/>
            <w:vAlign w:val="bottom"/>
          </w:tcPr>
          <w:p>
            <w:pPr>
              <w:spacing w:after="0"/>
              <w:rPr>
                <w:sz w:val="1"/>
                <w:szCs w:val="1"/>
                <w:color w:val="auto"/>
              </w:rPr>
            </w:pPr>
          </w:p>
        </w:tc>
      </w:tr>
      <w:tr>
        <w:trPr>
          <w:trHeight w:val="207"/>
        </w:trPr>
        <w:tc>
          <w:tcPr>
            <w:tcW w:w="1540" w:type="dxa"/>
            <w:vAlign w:val="bottom"/>
            <w:tcBorders>
              <w:bottom w:val="single" w:sz="8" w:color="EAEAEA"/>
            </w:tcBorders>
            <w:shd w:val="clear" w:color="auto" w:fill="EAEAEA"/>
          </w:tcPr>
          <w:p>
            <w:pPr>
              <w:spacing w:after="0"/>
              <w:rPr>
                <w:sz w:val="17"/>
                <w:szCs w:val="17"/>
                <w:color w:val="auto"/>
              </w:rPr>
            </w:pPr>
          </w:p>
        </w:tc>
        <w:tc>
          <w:tcPr>
            <w:tcW w:w="1260" w:type="dxa"/>
            <w:vAlign w:val="bottom"/>
            <w:tcBorders>
              <w:bottom w:val="single" w:sz="8" w:color="EAEAEA"/>
            </w:tcBorders>
            <w:gridSpan w:val="2"/>
            <w:shd w:val="clear" w:color="auto" w:fill="EAEAEA"/>
          </w:tcPr>
          <w:p>
            <w:pPr>
              <w:ind w:left="280"/>
              <w:spacing w:after="0"/>
              <w:rPr>
                <w:sz w:val="20"/>
                <w:szCs w:val="20"/>
                <w:color w:val="auto"/>
              </w:rPr>
            </w:pPr>
            <w:r>
              <w:rPr>
                <w:rFonts w:ascii="Arial" w:cs="Arial" w:eastAsia="Arial" w:hAnsi="Arial"/>
                <w:sz w:val="12"/>
                <w:szCs w:val="12"/>
                <w:b w:val="1"/>
                <w:bCs w:val="1"/>
                <w:color w:val="5D89B4"/>
              </w:rPr>
              <w:t>REPORTED</w:t>
            </w:r>
          </w:p>
        </w:tc>
        <w:tc>
          <w:tcPr>
            <w:tcW w:w="1160" w:type="dxa"/>
            <w:vAlign w:val="bottom"/>
            <w:tcBorders>
              <w:bottom w:val="single" w:sz="8" w:color="EAEAEA"/>
            </w:tcBorders>
            <w:gridSpan w:val="2"/>
            <w:shd w:val="clear" w:color="auto" w:fill="EAEAEA"/>
          </w:tcPr>
          <w:p>
            <w:pPr>
              <w:jc w:val="right"/>
              <w:ind w:right="224"/>
              <w:spacing w:after="0"/>
              <w:rPr>
                <w:sz w:val="20"/>
                <w:szCs w:val="20"/>
                <w:color w:val="auto"/>
              </w:rPr>
            </w:pPr>
            <w:r>
              <w:rPr>
                <w:rFonts w:ascii="Arial" w:cs="Arial" w:eastAsia="Arial" w:hAnsi="Arial"/>
                <w:sz w:val="12"/>
                <w:szCs w:val="12"/>
                <w:b w:val="1"/>
                <w:bCs w:val="1"/>
                <w:color w:val="5D89B4"/>
              </w:rPr>
              <w:t>CURRENCY</w:t>
            </w:r>
          </w:p>
        </w:tc>
        <w:tc>
          <w:tcPr>
            <w:tcW w:w="1280" w:type="dxa"/>
            <w:vAlign w:val="bottom"/>
            <w:tcBorders>
              <w:bottom w:val="single" w:sz="8" w:color="EAEAEA"/>
            </w:tcBorders>
            <w:gridSpan w:val="2"/>
            <w:shd w:val="clear" w:color="auto" w:fill="EAEAEA"/>
          </w:tcPr>
          <w:p>
            <w:pPr>
              <w:jc w:val="right"/>
              <w:ind w:right="89"/>
              <w:spacing w:after="0"/>
              <w:rPr>
                <w:sz w:val="20"/>
                <w:szCs w:val="20"/>
                <w:color w:val="auto"/>
              </w:rPr>
            </w:pPr>
            <w:r>
              <w:rPr>
                <w:rFonts w:ascii="Arial" w:cs="Arial" w:eastAsia="Arial" w:hAnsi="Arial"/>
                <w:sz w:val="12"/>
                <w:szCs w:val="12"/>
                <w:b w:val="1"/>
                <w:bCs w:val="1"/>
                <w:color w:val="5D89B4"/>
              </w:rPr>
              <w:t>REPURCHASES</w:t>
            </w:r>
          </w:p>
        </w:tc>
        <w:tc>
          <w:tcPr>
            <w:tcW w:w="540" w:type="dxa"/>
            <w:vAlign w:val="bottom"/>
            <w:tcBorders>
              <w:bottom w:val="single" w:sz="8" w:color="EAEAEA"/>
            </w:tcBorders>
            <w:shd w:val="clear" w:color="auto" w:fill="EAEAEA"/>
          </w:tcPr>
          <w:p>
            <w:pPr>
              <w:spacing w:after="0"/>
              <w:rPr>
                <w:sz w:val="17"/>
                <w:szCs w:val="17"/>
                <w:color w:val="auto"/>
              </w:rPr>
            </w:pPr>
          </w:p>
        </w:tc>
        <w:tc>
          <w:tcPr>
            <w:tcW w:w="1000" w:type="dxa"/>
            <w:vAlign w:val="bottom"/>
            <w:tcBorders>
              <w:bottom w:val="single" w:sz="8" w:color="EAEAEA"/>
            </w:tcBorders>
            <w:shd w:val="clear" w:color="auto" w:fill="EAEAEA"/>
          </w:tcPr>
          <w:p>
            <w:pPr>
              <w:jc w:val="right"/>
              <w:ind w:right="227"/>
              <w:spacing w:after="0"/>
              <w:rPr>
                <w:sz w:val="20"/>
                <w:szCs w:val="20"/>
                <w:color w:val="auto"/>
              </w:rPr>
            </w:pPr>
            <w:r>
              <w:rPr>
                <w:rFonts w:ascii="Arial" w:cs="Arial" w:eastAsia="Arial" w:hAnsi="Arial"/>
                <w:sz w:val="12"/>
                <w:szCs w:val="12"/>
                <w:b w:val="1"/>
                <w:bCs w:val="1"/>
                <w:color w:val="5D89B4"/>
              </w:rPr>
              <w:t>COSTS</w:t>
            </w:r>
          </w:p>
        </w:tc>
        <w:tc>
          <w:tcPr>
            <w:tcW w:w="1240" w:type="dxa"/>
            <w:vAlign w:val="bottom"/>
            <w:tcBorders>
              <w:bottom w:val="single" w:sz="8" w:color="EAEAEA"/>
            </w:tcBorders>
            <w:gridSpan w:val="2"/>
            <w:shd w:val="clear" w:color="auto" w:fill="EAEAEA"/>
          </w:tcPr>
          <w:p>
            <w:pPr>
              <w:jc w:val="right"/>
              <w:ind w:right="227"/>
              <w:spacing w:after="0"/>
              <w:rPr>
                <w:sz w:val="20"/>
                <w:szCs w:val="20"/>
                <w:color w:val="auto"/>
              </w:rPr>
            </w:pPr>
            <w:r>
              <w:rPr>
                <w:rFonts w:ascii="Arial" w:cs="Arial" w:eastAsia="Arial" w:hAnsi="Arial"/>
                <w:sz w:val="12"/>
                <w:szCs w:val="12"/>
                <w:b w:val="1"/>
                <w:bCs w:val="1"/>
                <w:color w:val="5D89B4"/>
              </w:rPr>
              <w:t>IMPAIRMENT</w:t>
            </w:r>
          </w:p>
        </w:tc>
        <w:tc>
          <w:tcPr>
            <w:tcW w:w="300" w:type="dxa"/>
            <w:vAlign w:val="bottom"/>
            <w:tcBorders>
              <w:bottom w:val="single" w:sz="8" w:color="EAEAEA"/>
            </w:tcBorders>
            <w:shd w:val="clear" w:color="auto" w:fill="EAEAEA"/>
          </w:tcPr>
          <w:p>
            <w:pPr>
              <w:spacing w:after="0"/>
              <w:rPr>
                <w:sz w:val="17"/>
                <w:szCs w:val="17"/>
                <w:color w:val="auto"/>
              </w:rPr>
            </w:pPr>
          </w:p>
        </w:tc>
        <w:tc>
          <w:tcPr>
            <w:tcW w:w="860" w:type="dxa"/>
            <w:vAlign w:val="bottom"/>
            <w:tcBorders>
              <w:bottom w:val="single" w:sz="8" w:color="EAEAEA"/>
            </w:tcBorders>
            <w:shd w:val="clear" w:color="auto" w:fill="EAEAEA"/>
          </w:tcPr>
          <w:p>
            <w:pPr>
              <w:jc w:val="right"/>
              <w:ind w:right="170"/>
              <w:spacing w:after="0"/>
              <w:rPr>
                <w:sz w:val="20"/>
                <w:szCs w:val="20"/>
                <w:color w:val="auto"/>
              </w:rPr>
            </w:pPr>
            <w:r>
              <w:rPr>
                <w:rFonts w:ascii="Arial" w:cs="Arial" w:eastAsia="Arial" w:hAnsi="Arial"/>
                <w:sz w:val="12"/>
                <w:szCs w:val="12"/>
                <w:b w:val="1"/>
                <w:bCs w:val="1"/>
                <w:color w:val="5D89B4"/>
              </w:rPr>
              <w:t>COSTS(1)</w:t>
            </w:r>
          </w:p>
        </w:tc>
        <w:tc>
          <w:tcPr>
            <w:tcW w:w="220" w:type="dxa"/>
            <w:vAlign w:val="bottom"/>
            <w:tcBorders>
              <w:bottom w:val="single" w:sz="8" w:color="EAEAEA"/>
            </w:tcBorders>
            <w:shd w:val="clear" w:color="auto" w:fill="EAEAEA"/>
          </w:tcPr>
          <w:p>
            <w:pPr>
              <w:spacing w:after="0"/>
              <w:rPr>
                <w:sz w:val="17"/>
                <w:szCs w:val="17"/>
                <w:color w:val="auto"/>
              </w:rPr>
            </w:pPr>
          </w:p>
        </w:tc>
        <w:tc>
          <w:tcPr>
            <w:tcW w:w="1120" w:type="dxa"/>
            <w:vAlign w:val="bottom"/>
            <w:tcBorders>
              <w:bottom w:val="single" w:sz="8" w:color="EAEAEA"/>
            </w:tcBorders>
            <w:shd w:val="clear" w:color="auto" w:fill="EAEAEA"/>
          </w:tcPr>
          <w:p>
            <w:pPr>
              <w:jc w:val="right"/>
              <w:ind w:right="171"/>
              <w:spacing w:after="0"/>
              <w:rPr>
                <w:sz w:val="20"/>
                <w:szCs w:val="20"/>
                <w:color w:val="auto"/>
              </w:rPr>
            </w:pPr>
            <w:r>
              <w:rPr>
                <w:rFonts w:ascii="Arial" w:cs="Arial" w:eastAsia="Arial" w:hAnsi="Arial"/>
                <w:sz w:val="12"/>
                <w:szCs w:val="12"/>
                <w:b w:val="1"/>
                <w:bCs w:val="1"/>
                <w:color w:val="5D89B4"/>
              </w:rPr>
              <w:t>PLANS</w:t>
            </w:r>
          </w:p>
        </w:tc>
        <w:tc>
          <w:tcPr>
            <w:tcW w:w="0" w:type="dxa"/>
            <w:vAlign w:val="bottom"/>
          </w:tcPr>
          <w:p>
            <w:pPr>
              <w:spacing w:after="0"/>
              <w:rPr>
                <w:sz w:val="1"/>
                <w:szCs w:val="1"/>
                <w:color w:val="auto"/>
              </w:rPr>
            </w:pPr>
          </w:p>
        </w:tc>
      </w:tr>
      <w:tr>
        <w:trPr>
          <w:trHeight w:val="252"/>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EPS</w:t>
            </w:r>
          </w:p>
        </w:tc>
        <w:tc>
          <w:tcPr>
            <w:tcW w:w="520" w:type="dxa"/>
            <w:vAlign w:val="bottom"/>
          </w:tcPr>
          <w:p>
            <w:pPr>
              <w:ind w:left="2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27"/>
              <w:spacing w:after="0"/>
              <w:rPr>
                <w:sz w:val="20"/>
                <w:szCs w:val="20"/>
                <w:color w:val="auto"/>
              </w:rPr>
            </w:pPr>
            <w:r>
              <w:rPr>
                <w:rFonts w:ascii="Arial" w:cs="Arial" w:eastAsia="Arial" w:hAnsi="Arial"/>
                <w:sz w:val="15"/>
                <w:szCs w:val="15"/>
                <w:color w:val="auto"/>
              </w:rPr>
              <w:t>1.76</w:t>
            </w:r>
          </w:p>
        </w:tc>
        <w:tc>
          <w:tcPr>
            <w:tcW w:w="420" w:type="dxa"/>
            <w:vAlign w:val="bottom"/>
          </w:tcPr>
          <w:p>
            <w:pPr>
              <w:jc w:val="right"/>
              <w:ind w:right="112"/>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24"/>
              <w:spacing w:after="0"/>
              <w:rPr>
                <w:sz w:val="20"/>
                <w:szCs w:val="20"/>
                <w:color w:val="auto"/>
              </w:rPr>
            </w:pPr>
            <w:r>
              <w:rPr>
                <w:rFonts w:ascii="Arial" w:cs="Arial" w:eastAsia="Arial" w:hAnsi="Arial"/>
                <w:sz w:val="15"/>
                <w:szCs w:val="15"/>
                <w:color w:val="auto"/>
              </w:rPr>
              <w:t>0.14</w:t>
            </w:r>
          </w:p>
        </w:tc>
        <w:tc>
          <w:tcPr>
            <w:tcW w:w="340" w:type="dxa"/>
            <w:vAlign w:val="bottom"/>
          </w:tcPr>
          <w:p>
            <w:pPr>
              <w:jc w:val="right"/>
              <w:ind w:right="31"/>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9"/>
              <w:spacing w:after="0"/>
              <w:rPr>
                <w:sz w:val="20"/>
                <w:szCs w:val="20"/>
                <w:color w:val="auto"/>
              </w:rPr>
            </w:pPr>
            <w:r>
              <w:rPr>
                <w:rFonts w:ascii="Arial" w:cs="Arial" w:eastAsia="Arial" w:hAnsi="Arial"/>
                <w:sz w:val="15"/>
                <w:szCs w:val="15"/>
                <w:color w:val="auto"/>
              </w:rPr>
              <w:t>0.02</w:t>
            </w:r>
          </w:p>
        </w:tc>
        <w:tc>
          <w:tcPr>
            <w:tcW w:w="540" w:type="dxa"/>
            <w:vAlign w:val="bottom"/>
          </w:tcPr>
          <w:p>
            <w:pPr>
              <w:jc w:val="right"/>
              <w:ind w:right="231"/>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27"/>
              <w:spacing w:after="0"/>
              <w:rPr>
                <w:sz w:val="20"/>
                <w:szCs w:val="20"/>
                <w:color w:val="auto"/>
              </w:rPr>
            </w:pPr>
            <w:r>
              <w:rPr>
                <w:rFonts w:ascii="Arial" w:cs="Arial" w:eastAsia="Arial" w:hAnsi="Arial"/>
                <w:sz w:val="15"/>
                <w:szCs w:val="15"/>
                <w:color w:val="auto"/>
              </w:rPr>
              <w:t>2.04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7"/>
              <w:spacing w:after="0"/>
              <w:rPr>
                <w:sz w:val="20"/>
                <w:szCs w:val="20"/>
                <w:color w:val="auto"/>
              </w:rPr>
            </w:pPr>
            <w:r>
              <w:rPr>
                <w:rFonts w:ascii="Arial" w:cs="Arial" w:eastAsia="Arial" w:hAnsi="Arial"/>
                <w:sz w:val="15"/>
                <w:szCs w:val="15"/>
                <w:color w:val="auto"/>
              </w:rPr>
              <w:t>1.03</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70"/>
              <w:spacing w:after="0"/>
              <w:rPr>
                <w:sz w:val="20"/>
                <w:szCs w:val="20"/>
                <w:color w:val="auto"/>
              </w:rPr>
            </w:pPr>
            <w:r>
              <w:rPr>
                <w:rFonts w:ascii="Arial" w:cs="Arial" w:eastAsia="Arial" w:hAnsi="Arial"/>
                <w:sz w:val="15"/>
                <w:szCs w:val="15"/>
                <w:color w:val="auto"/>
              </w:rPr>
              <w:t>0.40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71"/>
              <w:spacing w:after="0"/>
              <w:rPr>
                <w:sz w:val="20"/>
                <w:szCs w:val="20"/>
                <w:color w:val="auto"/>
              </w:rPr>
            </w:pPr>
            <w:r>
              <w:rPr>
                <w:rFonts w:ascii="Arial" w:cs="Arial" w:eastAsia="Arial" w:hAnsi="Arial"/>
                <w:sz w:val="15"/>
                <w:szCs w:val="15"/>
                <w:color w:val="auto"/>
              </w:rPr>
              <w:t>5.39</w:t>
            </w:r>
          </w:p>
        </w:tc>
        <w:tc>
          <w:tcPr>
            <w:tcW w:w="0" w:type="dxa"/>
            <w:vAlign w:val="bottom"/>
          </w:tcPr>
          <w:p>
            <w:pPr>
              <w:spacing w:after="0"/>
              <w:rPr>
                <w:sz w:val="1"/>
                <w:szCs w:val="1"/>
                <w:color w:val="auto"/>
              </w:rPr>
            </w:pPr>
          </w:p>
        </w:tc>
      </w:tr>
      <w:tr>
        <w:trPr>
          <w:trHeight w:val="41"/>
        </w:trPr>
        <w:tc>
          <w:tcPr>
            <w:tcW w:w="1540" w:type="dxa"/>
            <w:vAlign w:val="bottom"/>
            <w:tcBorders>
              <w:bottom w:val="single" w:sz="8" w:color="5D89B4"/>
            </w:tcBorders>
          </w:tcPr>
          <w:p>
            <w:pPr>
              <w:spacing w:after="0"/>
              <w:rPr>
                <w:sz w:val="3"/>
                <w:szCs w:val="3"/>
                <w:color w:val="auto"/>
              </w:rPr>
            </w:pPr>
          </w:p>
        </w:tc>
        <w:tc>
          <w:tcPr>
            <w:tcW w:w="5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4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100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30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22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ROIC</w:t>
            </w:r>
          </w:p>
        </w:tc>
        <w:tc>
          <w:tcPr>
            <w:tcW w:w="520" w:type="dxa"/>
            <w:vAlign w:val="bottom"/>
          </w:tcPr>
          <w:p>
            <w:pPr>
              <w:spacing w:after="0"/>
              <w:rPr>
                <w:sz w:val="20"/>
                <w:szCs w:val="20"/>
                <w:color w:val="auto"/>
              </w:rPr>
            </w:pP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4.9%</w:t>
            </w:r>
          </w:p>
        </w:tc>
        <w:tc>
          <w:tcPr>
            <w:tcW w:w="420" w:type="dxa"/>
            <w:vAlign w:val="bottom"/>
          </w:tcPr>
          <w:p>
            <w:pPr>
              <w:spacing w:after="0"/>
              <w:rPr>
                <w:sz w:val="20"/>
                <w:szCs w:val="20"/>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0.4%</w:t>
            </w:r>
          </w:p>
        </w:tc>
        <w:tc>
          <w:tcPr>
            <w:tcW w:w="340" w:type="dxa"/>
            <w:vAlign w:val="bottom"/>
          </w:tcPr>
          <w:p>
            <w:pPr>
              <w:spacing w:after="0"/>
              <w:rPr>
                <w:sz w:val="20"/>
                <w:szCs w:val="20"/>
                <w:color w:val="auto"/>
              </w:rPr>
            </w:pPr>
          </w:p>
        </w:tc>
        <w:tc>
          <w:tcPr>
            <w:tcW w:w="940" w:type="dxa"/>
            <w:vAlign w:val="bottom"/>
          </w:tcPr>
          <w:p>
            <w:pPr>
              <w:jc w:val="right"/>
              <w:ind w:right="89"/>
              <w:spacing w:after="0"/>
              <w:rPr>
                <w:sz w:val="20"/>
                <w:szCs w:val="20"/>
                <w:color w:val="auto"/>
              </w:rPr>
            </w:pPr>
            <w:r>
              <w:rPr>
                <w:rFonts w:ascii="Arial" w:cs="Arial" w:eastAsia="Arial" w:hAnsi="Arial"/>
                <w:sz w:val="15"/>
                <w:szCs w:val="15"/>
                <w:color w:val="auto"/>
              </w:rPr>
              <w:t>n/a</w:t>
            </w:r>
          </w:p>
        </w:tc>
        <w:tc>
          <w:tcPr>
            <w:tcW w:w="540" w:type="dxa"/>
            <w:vAlign w:val="bottom"/>
          </w:tcPr>
          <w:p>
            <w:pPr>
              <w:spacing w:after="0"/>
              <w:rPr>
                <w:sz w:val="20"/>
                <w:szCs w:val="20"/>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color w:val="auto"/>
              </w:rPr>
              <w:t>2.2%</w:t>
            </w:r>
          </w:p>
        </w:tc>
        <w:tc>
          <w:tcPr>
            <w:tcW w:w="260" w:type="dxa"/>
            <w:vAlign w:val="bottom"/>
          </w:tcPr>
          <w:p>
            <w:pPr>
              <w:spacing w:after="0"/>
              <w:rPr>
                <w:sz w:val="20"/>
                <w:szCs w:val="20"/>
                <w:color w:val="auto"/>
              </w:rPr>
            </w:pPr>
          </w:p>
        </w:tc>
        <w:tc>
          <w:tcPr>
            <w:tcW w:w="980" w:type="dxa"/>
            <w:vAlign w:val="bottom"/>
          </w:tcPr>
          <w:p>
            <w:pPr>
              <w:jc w:val="right"/>
              <w:ind w:right="87"/>
              <w:spacing w:after="0"/>
              <w:rPr>
                <w:sz w:val="20"/>
                <w:szCs w:val="20"/>
                <w:color w:val="auto"/>
              </w:rPr>
            </w:pPr>
            <w:r>
              <w:rPr>
                <w:rFonts w:ascii="Arial" w:cs="Arial" w:eastAsia="Arial" w:hAnsi="Arial"/>
                <w:sz w:val="15"/>
                <w:szCs w:val="15"/>
                <w:color w:val="auto"/>
              </w:rPr>
              <w:t>1.1%</w:t>
            </w:r>
          </w:p>
        </w:tc>
        <w:tc>
          <w:tcPr>
            <w:tcW w:w="3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5"/>
                <w:szCs w:val="15"/>
                <w:color w:val="auto"/>
              </w:rPr>
              <w:t>0.4%</w:t>
            </w:r>
          </w:p>
        </w:tc>
        <w:tc>
          <w:tcPr>
            <w:tcW w:w="2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41"/>
        </w:trPr>
        <w:tc>
          <w:tcPr>
            <w:tcW w:w="1540" w:type="dxa"/>
            <w:vAlign w:val="bottom"/>
            <w:tcBorders>
              <w:bottom w:val="single" w:sz="8" w:color="5D89B4"/>
            </w:tcBorders>
          </w:tcPr>
          <w:p>
            <w:pPr>
              <w:spacing w:after="0"/>
              <w:rPr>
                <w:sz w:val="3"/>
                <w:szCs w:val="3"/>
                <w:color w:val="auto"/>
              </w:rPr>
            </w:pPr>
          </w:p>
        </w:tc>
        <w:tc>
          <w:tcPr>
            <w:tcW w:w="5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4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100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30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22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Revenue (in billions)</w:t>
            </w:r>
          </w:p>
        </w:tc>
        <w:tc>
          <w:tcPr>
            <w:tcW w:w="520" w:type="dxa"/>
            <w:vAlign w:val="bottom"/>
          </w:tcPr>
          <w:p>
            <w:pPr>
              <w:ind w:left="28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27"/>
              <w:spacing w:after="0"/>
              <w:rPr>
                <w:sz w:val="20"/>
                <w:szCs w:val="20"/>
                <w:color w:val="auto"/>
              </w:rPr>
            </w:pPr>
            <w:r>
              <w:rPr>
                <w:rFonts w:ascii="Arial" w:cs="Arial" w:eastAsia="Arial" w:hAnsi="Arial"/>
                <w:sz w:val="15"/>
                <w:szCs w:val="15"/>
                <w:color w:val="auto"/>
              </w:rPr>
              <w:t>18.9</w:t>
            </w:r>
          </w:p>
        </w:tc>
        <w:tc>
          <w:tcPr>
            <w:tcW w:w="420" w:type="dxa"/>
            <w:vAlign w:val="bottom"/>
          </w:tcPr>
          <w:p>
            <w:pPr>
              <w:jc w:val="right"/>
              <w:ind w:right="112"/>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24"/>
              <w:spacing w:after="0"/>
              <w:rPr>
                <w:sz w:val="20"/>
                <w:szCs w:val="20"/>
                <w:color w:val="auto"/>
              </w:rPr>
            </w:pPr>
            <w:r>
              <w:rPr>
                <w:rFonts w:ascii="Arial" w:cs="Arial" w:eastAsia="Arial" w:hAnsi="Arial"/>
                <w:sz w:val="15"/>
                <w:szCs w:val="15"/>
                <w:color w:val="auto"/>
              </w:rPr>
              <w:t>0.1</w:t>
            </w:r>
          </w:p>
        </w:tc>
        <w:tc>
          <w:tcPr>
            <w:tcW w:w="340" w:type="dxa"/>
            <w:vAlign w:val="bottom"/>
          </w:tcPr>
          <w:p>
            <w:pPr>
              <w:spacing w:after="0"/>
              <w:rPr>
                <w:sz w:val="20"/>
                <w:szCs w:val="20"/>
                <w:color w:val="auto"/>
              </w:rPr>
            </w:pPr>
          </w:p>
        </w:tc>
        <w:tc>
          <w:tcPr>
            <w:tcW w:w="940" w:type="dxa"/>
            <w:vAlign w:val="bottom"/>
          </w:tcPr>
          <w:p>
            <w:pPr>
              <w:jc w:val="right"/>
              <w:ind w:right="89"/>
              <w:spacing w:after="0"/>
              <w:rPr>
                <w:sz w:val="20"/>
                <w:szCs w:val="20"/>
                <w:color w:val="auto"/>
              </w:rPr>
            </w:pPr>
            <w:r>
              <w:rPr>
                <w:rFonts w:ascii="Arial" w:cs="Arial" w:eastAsia="Arial" w:hAnsi="Arial"/>
                <w:sz w:val="15"/>
                <w:szCs w:val="15"/>
                <w:color w:val="auto"/>
              </w:rPr>
              <w:t>n/a</w:t>
            </w:r>
          </w:p>
        </w:tc>
        <w:tc>
          <w:tcPr>
            <w:tcW w:w="540" w:type="dxa"/>
            <w:vAlign w:val="bottom"/>
          </w:tcPr>
          <w:p>
            <w:pPr>
              <w:spacing w:after="0"/>
              <w:rPr>
                <w:sz w:val="20"/>
                <w:szCs w:val="20"/>
                <w:color w:val="auto"/>
              </w:rPr>
            </w:pPr>
          </w:p>
        </w:tc>
        <w:tc>
          <w:tcPr>
            <w:tcW w:w="1000" w:type="dxa"/>
            <w:vAlign w:val="bottom"/>
          </w:tcPr>
          <w:p>
            <w:pPr>
              <w:jc w:val="right"/>
              <w:ind w:right="227"/>
              <w:spacing w:after="0"/>
              <w:rPr>
                <w:sz w:val="20"/>
                <w:szCs w:val="20"/>
                <w:color w:val="auto"/>
              </w:rPr>
            </w:pPr>
            <w:r>
              <w:rPr>
                <w:rFonts w:ascii="Arial" w:cs="Arial" w:eastAsia="Arial" w:hAnsi="Arial"/>
                <w:sz w:val="15"/>
                <w:szCs w:val="15"/>
                <w:color w:val="auto"/>
              </w:rPr>
              <w:t>n/a</w:t>
            </w:r>
          </w:p>
        </w:tc>
        <w:tc>
          <w:tcPr>
            <w:tcW w:w="260" w:type="dxa"/>
            <w:vAlign w:val="bottom"/>
          </w:tcPr>
          <w:p>
            <w:pPr>
              <w:spacing w:after="0"/>
              <w:rPr>
                <w:sz w:val="20"/>
                <w:szCs w:val="20"/>
                <w:color w:val="auto"/>
              </w:rPr>
            </w:pPr>
          </w:p>
        </w:tc>
        <w:tc>
          <w:tcPr>
            <w:tcW w:w="980" w:type="dxa"/>
            <w:vAlign w:val="bottom"/>
          </w:tcPr>
          <w:p>
            <w:pPr>
              <w:jc w:val="right"/>
              <w:ind w:right="227"/>
              <w:spacing w:after="0"/>
              <w:rPr>
                <w:sz w:val="20"/>
                <w:szCs w:val="20"/>
                <w:color w:val="auto"/>
              </w:rPr>
            </w:pPr>
            <w:r>
              <w:rPr>
                <w:rFonts w:ascii="Arial" w:cs="Arial" w:eastAsia="Arial" w:hAnsi="Arial"/>
                <w:sz w:val="15"/>
                <w:szCs w:val="15"/>
                <w:color w:val="auto"/>
              </w:rPr>
              <w:t>n/a</w:t>
            </w:r>
          </w:p>
        </w:tc>
        <w:tc>
          <w:tcPr>
            <w:tcW w:w="30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71"/>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41"/>
        </w:trPr>
        <w:tc>
          <w:tcPr>
            <w:tcW w:w="1540" w:type="dxa"/>
            <w:vAlign w:val="bottom"/>
            <w:tcBorders>
              <w:bottom w:val="single" w:sz="8" w:color="5D89B4"/>
            </w:tcBorders>
          </w:tcPr>
          <w:p>
            <w:pPr>
              <w:spacing w:after="0"/>
              <w:rPr>
                <w:sz w:val="3"/>
                <w:szCs w:val="3"/>
                <w:color w:val="auto"/>
              </w:rPr>
            </w:pPr>
          </w:p>
        </w:tc>
        <w:tc>
          <w:tcPr>
            <w:tcW w:w="5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4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100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30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22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EBITA Margin</w:t>
            </w:r>
          </w:p>
        </w:tc>
        <w:tc>
          <w:tcPr>
            <w:tcW w:w="520" w:type="dxa"/>
            <w:vAlign w:val="bottom"/>
          </w:tcPr>
          <w:p>
            <w:pPr>
              <w:spacing w:after="0"/>
              <w:rPr>
                <w:sz w:val="17"/>
                <w:szCs w:val="17"/>
                <w:color w:val="auto"/>
              </w:rPr>
            </w:pPr>
          </w:p>
        </w:tc>
        <w:tc>
          <w:tcPr>
            <w:tcW w:w="740" w:type="dxa"/>
            <w:vAlign w:val="bottom"/>
            <w:vMerge w:val="restart"/>
          </w:tcPr>
          <w:p>
            <w:pPr>
              <w:jc w:val="right"/>
              <w:ind w:right="87"/>
              <w:spacing w:after="0"/>
              <w:rPr>
                <w:sz w:val="20"/>
                <w:szCs w:val="20"/>
                <w:color w:val="auto"/>
              </w:rPr>
            </w:pPr>
            <w:r>
              <w:rPr>
                <w:rFonts w:ascii="Arial" w:cs="Arial" w:eastAsia="Arial" w:hAnsi="Arial"/>
                <w:sz w:val="15"/>
                <w:szCs w:val="15"/>
                <w:color w:val="auto"/>
              </w:rPr>
              <w:t>1.54%</w:t>
            </w:r>
          </w:p>
        </w:tc>
        <w:tc>
          <w:tcPr>
            <w:tcW w:w="420" w:type="dxa"/>
            <w:vAlign w:val="bottom"/>
          </w:tcPr>
          <w:p>
            <w:pPr>
              <w:spacing w:after="0"/>
              <w:rPr>
                <w:sz w:val="17"/>
                <w:szCs w:val="17"/>
                <w:color w:val="auto"/>
              </w:rPr>
            </w:pPr>
          </w:p>
        </w:tc>
        <w:tc>
          <w:tcPr>
            <w:tcW w:w="740" w:type="dxa"/>
            <w:vAlign w:val="bottom"/>
            <w:vMerge w:val="restart"/>
          </w:tcPr>
          <w:p>
            <w:pPr>
              <w:jc w:val="right"/>
              <w:ind w:right="224"/>
              <w:spacing w:after="0"/>
              <w:rPr>
                <w:sz w:val="20"/>
                <w:szCs w:val="20"/>
                <w:color w:val="auto"/>
              </w:rPr>
            </w:pPr>
            <w:r>
              <w:rPr>
                <w:rFonts w:ascii="Arial" w:cs="Arial" w:eastAsia="Arial" w:hAnsi="Arial"/>
                <w:sz w:val="15"/>
                <w:szCs w:val="15"/>
                <w:color w:val="auto"/>
              </w:rPr>
              <w:t>n/a</w:t>
            </w:r>
          </w:p>
        </w:tc>
        <w:tc>
          <w:tcPr>
            <w:tcW w:w="340" w:type="dxa"/>
            <w:vAlign w:val="bottom"/>
          </w:tcPr>
          <w:p>
            <w:pPr>
              <w:spacing w:after="0"/>
              <w:rPr>
                <w:sz w:val="17"/>
                <w:szCs w:val="17"/>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5"/>
                <w:szCs w:val="15"/>
                <w:color w:val="auto"/>
              </w:rPr>
              <w:t>n/a</w:t>
            </w:r>
          </w:p>
        </w:tc>
        <w:tc>
          <w:tcPr>
            <w:tcW w:w="540" w:type="dxa"/>
            <w:vAlign w:val="bottom"/>
          </w:tcPr>
          <w:p>
            <w:pPr>
              <w:spacing w:after="0"/>
              <w:rPr>
                <w:sz w:val="17"/>
                <w:szCs w:val="17"/>
                <w:color w:val="auto"/>
              </w:rPr>
            </w:pPr>
          </w:p>
        </w:tc>
        <w:tc>
          <w:tcPr>
            <w:tcW w:w="1000" w:type="dxa"/>
            <w:vAlign w:val="bottom"/>
            <w:vMerge w:val="restart"/>
          </w:tcPr>
          <w:p>
            <w:pPr>
              <w:jc w:val="right"/>
              <w:ind w:right="87"/>
              <w:spacing w:after="0"/>
              <w:rPr>
                <w:sz w:val="20"/>
                <w:szCs w:val="20"/>
                <w:color w:val="auto"/>
              </w:rPr>
            </w:pPr>
            <w:r>
              <w:rPr>
                <w:rFonts w:ascii="Arial" w:cs="Arial" w:eastAsia="Arial" w:hAnsi="Arial"/>
                <w:sz w:val="15"/>
                <w:szCs w:val="15"/>
                <w:color w:val="auto"/>
              </w:rPr>
              <w:t>0.79%</w:t>
            </w:r>
          </w:p>
        </w:tc>
        <w:tc>
          <w:tcPr>
            <w:tcW w:w="260" w:type="dxa"/>
            <w:vAlign w:val="bottom"/>
          </w:tcPr>
          <w:p>
            <w:pPr>
              <w:spacing w:after="0"/>
              <w:rPr>
                <w:sz w:val="17"/>
                <w:szCs w:val="17"/>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5"/>
                <w:szCs w:val="15"/>
                <w:color w:val="auto"/>
              </w:rPr>
              <w:t>0.29%</w:t>
            </w:r>
          </w:p>
        </w:tc>
        <w:tc>
          <w:tcPr>
            <w:tcW w:w="300" w:type="dxa"/>
            <w:vAlign w:val="bottom"/>
          </w:tcPr>
          <w:p>
            <w:pPr>
              <w:spacing w:after="0"/>
              <w:rPr>
                <w:sz w:val="17"/>
                <w:szCs w:val="17"/>
                <w:color w:val="auto"/>
              </w:rPr>
            </w:pPr>
          </w:p>
        </w:tc>
        <w:tc>
          <w:tcPr>
            <w:tcW w:w="860" w:type="dxa"/>
            <w:vAlign w:val="bottom"/>
            <w:vMerge w:val="restart"/>
          </w:tcPr>
          <w:p>
            <w:pPr>
              <w:jc w:val="right"/>
              <w:ind w:right="17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20" w:type="dxa"/>
            <w:vAlign w:val="bottom"/>
            <w:vMerge w:val="restart"/>
          </w:tcPr>
          <w:p>
            <w:pPr>
              <w:jc w:val="right"/>
              <w:ind w:right="31"/>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195"/>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540" w:type="dxa"/>
            <w:vAlign w:val="bottom"/>
            <w:tcBorders>
              <w:bottom w:val="single" w:sz="8" w:color="5D89B4"/>
            </w:tcBorders>
          </w:tcPr>
          <w:p>
            <w:pPr>
              <w:spacing w:after="0"/>
              <w:rPr>
                <w:sz w:val="3"/>
                <w:szCs w:val="3"/>
                <w:color w:val="auto"/>
              </w:rPr>
            </w:pPr>
          </w:p>
        </w:tc>
        <w:tc>
          <w:tcPr>
            <w:tcW w:w="5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42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100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30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22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780" w:right="140" w:hanging="424"/>
        <w:spacing w:after="0" w:line="252" w:lineRule="auto"/>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EPS and ROIC excludes the non-cash currency translation loss related to our Argentina business, which is required to be treated as a hyperinflationary economy. The impact resulted in an increase to EPS of $0.26 and ROIC of 0.3%. Other non-recurring adjustments also resulted in an increase to EPS of $0.03 related to the impact of the sale of our Philippine business that was completed in the third quarter of 2023. The impact of the sale had a minimal impact on Revenue and EBITA Margin Percent. EPS and ROIC also excludes a pension impairment, which resulted in an increase to EPS of $0.11 and ROIC of 0.1%.</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5D89B4"/>
        </w:rPr>
        <w:t>CEO Compensation was Below Target, Aligned with Company Performance</w:t>
      </w:r>
    </w:p>
    <w:p>
      <w:pPr>
        <w:spacing w:after="0" w:line="106" w:lineRule="exact"/>
        <w:rPr>
          <w:sz w:val="20"/>
          <w:szCs w:val="20"/>
          <w:color w:val="auto"/>
        </w:rPr>
      </w:pPr>
    </w:p>
    <w:p>
      <w:pPr>
        <w:ind w:left="360" w:right="20"/>
        <w:spacing w:after="0" w:line="280" w:lineRule="auto"/>
        <w:rPr>
          <w:sz w:val="20"/>
          <w:szCs w:val="20"/>
          <w:color w:val="auto"/>
        </w:rPr>
      </w:pPr>
      <w:r>
        <w:rPr>
          <w:rFonts w:ascii="Arial" w:cs="Arial" w:eastAsia="Arial" w:hAnsi="Arial"/>
          <w:sz w:val="14"/>
          <w:szCs w:val="14"/>
          <w:color w:val="auto"/>
        </w:rPr>
        <w:t>We remain committed to performance-based compensation. Approximately 60% of Mr. Prising’s 2023 target compensation was tied to Company performance and 90% of his total pay was variable. The discussion below highlights each component of Mr. Prising’s compensation in 2023.</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4"/>
          <w:szCs w:val="14"/>
          <w:color w:val="5D89B4"/>
        </w:rPr>
        <w:t xml:space="preserve">Base Salary: </w:t>
      </w:r>
      <w:r>
        <w:rPr>
          <w:rFonts w:ascii="Arial" w:cs="Arial" w:eastAsia="Arial" w:hAnsi="Arial"/>
          <w:sz w:val="14"/>
          <w:szCs w:val="14"/>
          <w:color w:val="000000"/>
        </w:rPr>
        <w:t>The Committee determined Mr. Prising’s base salary for 2023 to be $1,300,000, an increase from $1,250,000 in 2022. This was the first increase to</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Mr. Prising’s base salary since 2017. The Committee determined an increase for 2023 was appropriate to better align Mr. Prising’s salary with the competitive market.</w:t>
      </w:r>
    </w:p>
    <w:p>
      <w:pPr>
        <w:spacing w:after="0" w:line="199" w:lineRule="exact"/>
        <w:rPr>
          <w:sz w:val="20"/>
          <w:szCs w:val="20"/>
          <w:color w:val="auto"/>
        </w:rPr>
      </w:pPr>
    </w:p>
    <w:p>
      <w:pPr>
        <w:ind w:left="360" w:right="40"/>
        <w:spacing w:after="0" w:line="259" w:lineRule="auto"/>
        <w:rPr>
          <w:sz w:val="20"/>
          <w:szCs w:val="20"/>
          <w:color w:val="auto"/>
        </w:rPr>
      </w:pPr>
      <w:r>
        <w:rPr>
          <w:rFonts w:ascii="Arial" w:cs="Arial" w:eastAsia="Arial" w:hAnsi="Arial"/>
          <w:sz w:val="14"/>
          <w:szCs w:val="14"/>
          <w:color w:val="5D89B4"/>
        </w:rPr>
        <w:t xml:space="preserve">Annual Cash Incentive: Payout was Approximately 35% of Target. </w:t>
      </w:r>
      <w:r>
        <w:rPr>
          <w:rFonts w:ascii="Arial" w:cs="Arial" w:eastAsia="Arial" w:hAnsi="Arial"/>
          <w:sz w:val="14"/>
          <w:szCs w:val="14"/>
          <w:color w:val="000000"/>
        </w:rPr>
        <w:t>The EPS and ROIC financial metrics set by the Committee for the 2023 annual incentive were below</w:t>
      </w:r>
      <w:r>
        <w:rPr>
          <w:rFonts w:ascii="Arial" w:cs="Arial" w:eastAsia="Arial" w:hAnsi="Arial"/>
          <w:sz w:val="14"/>
          <w:szCs w:val="14"/>
          <w:color w:val="5D89B4"/>
        </w:rPr>
        <w:t xml:space="preserve"> </w:t>
      </w:r>
      <w:r>
        <w:rPr>
          <w:rFonts w:ascii="Arial" w:cs="Arial" w:eastAsia="Arial" w:hAnsi="Arial"/>
          <w:sz w:val="14"/>
          <w:szCs w:val="14"/>
          <w:color w:val="000000"/>
        </w:rPr>
        <w:t>the threshold level, and Revenue was between the threshold and target levels, as shown below. In light of this, and the Committee’s assessment of Mr. Prising’s achievement of his individual Strategic KPIs and ESG Goals as CEO, his annual cash incentive payout was 35% of target.</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8"/>
        </w:trPr>
        <w:tc>
          <w:tcPr>
            <w:tcW w:w="6820" w:type="dxa"/>
            <w:vAlign w:val="bottom"/>
            <w:shd w:val="clear" w:color="auto" w:fill="EAEAEA"/>
          </w:tcPr>
          <w:p>
            <w:pPr>
              <w:spacing w:after="0"/>
              <w:rPr>
                <w:sz w:val="18"/>
                <w:szCs w:val="18"/>
                <w:color w:val="auto"/>
              </w:rPr>
            </w:pPr>
          </w:p>
        </w:tc>
        <w:tc>
          <w:tcPr>
            <w:tcW w:w="2060" w:type="dxa"/>
            <w:vAlign w:val="bottom"/>
            <w:shd w:val="clear" w:color="auto" w:fill="EAEAEA"/>
          </w:tcPr>
          <w:p>
            <w:pPr>
              <w:jc w:val="right"/>
              <w:ind w:right="286"/>
              <w:spacing w:after="0"/>
              <w:rPr>
                <w:sz w:val="20"/>
                <w:szCs w:val="20"/>
                <w:color w:val="auto"/>
              </w:rPr>
            </w:pPr>
            <w:r>
              <w:rPr>
                <w:rFonts w:ascii="Arial" w:cs="Arial" w:eastAsia="Arial" w:hAnsi="Arial"/>
                <w:sz w:val="14"/>
                <w:szCs w:val="14"/>
                <w:b w:val="1"/>
                <w:bCs w:val="1"/>
                <w:color w:val="5D89B4"/>
              </w:rPr>
              <w:t>2023 ACTUAL</w:t>
            </w:r>
          </w:p>
        </w:tc>
        <w:tc>
          <w:tcPr>
            <w:tcW w:w="1640" w:type="dxa"/>
            <w:vAlign w:val="bottom"/>
            <w:shd w:val="clear" w:color="auto" w:fill="EAEAEA"/>
          </w:tcPr>
          <w:p>
            <w:pPr>
              <w:jc w:val="right"/>
              <w:ind w:right="206"/>
              <w:spacing w:after="0"/>
              <w:rPr>
                <w:sz w:val="20"/>
                <w:szCs w:val="20"/>
                <w:color w:val="auto"/>
              </w:rPr>
            </w:pPr>
            <w:r>
              <w:rPr>
                <w:rFonts w:ascii="Arial" w:cs="Arial" w:eastAsia="Arial" w:hAnsi="Arial"/>
                <w:sz w:val="14"/>
                <w:szCs w:val="14"/>
                <w:b w:val="1"/>
                <w:bCs w:val="1"/>
                <w:color w:val="5D89B4"/>
              </w:rPr>
              <w:t>% COMPARED</w:t>
            </w:r>
          </w:p>
        </w:tc>
      </w:tr>
      <w:tr>
        <w:trPr>
          <w:trHeight w:val="216"/>
        </w:trPr>
        <w:tc>
          <w:tcPr>
            <w:tcW w:w="6820" w:type="dxa"/>
            <w:vAlign w:val="bottom"/>
            <w:tcBorders>
              <w:bottom w:val="single" w:sz="8" w:color="EAEAEA"/>
            </w:tcBorders>
            <w:shd w:val="clear" w:color="auto" w:fill="EAEAEA"/>
          </w:tcPr>
          <w:p>
            <w:pPr>
              <w:spacing w:after="0"/>
              <w:rPr>
                <w:sz w:val="18"/>
                <w:szCs w:val="18"/>
                <w:color w:val="auto"/>
              </w:rPr>
            </w:pPr>
          </w:p>
        </w:tc>
        <w:tc>
          <w:tcPr>
            <w:tcW w:w="2060" w:type="dxa"/>
            <w:vAlign w:val="bottom"/>
            <w:tcBorders>
              <w:bottom w:val="single" w:sz="8" w:color="EAEAEA"/>
            </w:tcBorders>
            <w:shd w:val="clear" w:color="auto" w:fill="EAEAEA"/>
          </w:tcPr>
          <w:p>
            <w:pPr>
              <w:jc w:val="right"/>
              <w:ind w:right="286"/>
              <w:spacing w:after="0"/>
              <w:rPr>
                <w:sz w:val="20"/>
                <w:szCs w:val="20"/>
                <w:color w:val="auto"/>
              </w:rPr>
            </w:pPr>
            <w:r>
              <w:rPr>
                <w:rFonts w:ascii="Arial" w:cs="Arial" w:eastAsia="Arial" w:hAnsi="Arial"/>
                <w:sz w:val="14"/>
                <w:szCs w:val="14"/>
                <w:b w:val="1"/>
                <w:bCs w:val="1"/>
                <w:color w:val="5D89B4"/>
              </w:rPr>
              <w:t>PAYOUT $</w:t>
            </w:r>
          </w:p>
        </w:tc>
        <w:tc>
          <w:tcPr>
            <w:tcW w:w="1640" w:type="dxa"/>
            <w:vAlign w:val="bottom"/>
            <w:tcBorders>
              <w:bottom w:val="single" w:sz="8" w:color="EAEAEA"/>
            </w:tcBorders>
            <w:shd w:val="clear" w:color="auto" w:fill="EAEAEA"/>
          </w:tcPr>
          <w:p>
            <w:pPr>
              <w:jc w:val="right"/>
              <w:ind w:right="206"/>
              <w:spacing w:after="0"/>
              <w:rPr>
                <w:sz w:val="20"/>
                <w:szCs w:val="20"/>
                <w:color w:val="auto"/>
              </w:rPr>
            </w:pPr>
            <w:r>
              <w:rPr>
                <w:rFonts w:ascii="Arial" w:cs="Arial" w:eastAsia="Arial" w:hAnsi="Arial"/>
                <w:sz w:val="14"/>
                <w:szCs w:val="14"/>
                <w:b w:val="1"/>
                <w:bCs w:val="1"/>
                <w:color w:val="5D89B4"/>
              </w:rPr>
              <w:t>TO TARGET</w:t>
            </w:r>
          </w:p>
        </w:tc>
      </w:tr>
      <w:tr>
        <w:trPr>
          <w:trHeight w:val="252"/>
        </w:trPr>
        <w:tc>
          <w:tcPr>
            <w:tcW w:w="6820" w:type="dxa"/>
            <w:vAlign w:val="bottom"/>
          </w:tcPr>
          <w:p>
            <w:pPr>
              <w:ind w:left="80"/>
              <w:spacing w:after="0"/>
              <w:rPr>
                <w:sz w:val="20"/>
                <w:szCs w:val="20"/>
                <w:color w:val="auto"/>
              </w:rPr>
            </w:pPr>
            <w:r>
              <w:rPr>
                <w:rFonts w:ascii="Arial" w:cs="Arial" w:eastAsia="Arial" w:hAnsi="Arial"/>
                <w:sz w:val="14"/>
                <w:szCs w:val="14"/>
                <w:b w:val="1"/>
                <w:bCs w:val="1"/>
                <w:color w:val="auto"/>
              </w:rPr>
              <w:t>EPS Goal</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0</w:t>
            </w:r>
          </w:p>
        </w:tc>
        <w:tc>
          <w:tcPr>
            <w:tcW w:w="1640" w:type="dxa"/>
            <w:vAlign w:val="bottom"/>
          </w:tcPr>
          <w:p>
            <w:pPr>
              <w:jc w:val="right"/>
              <w:ind w:right="86"/>
              <w:spacing w:after="0"/>
              <w:rPr>
                <w:sz w:val="20"/>
                <w:szCs w:val="20"/>
                <w:color w:val="auto"/>
              </w:rPr>
            </w:pPr>
            <w:r>
              <w:rPr>
                <w:rFonts w:ascii="Arial" w:cs="Arial" w:eastAsia="Arial" w:hAnsi="Arial"/>
                <w:sz w:val="15"/>
                <w:szCs w:val="15"/>
                <w:color w:val="auto"/>
              </w:rPr>
              <w:t>0.0%</w:t>
            </w:r>
          </w:p>
        </w:tc>
      </w:tr>
      <w:tr>
        <w:trPr>
          <w:trHeight w:val="41"/>
        </w:trPr>
        <w:tc>
          <w:tcPr>
            <w:tcW w:w="682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r>
      <w:tr>
        <w:trPr>
          <w:trHeight w:val="232"/>
        </w:trPr>
        <w:tc>
          <w:tcPr>
            <w:tcW w:w="6820" w:type="dxa"/>
            <w:vAlign w:val="bottom"/>
          </w:tcPr>
          <w:p>
            <w:pPr>
              <w:ind w:left="80"/>
              <w:spacing w:after="0"/>
              <w:rPr>
                <w:sz w:val="20"/>
                <w:szCs w:val="20"/>
                <w:color w:val="auto"/>
              </w:rPr>
            </w:pPr>
            <w:r>
              <w:rPr>
                <w:rFonts w:ascii="Arial" w:cs="Arial" w:eastAsia="Arial" w:hAnsi="Arial"/>
                <w:sz w:val="14"/>
                <w:szCs w:val="14"/>
                <w:b w:val="1"/>
                <w:bCs w:val="1"/>
                <w:color w:val="auto"/>
              </w:rPr>
              <w:t>ROIC Goal</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0</w:t>
            </w:r>
          </w:p>
        </w:tc>
        <w:tc>
          <w:tcPr>
            <w:tcW w:w="1640" w:type="dxa"/>
            <w:vAlign w:val="bottom"/>
          </w:tcPr>
          <w:p>
            <w:pPr>
              <w:jc w:val="right"/>
              <w:ind w:right="86"/>
              <w:spacing w:after="0"/>
              <w:rPr>
                <w:sz w:val="20"/>
                <w:szCs w:val="20"/>
                <w:color w:val="auto"/>
              </w:rPr>
            </w:pPr>
            <w:r>
              <w:rPr>
                <w:rFonts w:ascii="Arial" w:cs="Arial" w:eastAsia="Arial" w:hAnsi="Arial"/>
                <w:sz w:val="15"/>
                <w:szCs w:val="15"/>
                <w:color w:val="auto"/>
              </w:rPr>
              <w:t>0.0%</w:t>
            </w:r>
          </w:p>
        </w:tc>
      </w:tr>
      <w:tr>
        <w:trPr>
          <w:trHeight w:val="41"/>
        </w:trPr>
        <w:tc>
          <w:tcPr>
            <w:tcW w:w="682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r>
      <w:tr>
        <w:trPr>
          <w:trHeight w:val="232"/>
        </w:trPr>
        <w:tc>
          <w:tcPr>
            <w:tcW w:w="6820" w:type="dxa"/>
            <w:vAlign w:val="bottom"/>
          </w:tcPr>
          <w:p>
            <w:pPr>
              <w:ind w:left="80"/>
              <w:spacing w:after="0"/>
              <w:rPr>
                <w:sz w:val="20"/>
                <w:szCs w:val="20"/>
                <w:color w:val="auto"/>
              </w:rPr>
            </w:pPr>
            <w:r>
              <w:rPr>
                <w:rFonts w:ascii="Arial" w:cs="Arial" w:eastAsia="Arial" w:hAnsi="Arial"/>
                <w:sz w:val="14"/>
                <w:szCs w:val="14"/>
                <w:b w:val="1"/>
                <w:bCs w:val="1"/>
                <w:color w:val="auto"/>
              </w:rPr>
              <w:t>Revenue Goal</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184,167</w:t>
            </w:r>
          </w:p>
        </w:tc>
        <w:tc>
          <w:tcPr>
            <w:tcW w:w="1640" w:type="dxa"/>
            <w:vAlign w:val="bottom"/>
          </w:tcPr>
          <w:p>
            <w:pPr>
              <w:jc w:val="right"/>
              <w:ind w:right="86"/>
              <w:spacing w:after="0"/>
              <w:rPr>
                <w:sz w:val="20"/>
                <w:szCs w:val="20"/>
                <w:color w:val="auto"/>
              </w:rPr>
            </w:pPr>
            <w:r>
              <w:rPr>
                <w:rFonts w:ascii="Arial" w:cs="Arial" w:eastAsia="Arial" w:hAnsi="Arial"/>
                <w:sz w:val="15"/>
                <w:szCs w:val="15"/>
                <w:color w:val="auto"/>
              </w:rPr>
              <w:t>44.2%</w:t>
            </w:r>
          </w:p>
        </w:tc>
      </w:tr>
      <w:tr>
        <w:trPr>
          <w:trHeight w:val="41"/>
        </w:trPr>
        <w:tc>
          <w:tcPr>
            <w:tcW w:w="682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r>
      <w:tr>
        <w:trPr>
          <w:trHeight w:val="232"/>
        </w:trPr>
        <w:tc>
          <w:tcPr>
            <w:tcW w:w="6820" w:type="dxa"/>
            <w:vAlign w:val="bottom"/>
          </w:tcPr>
          <w:p>
            <w:pPr>
              <w:ind w:left="80"/>
              <w:spacing w:after="0"/>
              <w:rPr>
                <w:sz w:val="20"/>
                <w:szCs w:val="20"/>
                <w:color w:val="auto"/>
              </w:rPr>
            </w:pPr>
            <w:r>
              <w:rPr>
                <w:rFonts w:ascii="Arial" w:cs="Arial" w:eastAsia="Arial" w:hAnsi="Arial"/>
                <w:sz w:val="14"/>
                <w:szCs w:val="14"/>
                <w:b w:val="1"/>
                <w:bCs w:val="1"/>
                <w:color w:val="auto"/>
              </w:rPr>
              <w:t>Strategic KPIs and ESG Goals</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542,880</w:t>
            </w:r>
          </w:p>
        </w:tc>
        <w:tc>
          <w:tcPr>
            <w:tcW w:w="1640" w:type="dxa"/>
            <w:vAlign w:val="bottom"/>
          </w:tcPr>
          <w:p>
            <w:pPr>
              <w:jc w:val="right"/>
              <w:ind w:right="86"/>
              <w:spacing w:after="0"/>
              <w:rPr>
                <w:sz w:val="20"/>
                <w:szCs w:val="20"/>
                <w:color w:val="auto"/>
              </w:rPr>
            </w:pPr>
            <w:r>
              <w:rPr>
                <w:rFonts w:ascii="Arial" w:cs="Arial" w:eastAsia="Arial" w:hAnsi="Arial"/>
                <w:sz w:val="15"/>
                <w:szCs w:val="15"/>
                <w:color w:val="auto"/>
              </w:rPr>
              <w:t>87.0%</w:t>
            </w:r>
          </w:p>
        </w:tc>
      </w:tr>
      <w:tr>
        <w:trPr>
          <w:trHeight w:val="41"/>
        </w:trPr>
        <w:tc>
          <w:tcPr>
            <w:tcW w:w="682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r>
      <w:tr>
        <w:trPr>
          <w:trHeight w:val="232"/>
        </w:trPr>
        <w:tc>
          <w:tcPr>
            <w:tcW w:w="682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727,047</w:t>
            </w:r>
          </w:p>
        </w:tc>
        <w:tc>
          <w:tcPr>
            <w:tcW w:w="1640" w:type="dxa"/>
            <w:vAlign w:val="bottom"/>
          </w:tcPr>
          <w:p>
            <w:pPr>
              <w:jc w:val="right"/>
              <w:ind w:right="86"/>
              <w:spacing w:after="0"/>
              <w:rPr>
                <w:sz w:val="20"/>
                <w:szCs w:val="20"/>
                <w:color w:val="auto"/>
              </w:rPr>
            </w:pPr>
            <w:r>
              <w:rPr>
                <w:rFonts w:ascii="Arial" w:cs="Arial" w:eastAsia="Arial" w:hAnsi="Arial"/>
                <w:sz w:val="15"/>
                <w:szCs w:val="15"/>
                <w:color w:val="auto"/>
              </w:rPr>
              <w:t>35.0%</w:t>
            </w:r>
          </w:p>
        </w:tc>
      </w:tr>
      <w:tr>
        <w:trPr>
          <w:trHeight w:val="41"/>
        </w:trPr>
        <w:tc>
          <w:tcPr>
            <w:tcW w:w="682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r>
    </w:tbl>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color w:val="5D89B4"/>
        </w:rPr>
        <w:t xml:space="preserve">Long-Term Equity Awards. </w:t>
      </w:r>
      <w:r>
        <w:rPr>
          <w:rFonts w:ascii="Arial" w:cs="Arial" w:eastAsia="Arial" w:hAnsi="Arial"/>
          <w:sz w:val="14"/>
          <w:szCs w:val="14"/>
          <w:color w:val="000000"/>
        </w:rPr>
        <w:t>In 2023, Mr. Prising received two types of long-term equity grants as part of his regular compensation:</w:t>
      </w:r>
    </w:p>
    <w:p>
      <w:pPr>
        <w:spacing w:after="0" w:line="71" w:lineRule="exact"/>
        <w:rPr>
          <w:sz w:val="20"/>
          <w:szCs w:val="20"/>
          <w:color w:val="auto"/>
        </w:rPr>
      </w:pPr>
    </w:p>
    <w:p>
      <w:pPr>
        <w:ind w:left="540" w:hanging="184"/>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Approximately 60% comprised an annual grant of PSUs that will vest over three years based on EBITA Margin Percent goals.</w:t>
      </w:r>
    </w:p>
    <w:p>
      <w:pPr>
        <w:spacing w:after="0" w:line="67" w:lineRule="exact"/>
        <w:rPr>
          <w:rFonts w:ascii="Arial" w:cs="Arial" w:eastAsia="Arial" w:hAnsi="Arial"/>
          <w:sz w:val="15"/>
          <w:szCs w:val="15"/>
          <w:color w:val="auto"/>
        </w:rPr>
      </w:pPr>
    </w:p>
    <w:p>
      <w:pPr>
        <w:ind w:left="540" w:hanging="184"/>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Approximately 40% were restricted stock units (“RSUs”) that cliff vest in full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223520</wp:posOffset>
            </wp:positionV>
            <wp:extent cx="69138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880"/>
          </w:cols>
          <w:pgMar w:left="320" w:top="480" w:right="6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D89B4"/>
        </w:rPr>
        <w:t>Key Compensation Practices</w:t>
      </w:r>
    </w:p>
    <w:p>
      <w:pPr>
        <w:spacing w:after="0" w:line="213" w:lineRule="exact"/>
        <w:rPr>
          <w:sz w:val="20"/>
          <w:szCs w:val="20"/>
          <w:color w:val="auto"/>
        </w:rPr>
      </w:pPr>
    </w:p>
    <w:p>
      <w:pPr>
        <w:ind w:left="340" w:right="920"/>
        <w:spacing w:after="0" w:line="280" w:lineRule="auto"/>
        <w:rPr>
          <w:sz w:val="20"/>
          <w:szCs w:val="20"/>
          <w:color w:val="auto"/>
        </w:rPr>
      </w:pPr>
      <w:r>
        <w:rPr>
          <w:rFonts w:ascii="Arial" w:cs="Arial" w:eastAsia="Arial" w:hAnsi="Arial"/>
          <w:sz w:val="14"/>
          <w:szCs w:val="14"/>
          <w:color w:val="auto"/>
        </w:rPr>
        <w:t>The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123190</wp:posOffset>
            </wp:positionV>
            <wp:extent cx="6913880" cy="44227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13880" cy="442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5D89B4"/>
        </w:rPr>
        <w:t>ManpowerGroup Compensation Principles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Company’s executive compensation framework is guided by a series of core philosophies and principles,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158115</wp:posOffset>
            </wp:positionV>
            <wp:extent cx="6701790" cy="4660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701790" cy="466090"/>
                    </a:xfrm>
                    <a:prstGeom prst="rect">
                      <a:avLst/>
                    </a:prstGeom>
                    <a:noFill/>
                  </pic:spPr>
                </pic:pic>
              </a:graphicData>
            </a:graphic>
          </wp:anchor>
        </w:drawing>
      </w:r>
    </w:p>
    <w:p>
      <w:pPr>
        <w:spacing w:after="0" w:line="33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5D89B4"/>
        </w:rPr>
        <w:t>EXECUTIVE COMPENSATION FRAMEWORK</w:t>
      </w:r>
    </w:p>
    <w:p>
      <w:pPr>
        <w:spacing w:after="0" w:line="1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5D89B4"/>
        </w:rPr>
        <w:t>CORE PHILOSOPHIES AND PRINCIPLES:</w:t>
      </w:r>
    </w:p>
    <w:p>
      <w:pPr>
        <w:sectPr>
          <w:pgSz w:w="11900" w:h="16838" w:orient="portrait"/>
          <w:cols w:equalWidth="0" w:num="1">
            <w:col w:w="10860"/>
          </w:cols>
          <w:pgMar w:left="320" w:top="480" w:right="7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5D89B4"/>
        </w:rPr>
        <w:t>1. Aligned to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-118745</wp:posOffset>
            </wp:positionV>
            <wp:extent cx="8255" cy="28638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2863850"/>
                    </a:xfrm>
                    <a:prstGeom prst="rect">
                      <a:avLst/>
                    </a:prstGeom>
                    <a:noFill/>
                  </pic:spPr>
                </pic:pic>
              </a:graphicData>
            </a:graphic>
          </wp:anchor>
        </w:drawing>
      </w:r>
    </w:p>
    <w:p>
      <w:pPr>
        <w:spacing w:after="0" w:line="308" w:lineRule="exact"/>
        <w:rPr>
          <w:sz w:val="20"/>
          <w:szCs w:val="20"/>
          <w:color w:val="auto"/>
        </w:rPr>
      </w:pPr>
    </w:p>
    <w:p>
      <w:pPr>
        <w:ind w:left="520" w:hanging="177"/>
        <w:spacing w:after="0" w:line="236" w:lineRule="auto"/>
        <w:rPr>
          <w:sz w:val="20"/>
          <w:szCs w:val="20"/>
          <w:color w:val="auto"/>
        </w:rPr>
      </w:pPr>
      <w:r>
        <w:rPr>
          <w:rFonts w:ascii="Arial" w:cs="Arial" w:eastAsia="Arial" w:hAnsi="Arial"/>
          <w:sz w:val="15"/>
          <w:szCs w:val="15"/>
          <w:color w:val="auto"/>
        </w:rPr>
        <w:t>•   Compensation programs align executives’ interests with those of our stakeholders and appropriately balance risk and rewards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 Stakeholder value is created by:</w:t>
      </w:r>
    </w:p>
    <w:p>
      <w:pPr>
        <w:spacing w:after="0" w:line="68" w:lineRule="exact"/>
        <w:rPr>
          <w:sz w:val="20"/>
          <w:szCs w:val="20"/>
          <w:color w:val="auto"/>
        </w:rPr>
      </w:pPr>
    </w:p>
    <w:p>
      <w:pPr>
        <w:ind w:left="700" w:right="120" w:hanging="177"/>
        <w:spacing w:after="0" w:line="295" w:lineRule="auto"/>
        <w:rPr>
          <w:sz w:val="20"/>
          <w:szCs w:val="20"/>
          <w:color w:val="auto"/>
        </w:rPr>
      </w:pPr>
      <w:r>
        <w:rPr>
          <w:rFonts w:ascii="Arial" w:cs="Arial" w:eastAsia="Arial" w:hAnsi="Arial"/>
          <w:sz w:val="14"/>
          <w:szCs w:val="14"/>
          <w:color w:val="auto"/>
        </w:rPr>
        <w:t>–   Sound fiscal management and shareholder value creation</w:t>
      </w:r>
    </w:p>
    <w:p>
      <w:pPr>
        <w:spacing w:after="0" w:line="5" w:lineRule="exact"/>
        <w:rPr>
          <w:sz w:val="20"/>
          <w:szCs w:val="20"/>
          <w:color w:val="auto"/>
        </w:rPr>
      </w:pPr>
    </w:p>
    <w:p>
      <w:pPr>
        <w:ind w:left="700" w:right="40" w:hanging="177"/>
        <w:spacing w:after="0" w:line="259" w:lineRule="auto"/>
        <w:rPr>
          <w:sz w:val="20"/>
          <w:szCs w:val="20"/>
          <w:color w:val="auto"/>
        </w:rPr>
      </w:pPr>
      <w:r>
        <w:rPr>
          <w:rFonts w:ascii="Arial" w:cs="Arial" w:eastAsia="Arial" w:hAnsi="Arial"/>
          <w:sz w:val="15"/>
          <w:szCs w:val="15"/>
          <w:color w:val="auto"/>
        </w:rPr>
        <w:t>–   Attracting and retaining the best talent needed to scale</w:t>
      </w:r>
    </w:p>
    <w:p>
      <w:pPr>
        <w:spacing w:after="0" w:line="28" w:lineRule="exact"/>
        <w:rPr>
          <w:sz w:val="20"/>
          <w:szCs w:val="20"/>
          <w:color w:val="auto"/>
        </w:rPr>
      </w:pPr>
    </w:p>
    <w:p>
      <w:pPr>
        <w:ind w:left="700" w:hanging="177"/>
        <w:spacing w:after="0" w:line="241" w:lineRule="auto"/>
        <w:rPr>
          <w:sz w:val="20"/>
          <w:szCs w:val="20"/>
          <w:color w:val="auto"/>
        </w:rPr>
      </w:pPr>
      <w:r>
        <w:rPr>
          <w:rFonts w:ascii="Arial" w:cs="Arial" w:eastAsia="Arial" w:hAnsi="Arial"/>
          <w:sz w:val="15"/>
          <w:szCs w:val="15"/>
          <w:color w:val="auto"/>
        </w:rPr>
        <w:t>–   Cultivating and enhancing the Company’s brand, purpose, and vision</w:t>
      </w:r>
    </w:p>
    <w:p>
      <w:pPr>
        <w:spacing w:after="0" w:line="41" w:lineRule="exact"/>
        <w:rPr>
          <w:sz w:val="20"/>
          <w:szCs w:val="20"/>
          <w:color w:val="auto"/>
        </w:rPr>
      </w:pPr>
    </w:p>
    <w:p>
      <w:pPr>
        <w:ind w:left="700" w:right="380" w:hanging="177"/>
        <w:spacing w:after="0" w:line="241" w:lineRule="auto"/>
        <w:rPr>
          <w:sz w:val="20"/>
          <w:szCs w:val="20"/>
          <w:color w:val="auto"/>
        </w:rPr>
      </w:pPr>
      <w:r>
        <w:rPr>
          <w:rFonts w:ascii="Arial" w:cs="Arial" w:eastAsia="Arial" w:hAnsi="Arial"/>
          <w:sz w:val="15"/>
          <w:szCs w:val="15"/>
          <w:color w:val="auto"/>
        </w:rPr>
        <w:t>–   Excellent client, employee, candidate, and associate experiences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2. Performance-Focused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-118745</wp:posOffset>
            </wp:positionV>
            <wp:extent cx="8255" cy="28638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2863850"/>
                    </a:xfrm>
                    <a:prstGeom prst="rect">
                      <a:avLst/>
                    </a:prstGeom>
                    <a:noFill/>
                  </pic:spPr>
                </pic:pic>
              </a:graphicData>
            </a:graphic>
          </wp:anchor>
        </w:drawing>
      </w:r>
    </w:p>
    <w:p>
      <w:pPr>
        <w:spacing w:after="0" w:line="308" w:lineRule="exact"/>
        <w:rPr>
          <w:sz w:val="20"/>
          <w:szCs w:val="20"/>
          <w:color w:val="auto"/>
        </w:rPr>
      </w:pPr>
    </w:p>
    <w:p>
      <w:pPr>
        <w:jc w:val="right"/>
        <w:ind w:right="100"/>
        <w:spacing w:after="0" w:line="295" w:lineRule="auto"/>
        <w:rPr>
          <w:sz w:val="20"/>
          <w:szCs w:val="20"/>
          <w:color w:val="auto"/>
        </w:rPr>
      </w:pPr>
      <w:r>
        <w:rPr>
          <w:rFonts w:ascii="Arial" w:cs="Arial" w:eastAsia="Arial" w:hAnsi="Arial"/>
          <w:sz w:val="14"/>
          <w:szCs w:val="14"/>
          <w:color w:val="auto"/>
        </w:rPr>
        <w:t>•   The majority of pay for executives is at-risk and performance-based</w:t>
      </w:r>
    </w:p>
    <w:p>
      <w:pPr>
        <w:spacing w:after="0" w:line="5" w:lineRule="exact"/>
        <w:rPr>
          <w:sz w:val="20"/>
          <w:szCs w:val="20"/>
          <w:color w:val="auto"/>
        </w:rPr>
      </w:pPr>
    </w:p>
    <w:p>
      <w:pPr>
        <w:ind w:left="180" w:hanging="177"/>
        <w:spacing w:after="0" w:line="236" w:lineRule="auto"/>
        <w:rPr>
          <w:sz w:val="20"/>
          <w:szCs w:val="20"/>
          <w:color w:val="auto"/>
        </w:rPr>
      </w:pPr>
      <w:r>
        <w:rPr>
          <w:rFonts w:ascii="Arial" w:cs="Arial" w:eastAsia="Arial" w:hAnsi="Arial"/>
          <w:sz w:val="15"/>
          <w:szCs w:val="15"/>
          <w:color w:val="auto"/>
        </w:rPr>
        <w:t>•   Compensation is designed to motivate the executives to achieve the Company’s annual and long-term strategic goals</w:t>
      </w:r>
    </w:p>
    <w:p>
      <w:pPr>
        <w:spacing w:after="0" w:line="42" w:lineRule="exact"/>
        <w:rPr>
          <w:sz w:val="20"/>
          <w:szCs w:val="20"/>
          <w:color w:val="auto"/>
        </w:rPr>
      </w:pPr>
    </w:p>
    <w:p>
      <w:pPr>
        <w:ind w:left="180" w:right="100" w:hanging="177"/>
        <w:spacing w:after="0" w:line="241" w:lineRule="auto"/>
        <w:rPr>
          <w:sz w:val="20"/>
          <w:szCs w:val="20"/>
          <w:color w:val="auto"/>
        </w:rPr>
      </w:pPr>
      <w:r>
        <w:rPr>
          <w:rFonts w:ascii="Arial" w:cs="Arial" w:eastAsia="Arial" w:hAnsi="Arial"/>
          <w:sz w:val="15"/>
          <w:szCs w:val="15"/>
          <w:color w:val="auto"/>
        </w:rPr>
        <w:t>•   Recognize the cyclical nature of our business, with clearly defined KPIs to drive focus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3. Market-Competitive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-118745</wp:posOffset>
            </wp:positionV>
            <wp:extent cx="8255" cy="28638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2863850"/>
                    </a:xfrm>
                    <a:prstGeom prst="rect">
                      <a:avLst/>
                    </a:prstGeom>
                    <a:noFill/>
                  </pic:spPr>
                </pic:pic>
              </a:graphicData>
            </a:graphic>
          </wp:anchor>
        </w:drawing>
      </w:r>
    </w:p>
    <w:p>
      <w:pPr>
        <w:spacing w:after="0" w:line="308" w:lineRule="exact"/>
        <w:rPr>
          <w:sz w:val="20"/>
          <w:szCs w:val="20"/>
          <w:color w:val="auto"/>
        </w:rPr>
      </w:pPr>
    </w:p>
    <w:p>
      <w:pPr>
        <w:ind w:left="180" w:hanging="177"/>
        <w:spacing w:after="0" w:line="259" w:lineRule="auto"/>
        <w:rPr>
          <w:sz w:val="20"/>
          <w:szCs w:val="20"/>
          <w:color w:val="auto"/>
        </w:rPr>
      </w:pPr>
      <w:r>
        <w:rPr>
          <w:rFonts w:ascii="Arial" w:cs="Arial" w:eastAsia="Arial" w:hAnsi="Arial"/>
          <w:sz w:val="15"/>
          <w:szCs w:val="15"/>
          <w:color w:val="auto"/>
        </w:rPr>
        <w:t>•   Compensation opportunities are anchored to the competitive market</w:t>
      </w:r>
    </w:p>
    <w:p>
      <w:pPr>
        <w:spacing w:after="0" w:line="28" w:lineRule="exact"/>
        <w:rPr>
          <w:sz w:val="20"/>
          <w:szCs w:val="20"/>
          <w:color w:val="auto"/>
        </w:rPr>
      </w:pPr>
    </w:p>
    <w:p>
      <w:pPr>
        <w:ind w:left="180" w:right="540" w:hanging="177"/>
        <w:spacing w:after="0" w:line="259" w:lineRule="auto"/>
        <w:rPr>
          <w:sz w:val="20"/>
          <w:szCs w:val="20"/>
          <w:color w:val="auto"/>
        </w:rPr>
      </w:pPr>
      <w:r>
        <w:rPr>
          <w:rFonts w:ascii="Arial" w:cs="Arial" w:eastAsia="Arial" w:hAnsi="Arial"/>
          <w:sz w:val="15"/>
          <w:szCs w:val="15"/>
          <w:color w:val="auto"/>
        </w:rPr>
        <w:t>•   Ensure rewards are fair and equitable for each role</w:t>
      </w:r>
    </w:p>
    <w:p>
      <w:pPr>
        <w:spacing w:after="0" w:line="28" w:lineRule="exact"/>
        <w:rPr>
          <w:sz w:val="20"/>
          <w:szCs w:val="20"/>
          <w:color w:val="auto"/>
        </w:rPr>
      </w:pPr>
    </w:p>
    <w:p>
      <w:pPr>
        <w:ind w:left="180" w:right="200" w:hanging="177"/>
        <w:spacing w:after="0" w:line="241" w:lineRule="auto"/>
        <w:rPr>
          <w:sz w:val="20"/>
          <w:szCs w:val="20"/>
          <w:color w:val="auto"/>
        </w:rPr>
      </w:pPr>
      <w:r>
        <w:rPr>
          <w:rFonts w:ascii="Arial" w:cs="Arial" w:eastAsia="Arial" w:hAnsi="Arial"/>
          <w:sz w:val="15"/>
          <w:szCs w:val="15"/>
          <w:color w:val="auto"/>
        </w:rPr>
        <w:t>•   Compensation is differentiated to consider individual value and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2002790</wp:posOffset>
            </wp:positionV>
            <wp:extent cx="69138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1" w:right="900" w:hanging="1"/>
        <w:spacing w:after="0" w:line="276" w:lineRule="auto"/>
        <w:tabs>
          <w:tab w:leader="none" w:pos="199" w:val="left"/>
        </w:tabs>
        <w:numPr>
          <w:ilvl w:val="0"/>
          <w:numId w:val="31"/>
        </w:numPr>
        <w:rPr>
          <w:rFonts w:ascii="Arial" w:cs="Arial" w:eastAsia="Arial" w:hAnsi="Arial"/>
          <w:sz w:val="18"/>
          <w:szCs w:val="18"/>
          <w:b w:val="1"/>
          <w:bCs w:val="1"/>
          <w:color w:val="5D89B4"/>
        </w:rPr>
      </w:pPr>
      <w:r>
        <w:rPr>
          <w:rFonts w:ascii="Arial" w:cs="Arial" w:eastAsia="Arial" w:hAnsi="Arial"/>
          <w:sz w:val="18"/>
          <w:szCs w:val="18"/>
          <w:b w:val="1"/>
          <w:bCs w:val="1"/>
          <w:color w:val="5D89B4"/>
        </w:rPr>
        <w:t>Transparent and      Relevant</w:t>
      </w:r>
    </w:p>
    <w:p>
      <w:pPr>
        <w:spacing w:after="0" w:line="6" w:lineRule="exact"/>
        <w:rPr>
          <w:sz w:val="20"/>
          <w:szCs w:val="20"/>
          <w:color w:val="auto"/>
        </w:rPr>
      </w:pPr>
    </w:p>
    <w:p>
      <w:pPr>
        <w:ind w:left="181" w:right="20" w:hanging="177"/>
        <w:spacing w:after="0" w:line="241" w:lineRule="auto"/>
        <w:rPr>
          <w:sz w:val="20"/>
          <w:szCs w:val="20"/>
          <w:color w:val="auto"/>
        </w:rPr>
      </w:pPr>
      <w:r>
        <w:rPr>
          <w:rFonts w:ascii="Arial" w:cs="Arial" w:eastAsia="Arial" w:hAnsi="Arial"/>
          <w:sz w:val="15"/>
          <w:szCs w:val="15"/>
          <w:color w:val="auto"/>
        </w:rPr>
        <w:t>•   Compensation programs are clearly communicated and easy to understand</w:t>
      </w:r>
    </w:p>
    <w:p>
      <w:pPr>
        <w:spacing w:after="0" w:line="41" w:lineRule="exact"/>
        <w:rPr>
          <w:sz w:val="20"/>
          <w:szCs w:val="20"/>
          <w:color w:val="auto"/>
        </w:rPr>
      </w:pPr>
    </w:p>
    <w:p>
      <w:pPr>
        <w:jc w:val="both"/>
        <w:ind w:left="181" w:hanging="177"/>
        <w:spacing w:after="0" w:line="241" w:lineRule="auto"/>
        <w:rPr>
          <w:sz w:val="20"/>
          <w:szCs w:val="20"/>
          <w:color w:val="auto"/>
        </w:rPr>
      </w:pPr>
      <w:r>
        <w:rPr>
          <w:rFonts w:ascii="Arial" w:cs="Arial" w:eastAsia="Arial" w:hAnsi="Arial"/>
          <w:sz w:val="15"/>
          <w:szCs w:val="15"/>
          <w:color w:val="auto"/>
        </w:rPr>
        <w:t>•   Programs include metrics that are core to the business and have line of sight for executives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5D89B4"/>
        </w:rPr>
        <w:t>5. Aligned to Our Values</w:t>
      </w:r>
    </w:p>
    <w:p>
      <w:pPr>
        <w:spacing w:after="0" w:line="75" w:lineRule="exact"/>
        <w:rPr>
          <w:sz w:val="20"/>
          <w:szCs w:val="20"/>
          <w:color w:val="auto"/>
        </w:rPr>
      </w:pPr>
    </w:p>
    <w:p>
      <w:pPr>
        <w:ind w:left="181" w:right="220" w:hanging="177"/>
        <w:spacing w:after="0" w:line="259" w:lineRule="auto"/>
        <w:rPr>
          <w:sz w:val="20"/>
          <w:szCs w:val="20"/>
          <w:color w:val="auto"/>
        </w:rPr>
      </w:pPr>
      <w:r>
        <w:rPr>
          <w:rFonts w:ascii="Arial" w:cs="Arial" w:eastAsia="Arial" w:hAnsi="Arial"/>
          <w:sz w:val="15"/>
          <w:szCs w:val="15"/>
          <w:color w:val="auto"/>
        </w:rPr>
        <w:t>•   Ensure rewards are fair and equitable among internal peers</w:t>
      </w:r>
    </w:p>
    <w:p>
      <w:pPr>
        <w:spacing w:after="0" w:line="68" w:lineRule="exact"/>
        <w:rPr>
          <w:sz w:val="20"/>
          <w:szCs w:val="20"/>
          <w:color w:val="auto"/>
        </w:rPr>
      </w:pPr>
    </w:p>
    <w:p>
      <w:pPr>
        <w:ind w:left="181" w:right="20" w:hanging="177"/>
        <w:spacing w:after="0" w:line="236" w:lineRule="auto"/>
        <w:rPr>
          <w:sz w:val="20"/>
          <w:szCs w:val="20"/>
          <w:color w:val="auto"/>
        </w:rPr>
      </w:pPr>
      <w:r>
        <w:rPr>
          <w:rFonts w:ascii="Arial" w:cs="Arial" w:eastAsia="Arial" w:hAnsi="Arial"/>
          <w:sz w:val="15"/>
          <w:szCs w:val="15"/>
          <w:color w:val="auto"/>
        </w:rPr>
        <w:t>•   Compensation design and administration should align to our values of People, Knowledge, and Innovation</w:t>
      </w:r>
    </w:p>
    <w:p>
      <w:pPr>
        <w:spacing w:after="0" w:line="401" w:lineRule="exact"/>
        <w:rPr>
          <w:sz w:val="20"/>
          <w:szCs w:val="20"/>
          <w:color w:val="auto"/>
        </w:rPr>
      </w:pPr>
    </w:p>
    <w:p>
      <w:pPr>
        <w:sectPr>
          <w:pgSz w:w="11900" w:h="16838" w:orient="portrait"/>
          <w:cols w:equalWidth="0" w:num="4">
            <w:col w:w="2860" w:space="180"/>
            <w:col w:w="2500" w:space="120"/>
            <w:col w:w="2540" w:space="179"/>
            <w:col w:w="2481"/>
          </w:cols>
          <w:pgMar w:left="320" w:top="4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180" w:hanging="658"/>
        <w:spacing w:after="0"/>
        <w:tabs>
          <w:tab w:leader="none" w:pos="6180" w:val="left"/>
        </w:tabs>
        <w:numPr>
          <w:ilvl w:val="0"/>
          <w:numId w:val="32"/>
        </w:numPr>
        <w:rPr>
          <w:rFonts w:ascii="Arial" w:cs="Arial" w:eastAsia="Arial" w:hAnsi="Arial"/>
          <w:sz w:val="18"/>
          <w:szCs w:val="18"/>
          <w:b w:val="1"/>
          <w:bCs w:val="1"/>
          <w:color w:val="5D89B4"/>
        </w:rPr>
      </w:pPr>
      <w:r>
        <w:rPr>
          <w:rFonts w:ascii="Arial" w:cs="Arial" w:eastAsia="Arial" w:hAnsi="Arial"/>
          <w:sz w:val="15"/>
          <w:szCs w:val="15"/>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-121920</wp:posOffset>
            </wp:positionV>
            <wp:extent cx="932180" cy="169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860"/>
          </w:cols>
          <w:pgMar w:left="320" w:top="480" w:right="7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299"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5D89B4"/>
        </w:rPr>
        <w:t>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172085</wp:posOffset>
            </wp:positionV>
            <wp:extent cx="6701790" cy="19653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701790" cy="1965325"/>
                    </a:xfrm>
                    <a:prstGeom prst="rect">
                      <a:avLst/>
                    </a:prstGeom>
                    <a:noFill/>
                  </pic:spPr>
                </pic:pic>
              </a:graphicData>
            </a:graphic>
          </wp:anchor>
        </w:drawing>
      </w:r>
    </w:p>
    <w:p>
      <w:pPr>
        <w:spacing w:after="0" w:line="357" w:lineRule="exact"/>
        <w:rPr>
          <w:sz w:val="20"/>
          <w:szCs w:val="20"/>
          <w:color w:val="auto"/>
        </w:rPr>
      </w:pPr>
    </w:p>
    <w:p>
      <w:pPr>
        <w:ind w:left="6360"/>
        <w:spacing w:after="0"/>
        <w:rPr>
          <w:sz w:val="20"/>
          <w:szCs w:val="20"/>
          <w:color w:val="auto"/>
        </w:rPr>
      </w:pPr>
      <w:r>
        <w:rPr>
          <w:rFonts w:ascii="Arial" w:cs="Arial" w:eastAsia="Arial" w:hAnsi="Arial"/>
          <w:sz w:val="19"/>
          <w:szCs w:val="19"/>
          <w:b w:val="1"/>
          <w:bCs w:val="1"/>
          <w:color w:val="5D89B4"/>
        </w:rPr>
        <w:t>Historically strong approvals on Say on Pay</w:t>
      </w:r>
    </w:p>
    <w:p>
      <w:pPr>
        <w:spacing w:after="0" w:line="111" w:lineRule="exact"/>
        <w:rPr>
          <w:sz w:val="20"/>
          <w:szCs w:val="20"/>
          <w:color w:val="auto"/>
        </w:rPr>
      </w:pPr>
    </w:p>
    <w:p>
      <w:pPr>
        <w:ind w:left="6520" w:right="200"/>
        <w:spacing w:after="0" w:line="241" w:lineRule="auto"/>
        <w:rPr>
          <w:sz w:val="20"/>
          <w:szCs w:val="20"/>
          <w:color w:val="auto"/>
        </w:rPr>
      </w:pPr>
      <w:r>
        <w:rPr>
          <w:rFonts w:ascii="Arial" w:cs="Arial" w:eastAsia="Arial" w:hAnsi="Arial"/>
          <w:sz w:val="15"/>
          <w:szCs w:val="15"/>
          <w:i w:val="1"/>
          <w:iCs w:val="1"/>
          <w:color w:val="5D89B4"/>
        </w:rPr>
        <w:t>We have consistently achieved say-on-pay votes greater than 90%. However, for the first time in ten years, our say-on-pay vote was less than 90%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0" w:right="460"/>
        <w:spacing w:after="0" w:line="236" w:lineRule="auto"/>
        <w:rPr>
          <w:sz w:val="20"/>
          <w:szCs w:val="20"/>
          <w:color w:val="auto"/>
        </w:rPr>
      </w:pPr>
      <w:r>
        <w:rPr>
          <w:rFonts w:ascii="Arial" w:cs="Arial" w:eastAsia="Arial" w:hAnsi="Arial"/>
          <w:sz w:val="15"/>
          <w:szCs w:val="15"/>
          <w:color w:val="auto"/>
        </w:rPr>
        <w:t>ManpowerGroup held a non-binding shareholder advisory vote at its 2023 annual meeting of shareholders to approve the compensation of ManpowerGroup’s NEOs, also known as “Say on Pay.” This shareholder resolution was approved by approximately 83% of the votes cast. This is the first time since 2013 our approval rate was below 90%. In 2023, unlike in prior years, one of the major proxy advisory firms recommended against our Say on Pay proposal. At least partially in response, some of our large shareholders voted against our Say on Pay, which reduced the approval rate.</w:t>
      </w:r>
    </w:p>
    <w:p>
      <w:pPr>
        <w:spacing w:after="0" w:line="122" w:lineRule="exact"/>
        <w:rPr>
          <w:sz w:val="20"/>
          <w:szCs w:val="20"/>
          <w:color w:val="auto"/>
        </w:rPr>
      </w:pPr>
    </w:p>
    <w:p>
      <w:pPr>
        <w:ind w:left="340" w:right="320"/>
        <w:spacing w:after="0" w:line="231" w:lineRule="auto"/>
        <w:rPr>
          <w:sz w:val="20"/>
          <w:szCs w:val="20"/>
          <w:color w:val="auto"/>
        </w:rPr>
      </w:pPr>
      <w:r>
        <w:rPr>
          <w:rFonts w:ascii="Arial" w:cs="Arial" w:eastAsia="Arial" w:hAnsi="Arial"/>
          <w:sz w:val="15"/>
          <w:szCs w:val="15"/>
          <w:color w:val="auto"/>
        </w:rPr>
        <w:t>The Committee desires to be responsive to shareholder concerns about its executive compensation program. Following the 2023 annual meeting, we reached out to shareholders known to us to have voted against our Say on Pay that hold approximately 0.60% or more of our common stock, to understand any concerns they had with our compensation program. Two of our large shareholders holding more than 10% of our common stock in the aggregate, and representing a significant portion of the negative Say on Pay vote, chose to engage with us. Both the Committee Chair and our Lead Director participated in conversations with them to better understand the rationale behind their votes. These shareholders reiterated the importance to them of ensuring that executive compensation elements are aligned with financial performance and shareholder returns.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5D89B4"/>
        </w:rPr>
        <w:t>Shareholder Engagement</w:t>
      </w:r>
    </w:p>
    <w:p>
      <w:pPr>
        <w:spacing w:after="0" w:line="120" w:lineRule="exact"/>
        <w:rPr>
          <w:sz w:val="20"/>
          <w:szCs w:val="20"/>
          <w:color w:val="auto"/>
        </w:rPr>
      </w:pPr>
    </w:p>
    <w:p>
      <w:pPr>
        <w:ind w:left="340" w:right="180"/>
        <w:spacing w:after="0" w:line="241" w:lineRule="auto"/>
        <w:rPr>
          <w:sz w:val="20"/>
          <w:szCs w:val="20"/>
          <w:color w:val="auto"/>
        </w:rPr>
      </w:pPr>
      <w:r>
        <w:rPr>
          <w:rFonts w:ascii="Arial" w:cs="Arial" w:eastAsia="Arial" w:hAnsi="Arial"/>
          <w:sz w:val="15"/>
          <w:szCs w:val="15"/>
          <w:color w:val="auto"/>
        </w:rPr>
        <w:t>We believe that shareholder engagement is an important part of our governance practices. We have a longstanding shareholder outreach program, to provide our investors an opportunity to share their perspectives on our compensation philosophies and our governance structure, and to answer their questions. These efforts are conducted by members of executive management and may include board leadership. Our engagement efforts over time have included:</w:t>
      </w:r>
    </w:p>
    <w:p>
      <w:pPr>
        <w:spacing w:after="0" w:line="107" w:lineRule="exact"/>
        <w:rPr>
          <w:sz w:val="20"/>
          <w:szCs w:val="20"/>
          <w:color w:val="auto"/>
        </w:rPr>
      </w:pPr>
    </w:p>
    <w:p>
      <w:pPr>
        <w:ind w:left="540" w:hanging="197"/>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Contacting our top shareholders, representing more than 50% of our shares.</w:t>
      </w:r>
    </w:p>
    <w:p>
      <w:pPr>
        <w:spacing w:after="0" w:line="67" w:lineRule="exact"/>
        <w:rPr>
          <w:rFonts w:ascii="Arial" w:cs="Arial" w:eastAsia="Arial" w:hAnsi="Arial"/>
          <w:sz w:val="15"/>
          <w:szCs w:val="15"/>
          <w:color w:val="auto"/>
        </w:rPr>
      </w:pPr>
    </w:p>
    <w:p>
      <w:pPr>
        <w:ind w:left="540" w:hanging="197"/>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Conversations with shareholders representing more than 40% of our shares.</w:t>
      </w:r>
    </w:p>
    <w:p>
      <w:pPr>
        <w:spacing w:after="0" w:line="67" w:lineRule="exact"/>
        <w:rPr>
          <w:rFonts w:ascii="Arial" w:cs="Arial" w:eastAsia="Arial" w:hAnsi="Arial"/>
          <w:sz w:val="15"/>
          <w:szCs w:val="15"/>
          <w:color w:val="auto"/>
        </w:rPr>
      </w:pPr>
    </w:p>
    <w:p>
      <w:pPr>
        <w:ind w:left="540" w:hanging="197"/>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Presenting shareholder feedback to the Committee as well as the governance and sustainability committee.</w:t>
      </w:r>
    </w:p>
    <w:p>
      <w:pPr>
        <w:spacing w:after="0" w:line="134" w:lineRule="exact"/>
        <w:rPr>
          <w:sz w:val="20"/>
          <w:szCs w:val="20"/>
          <w:color w:val="auto"/>
        </w:rPr>
      </w:pPr>
    </w:p>
    <w:p>
      <w:pPr>
        <w:ind w:left="340" w:right="320"/>
        <w:spacing w:after="0" w:line="241" w:lineRule="auto"/>
        <w:rPr>
          <w:sz w:val="20"/>
          <w:szCs w:val="20"/>
          <w:color w:val="auto"/>
        </w:rPr>
      </w:pPr>
      <w:r>
        <w:rPr>
          <w:rFonts w:ascii="Arial" w:cs="Arial" w:eastAsia="Arial" w:hAnsi="Arial"/>
          <w:sz w:val="15"/>
          <w:szCs w:val="15"/>
          <w:color w:val="auto"/>
        </w:rPr>
        <w:t>As mentioned above, the Committee evaluates this feedback from our shareholders, as well as our say on pay voting results, among other factors in developing our executive compensation programs. Similarly, our governance and sustainability committee reviews the feedback concerning our governance practices in developing our governance policies, including our approach to board refreshment.</w:t>
      </w:r>
    </w:p>
    <w:p>
      <w:pPr>
        <w:spacing w:after="0" w:line="94" w:lineRule="exact"/>
        <w:rPr>
          <w:sz w:val="20"/>
          <w:szCs w:val="20"/>
          <w:color w:val="auto"/>
        </w:rPr>
      </w:pPr>
    </w:p>
    <w:p>
      <w:pPr>
        <w:ind w:left="340" w:right="200"/>
        <w:spacing w:after="0" w:line="259" w:lineRule="auto"/>
        <w:rPr>
          <w:sz w:val="20"/>
          <w:szCs w:val="20"/>
          <w:color w:val="auto"/>
        </w:rPr>
      </w:pPr>
      <w:r>
        <w:rPr>
          <w:rFonts w:ascii="Arial" w:cs="Arial" w:eastAsia="Arial" w:hAnsi="Arial"/>
          <w:sz w:val="15"/>
          <w:szCs w:val="15"/>
          <w:color w:val="auto"/>
        </w:rPr>
        <w:t>Additionally, our executive management team, primarily through our Chairman and CEO and Executive Vice President and CFO, regularly engage in dialogue with our shareholders through our quarterly earnings calls, investor meetings and conferences, and other channels for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283210</wp:posOffset>
            </wp:positionV>
            <wp:extent cx="69138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Compensation Elements</w:t>
      </w:r>
    </w:p>
    <w:p>
      <w:pPr>
        <w:spacing w:after="0" w:line="128" w:lineRule="exact"/>
        <w:rPr>
          <w:sz w:val="20"/>
          <w:szCs w:val="20"/>
          <w:color w:val="auto"/>
        </w:rPr>
      </w:pPr>
    </w:p>
    <w:p>
      <w:pPr>
        <w:ind w:left="180" w:right="280"/>
        <w:spacing w:after="0" w:line="259" w:lineRule="auto"/>
        <w:rPr>
          <w:sz w:val="20"/>
          <w:szCs w:val="20"/>
          <w:color w:val="auto"/>
        </w:rPr>
      </w:pPr>
      <w:r>
        <w:rPr>
          <w:rFonts w:ascii="Arial" w:cs="Arial" w:eastAsia="Arial" w:hAnsi="Arial"/>
          <w:sz w:val="14"/>
          <w:szCs w:val="14"/>
          <w:color w:val="auto"/>
        </w:rPr>
        <w:t>The following table summarizes the principal elements of our executive compensation program and demonstrates the program’s focus on annual and long-term incentive compensation that is closely aligned with Company performance and is sensitive to the Company’s stock performance. The Committee periodically reviews executive compensation and may recommend adjustments driven by market data, performance and situations where there is a change in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132715</wp:posOffset>
            </wp:positionV>
            <wp:extent cx="6913880" cy="17284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13880" cy="1728470"/>
                    </a:xfrm>
                    <a:prstGeom prst="rect">
                      <a:avLst/>
                    </a:prstGeom>
                    <a:noFill/>
                  </pic:spPr>
                </pic:pic>
              </a:graphicData>
            </a:graphic>
          </wp:anchor>
        </w:drawing>
      </w:r>
    </w:p>
    <w:p>
      <w:pPr>
        <w:spacing w:after="0" w:line="189"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1960" w:type="dxa"/>
            <w:vAlign w:val="bottom"/>
            <w:shd w:val="clear" w:color="auto" w:fill="EAEAEA"/>
          </w:tcPr>
          <w:p>
            <w:pPr>
              <w:jc w:val="center"/>
              <w:ind w:left="38"/>
              <w:spacing w:after="0"/>
              <w:rPr>
                <w:sz w:val="20"/>
                <w:szCs w:val="20"/>
                <w:color w:val="auto"/>
              </w:rPr>
            </w:pPr>
            <w:r>
              <w:rPr>
                <w:rFonts w:ascii="Arial" w:cs="Arial" w:eastAsia="Arial" w:hAnsi="Arial"/>
                <w:sz w:val="12"/>
                <w:szCs w:val="12"/>
                <w:b w:val="1"/>
                <w:bCs w:val="1"/>
                <w:color w:val="5D89B4"/>
              </w:rPr>
              <w:t>BASE</w:t>
            </w:r>
          </w:p>
        </w:tc>
        <w:tc>
          <w:tcPr>
            <w:tcW w:w="2920" w:type="dxa"/>
            <w:vAlign w:val="bottom"/>
            <w:shd w:val="clear" w:color="auto" w:fill="EAEAEA"/>
          </w:tcPr>
          <w:p>
            <w:pPr>
              <w:jc w:val="center"/>
              <w:ind w:right="478"/>
              <w:spacing w:after="0"/>
              <w:rPr>
                <w:sz w:val="20"/>
                <w:szCs w:val="20"/>
                <w:color w:val="auto"/>
              </w:rPr>
            </w:pPr>
            <w:r>
              <w:rPr>
                <w:rFonts w:ascii="Arial" w:cs="Arial" w:eastAsia="Arial" w:hAnsi="Arial"/>
                <w:sz w:val="12"/>
                <w:szCs w:val="12"/>
                <w:b w:val="1"/>
                <w:bCs w:val="1"/>
                <w:color w:val="5D89B4"/>
              </w:rPr>
              <w:t>ANNUAL</w:t>
            </w:r>
          </w:p>
        </w:tc>
        <w:tc>
          <w:tcPr>
            <w:tcW w:w="3940" w:type="dxa"/>
            <w:vAlign w:val="bottom"/>
            <w:shd w:val="clear" w:color="auto" w:fill="EAEAEA"/>
          </w:tcPr>
          <w:p>
            <w:pPr>
              <w:jc w:val="center"/>
              <w:ind w:right="458"/>
              <w:spacing w:after="0"/>
              <w:rPr>
                <w:sz w:val="20"/>
                <w:szCs w:val="20"/>
                <w:color w:val="auto"/>
              </w:rPr>
            </w:pPr>
            <w:r>
              <w:rPr>
                <w:rFonts w:ascii="Arial" w:cs="Arial" w:eastAsia="Arial" w:hAnsi="Arial"/>
                <w:sz w:val="12"/>
                <w:szCs w:val="12"/>
                <w:b w:val="1"/>
                <w:bCs w:val="1"/>
                <w:color w:val="5D89B4"/>
              </w:rPr>
              <w:t>LONG-TERM</w:t>
            </w:r>
          </w:p>
        </w:tc>
      </w:tr>
      <w:tr>
        <w:trPr>
          <w:trHeight w:val="171"/>
        </w:trPr>
        <w:tc>
          <w:tcPr>
            <w:tcW w:w="2060" w:type="dxa"/>
            <w:vAlign w:val="bottom"/>
          </w:tcPr>
          <w:p>
            <w:pPr>
              <w:spacing w:after="0"/>
              <w:rPr>
                <w:sz w:val="14"/>
                <w:szCs w:val="14"/>
                <w:color w:val="auto"/>
              </w:rPr>
            </w:pPr>
          </w:p>
        </w:tc>
        <w:tc>
          <w:tcPr>
            <w:tcW w:w="1960" w:type="dxa"/>
            <w:vAlign w:val="bottom"/>
            <w:shd w:val="clear" w:color="auto" w:fill="EAEAEA"/>
          </w:tcPr>
          <w:p>
            <w:pPr>
              <w:jc w:val="center"/>
              <w:ind w:left="38"/>
              <w:spacing w:after="0"/>
              <w:rPr>
                <w:sz w:val="20"/>
                <w:szCs w:val="20"/>
                <w:color w:val="auto"/>
              </w:rPr>
            </w:pPr>
            <w:r>
              <w:rPr>
                <w:rFonts w:ascii="Arial" w:cs="Arial" w:eastAsia="Arial" w:hAnsi="Arial"/>
                <w:sz w:val="12"/>
                <w:szCs w:val="12"/>
                <w:b w:val="1"/>
                <w:bCs w:val="1"/>
                <w:color w:val="5D89B4"/>
              </w:rPr>
              <w:t>SALARY</w:t>
            </w:r>
          </w:p>
        </w:tc>
        <w:tc>
          <w:tcPr>
            <w:tcW w:w="2920" w:type="dxa"/>
            <w:vAlign w:val="bottom"/>
            <w:shd w:val="clear" w:color="auto" w:fill="EAEAEA"/>
          </w:tcPr>
          <w:p>
            <w:pPr>
              <w:jc w:val="center"/>
              <w:ind w:right="478"/>
              <w:spacing w:after="0"/>
              <w:rPr>
                <w:sz w:val="20"/>
                <w:szCs w:val="20"/>
                <w:color w:val="auto"/>
              </w:rPr>
            </w:pPr>
            <w:r>
              <w:rPr>
                <w:rFonts w:ascii="Arial" w:cs="Arial" w:eastAsia="Arial" w:hAnsi="Arial"/>
                <w:sz w:val="12"/>
                <w:szCs w:val="12"/>
                <w:b w:val="1"/>
                <w:bCs w:val="1"/>
                <w:color w:val="5D89B4"/>
              </w:rPr>
              <w:t>INCENTIVE AWARD</w:t>
            </w:r>
          </w:p>
        </w:tc>
        <w:tc>
          <w:tcPr>
            <w:tcW w:w="3940" w:type="dxa"/>
            <w:vAlign w:val="bottom"/>
            <w:shd w:val="clear" w:color="auto" w:fill="EAEAEA"/>
          </w:tcPr>
          <w:p>
            <w:pPr>
              <w:jc w:val="center"/>
              <w:ind w:right="438"/>
              <w:spacing w:after="0"/>
              <w:rPr>
                <w:sz w:val="20"/>
                <w:szCs w:val="20"/>
                <w:color w:val="auto"/>
              </w:rPr>
            </w:pPr>
            <w:r>
              <w:rPr>
                <w:rFonts w:ascii="Arial" w:cs="Arial" w:eastAsia="Arial" w:hAnsi="Arial"/>
                <w:sz w:val="12"/>
                <w:szCs w:val="12"/>
                <w:b w:val="1"/>
                <w:bCs w:val="1"/>
                <w:color w:val="5D89B4"/>
              </w:rPr>
              <w:t>INCENTIVE AWARD</w:t>
            </w:r>
          </w:p>
        </w:tc>
      </w:tr>
      <w:tr>
        <w:trPr>
          <w:trHeight w:val="74"/>
        </w:trPr>
        <w:tc>
          <w:tcPr>
            <w:tcW w:w="206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shd w:val="clear" w:color="auto" w:fill="EAEAEA"/>
          </w:tcPr>
          <w:p>
            <w:pPr>
              <w:spacing w:after="0"/>
              <w:rPr>
                <w:sz w:val="6"/>
                <w:szCs w:val="6"/>
                <w:color w:val="auto"/>
              </w:rPr>
            </w:pPr>
          </w:p>
        </w:tc>
        <w:tc>
          <w:tcPr>
            <w:tcW w:w="2920" w:type="dxa"/>
            <w:vAlign w:val="bottom"/>
            <w:tcBorders>
              <w:bottom w:val="single" w:sz="8" w:color="auto"/>
            </w:tcBorders>
            <w:shd w:val="clear" w:color="auto" w:fill="EAEAEA"/>
          </w:tcPr>
          <w:p>
            <w:pPr>
              <w:spacing w:after="0"/>
              <w:rPr>
                <w:sz w:val="6"/>
                <w:szCs w:val="6"/>
                <w:color w:val="auto"/>
              </w:rPr>
            </w:pPr>
          </w:p>
        </w:tc>
        <w:tc>
          <w:tcPr>
            <w:tcW w:w="3940" w:type="dxa"/>
            <w:vAlign w:val="bottom"/>
            <w:tcBorders>
              <w:bottom w:val="single" w:sz="8" w:color="auto"/>
            </w:tcBorders>
            <w:shd w:val="clear" w:color="auto" w:fill="EAEAEA"/>
          </w:tcPr>
          <w:p>
            <w:pPr>
              <w:spacing w:after="0"/>
              <w:rPr>
                <w:sz w:val="6"/>
                <w:szCs w:val="6"/>
                <w:color w:val="auto"/>
              </w:rPr>
            </w:pPr>
          </w:p>
        </w:tc>
      </w:tr>
      <w:tr>
        <w:trPr>
          <w:trHeight w:val="60"/>
        </w:trPr>
        <w:tc>
          <w:tcPr>
            <w:tcW w:w="2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920" w:type="dxa"/>
            <w:vAlign w:val="bottom"/>
            <w:shd w:val="clear" w:color="auto" w:fill="EAEAEA"/>
          </w:tcPr>
          <w:p>
            <w:pPr>
              <w:spacing w:after="0"/>
              <w:rPr>
                <w:sz w:val="5"/>
                <w:szCs w:val="5"/>
                <w:color w:val="auto"/>
              </w:rPr>
            </w:pPr>
          </w:p>
        </w:tc>
        <w:tc>
          <w:tcPr>
            <w:tcW w:w="3940" w:type="dxa"/>
            <w:vAlign w:val="bottom"/>
            <w:shd w:val="clear" w:color="auto" w:fill="EAEAEA"/>
          </w:tcPr>
          <w:p>
            <w:pPr>
              <w:spacing w:after="0"/>
              <w:rPr>
                <w:sz w:val="5"/>
                <w:szCs w:val="5"/>
                <w:color w:val="auto"/>
              </w:rPr>
            </w:pPr>
          </w:p>
        </w:tc>
      </w:tr>
    </w:tbl>
    <w:p>
      <w:pPr>
        <w:ind w:left="260"/>
        <w:spacing w:after="0"/>
        <w:rPr>
          <w:sz w:val="20"/>
          <w:szCs w:val="20"/>
          <w:color w:val="auto"/>
        </w:rPr>
      </w:pPr>
      <w:r>
        <w:rPr>
          <w:rFonts w:ascii="Arial" w:cs="Arial" w:eastAsia="Arial" w:hAnsi="Arial"/>
          <w:sz w:val="14"/>
          <w:szCs w:val="14"/>
          <w:b w:val="1"/>
          <w:bCs w:val="1"/>
          <w:color w:val="auto"/>
        </w:rPr>
        <w:t>Percent of Target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100"/>
        <w:spacing w:after="0"/>
        <w:tabs>
          <w:tab w:leader="none" w:pos="9620" w:val="left"/>
        </w:tabs>
        <w:rPr>
          <w:sz w:val="20"/>
          <w:szCs w:val="20"/>
          <w:color w:val="auto"/>
        </w:rPr>
      </w:pPr>
      <w:r>
        <w:rPr>
          <w:rFonts w:ascii="Arial" w:cs="Arial" w:eastAsia="Arial" w:hAnsi="Arial"/>
          <w:sz w:val="12"/>
          <w:szCs w:val="12"/>
          <w:b w:val="1"/>
          <w:bCs w:val="1"/>
          <w:color w:val="5D89B4"/>
        </w:rPr>
        <w:t>...Comprising PSUs</w:t>
      </w:r>
      <w:r>
        <w:rPr>
          <w:sz w:val="20"/>
          <w:szCs w:val="20"/>
          <w:color w:val="auto"/>
        </w:rPr>
        <w:tab/>
      </w:r>
      <w:r>
        <w:rPr>
          <w:rFonts w:ascii="Arial" w:cs="Arial" w:eastAsia="Arial" w:hAnsi="Arial"/>
          <w:sz w:val="12"/>
          <w:szCs w:val="12"/>
          <w:b w:val="1"/>
          <w:bCs w:val="1"/>
          <w:color w:val="5D89B4"/>
        </w:rPr>
        <w:t>...and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516890</wp:posOffset>
            </wp:positionV>
            <wp:extent cx="6913880" cy="36855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13880" cy="368554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Performance Period</w:t>
      </w:r>
    </w:p>
    <w:p>
      <w:pPr>
        <w:spacing w:after="0" w:line="200" w:lineRule="exact"/>
        <w:rPr>
          <w:sz w:val="20"/>
          <w:szCs w:val="20"/>
          <w:color w:val="auto"/>
        </w:rPr>
      </w:pPr>
    </w:p>
    <w:p>
      <w:pPr>
        <w:spacing w:after="0" w:line="2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Determination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For More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Ongoing</w:t>
      </w:r>
    </w:p>
    <w:p>
      <w:pPr>
        <w:spacing w:after="0" w:line="200" w:lineRule="exact"/>
        <w:rPr>
          <w:sz w:val="20"/>
          <w:szCs w:val="20"/>
          <w:color w:val="auto"/>
        </w:rPr>
      </w:pPr>
    </w:p>
    <w:p>
      <w:pPr>
        <w:spacing w:after="0" w:line="253" w:lineRule="exact"/>
        <w:rPr>
          <w:sz w:val="20"/>
          <w:szCs w:val="20"/>
          <w:color w:val="auto"/>
        </w:rPr>
      </w:pPr>
    </w:p>
    <w:p>
      <w:pPr>
        <w:jc w:val="both"/>
        <w:ind w:right="220"/>
        <w:spacing w:after="0" w:line="259" w:lineRule="auto"/>
        <w:rPr>
          <w:sz w:val="20"/>
          <w:szCs w:val="20"/>
          <w:color w:val="auto"/>
        </w:rPr>
      </w:pPr>
      <w:r>
        <w:rPr>
          <w:rFonts w:ascii="Arial" w:cs="Arial" w:eastAsia="Arial" w:hAnsi="Arial"/>
          <w:sz w:val="14"/>
          <w:szCs w:val="14"/>
          <w:color w:val="auto"/>
        </w:rPr>
        <w:t>Fixed compensation for performing core areas of responsibility.</w:t>
      </w:r>
    </w:p>
    <w:p>
      <w:pPr>
        <w:spacing w:after="0" w:line="200" w:lineRule="exact"/>
        <w:rPr>
          <w:sz w:val="20"/>
          <w:szCs w:val="20"/>
          <w:color w:val="auto"/>
        </w:rPr>
      </w:pPr>
    </w:p>
    <w:p>
      <w:pPr>
        <w:spacing w:after="0" w:line="373"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Factors used to determine base salaries include:</w:t>
      </w:r>
    </w:p>
    <w:p>
      <w:pPr>
        <w:spacing w:after="0" w:line="65" w:lineRule="exact"/>
        <w:rPr>
          <w:sz w:val="20"/>
          <w:szCs w:val="20"/>
          <w:color w:val="auto"/>
        </w:rPr>
      </w:pPr>
    </w:p>
    <w:p>
      <w:pPr>
        <w:ind w:left="120" w:right="140" w:hanging="124"/>
        <w:spacing w:after="0" w:line="280" w:lineRule="auto"/>
        <w:rPr>
          <w:sz w:val="20"/>
          <w:szCs w:val="20"/>
          <w:color w:val="auto"/>
        </w:rPr>
      </w:pPr>
      <w:r>
        <w:rPr>
          <w:rFonts w:ascii="Arial" w:cs="Arial" w:eastAsia="Arial" w:hAnsi="Arial"/>
          <w:sz w:val="14"/>
          <w:szCs w:val="14"/>
          <w:color w:val="auto"/>
        </w:rPr>
        <w:t>•   NEO’s experience, skill, and performance</w:t>
      </w:r>
    </w:p>
    <w:p>
      <w:pPr>
        <w:spacing w:after="0" w:line="25" w:lineRule="exact"/>
        <w:rPr>
          <w:sz w:val="20"/>
          <w:szCs w:val="20"/>
          <w:color w:val="auto"/>
        </w:rPr>
      </w:pPr>
    </w:p>
    <w:p>
      <w:pPr>
        <w:ind w:left="120" w:right="20" w:hanging="124"/>
        <w:spacing w:after="0" w:line="280" w:lineRule="auto"/>
        <w:rPr>
          <w:sz w:val="20"/>
          <w:szCs w:val="20"/>
          <w:color w:val="auto"/>
        </w:rPr>
      </w:pPr>
      <w:r>
        <w:rPr>
          <w:rFonts w:ascii="Arial" w:cs="Arial" w:eastAsia="Arial" w:hAnsi="Arial"/>
          <w:sz w:val="14"/>
          <w:szCs w:val="14"/>
          <w:color w:val="auto"/>
        </w:rPr>
        <w:t>•   The breadth of the NEO’s responsibilities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•   Pay competitive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Page 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280" w:type="dxa"/>
            <w:vAlign w:val="bottom"/>
            <w:shd w:val="clear" w:color="auto" w:fill="D6E1EC"/>
          </w:tcPr>
          <w:p>
            <w:pPr>
              <w:ind w:left="100"/>
              <w:spacing w:after="0"/>
              <w:rPr>
                <w:sz w:val="20"/>
                <w:szCs w:val="20"/>
                <w:color w:val="auto"/>
              </w:rPr>
            </w:pPr>
            <w:r>
              <w:rPr>
                <w:rFonts w:ascii="Arial" w:cs="Arial" w:eastAsia="Arial" w:hAnsi="Arial"/>
                <w:sz w:val="14"/>
                <w:szCs w:val="14"/>
                <w:color w:val="auto"/>
              </w:rPr>
              <w:t>One year</w:t>
            </w: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PSUs earned based on</w:t>
            </w:r>
          </w:p>
        </w:tc>
        <w:tc>
          <w:tcPr>
            <w:tcW w:w="2280" w:type="dxa"/>
            <w:vAlign w:val="bottom"/>
            <w:shd w:val="clear" w:color="auto" w:fill="EEF3F7"/>
          </w:tcPr>
          <w:p>
            <w:pPr>
              <w:ind w:left="120"/>
              <w:spacing w:after="0"/>
              <w:rPr>
                <w:sz w:val="20"/>
                <w:szCs w:val="20"/>
                <w:color w:val="auto"/>
              </w:rPr>
            </w:pPr>
            <w:r>
              <w:rPr>
                <w:rFonts w:ascii="Arial" w:cs="Arial" w:eastAsia="Arial" w:hAnsi="Arial"/>
                <w:sz w:val="14"/>
                <w:szCs w:val="14"/>
                <w:color w:val="auto"/>
              </w:rPr>
              <w:t>Three-year cliff vesting</w:t>
            </w: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performance achievement over a</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280" w:type="dxa"/>
            <w:vAlign w:val="bottom"/>
            <w:tcBorders>
              <w:bottom w:val="single" w:sz="8" w:color="D6E1EC"/>
            </w:tcBorders>
            <w:shd w:val="clear" w:color="auto" w:fill="D6E1EC"/>
          </w:tcPr>
          <w:p>
            <w:pPr>
              <w:spacing w:after="0"/>
              <w:rPr>
                <w:sz w:val="20"/>
                <w:szCs w:val="20"/>
                <w:color w:val="auto"/>
              </w:rPr>
            </w:pPr>
          </w:p>
        </w:tc>
        <w:tc>
          <w:tcPr>
            <w:tcW w:w="2300" w:type="dxa"/>
            <w:vAlign w:val="bottom"/>
            <w:tcBorders>
              <w:bottom w:val="single" w:sz="8" w:color="EEF3F7"/>
            </w:tcBorders>
            <w:shd w:val="clear" w:color="auto" w:fill="EEF3F7"/>
          </w:tcPr>
          <w:p>
            <w:pPr>
              <w:ind w:left="120"/>
              <w:spacing w:after="0"/>
              <w:rPr>
                <w:sz w:val="20"/>
                <w:szCs w:val="20"/>
                <w:color w:val="auto"/>
              </w:rPr>
            </w:pPr>
            <w:r>
              <w:rPr>
                <w:rFonts w:ascii="Arial" w:cs="Arial" w:eastAsia="Arial" w:hAnsi="Arial"/>
                <w:sz w:val="14"/>
                <w:szCs w:val="14"/>
                <w:color w:val="auto"/>
              </w:rPr>
              <w:t>three-year period</w:t>
            </w:r>
          </w:p>
        </w:tc>
        <w:tc>
          <w:tcPr>
            <w:tcW w:w="2280" w:type="dxa"/>
            <w:vAlign w:val="bottom"/>
            <w:tcBorders>
              <w:bottom w:val="single" w:sz="8" w:color="EEF3F7"/>
            </w:tcBorders>
            <w:shd w:val="clear" w:color="auto" w:fill="EEF3F7"/>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Borders>
              <w:top w:val="single" w:sz="8" w:color="BFBFBF"/>
            </w:tcBorders>
            <w:shd w:val="clear" w:color="auto" w:fill="D6E1EC"/>
          </w:tcPr>
          <w:p>
            <w:pPr>
              <w:ind w:left="100"/>
              <w:spacing w:after="0"/>
              <w:rPr>
                <w:sz w:val="20"/>
                <w:szCs w:val="20"/>
                <w:color w:val="auto"/>
              </w:rPr>
            </w:pPr>
            <w:r>
              <w:rPr>
                <w:rFonts w:ascii="Arial" w:cs="Arial" w:eastAsia="Arial" w:hAnsi="Arial"/>
                <w:sz w:val="14"/>
                <w:szCs w:val="14"/>
                <w:color w:val="auto"/>
              </w:rPr>
              <w:t>Motivate and reward NEOs for</w:t>
            </w:r>
          </w:p>
        </w:tc>
        <w:tc>
          <w:tcPr>
            <w:tcW w:w="2300" w:type="dxa"/>
            <w:vAlign w:val="bottom"/>
            <w:tcBorders>
              <w:top w:val="single" w:sz="8" w:color="BFBFBF"/>
            </w:tcBorders>
            <w:shd w:val="clear" w:color="auto" w:fill="EEF3F7"/>
          </w:tcPr>
          <w:p>
            <w:pPr>
              <w:ind w:left="120"/>
              <w:spacing w:after="0"/>
              <w:rPr>
                <w:sz w:val="20"/>
                <w:szCs w:val="20"/>
                <w:color w:val="auto"/>
              </w:rPr>
            </w:pPr>
            <w:r>
              <w:rPr>
                <w:rFonts w:ascii="Arial" w:cs="Arial" w:eastAsia="Arial" w:hAnsi="Arial"/>
                <w:sz w:val="14"/>
                <w:szCs w:val="14"/>
                <w:color w:val="auto"/>
              </w:rPr>
              <w:t>Motivate and reward NEOs for</w:t>
            </w:r>
          </w:p>
        </w:tc>
        <w:tc>
          <w:tcPr>
            <w:tcW w:w="2280" w:type="dxa"/>
            <w:vAlign w:val="bottom"/>
            <w:tcBorders>
              <w:top w:val="single" w:sz="8" w:color="BFBFBF"/>
            </w:tcBorders>
            <w:shd w:val="clear" w:color="auto" w:fill="EEF3F7"/>
          </w:tcPr>
          <w:p>
            <w:pPr>
              <w:ind w:left="120"/>
              <w:spacing w:after="0"/>
              <w:rPr>
                <w:sz w:val="20"/>
                <w:szCs w:val="20"/>
                <w:color w:val="auto"/>
              </w:rPr>
            </w:pPr>
            <w:r>
              <w:rPr>
                <w:rFonts w:ascii="Arial" w:cs="Arial" w:eastAsia="Arial" w:hAnsi="Arial"/>
                <w:sz w:val="14"/>
                <w:szCs w:val="14"/>
                <w:color w:val="auto"/>
              </w:rPr>
              <w:t>Directly aligns NEOs with</w:t>
            </w: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ind w:left="100"/>
              <w:spacing w:after="0"/>
              <w:rPr>
                <w:sz w:val="20"/>
                <w:szCs w:val="20"/>
                <w:color w:val="auto"/>
              </w:rPr>
            </w:pPr>
            <w:r>
              <w:rPr>
                <w:rFonts w:ascii="Arial" w:cs="Arial" w:eastAsia="Arial" w:hAnsi="Arial"/>
                <w:sz w:val="14"/>
                <w:szCs w:val="14"/>
                <w:color w:val="auto"/>
              </w:rPr>
              <w:t>achievement of key strategic,</w:t>
            </w: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performance against long-term</w:t>
            </w:r>
          </w:p>
        </w:tc>
        <w:tc>
          <w:tcPr>
            <w:tcW w:w="2280" w:type="dxa"/>
            <w:vAlign w:val="bottom"/>
            <w:shd w:val="clear" w:color="auto" w:fill="EEF3F7"/>
          </w:tcPr>
          <w:p>
            <w:pPr>
              <w:ind w:left="120"/>
              <w:spacing w:after="0"/>
              <w:rPr>
                <w:sz w:val="20"/>
                <w:szCs w:val="20"/>
                <w:color w:val="auto"/>
              </w:rPr>
            </w:pPr>
            <w:r>
              <w:rPr>
                <w:rFonts w:ascii="Arial" w:cs="Arial" w:eastAsia="Arial" w:hAnsi="Arial"/>
                <w:sz w:val="14"/>
                <w:szCs w:val="14"/>
                <w:color w:val="auto"/>
              </w:rPr>
              <w:t>shareholders and adds balance to</w:t>
            </w: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ind w:left="100"/>
              <w:spacing w:after="0"/>
              <w:rPr>
                <w:sz w:val="20"/>
                <w:szCs w:val="20"/>
                <w:color w:val="auto"/>
              </w:rPr>
            </w:pPr>
            <w:r>
              <w:rPr>
                <w:rFonts w:ascii="Arial" w:cs="Arial" w:eastAsia="Arial" w:hAnsi="Arial"/>
                <w:sz w:val="14"/>
                <w:szCs w:val="14"/>
                <w:color w:val="auto"/>
              </w:rPr>
              <w:t>operational and financial</w:t>
            </w: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financial objectives to align the</w:t>
            </w:r>
          </w:p>
        </w:tc>
        <w:tc>
          <w:tcPr>
            <w:tcW w:w="2280" w:type="dxa"/>
            <w:vAlign w:val="bottom"/>
            <w:shd w:val="clear" w:color="auto" w:fill="EEF3F7"/>
          </w:tcPr>
          <w:p>
            <w:pPr>
              <w:ind w:left="120"/>
              <w:spacing w:after="0"/>
              <w:rPr>
                <w:sz w:val="20"/>
                <w:szCs w:val="20"/>
                <w:color w:val="auto"/>
              </w:rPr>
            </w:pPr>
            <w:r>
              <w:rPr>
                <w:rFonts w:ascii="Arial" w:cs="Arial" w:eastAsia="Arial" w:hAnsi="Arial"/>
                <w:sz w:val="14"/>
                <w:szCs w:val="14"/>
                <w:color w:val="auto"/>
              </w:rPr>
              <w:t>the compensation program as</w:t>
            </w: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ind w:left="100"/>
              <w:spacing w:after="0"/>
              <w:rPr>
                <w:sz w:val="20"/>
                <w:szCs w:val="20"/>
                <w:color w:val="auto"/>
              </w:rPr>
            </w:pPr>
            <w:r>
              <w:rPr>
                <w:rFonts w:ascii="Arial" w:cs="Arial" w:eastAsia="Arial" w:hAnsi="Arial"/>
                <w:sz w:val="14"/>
                <w:szCs w:val="14"/>
                <w:color w:val="auto"/>
              </w:rPr>
              <w:t>measures over the year.</w:t>
            </w: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interests of the NEOs with long-</w:t>
            </w:r>
          </w:p>
        </w:tc>
        <w:tc>
          <w:tcPr>
            <w:tcW w:w="2280" w:type="dxa"/>
            <w:vAlign w:val="bottom"/>
            <w:shd w:val="clear" w:color="auto" w:fill="EEF3F7"/>
          </w:tcPr>
          <w:p>
            <w:pPr>
              <w:ind w:left="120"/>
              <w:spacing w:after="0"/>
              <w:rPr>
                <w:sz w:val="20"/>
                <w:szCs w:val="20"/>
                <w:color w:val="auto"/>
              </w:rPr>
            </w:pPr>
            <w:r>
              <w:rPr>
                <w:rFonts w:ascii="Arial" w:cs="Arial" w:eastAsia="Arial" w:hAnsi="Arial"/>
                <w:sz w:val="14"/>
                <w:szCs w:val="14"/>
                <w:color w:val="auto"/>
              </w:rPr>
              <w:t>they provide both upside potential</w:t>
            </w: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term shareholder value.</w:t>
            </w:r>
          </w:p>
        </w:tc>
        <w:tc>
          <w:tcPr>
            <w:tcW w:w="2280" w:type="dxa"/>
            <w:vAlign w:val="bottom"/>
            <w:shd w:val="clear" w:color="auto" w:fill="EEF3F7"/>
          </w:tcPr>
          <w:p>
            <w:pPr>
              <w:ind w:left="120"/>
              <w:spacing w:after="0"/>
              <w:rPr>
                <w:sz w:val="20"/>
                <w:szCs w:val="20"/>
                <w:color w:val="auto"/>
              </w:rPr>
            </w:pPr>
            <w:r>
              <w:rPr>
                <w:rFonts w:ascii="Arial" w:cs="Arial" w:eastAsia="Arial" w:hAnsi="Arial"/>
                <w:sz w:val="14"/>
                <w:szCs w:val="14"/>
                <w:color w:val="auto"/>
              </w:rPr>
              <w:t>and downside risk and add an</w:t>
            </w:r>
          </w:p>
        </w:tc>
        <w:tc>
          <w:tcPr>
            <w:tcW w:w="0" w:type="dxa"/>
            <w:vAlign w:val="bottom"/>
          </w:tcPr>
          <w:p>
            <w:pPr>
              <w:spacing w:after="0"/>
              <w:rPr>
                <w:sz w:val="1"/>
                <w:szCs w:val="1"/>
                <w:color w:val="auto"/>
              </w:rPr>
            </w:pPr>
          </w:p>
        </w:tc>
      </w:tr>
      <w:tr>
        <w:trPr>
          <w:trHeight w:val="241"/>
        </w:trPr>
        <w:tc>
          <w:tcPr>
            <w:tcW w:w="2280" w:type="dxa"/>
            <w:vAlign w:val="bottom"/>
            <w:tcBorders>
              <w:bottom w:val="single" w:sz="8" w:color="D6E1EC"/>
            </w:tcBorders>
            <w:shd w:val="clear" w:color="auto" w:fill="D6E1EC"/>
          </w:tcPr>
          <w:p>
            <w:pPr>
              <w:spacing w:after="0"/>
              <w:rPr>
                <w:sz w:val="20"/>
                <w:szCs w:val="20"/>
                <w:color w:val="auto"/>
              </w:rPr>
            </w:pPr>
          </w:p>
        </w:tc>
        <w:tc>
          <w:tcPr>
            <w:tcW w:w="2300" w:type="dxa"/>
            <w:vAlign w:val="bottom"/>
            <w:tcBorders>
              <w:bottom w:val="single" w:sz="8" w:color="EEF3F7"/>
            </w:tcBorders>
            <w:shd w:val="clear" w:color="auto" w:fill="EEF3F7"/>
          </w:tcPr>
          <w:p>
            <w:pPr>
              <w:spacing w:after="0"/>
              <w:rPr>
                <w:sz w:val="20"/>
                <w:szCs w:val="20"/>
                <w:color w:val="auto"/>
              </w:rPr>
            </w:pPr>
          </w:p>
        </w:tc>
        <w:tc>
          <w:tcPr>
            <w:tcW w:w="2280" w:type="dxa"/>
            <w:vAlign w:val="bottom"/>
            <w:tcBorders>
              <w:bottom w:val="single" w:sz="8" w:color="EEF3F7"/>
            </w:tcBorders>
            <w:shd w:val="clear" w:color="auto" w:fill="EEF3F7"/>
          </w:tcPr>
          <w:p>
            <w:pPr>
              <w:ind w:left="120"/>
              <w:spacing w:after="0"/>
              <w:rPr>
                <w:sz w:val="20"/>
                <w:szCs w:val="20"/>
                <w:color w:val="auto"/>
              </w:rPr>
            </w:pPr>
            <w:r>
              <w:rPr>
                <w:rFonts w:ascii="Arial" w:cs="Arial" w:eastAsia="Arial" w:hAnsi="Arial"/>
                <w:sz w:val="14"/>
                <w:szCs w:val="14"/>
                <w:color w:val="auto"/>
              </w:rPr>
              <w:t>additional retention incentive.</w:t>
            </w:r>
          </w:p>
        </w:tc>
        <w:tc>
          <w:tcPr>
            <w:tcW w:w="0" w:type="dxa"/>
            <w:vAlign w:val="bottom"/>
          </w:tcPr>
          <w:p>
            <w:pPr>
              <w:spacing w:after="0"/>
              <w:rPr>
                <w:sz w:val="1"/>
                <w:szCs w:val="1"/>
                <w:color w:val="auto"/>
              </w:rPr>
            </w:pPr>
          </w:p>
        </w:tc>
      </w:tr>
      <w:tr>
        <w:trPr>
          <w:trHeight w:val="198"/>
        </w:trPr>
        <w:tc>
          <w:tcPr>
            <w:tcW w:w="2280" w:type="dxa"/>
            <w:vAlign w:val="bottom"/>
            <w:tcBorders>
              <w:top w:val="single" w:sz="8" w:color="BFBFBF"/>
            </w:tcBorders>
            <w:shd w:val="clear" w:color="auto" w:fill="D6E1EC"/>
          </w:tcPr>
          <w:p>
            <w:pPr>
              <w:ind w:left="100"/>
              <w:spacing w:after="0"/>
              <w:rPr>
                <w:sz w:val="20"/>
                <w:szCs w:val="20"/>
                <w:color w:val="auto"/>
              </w:rPr>
            </w:pPr>
            <w:r>
              <w:rPr>
                <w:rFonts w:ascii="Arial" w:cs="Arial" w:eastAsia="Arial" w:hAnsi="Arial"/>
                <w:sz w:val="14"/>
                <w:szCs w:val="14"/>
                <w:color w:val="auto"/>
              </w:rPr>
              <w:t>Metrics and weightings of each:</w:t>
            </w:r>
          </w:p>
        </w:tc>
        <w:tc>
          <w:tcPr>
            <w:tcW w:w="2300" w:type="dxa"/>
            <w:vAlign w:val="bottom"/>
            <w:tcBorders>
              <w:top w:val="single" w:sz="8" w:color="BFBFBF"/>
            </w:tcBorders>
            <w:shd w:val="clear" w:color="auto" w:fill="EEF3F7"/>
          </w:tcPr>
          <w:p>
            <w:pPr>
              <w:ind w:left="120"/>
              <w:spacing w:after="0"/>
              <w:rPr>
                <w:sz w:val="20"/>
                <w:szCs w:val="20"/>
                <w:color w:val="auto"/>
              </w:rPr>
            </w:pPr>
            <w:r>
              <w:rPr>
                <w:rFonts w:ascii="Arial" w:cs="Arial" w:eastAsia="Arial" w:hAnsi="Arial"/>
                <w:sz w:val="14"/>
                <w:szCs w:val="14"/>
                <w:color w:val="auto"/>
              </w:rPr>
              <w:t>Metrics used to determine PSUs</w:t>
            </w:r>
          </w:p>
        </w:tc>
        <w:tc>
          <w:tcPr>
            <w:tcW w:w="2280" w:type="dxa"/>
            <w:vAlign w:val="bottom"/>
            <w:tcBorders>
              <w:top w:val="single" w:sz="8" w:color="BFBFBF"/>
            </w:tcBorders>
            <w:shd w:val="clear" w:color="auto" w:fill="EEF3F7"/>
          </w:tcPr>
          <w:p>
            <w:pPr>
              <w:ind w:left="120"/>
              <w:spacing w:after="0"/>
              <w:rPr>
                <w:sz w:val="20"/>
                <w:szCs w:val="20"/>
                <w:color w:val="auto"/>
              </w:rPr>
            </w:pPr>
            <w:r>
              <w:rPr>
                <w:rFonts w:ascii="Arial" w:cs="Arial" w:eastAsia="Arial" w:hAnsi="Arial"/>
                <w:sz w:val="14"/>
                <w:szCs w:val="14"/>
                <w:color w:val="auto"/>
              </w:rPr>
              <w:t>Value of RSUs is correlated to</w:t>
            </w:r>
          </w:p>
        </w:tc>
        <w:tc>
          <w:tcPr>
            <w:tcW w:w="0" w:type="dxa"/>
            <w:vAlign w:val="bottom"/>
          </w:tcPr>
          <w:p>
            <w:pPr>
              <w:spacing w:after="0"/>
              <w:rPr>
                <w:sz w:val="1"/>
                <w:szCs w:val="1"/>
                <w:color w:val="auto"/>
              </w:rPr>
            </w:pPr>
          </w:p>
        </w:tc>
      </w:tr>
      <w:tr>
        <w:trPr>
          <w:trHeight w:val="189"/>
        </w:trPr>
        <w:tc>
          <w:tcPr>
            <w:tcW w:w="2280" w:type="dxa"/>
            <w:vAlign w:val="bottom"/>
            <w:vMerge w:val="restart"/>
            <w:shd w:val="clear" w:color="auto" w:fill="D6E1EC"/>
          </w:tcPr>
          <w:p>
            <w:pPr>
              <w:ind w:left="100"/>
              <w:spacing w:after="0"/>
              <w:rPr>
                <w:sz w:val="20"/>
                <w:szCs w:val="20"/>
                <w:color w:val="auto"/>
              </w:rPr>
            </w:pPr>
            <w:r>
              <w:rPr>
                <w:rFonts w:ascii="Arial" w:cs="Arial" w:eastAsia="Arial" w:hAnsi="Arial"/>
                <w:sz w:val="14"/>
                <w:szCs w:val="14"/>
                <w:color w:val="auto"/>
              </w:rPr>
              <w:t>•   EPS (</w:t>
            </w:r>
            <w:r>
              <w:rPr>
                <w:rFonts w:ascii="Arial" w:cs="Arial" w:eastAsia="Arial" w:hAnsi="Arial"/>
                <w:sz w:val="14"/>
                <w:szCs w:val="14"/>
                <w:b w:val="1"/>
                <w:bCs w:val="1"/>
                <w:color w:val="5D89B4"/>
              </w:rPr>
              <w:t>25%</w:t>
            </w:r>
            <w:r>
              <w:rPr>
                <w:rFonts w:ascii="Arial" w:cs="Arial" w:eastAsia="Arial" w:hAnsi="Arial"/>
                <w:sz w:val="14"/>
                <w:szCs w:val="14"/>
                <w:color w:val="auto"/>
              </w:rPr>
              <w:t>)</w:t>
            </w: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earned:</w:t>
            </w:r>
          </w:p>
        </w:tc>
        <w:tc>
          <w:tcPr>
            <w:tcW w:w="2280" w:type="dxa"/>
            <w:vAlign w:val="bottom"/>
            <w:shd w:val="clear" w:color="auto" w:fill="EEF3F7"/>
          </w:tcPr>
          <w:p>
            <w:pPr>
              <w:ind w:left="120"/>
              <w:spacing w:after="0"/>
              <w:rPr>
                <w:sz w:val="20"/>
                <w:szCs w:val="20"/>
                <w:color w:val="auto"/>
              </w:rPr>
            </w:pPr>
            <w:r>
              <w:rPr>
                <w:rFonts w:ascii="Arial" w:cs="Arial" w:eastAsia="Arial" w:hAnsi="Arial"/>
                <w:sz w:val="14"/>
                <w:szCs w:val="14"/>
                <w:color w:val="auto"/>
              </w:rPr>
              <w:t>stock price.</w:t>
            </w:r>
          </w:p>
        </w:tc>
        <w:tc>
          <w:tcPr>
            <w:tcW w:w="0" w:type="dxa"/>
            <w:vAlign w:val="bottom"/>
          </w:tcPr>
          <w:p>
            <w:pPr>
              <w:spacing w:after="0"/>
              <w:rPr>
                <w:sz w:val="1"/>
                <w:szCs w:val="1"/>
                <w:color w:val="auto"/>
              </w:rPr>
            </w:pPr>
          </w:p>
        </w:tc>
      </w:tr>
      <w:tr>
        <w:trPr>
          <w:trHeight w:val="126"/>
        </w:trPr>
        <w:tc>
          <w:tcPr>
            <w:tcW w:w="2280" w:type="dxa"/>
            <w:vAlign w:val="bottom"/>
            <w:vMerge w:val="continue"/>
            <w:shd w:val="clear" w:color="auto" w:fill="D6E1EC"/>
          </w:tcPr>
          <w:p>
            <w:pPr>
              <w:spacing w:after="0"/>
              <w:rPr>
                <w:sz w:val="10"/>
                <w:szCs w:val="10"/>
                <w:color w:val="auto"/>
              </w:rPr>
            </w:pPr>
          </w:p>
        </w:tc>
        <w:tc>
          <w:tcPr>
            <w:tcW w:w="2300" w:type="dxa"/>
            <w:vAlign w:val="bottom"/>
            <w:vMerge w:val="restart"/>
            <w:shd w:val="clear" w:color="auto" w:fill="EEF3F7"/>
          </w:tcPr>
          <w:p>
            <w:pPr>
              <w:ind w:left="120"/>
              <w:spacing w:after="0"/>
              <w:rPr>
                <w:sz w:val="20"/>
                <w:szCs w:val="20"/>
                <w:color w:val="auto"/>
              </w:rPr>
            </w:pPr>
            <w:r>
              <w:rPr>
                <w:rFonts w:ascii="Arial" w:cs="Arial" w:eastAsia="Arial" w:hAnsi="Arial"/>
                <w:sz w:val="14"/>
                <w:szCs w:val="14"/>
                <w:color w:val="auto"/>
              </w:rPr>
              <w:t>•   EBITA Margin Percent (OPMP</w:t>
            </w:r>
          </w:p>
        </w:tc>
        <w:tc>
          <w:tcPr>
            <w:tcW w:w="2280" w:type="dxa"/>
            <w:vAlign w:val="bottom"/>
            <w:shd w:val="clear" w:color="auto" w:fill="EEF3F7"/>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280" w:type="dxa"/>
            <w:vAlign w:val="bottom"/>
            <w:vMerge w:val="restart"/>
            <w:shd w:val="clear" w:color="auto" w:fill="D6E1EC"/>
          </w:tcPr>
          <w:p>
            <w:pPr>
              <w:ind w:left="100"/>
              <w:spacing w:after="0"/>
              <w:rPr>
                <w:sz w:val="20"/>
                <w:szCs w:val="20"/>
                <w:color w:val="auto"/>
              </w:rPr>
            </w:pPr>
            <w:r>
              <w:rPr>
                <w:rFonts w:ascii="Arial" w:cs="Arial" w:eastAsia="Arial" w:hAnsi="Arial"/>
                <w:sz w:val="14"/>
                <w:szCs w:val="14"/>
                <w:color w:val="auto"/>
              </w:rPr>
              <w:t>•   ROIC (</w:t>
            </w:r>
            <w:r>
              <w:rPr>
                <w:rFonts w:ascii="Arial" w:cs="Arial" w:eastAsia="Arial" w:hAnsi="Arial"/>
                <w:sz w:val="14"/>
                <w:szCs w:val="14"/>
                <w:b w:val="1"/>
                <w:bCs w:val="1"/>
                <w:color w:val="5D89B4"/>
              </w:rPr>
              <w:t>25%</w:t>
            </w:r>
            <w:r>
              <w:rPr>
                <w:rFonts w:ascii="Arial" w:cs="Arial" w:eastAsia="Arial" w:hAnsi="Arial"/>
                <w:sz w:val="14"/>
                <w:szCs w:val="14"/>
                <w:color w:val="auto"/>
              </w:rPr>
              <w:t>)</w:t>
            </w:r>
          </w:p>
        </w:tc>
        <w:tc>
          <w:tcPr>
            <w:tcW w:w="2300" w:type="dxa"/>
            <w:vAlign w:val="bottom"/>
            <w:vMerge w:val="continue"/>
            <w:shd w:val="clear" w:color="auto" w:fill="EEF3F7"/>
          </w:tcPr>
          <w:p>
            <w:pPr>
              <w:spacing w:after="0"/>
              <w:rPr>
                <w:sz w:val="10"/>
                <w:szCs w:val="10"/>
                <w:color w:val="auto"/>
              </w:rPr>
            </w:pPr>
          </w:p>
        </w:tc>
        <w:tc>
          <w:tcPr>
            <w:tcW w:w="2280" w:type="dxa"/>
            <w:vAlign w:val="bottom"/>
            <w:shd w:val="clear" w:color="auto" w:fill="EEF3F7"/>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80" w:type="dxa"/>
            <w:vAlign w:val="bottom"/>
            <w:vMerge w:val="continue"/>
            <w:shd w:val="clear" w:color="auto" w:fill="D6E1EC"/>
          </w:tcPr>
          <w:p>
            <w:pPr>
              <w:spacing w:after="0"/>
              <w:rPr>
                <w:sz w:val="9"/>
                <w:szCs w:val="9"/>
                <w:color w:val="auto"/>
              </w:rPr>
            </w:pPr>
          </w:p>
        </w:tc>
        <w:tc>
          <w:tcPr>
            <w:tcW w:w="2300" w:type="dxa"/>
            <w:vAlign w:val="bottom"/>
            <w:vMerge w:val="restart"/>
            <w:shd w:val="clear" w:color="auto" w:fill="EEF3F7"/>
          </w:tcPr>
          <w:p>
            <w:pPr>
              <w:ind w:left="240"/>
              <w:spacing w:after="0"/>
              <w:rPr>
                <w:sz w:val="20"/>
                <w:szCs w:val="20"/>
                <w:color w:val="auto"/>
              </w:rPr>
            </w:pPr>
            <w:r>
              <w:rPr>
                <w:rFonts w:ascii="Arial" w:cs="Arial" w:eastAsia="Arial" w:hAnsi="Arial"/>
                <w:sz w:val="14"/>
                <w:szCs w:val="14"/>
                <w:color w:val="auto"/>
              </w:rPr>
              <w:t>for PSU grants prior to 2022)</w:t>
            </w:r>
          </w:p>
        </w:tc>
        <w:tc>
          <w:tcPr>
            <w:tcW w:w="2280" w:type="dxa"/>
            <w:vAlign w:val="bottom"/>
            <w:shd w:val="clear" w:color="auto" w:fill="EEF3F7"/>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280" w:type="dxa"/>
            <w:vAlign w:val="bottom"/>
            <w:vMerge w:val="restart"/>
            <w:shd w:val="clear" w:color="auto" w:fill="D6E1EC"/>
          </w:tcPr>
          <w:p>
            <w:pPr>
              <w:ind w:left="100"/>
              <w:spacing w:after="0"/>
              <w:rPr>
                <w:sz w:val="20"/>
                <w:szCs w:val="20"/>
                <w:color w:val="auto"/>
              </w:rPr>
            </w:pPr>
            <w:r>
              <w:rPr>
                <w:rFonts w:ascii="Arial" w:cs="Arial" w:eastAsia="Arial" w:hAnsi="Arial"/>
                <w:sz w:val="14"/>
                <w:szCs w:val="14"/>
                <w:color w:val="auto"/>
              </w:rPr>
              <w:t>•   Revenue (</w:t>
            </w:r>
            <w:r>
              <w:rPr>
                <w:rFonts w:ascii="Arial" w:cs="Arial" w:eastAsia="Arial" w:hAnsi="Arial"/>
                <w:sz w:val="14"/>
                <w:szCs w:val="14"/>
                <w:b w:val="1"/>
                <w:bCs w:val="1"/>
                <w:color w:val="5D89B4"/>
              </w:rPr>
              <w:t>20%</w:t>
            </w:r>
            <w:r>
              <w:rPr>
                <w:rFonts w:ascii="Arial" w:cs="Arial" w:eastAsia="Arial" w:hAnsi="Arial"/>
                <w:sz w:val="14"/>
                <w:szCs w:val="14"/>
                <w:color w:val="auto"/>
              </w:rPr>
              <w:t>)</w:t>
            </w:r>
          </w:p>
        </w:tc>
        <w:tc>
          <w:tcPr>
            <w:tcW w:w="2300" w:type="dxa"/>
            <w:vAlign w:val="bottom"/>
            <w:vMerge w:val="continue"/>
            <w:shd w:val="clear" w:color="auto" w:fill="EEF3F7"/>
          </w:tcPr>
          <w:p>
            <w:pPr>
              <w:spacing w:after="0"/>
              <w:rPr>
                <w:sz w:val="6"/>
                <w:szCs w:val="6"/>
                <w:color w:val="auto"/>
              </w:rPr>
            </w:pPr>
          </w:p>
        </w:tc>
        <w:tc>
          <w:tcPr>
            <w:tcW w:w="2280" w:type="dxa"/>
            <w:vAlign w:val="bottom"/>
            <w:shd w:val="clear" w:color="auto" w:fill="EEF3F7"/>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280" w:type="dxa"/>
            <w:vAlign w:val="bottom"/>
            <w:vMerge w:val="continue"/>
            <w:shd w:val="clear" w:color="auto" w:fill="D6E1EC"/>
          </w:tcPr>
          <w:p>
            <w:pPr>
              <w:spacing w:after="0"/>
              <w:rPr>
                <w:sz w:val="14"/>
                <w:szCs w:val="14"/>
                <w:color w:val="auto"/>
              </w:rPr>
            </w:pPr>
          </w:p>
        </w:tc>
        <w:tc>
          <w:tcPr>
            <w:tcW w:w="2300" w:type="dxa"/>
            <w:vAlign w:val="bottom"/>
            <w:vMerge w:val="restart"/>
            <w:shd w:val="clear" w:color="auto" w:fill="EEF3F7"/>
          </w:tcPr>
          <w:p>
            <w:pPr>
              <w:ind w:left="120"/>
              <w:spacing w:after="0"/>
              <w:rPr>
                <w:sz w:val="20"/>
                <w:szCs w:val="20"/>
                <w:color w:val="auto"/>
              </w:rPr>
            </w:pPr>
            <w:r>
              <w:rPr>
                <w:rFonts w:ascii="Arial" w:cs="Arial" w:eastAsia="Arial" w:hAnsi="Arial"/>
                <w:sz w:val="14"/>
                <w:szCs w:val="14"/>
                <w:color w:val="auto"/>
              </w:rPr>
              <w:t>•   Average EBITA “gate” - If</w:t>
            </w:r>
          </w:p>
        </w:tc>
        <w:tc>
          <w:tcPr>
            <w:tcW w:w="2280" w:type="dxa"/>
            <w:vAlign w:val="bottom"/>
            <w:shd w:val="clear" w:color="auto" w:fill="EEF3F7"/>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280" w:type="dxa"/>
            <w:vAlign w:val="bottom"/>
            <w:shd w:val="clear" w:color="auto" w:fill="D6E1EC"/>
          </w:tcPr>
          <w:p>
            <w:pPr>
              <w:spacing w:after="0"/>
              <w:rPr>
                <w:sz w:val="3"/>
                <w:szCs w:val="3"/>
                <w:color w:val="auto"/>
              </w:rPr>
            </w:pPr>
          </w:p>
        </w:tc>
        <w:tc>
          <w:tcPr>
            <w:tcW w:w="2300" w:type="dxa"/>
            <w:vAlign w:val="bottom"/>
            <w:vMerge w:val="continue"/>
            <w:shd w:val="clear" w:color="auto" w:fill="EEF3F7"/>
          </w:tcPr>
          <w:p>
            <w:pPr>
              <w:spacing w:after="0"/>
              <w:rPr>
                <w:sz w:val="3"/>
                <w:szCs w:val="3"/>
                <w:color w:val="auto"/>
              </w:rPr>
            </w:pPr>
          </w:p>
        </w:tc>
        <w:tc>
          <w:tcPr>
            <w:tcW w:w="2280" w:type="dxa"/>
            <w:vAlign w:val="bottom"/>
            <w:shd w:val="clear" w:color="auto" w:fill="EEF3F7"/>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ind w:left="100"/>
              <w:spacing w:after="0"/>
              <w:rPr>
                <w:sz w:val="20"/>
                <w:szCs w:val="20"/>
                <w:color w:val="auto"/>
              </w:rPr>
            </w:pPr>
            <w:r>
              <w:rPr>
                <w:rFonts w:ascii="Arial" w:cs="Arial" w:eastAsia="Arial" w:hAnsi="Arial"/>
                <w:sz w:val="14"/>
                <w:szCs w:val="14"/>
                <w:color w:val="auto"/>
              </w:rPr>
              <w:t>•   Individual Strategic KPIs and</w:t>
            </w: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average EBITA does not meet a</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ind w:left="220"/>
              <w:spacing w:after="0"/>
              <w:rPr>
                <w:sz w:val="20"/>
                <w:szCs w:val="20"/>
                <w:color w:val="auto"/>
              </w:rPr>
            </w:pPr>
            <w:r>
              <w:rPr>
                <w:rFonts w:ascii="Arial" w:cs="Arial" w:eastAsia="Arial" w:hAnsi="Arial"/>
                <w:sz w:val="14"/>
                <w:szCs w:val="14"/>
                <w:color w:val="auto"/>
              </w:rPr>
              <w:t>ESG Goals (</w:t>
            </w:r>
            <w:r>
              <w:rPr>
                <w:rFonts w:ascii="Arial" w:cs="Arial" w:eastAsia="Arial" w:hAnsi="Arial"/>
                <w:sz w:val="14"/>
                <w:szCs w:val="14"/>
                <w:b w:val="1"/>
                <w:bCs w:val="1"/>
                <w:color w:val="5D89B4"/>
              </w:rPr>
              <w:t>30%</w:t>
            </w:r>
            <w:r>
              <w:rPr>
                <w:rFonts w:ascii="Arial" w:cs="Arial" w:eastAsia="Arial" w:hAnsi="Arial"/>
                <w:sz w:val="14"/>
                <w:szCs w:val="14"/>
                <w:color w:val="auto"/>
              </w:rPr>
              <w:t>)</w:t>
            </w: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certain pre-determined dollar</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“gate” over the performance</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period, maximum payout cannot</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exceed more than 100% of</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D6E1EC"/>
          </w:tcPr>
          <w:p>
            <w:pPr>
              <w:spacing w:after="0"/>
              <w:rPr>
                <w:sz w:val="16"/>
                <w:szCs w:val="16"/>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target.</w:t>
            </w:r>
          </w:p>
        </w:tc>
        <w:tc>
          <w:tcPr>
            <w:tcW w:w="2280" w:type="dxa"/>
            <w:vAlign w:val="bottom"/>
            <w:shd w:val="clear" w:color="auto" w:fill="EEF3F7"/>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D6E1EC"/>
          </w:tcPr>
          <w:p>
            <w:pPr>
              <w:spacing w:after="0"/>
              <w:rPr>
                <w:sz w:val="18"/>
                <w:szCs w:val="18"/>
                <w:color w:val="auto"/>
              </w:rPr>
            </w:pP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w w:val="99"/>
              </w:rPr>
              <w:t>•   KPI modifier - For PSUs granted</w:t>
            </w:r>
          </w:p>
        </w:tc>
        <w:tc>
          <w:tcPr>
            <w:tcW w:w="2280" w:type="dxa"/>
            <w:vAlign w:val="bottom"/>
            <w:shd w:val="clear" w:color="auto" w:fill="EEF3F7"/>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in 2023, final PSU payout can</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increase or decrease by up to</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30% based on Committee’s</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assessment of achievement of</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pre-established strategic growth</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objectives. Modifier cannot be</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used to adjust total payout</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shd w:val="clear" w:color="auto" w:fill="D6E1EC"/>
          </w:tcPr>
          <w:p>
            <w:pPr>
              <w:spacing w:after="0"/>
              <w:rPr>
                <w:sz w:val="13"/>
                <w:szCs w:val="13"/>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below threshold or above</w:t>
            </w:r>
          </w:p>
        </w:tc>
        <w:tc>
          <w:tcPr>
            <w:tcW w:w="2280" w:type="dxa"/>
            <w:vAlign w:val="bottom"/>
            <w:shd w:val="clear" w:color="auto" w:fill="EEF3F7"/>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D6E1EC"/>
          </w:tcPr>
          <w:p>
            <w:pPr>
              <w:spacing w:after="0"/>
              <w:rPr>
                <w:sz w:val="16"/>
                <w:szCs w:val="16"/>
                <w:color w:val="auto"/>
              </w:rPr>
            </w:pPr>
          </w:p>
        </w:tc>
        <w:tc>
          <w:tcPr>
            <w:tcW w:w="2300" w:type="dxa"/>
            <w:vAlign w:val="bottom"/>
            <w:shd w:val="clear" w:color="auto" w:fill="EEF3F7"/>
          </w:tcPr>
          <w:p>
            <w:pPr>
              <w:ind w:left="240"/>
              <w:spacing w:after="0"/>
              <w:rPr>
                <w:sz w:val="20"/>
                <w:szCs w:val="20"/>
                <w:color w:val="auto"/>
              </w:rPr>
            </w:pPr>
            <w:r>
              <w:rPr>
                <w:rFonts w:ascii="Arial" w:cs="Arial" w:eastAsia="Arial" w:hAnsi="Arial"/>
                <w:sz w:val="14"/>
                <w:szCs w:val="14"/>
                <w:color w:val="auto"/>
              </w:rPr>
              <w:t>outstanding.</w:t>
            </w:r>
          </w:p>
        </w:tc>
        <w:tc>
          <w:tcPr>
            <w:tcW w:w="2280" w:type="dxa"/>
            <w:vAlign w:val="bottom"/>
            <w:shd w:val="clear" w:color="auto" w:fill="EEF3F7"/>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280" w:type="dxa"/>
            <w:vAlign w:val="bottom"/>
            <w:tcBorders>
              <w:bottom w:val="single" w:sz="8" w:color="BFBFBF"/>
            </w:tcBorders>
            <w:shd w:val="clear" w:color="auto" w:fill="D6E1EC"/>
          </w:tcPr>
          <w:p>
            <w:pPr>
              <w:spacing w:after="0"/>
              <w:rPr>
                <w:sz w:val="5"/>
                <w:szCs w:val="5"/>
                <w:color w:val="auto"/>
              </w:rPr>
            </w:pPr>
          </w:p>
        </w:tc>
        <w:tc>
          <w:tcPr>
            <w:tcW w:w="2300" w:type="dxa"/>
            <w:vAlign w:val="bottom"/>
            <w:tcBorders>
              <w:bottom w:val="single" w:sz="8" w:color="BFBFBF"/>
            </w:tcBorders>
            <w:shd w:val="clear" w:color="auto" w:fill="EEF3F7"/>
          </w:tcPr>
          <w:p>
            <w:pPr>
              <w:spacing w:after="0"/>
              <w:rPr>
                <w:sz w:val="5"/>
                <w:szCs w:val="5"/>
                <w:color w:val="auto"/>
              </w:rPr>
            </w:pPr>
          </w:p>
        </w:tc>
        <w:tc>
          <w:tcPr>
            <w:tcW w:w="2280" w:type="dxa"/>
            <w:vAlign w:val="bottom"/>
            <w:tcBorders>
              <w:bottom w:val="single" w:sz="8" w:color="BFBFBF"/>
            </w:tcBorders>
            <w:shd w:val="clear" w:color="auto" w:fill="EEF3F7"/>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280" w:type="dxa"/>
            <w:vAlign w:val="bottom"/>
            <w:shd w:val="clear" w:color="auto" w:fill="D6E1EC"/>
          </w:tcPr>
          <w:p>
            <w:pPr>
              <w:ind w:left="100"/>
              <w:spacing w:after="0"/>
              <w:rPr>
                <w:sz w:val="20"/>
                <w:szCs w:val="20"/>
                <w:color w:val="auto"/>
              </w:rPr>
            </w:pPr>
            <w:r>
              <w:rPr>
                <w:rFonts w:ascii="Arial" w:cs="Arial" w:eastAsia="Arial" w:hAnsi="Arial"/>
                <w:sz w:val="14"/>
                <w:szCs w:val="14"/>
                <w:color w:val="auto"/>
              </w:rPr>
              <w:t>Page 44</w:t>
            </w:r>
          </w:p>
        </w:tc>
        <w:tc>
          <w:tcPr>
            <w:tcW w:w="2300" w:type="dxa"/>
            <w:vAlign w:val="bottom"/>
            <w:shd w:val="clear" w:color="auto" w:fill="EEF3F7"/>
          </w:tcPr>
          <w:p>
            <w:pPr>
              <w:ind w:left="120"/>
              <w:spacing w:after="0"/>
              <w:rPr>
                <w:sz w:val="20"/>
                <w:szCs w:val="20"/>
                <w:color w:val="auto"/>
              </w:rPr>
            </w:pPr>
            <w:r>
              <w:rPr>
                <w:rFonts w:ascii="Arial" w:cs="Arial" w:eastAsia="Arial" w:hAnsi="Arial"/>
                <w:sz w:val="14"/>
                <w:szCs w:val="14"/>
                <w:color w:val="auto"/>
              </w:rPr>
              <w:t>Page 48</w:t>
            </w:r>
          </w:p>
        </w:tc>
        <w:tc>
          <w:tcPr>
            <w:tcW w:w="2280" w:type="dxa"/>
            <w:vAlign w:val="bottom"/>
            <w:shd w:val="clear" w:color="auto" w:fill="EEF3F7"/>
          </w:tcPr>
          <w:p>
            <w:pPr>
              <w:ind w:left="120"/>
              <w:spacing w:after="0"/>
              <w:rPr>
                <w:sz w:val="20"/>
                <w:szCs w:val="20"/>
                <w:color w:val="auto"/>
              </w:rPr>
            </w:pPr>
            <w:r>
              <w:rPr>
                <w:rFonts w:ascii="Arial" w:cs="Arial" w:eastAsia="Arial" w:hAnsi="Arial"/>
                <w:sz w:val="14"/>
                <w:szCs w:val="14"/>
                <w:color w:val="auto"/>
              </w:rPr>
              <w:t>Page 50</w:t>
            </w:r>
          </w:p>
        </w:tc>
        <w:tc>
          <w:tcPr>
            <w:tcW w:w="0" w:type="dxa"/>
            <w:vAlign w:val="bottom"/>
          </w:tcPr>
          <w:p>
            <w:pPr>
              <w:spacing w:after="0"/>
              <w:rPr>
                <w:sz w:val="1"/>
                <w:szCs w:val="1"/>
                <w:color w:val="auto"/>
              </w:rPr>
            </w:pPr>
          </w:p>
        </w:tc>
      </w:tr>
      <w:tr>
        <w:trPr>
          <w:trHeight w:val="47"/>
        </w:trPr>
        <w:tc>
          <w:tcPr>
            <w:tcW w:w="2280" w:type="dxa"/>
            <w:vAlign w:val="bottom"/>
            <w:shd w:val="clear" w:color="auto" w:fill="D6E1EC"/>
          </w:tcPr>
          <w:p>
            <w:pPr>
              <w:spacing w:after="0"/>
              <w:rPr>
                <w:sz w:val="4"/>
                <w:szCs w:val="4"/>
                <w:color w:val="auto"/>
              </w:rPr>
            </w:pPr>
          </w:p>
        </w:tc>
        <w:tc>
          <w:tcPr>
            <w:tcW w:w="2300" w:type="dxa"/>
            <w:vAlign w:val="bottom"/>
            <w:shd w:val="clear" w:color="auto" w:fill="EEF3F7"/>
          </w:tcPr>
          <w:p>
            <w:pPr>
              <w:spacing w:after="0"/>
              <w:rPr>
                <w:sz w:val="4"/>
                <w:szCs w:val="4"/>
                <w:color w:val="auto"/>
              </w:rPr>
            </w:pPr>
          </w:p>
        </w:tc>
        <w:tc>
          <w:tcPr>
            <w:tcW w:w="2280" w:type="dxa"/>
            <w:vAlign w:val="bottom"/>
            <w:shd w:val="clear" w:color="auto" w:fill="EEF3F7"/>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109855</wp:posOffset>
            </wp:positionV>
            <wp:extent cx="69138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760" w:space="600"/>
            <w:col w:w="1760" w:space="80"/>
            <w:col w:w="6860"/>
          </w:cols>
          <w:pgMar w:left="320" w:top="480" w:right="519" w:bottom="1440" w:gutter="0" w:footer="0" w:header="0"/>
          <w:type w:val="continuous"/>
        </w:sectPr>
      </w:pPr>
    </w:p>
    <w:p>
      <w:pPr>
        <w:spacing w:after="0" w:line="133" w:lineRule="exact"/>
        <w:rPr>
          <w:sz w:val="20"/>
          <w:szCs w:val="20"/>
          <w:color w:val="auto"/>
        </w:rPr>
      </w:pPr>
    </w:p>
    <w:p>
      <w:pPr>
        <w:ind w:left="6180" w:hanging="658"/>
        <w:spacing w:after="0"/>
        <w:tabs>
          <w:tab w:leader="none" w:pos="6180" w:val="left"/>
        </w:tabs>
        <w:numPr>
          <w:ilvl w:val="0"/>
          <w:numId w:val="34"/>
        </w:numPr>
        <w:rPr>
          <w:rFonts w:ascii="Arial" w:cs="Arial" w:eastAsia="Arial" w:hAnsi="Arial"/>
          <w:sz w:val="18"/>
          <w:szCs w:val="18"/>
          <w:b w:val="1"/>
          <w:bCs w:val="1"/>
          <w:color w:val="5D89B4"/>
        </w:rPr>
      </w:pPr>
      <w:r>
        <w:rPr>
          <w:rFonts w:ascii="Arial" w:cs="Arial" w:eastAsia="Arial" w:hAnsi="Arial"/>
          <w:sz w:val="15"/>
          <w:szCs w:val="15"/>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-121920</wp:posOffset>
            </wp:positionV>
            <wp:extent cx="932180" cy="169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500"/>
        <w:spacing w:after="0"/>
        <w:rPr>
          <w:sz w:val="20"/>
          <w:szCs w:val="20"/>
          <w:color w:val="auto"/>
        </w:rPr>
      </w:pPr>
      <w:r>
        <w:rPr>
          <w:rFonts w:ascii="Arial" w:cs="Arial" w:eastAsia="Arial" w:hAnsi="Arial"/>
          <w:sz w:val="15"/>
          <w:szCs w:val="15"/>
          <w:b w:val="1"/>
          <w:bCs w:val="1"/>
          <w:color w:val="5D89B4"/>
        </w:rPr>
        <w:t>COMPENSATION DISCUSSION AND ANALYSIS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 addition to the above, below are other important elements of our executive compensation program along with a brief description of each:</w:t>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72"/>
        </w:trPr>
        <w:tc>
          <w:tcPr>
            <w:tcW w:w="3160" w:type="dxa"/>
            <w:vAlign w:val="bottom"/>
            <w:tcBorders>
              <w:bottom w:val="single" w:sz="8" w:color="EAEAEA"/>
            </w:tcBorders>
            <w:shd w:val="clear" w:color="auto" w:fill="EAEAEA"/>
          </w:tcPr>
          <w:p>
            <w:pPr>
              <w:spacing w:after="0"/>
              <w:rPr>
                <w:sz w:val="23"/>
                <w:szCs w:val="23"/>
                <w:color w:val="auto"/>
              </w:rPr>
            </w:pPr>
          </w:p>
        </w:tc>
        <w:tc>
          <w:tcPr>
            <w:tcW w:w="512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2"/>
                <w:szCs w:val="12"/>
                <w:b w:val="1"/>
                <w:bCs w:val="1"/>
                <w:color w:val="5D89B4"/>
              </w:rPr>
              <w:t>DESCRIPTION</w:t>
            </w:r>
          </w:p>
        </w:tc>
        <w:tc>
          <w:tcPr>
            <w:tcW w:w="26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2"/>
                <w:szCs w:val="12"/>
                <w:b w:val="1"/>
                <w:bCs w:val="1"/>
                <w:color w:val="5D89B4"/>
              </w:rPr>
              <w:t>FOR MORE INFORMATION</w:t>
            </w:r>
          </w:p>
        </w:tc>
      </w:tr>
      <w:tr>
        <w:trPr>
          <w:trHeight w:val="198"/>
        </w:trPr>
        <w:tc>
          <w:tcPr>
            <w:tcW w:w="3160" w:type="dxa"/>
            <w:vAlign w:val="bottom"/>
            <w:tcBorders>
              <w:top w:val="single" w:sz="8" w:color="5D89B4"/>
            </w:tcBorders>
          </w:tcPr>
          <w:p>
            <w:pPr>
              <w:ind w:left="80"/>
              <w:spacing w:after="0"/>
              <w:rPr>
                <w:sz w:val="20"/>
                <w:szCs w:val="20"/>
                <w:color w:val="auto"/>
              </w:rPr>
            </w:pPr>
            <w:r>
              <w:rPr>
                <w:rFonts w:ascii="Arial" w:cs="Arial" w:eastAsia="Arial" w:hAnsi="Arial"/>
                <w:sz w:val="14"/>
                <w:szCs w:val="14"/>
                <w:b w:val="1"/>
                <w:bCs w:val="1"/>
                <w:color w:val="auto"/>
              </w:rPr>
              <w:t>Qualified Retirement Plans</w:t>
            </w:r>
          </w:p>
        </w:tc>
        <w:tc>
          <w:tcPr>
            <w:tcW w:w="5120" w:type="dxa"/>
            <w:vAlign w:val="bottom"/>
            <w:tcBorders>
              <w:top w:val="single" w:sz="8" w:color="5D89B4"/>
            </w:tcBorders>
            <w:shd w:val="clear" w:color="auto" w:fill="D6E1EC"/>
          </w:tcPr>
          <w:p>
            <w:pPr>
              <w:ind w:left="120"/>
              <w:spacing w:after="0"/>
              <w:rPr>
                <w:sz w:val="20"/>
                <w:szCs w:val="20"/>
                <w:color w:val="auto"/>
              </w:rPr>
            </w:pPr>
            <w:r>
              <w:rPr>
                <w:rFonts w:ascii="Arial" w:cs="Arial" w:eastAsia="Arial" w:hAnsi="Arial"/>
                <w:sz w:val="14"/>
                <w:szCs w:val="14"/>
                <w:color w:val="auto"/>
              </w:rPr>
              <w:t>Although we maintain a qualified 401(k) plan in the United States, our NEOs</w:t>
            </w:r>
          </w:p>
        </w:tc>
        <w:tc>
          <w:tcPr>
            <w:tcW w:w="2600" w:type="dxa"/>
            <w:vAlign w:val="bottom"/>
            <w:tcBorders>
              <w:top w:val="single" w:sz="8" w:color="5D89B4"/>
            </w:tcBorders>
            <w:shd w:val="clear" w:color="auto" w:fill="EEF3F7"/>
          </w:tcPr>
          <w:p>
            <w:pPr>
              <w:ind w:left="1100"/>
              <w:spacing w:after="0"/>
              <w:rPr>
                <w:sz w:val="20"/>
                <w:szCs w:val="20"/>
                <w:color w:val="auto"/>
              </w:rPr>
            </w:pPr>
            <w:r>
              <w:rPr>
                <w:rFonts w:ascii="Arial" w:cs="Arial" w:eastAsia="Arial" w:hAnsi="Arial"/>
                <w:sz w:val="14"/>
                <w:szCs w:val="14"/>
                <w:color w:val="auto"/>
              </w:rPr>
              <w:t>Page 50</w:t>
            </w: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are not eligible to participate (except as described in the following sentence)</w:t>
            </w:r>
          </w:p>
        </w:tc>
        <w:tc>
          <w:tcPr>
            <w:tcW w:w="2600" w:type="dxa"/>
            <w:vAlign w:val="bottom"/>
            <w:shd w:val="clear" w:color="auto" w:fill="EEF3F7"/>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because of limitations on participation by highly compensated employees under</w:t>
            </w:r>
          </w:p>
        </w:tc>
        <w:tc>
          <w:tcPr>
            <w:tcW w:w="2600" w:type="dxa"/>
            <w:vAlign w:val="bottom"/>
            <w:shd w:val="clear" w:color="auto" w:fill="EEF3F7"/>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the rules governing such plans. NEOs are eligible to participate only in the first</w:t>
            </w:r>
          </w:p>
        </w:tc>
        <w:tc>
          <w:tcPr>
            <w:tcW w:w="2600" w:type="dxa"/>
            <w:vAlign w:val="bottom"/>
            <w:shd w:val="clear" w:color="auto" w:fill="EEF3F7"/>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year of their employment (after which they are eligible to participate in the</w:t>
            </w:r>
          </w:p>
        </w:tc>
        <w:tc>
          <w:tcPr>
            <w:tcW w:w="2600" w:type="dxa"/>
            <w:vAlign w:val="bottom"/>
            <w:shd w:val="clear" w:color="auto" w:fill="EEF3F7"/>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nonqualified savings plan) and in making catch-up contributions for individuals</w:t>
            </w:r>
          </w:p>
        </w:tc>
        <w:tc>
          <w:tcPr>
            <w:tcW w:w="2600" w:type="dxa"/>
            <w:vAlign w:val="bottom"/>
            <w:shd w:val="clear" w:color="auto" w:fill="EEF3F7"/>
          </w:tcPr>
          <w:p>
            <w:pPr>
              <w:spacing w:after="0"/>
              <w:rPr>
                <w:sz w:val="13"/>
                <w:szCs w:val="13"/>
                <w:color w:val="auto"/>
              </w:rPr>
            </w:pPr>
          </w:p>
        </w:tc>
      </w:tr>
      <w:tr>
        <w:trPr>
          <w:trHeight w:val="236"/>
        </w:trPr>
        <w:tc>
          <w:tcPr>
            <w:tcW w:w="3160" w:type="dxa"/>
            <w:vAlign w:val="bottom"/>
          </w:tcPr>
          <w:p>
            <w:pPr>
              <w:spacing w:after="0"/>
              <w:rPr>
                <w:sz w:val="20"/>
                <w:szCs w:val="20"/>
                <w:color w:val="auto"/>
              </w:rPr>
            </w:pPr>
          </w:p>
        </w:tc>
        <w:tc>
          <w:tcPr>
            <w:tcW w:w="5120" w:type="dxa"/>
            <w:vAlign w:val="bottom"/>
            <w:tcBorders>
              <w:bottom w:val="single" w:sz="8" w:color="D6E1EC"/>
            </w:tcBorders>
            <w:shd w:val="clear" w:color="auto" w:fill="D6E1EC"/>
          </w:tcPr>
          <w:p>
            <w:pPr>
              <w:ind w:left="120"/>
              <w:spacing w:after="0"/>
              <w:rPr>
                <w:sz w:val="20"/>
                <w:szCs w:val="20"/>
                <w:color w:val="auto"/>
              </w:rPr>
            </w:pPr>
            <w:r>
              <w:rPr>
                <w:rFonts w:ascii="Arial" w:cs="Arial" w:eastAsia="Arial" w:hAnsi="Arial"/>
                <w:sz w:val="14"/>
                <w:szCs w:val="14"/>
                <w:color w:val="auto"/>
              </w:rPr>
              <w:t>over the age of 50.</w:t>
            </w:r>
          </w:p>
        </w:tc>
        <w:tc>
          <w:tcPr>
            <w:tcW w:w="2600" w:type="dxa"/>
            <w:vAlign w:val="bottom"/>
            <w:tcBorders>
              <w:bottom w:val="single" w:sz="8" w:color="EEF3F7"/>
            </w:tcBorders>
            <w:shd w:val="clear" w:color="auto" w:fill="EEF3F7"/>
          </w:tcPr>
          <w:p>
            <w:pPr>
              <w:spacing w:after="0"/>
              <w:rPr>
                <w:sz w:val="20"/>
                <w:szCs w:val="20"/>
                <w:color w:val="auto"/>
              </w:rPr>
            </w:pPr>
          </w:p>
        </w:tc>
      </w:tr>
      <w:tr>
        <w:trPr>
          <w:trHeight w:val="198"/>
        </w:trPr>
        <w:tc>
          <w:tcPr>
            <w:tcW w:w="3160" w:type="dxa"/>
            <w:vAlign w:val="bottom"/>
            <w:tcBorders>
              <w:top w:val="single" w:sz="8" w:color="BFBFBF"/>
            </w:tcBorders>
          </w:tcPr>
          <w:p>
            <w:pPr>
              <w:ind w:left="80"/>
              <w:spacing w:after="0"/>
              <w:rPr>
                <w:sz w:val="20"/>
                <w:szCs w:val="20"/>
                <w:color w:val="auto"/>
              </w:rPr>
            </w:pPr>
            <w:r>
              <w:rPr>
                <w:rFonts w:ascii="Arial" w:cs="Arial" w:eastAsia="Arial" w:hAnsi="Arial"/>
                <w:sz w:val="14"/>
                <w:szCs w:val="14"/>
                <w:b w:val="1"/>
                <w:bCs w:val="1"/>
                <w:color w:val="auto"/>
              </w:rPr>
              <w:t>Nonqualified Savings Plan (“NQSP”)</w:t>
            </w:r>
          </w:p>
        </w:tc>
        <w:tc>
          <w:tcPr>
            <w:tcW w:w="5120" w:type="dxa"/>
            <w:vAlign w:val="bottom"/>
            <w:tcBorders>
              <w:top w:val="single" w:sz="8" w:color="BFBFBF"/>
            </w:tcBorders>
            <w:shd w:val="clear" w:color="auto" w:fill="D6E1EC"/>
          </w:tcPr>
          <w:p>
            <w:pPr>
              <w:ind w:left="120"/>
              <w:spacing w:after="0"/>
              <w:rPr>
                <w:sz w:val="20"/>
                <w:szCs w:val="20"/>
                <w:color w:val="auto"/>
              </w:rPr>
            </w:pPr>
            <w:r>
              <w:rPr>
                <w:rFonts w:ascii="Arial" w:cs="Arial" w:eastAsia="Arial" w:hAnsi="Arial"/>
                <w:sz w:val="14"/>
                <w:szCs w:val="14"/>
                <w:color w:val="auto"/>
              </w:rPr>
              <w:t>Used to provide NEOs with reasonably competitive benefits to those in the</w:t>
            </w:r>
          </w:p>
        </w:tc>
        <w:tc>
          <w:tcPr>
            <w:tcW w:w="2600" w:type="dxa"/>
            <w:vAlign w:val="bottom"/>
            <w:tcBorders>
              <w:top w:val="single" w:sz="8" w:color="BFBFBF"/>
            </w:tcBorders>
            <w:shd w:val="clear" w:color="auto" w:fill="EEF3F7"/>
          </w:tcPr>
          <w:p>
            <w:pPr>
              <w:ind w:left="1100"/>
              <w:spacing w:after="0"/>
              <w:rPr>
                <w:sz w:val="20"/>
                <w:szCs w:val="20"/>
                <w:color w:val="auto"/>
              </w:rPr>
            </w:pPr>
            <w:r>
              <w:rPr>
                <w:rFonts w:ascii="Arial" w:cs="Arial" w:eastAsia="Arial" w:hAnsi="Arial"/>
                <w:sz w:val="14"/>
                <w:szCs w:val="14"/>
                <w:color w:val="auto"/>
              </w:rPr>
              <w:t>Page 50</w:t>
            </w: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competitive market. NEOs are eligible to participate after the first year of</w:t>
            </w:r>
          </w:p>
        </w:tc>
        <w:tc>
          <w:tcPr>
            <w:tcW w:w="2600" w:type="dxa"/>
            <w:vAlign w:val="bottom"/>
            <w:shd w:val="clear" w:color="auto" w:fill="EEF3F7"/>
          </w:tcPr>
          <w:p>
            <w:pPr>
              <w:spacing w:after="0"/>
              <w:rPr>
                <w:sz w:val="13"/>
                <w:szCs w:val="13"/>
                <w:color w:val="auto"/>
              </w:rPr>
            </w:pPr>
          </w:p>
        </w:tc>
      </w:tr>
      <w:tr>
        <w:trPr>
          <w:trHeight w:val="236"/>
        </w:trPr>
        <w:tc>
          <w:tcPr>
            <w:tcW w:w="3160" w:type="dxa"/>
            <w:vAlign w:val="bottom"/>
          </w:tcPr>
          <w:p>
            <w:pPr>
              <w:spacing w:after="0"/>
              <w:rPr>
                <w:sz w:val="20"/>
                <w:szCs w:val="20"/>
                <w:color w:val="auto"/>
              </w:rPr>
            </w:pPr>
          </w:p>
        </w:tc>
        <w:tc>
          <w:tcPr>
            <w:tcW w:w="5120" w:type="dxa"/>
            <w:vAlign w:val="bottom"/>
            <w:tcBorders>
              <w:bottom w:val="single" w:sz="8" w:color="D6E1EC"/>
            </w:tcBorders>
            <w:shd w:val="clear" w:color="auto" w:fill="D6E1EC"/>
          </w:tcPr>
          <w:p>
            <w:pPr>
              <w:ind w:left="120"/>
              <w:spacing w:after="0"/>
              <w:rPr>
                <w:sz w:val="20"/>
                <w:szCs w:val="20"/>
                <w:color w:val="auto"/>
              </w:rPr>
            </w:pPr>
            <w:r>
              <w:rPr>
                <w:rFonts w:ascii="Arial" w:cs="Arial" w:eastAsia="Arial" w:hAnsi="Arial"/>
                <w:sz w:val="14"/>
                <w:szCs w:val="14"/>
                <w:color w:val="auto"/>
              </w:rPr>
              <w:t>employment.</w:t>
            </w:r>
          </w:p>
        </w:tc>
        <w:tc>
          <w:tcPr>
            <w:tcW w:w="2600" w:type="dxa"/>
            <w:vAlign w:val="bottom"/>
            <w:tcBorders>
              <w:bottom w:val="single" w:sz="8" w:color="EEF3F7"/>
            </w:tcBorders>
            <w:shd w:val="clear" w:color="auto" w:fill="EEF3F7"/>
          </w:tcPr>
          <w:p>
            <w:pPr>
              <w:spacing w:after="0"/>
              <w:rPr>
                <w:sz w:val="20"/>
                <w:szCs w:val="20"/>
                <w:color w:val="auto"/>
              </w:rPr>
            </w:pPr>
          </w:p>
        </w:tc>
      </w:tr>
      <w:tr>
        <w:trPr>
          <w:trHeight w:val="198"/>
        </w:trPr>
        <w:tc>
          <w:tcPr>
            <w:tcW w:w="3160" w:type="dxa"/>
            <w:vAlign w:val="bottom"/>
            <w:tcBorders>
              <w:top w:val="single" w:sz="8" w:color="BFBFBF"/>
            </w:tcBorders>
          </w:tcPr>
          <w:p>
            <w:pPr>
              <w:ind w:left="80"/>
              <w:spacing w:after="0"/>
              <w:rPr>
                <w:sz w:val="20"/>
                <w:szCs w:val="20"/>
                <w:color w:val="auto"/>
              </w:rPr>
            </w:pPr>
            <w:r>
              <w:rPr>
                <w:rFonts w:ascii="Arial" w:cs="Arial" w:eastAsia="Arial" w:hAnsi="Arial"/>
                <w:sz w:val="14"/>
                <w:szCs w:val="14"/>
                <w:b w:val="1"/>
                <w:bCs w:val="1"/>
                <w:color w:val="auto"/>
              </w:rPr>
              <w:t>Career Shares</w:t>
            </w:r>
          </w:p>
        </w:tc>
        <w:tc>
          <w:tcPr>
            <w:tcW w:w="5120" w:type="dxa"/>
            <w:vAlign w:val="bottom"/>
            <w:tcBorders>
              <w:top w:val="single" w:sz="8" w:color="BFBFBF"/>
            </w:tcBorders>
            <w:shd w:val="clear" w:color="auto" w:fill="D6E1EC"/>
          </w:tcPr>
          <w:p>
            <w:pPr>
              <w:ind w:left="120"/>
              <w:spacing w:after="0"/>
              <w:rPr>
                <w:sz w:val="20"/>
                <w:szCs w:val="20"/>
                <w:color w:val="auto"/>
              </w:rPr>
            </w:pPr>
            <w:r>
              <w:rPr>
                <w:rFonts w:ascii="Arial" w:cs="Arial" w:eastAsia="Arial" w:hAnsi="Arial"/>
                <w:sz w:val="14"/>
                <w:szCs w:val="14"/>
                <w:color w:val="auto"/>
              </w:rPr>
              <w:t>Used selectively by the Committee as an incentive in the form of long-dated</w:t>
            </w:r>
          </w:p>
        </w:tc>
        <w:tc>
          <w:tcPr>
            <w:tcW w:w="2600" w:type="dxa"/>
            <w:vAlign w:val="bottom"/>
            <w:tcBorders>
              <w:top w:val="single" w:sz="8" w:color="BFBFBF"/>
            </w:tcBorders>
            <w:shd w:val="clear" w:color="auto" w:fill="EEF3F7"/>
          </w:tcPr>
          <w:p>
            <w:pPr>
              <w:ind w:left="1100"/>
              <w:spacing w:after="0"/>
              <w:rPr>
                <w:sz w:val="20"/>
                <w:szCs w:val="20"/>
                <w:color w:val="auto"/>
              </w:rPr>
            </w:pPr>
            <w:r>
              <w:rPr>
                <w:rFonts w:ascii="Arial" w:cs="Arial" w:eastAsia="Arial" w:hAnsi="Arial"/>
                <w:sz w:val="14"/>
                <w:szCs w:val="14"/>
                <w:color w:val="auto"/>
              </w:rPr>
              <w:t>Page 50</w:t>
            </w: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RSUs, typically with a five-year year vesting date, as needed to attract and</w:t>
            </w:r>
          </w:p>
        </w:tc>
        <w:tc>
          <w:tcPr>
            <w:tcW w:w="2600" w:type="dxa"/>
            <w:vAlign w:val="bottom"/>
            <w:shd w:val="clear" w:color="auto" w:fill="EEF3F7"/>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retain executives. The Committee makes infrequent use of this compensation</w:t>
            </w:r>
          </w:p>
        </w:tc>
        <w:tc>
          <w:tcPr>
            <w:tcW w:w="2600" w:type="dxa"/>
            <w:vAlign w:val="bottom"/>
            <w:shd w:val="clear" w:color="auto" w:fill="EEF3F7"/>
          </w:tcPr>
          <w:p>
            <w:pPr>
              <w:spacing w:after="0"/>
              <w:rPr>
                <w:sz w:val="13"/>
                <w:szCs w:val="13"/>
                <w:color w:val="auto"/>
              </w:rPr>
            </w:pPr>
          </w:p>
        </w:tc>
      </w:tr>
      <w:tr>
        <w:trPr>
          <w:trHeight w:val="236"/>
        </w:trPr>
        <w:tc>
          <w:tcPr>
            <w:tcW w:w="3160" w:type="dxa"/>
            <w:vAlign w:val="bottom"/>
          </w:tcPr>
          <w:p>
            <w:pPr>
              <w:spacing w:after="0"/>
              <w:rPr>
                <w:sz w:val="20"/>
                <w:szCs w:val="20"/>
                <w:color w:val="auto"/>
              </w:rPr>
            </w:pPr>
          </w:p>
        </w:tc>
        <w:tc>
          <w:tcPr>
            <w:tcW w:w="5120" w:type="dxa"/>
            <w:vAlign w:val="bottom"/>
            <w:tcBorders>
              <w:bottom w:val="single" w:sz="8" w:color="D6E1EC"/>
            </w:tcBorders>
            <w:shd w:val="clear" w:color="auto" w:fill="D6E1EC"/>
          </w:tcPr>
          <w:p>
            <w:pPr>
              <w:ind w:left="120"/>
              <w:spacing w:after="0"/>
              <w:rPr>
                <w:sz w:val="20"/>
                <w:szCs w:val="20"/>
                <w:color w:val="auto"/>
              </w:rPr>
            </w:pPr>
            <w:r>
              <w:rPr>
                <w:rFonts w:ascii="Arial" w:cs="Arial" w:eastAsia="Arial" w:hAnsi="Arial"/>
                <w:sz w:val="14"/>
                <w:szCs w:val="14"/>
                <w:color w:val="auto"/>
              </w:rPr>
              <w:t>element and determines each year whether to make any such awards.</w:t>
            </w:r>
          </w:p>
        </w:tc>
        <w:tc>
          <w:tcPr>
            <w:tcW w:w="2600" w:type="dxa"/>
            <w:vAlign w:val="bottom"/>
            <w:tcBorders>
              <w:bottom w:val="single" w:sz="8" w:color="EEF3F7"/>
            </w:tcBorders>
            <w:shd w:val="clear" w:color="auto" w:fill="EEF3F7"/>
          </w:tcPr>
          <w:p>
            <w:pPr>
              <w:spacing w:after="0"/>
              <w:rPr>
                <w:sz w:val="20"/>
                <w:szCs w:val="20"/>
                <w:color w:val="auto"/>
              </w:rPr>
            </w:pPr>
          </w:p>
        </w:tc>
      </w:tr>
      <w:tr>
        <w:trPr>
          <w:trHeight w:val="198"/>
        </w:trPr>
        <w:tc>
          <w:tcPr>
            <w:tcW w:w="3160" w:type="dxa"/>
            <w:vAlign w:val="bottom"/>
            <w:tcBorders>
              <w:top w:val="single" w:sz="8" w:color="BFBFBF"/>
            </w:tcBorders>
          </w:tcPr>
          <w:p>
            <w:pPr>
              <w:ind w:left="80"/>
              <w:spacing w:after="0"/>
              <w:rPr>
                <w:sz w:val="20"/>
                <w:szCs w:val="20"/>
                <w:color w:val="auto"/>
              </w:rPr>
            </w:pPr>
            <w:r>
              <w:rPr>
                <w:rFonts w:ascii="Arial" w:cs="Arial" w:eastAsia="Arial" w:hAnsi="Arial"/>
                <w:sz w:val="14"/>
                <w:szCs w:val="14"/>
                <w:b w:val="1"/>
                <w:bCs w:val="1"/>
                <w:color w:val="auto"/>
              </w:rPr>
              <w:t>Other Benefits</w:t>
            </w:r>
          </w:p>
        </w:tc>
        <w:tc>
          <w:tcPr>
            <w:tcW w:w="5120" w:type="dxa"/>
            <w:vAlign w:val="bottom"/>
            <w:tcBorders>
              <w:top w:val="single" w:sz="8" w:color="BFBFBF"/>
            </w:tcBorders>
            <w:shd w:val="clear" w:color="auto" w:fill="D6E1EC"/>
          </w:tcPr>
          <w:p>
            <w:pPr>
              <w:ind w:left="120"/>
              <w:spacing w:after="0"/>
              <w:rPr>
                <w:sz w:val="20"/>
                <w:szCs w:val="20"/>
                <w:color w:val="auto"/>
              </w:rPr>
            </w:pPr>
            <w:r>
              <w:rPr>
                <w:rFonts w:ascii="Arial" w:cs="Arial" w:eastAsia="Arial" w:hAnsi="Arial"/>
                <w:sz w:val="14"/>
                <w:szCs w:val="14"/>
                <w:color w:val="auto"/>
              </w:rPr>
              <w:t>The Committee confers limited additional benefits to NEOs. These include</w:t>
            </w:r>
          </w:p>
        </w:tc>
        <w:tc>
          <w:tcPr>
            <w:tcW w:w="2600" w:type="dxa"/>
            <w:vAlign w:val="bottom"/>
            <w:tcBorders>
              <w:top w:val="single" w:sz="8" w:color="BFBFBF"/>
            </w:tcBorders>
            <w:shd w:val="clear" w:color="auto" w:fill="EEF3F7"/>
          </w:tcPr>
          <w:p>
            <w:pPr>
              <w:ind w:left="1100"/>
              <w:spacing w:after="0"/>
              <w:rPr>
                <w:sz w:val="20"/>
                <w:szCs w:val="20"/>
                <w:color w:val="auto"/>
              </w:rPr>
            </w:pPr>
            <w:r>
              <w:rPr>
                <w:rFonts w:ascii="Arial" w:cs="Arial" w:eastAsia="Arial" w:hAnsi="Arial"/>
                <w:sz w:val="14"/>
                <w:szCs w:val="14"/>
                <w:color w:val="auto"/>
              </w:rPr>
              <w:t>Page 51</w:t>
            </w: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financial planning reimbursement, broad-based automobile benefits,</w:t>
            </w:r>
          </w:p>
        </w:tc>
        <w:tc>
          <w:tcPr>
            <w:tcW w:w="2600" w:type="dxa"/>
            <w:vAlign w:val="bottom"/>
            <w:shd w:val="clear" w:color="auto" w:fill="EEF3F7"/>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5120" w:type="dxa"/>
            <w:vAlign w:val="bottom"/>
            <w:shd w:val="clear" w:color="auto" w:fill="D6E1EC"/>
          </w:tcPr>
          <w:p>
            <w:pPr>
              <w:ind w:left="120"/>
              <w:spacing w:after="0"/>
              <w:rPr>
                <w:sz w:val="20"/>
                <w:szCs w:val="20"/>
                <w:color w:val="auto"/>
              </w:rPr>
            </w:pPr>
            <w:r>
              <w:rPr>
                <w:rFonts w:ascii="Arial" w:cs="Arial" w:eastAsia="Arial" w:hAnsi="Arial"/>
                <w:sz w:val="14"/>
                <w:szCs w:val="14"/>
                <w:color w:val="auto"/>
              </w:rPr>
              <w:t>participation in broad-based employee benefit plans, and certain other benefits</w:t>
            </w:r>
          </w:p>
        </w:tc>
        <w:tc>
          <w:tcPr>
            <w:tcW w:w="2600" w:type="dxa"/>
            <w:vAlign w:val="bottom"/>
            <w:shd w:val="clear" w:color="auto" w:fill="EEF3F7"/>
          </w:tcPr>
          <w:p>
            <w:pPr>
              <w:spacing w:after="0"/>
              <w:rPr>
                <w:sz w:val="13"/>
                <w:szCs w:val="13"/>
                <w:color w:val="auto"/>
              </w:rPr>
            </w:pPr>
          </w:p>
        </w:tc>
      </w:tr>
      <w:tr>
        <w:trPr>
          <w:trHeight w:val="236"/>
        </w:trPr>
        <w:tc>
          <w:tcPr>
            <w:tcW w:w="3160" w:type="dxa"/>
            <w:vAlign w:val="bottom"/>
          </w:tcPr>
          <w:p>
            <w:pPr>
              <w:spacing w:after="0"/>
              <w:rPr>
                <w:sz w:val="20"/>
                <w:szCs w:val="20"/>
                <w:color w:val="auto"/>
              </w:rPr>
            </w:pPr>
          </w:p>
        </w:tc>
        <w:tc>
          <w:tcPr>
            <w:tcW w:w="5120" w:type="dxa"/>
            <w:vAlign w:val="bottom"/>
            <w:tcBorders>
              <w:bottom w:val="single" w:sz="8" w:color="D6E1EC"/>
            </w:tcBorders>
            <w:shd w:val="clear" w:color="auto" w:fill="D6E1EC"/>
          </w:tcPr>
          <w:p>
            <w:pPr>
              <w:ind w:left="120"/>
              <w:spacing w:after="0"/>
              <w:rPr>
                <w:sz w:val="20"/>
                <w:szCs w:val="20"/>
                <w:color w:val="auto"/>
              </w:rPr>
            </w:pPr>
            <w:r>
              <w:rPr>
                <w:rFonts w:ascii="Arial" w:cs="Arial" w:eastAsia="Arial" w:hAnsi="Arial"/>
                <w:sz w:val="14"/>
                <w:szCs w:val="14"/>
                <w:color w:val="auto"/>
              </w:rPr>
              <w:t>required by local law or driven by market practice.</w:t>
            </w:r>
          </w:p>
        </w:tc>
        <w:tc>
          <w:tcPr>
            <w:tcW w:w="2600" w:type="dxa"/>
            <w:vAlign w:val="bottom"/>
            <w:tcBorders>
              <w:bottom w:val="single" w:sz="8" w:color="EEF3F7"/>
            </w:tcBorders>
            <w:shd w:val="clear" w:color="auto" w:fill="EEF3F7"/>
          </w:tcPr>
          <w:p>
            <w:pPr>
              <w:spacing w:after="0"/>
              <w:rPr>
                <w:sz w:val="20"/>
                <w:szCs w:val="20"/>
                <w:color w:val="auto"/>
              </w:rPr>
            </w:pPr>
          </w:p>
        </w:tc>
      </w:tr>
      <w:tr>
        <w:trPr>
          <w:trHeight w:val="153"/>
        </w:trPr>
        <w:tc>
          <w:tcPr>
            <w:tcW w:w="3160" w:type="dxa"/>
            <w:vAlign w:val="bottom"/>
            <w:tcBorders>
              <w:top w:val="single" w:sz="8" w:color="5D89B4"/>
              <w:bottom w:val="single" w:sz="8" w:color="5D89B4"/>
            </w:tcBorders>
          </w:tcPr>
          <w:p>
            <w:pPr>
              <w:spacing w:after="0"/>
              <w:rPr>
                <w:sz w:val="13"/>
                <w:szCs w:val="13"/>
                <w:color w:val="auto"/>
              </w:rPr>
            </w:pPr>
          </w:p>
        </w:tc>
        <w:tc>
          <w:tcPr>
            <w:tcW w:w="5120" w:type="dxa"/>
            <w:vAlign w:val="bottom"/>
            <w:tcBorders>
              <w:top w:val="single" w:sz="8" w:color="5D89B4"/>
              <w:bottom w:val="single" w:sz="8" w:color="5D89B4"/>
            </w:tcBorders>
          </w:tcPr>
          <w:p>
            <w:pPr>
              <w:spacing w:after="0"/>
              <w:rPr>
                <w:sz w:val="13"/>
                <w:szCs w:val="13"/>
                <w:color w:val="auto"/>
              </w:rPr>
            </w:pPr>
          </w:p>
        </w:tc>
        <w:tc>
          <w:tcPr>
            <w:tcW w:w="2600" w:type="dxa"/>
            <w:vAlign w:val="bottom"/>
            <w:tcBorders>
              <w:top w:val="single" w:sz="8" w:color="5D89B4"/>
              <w:bottom w:val="single" w:sz="8" w:color="5D89B4"/>
            </w:tcBorders>
          </w:tcPr>
          <w:p>
            <w:pPr>
              <w:spacing w:after="0"/>
              <w:rPr>
                <w:sz w:val="13"/>
                <w:szCs w:val="13"/>
                <w:color w:val="auto"/>
              </w:rPr>
            </w:pPr>
          </w:p>
        </w:tc>
      </w:tr>
    </w:tbl>
    <w:p>
      <w:pPr>
        <w:spacing w:after="0" w:line="127"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41</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Target Total Compensation</w:t>
      </w:r>
    </w:p>
    <w:p>
      <w:pPr>
        <w:spacing w:after="0" w:line="128" w:lineRule="exact"/>
        <w:rPr>
          <w:sz w:val="20"/>
          <w:szCs w:val="20"/>
          <w:color w:val="auto"/>
        </w:rPr>
      </w:pPr>
    </w:p>
    <w:p>
      <w:pPr>
        <w:ind w:left="180"/>
        <w:spacing w:after="0" w:line="280" w:lineRule="auto"/>
        <w:rPr>
          <w:sz w:val="20"/>
          <w:szCs w:val="20"/>
          <w:color w:val="auto"/>
        </w:rPr>
      </w:pPr>
      <w:r>
        <w:rPr>
          <w:rFonts w:ascii="Arial" w:cs="Arial" w:eastAsia="Arial" w:hAnsi="Arial"/>
          <w:sz w:val="14"/>
          <w:szCs w:val="14"/>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2023.</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2023 Target Compensation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right="260"/>
        <w:spacing w:after="0" w:line="259" w:lineRule="auto"/>
        <w:rPr>
          <w:sz w:val="20"/>
          <w:szCs w:val="20"/>
          <w:color w:val="auto"/>
        </w:rPr>
      </w:pPr>
      <w:r>
        <w:rPr>
          <w:rFonts w:ascii="Arial" w:cs="Arial" w:eastAsia="Arial" w:hAnsi="Arial"/>
          <w:sz w:val="14"/>
          <w:szCs w:val="14"/>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w:t>
      </w:r>
    </w:p>
    <w:p>
      <w:pPr>
        <w:spacing w:after="0" w:line="106" w:lineRule="exact"/>
        <w:rPr>
          <w:sz w:val="20"/>
          <w:szCs w:val="20"/>
          <w:color w:val="auto"/>
        </w:rPr>
      </w:pPr>
    </w:p>
    <w:p>
      <w:pPr>
        <w:ind w:left="180" w:right="100"/>
        <w:spacing w:after="0" w:line="280" w:lineRule="auto"/>
        <w:rPr>
          <w:sz w:val="20"/>
          <w:szCs w:val="20"/>
          <w:color w:val="auto"/>
        </w:rPr>
      </w:pPr>
      <w:r>
        <w:rPr>
          <w:rFonts w:ascii="Arial" w:cs="Arial" w:eastAsia="Arial" w:hAnsi="Arial"/>
          <w:sz w:val="14"/>
          <w:szCs w:val="14"/>
          <w:color w:val="auto"/>
        </w:rPr>
        <w:t>This table outlines the values of each of the NEOs’ total target compensation values and the percentage that is variable (both short- and long-term) and performance-based (both short- and long-term).</w:t>
      </w: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2023 NEO Target Compensation</w:t>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3700" w:type="dxa"/>
            <w:vAlign w:val="bottom"/>
            <w:shd w:val="clear" w:color="auto" w:fill="EAEAEA"/>
          </w:tcPr>
          <w:p>
            <w:pPr>
              <w:spacing w:after="0"/>
              <w:rPr>
                <w:sz w:val="15"/>
                <w:szCs w:val="15"/>
                <w:color w:val="auto"/>
              </w:rPr>
            </w:pPr>
          </w:p>
        </w:tc>
        <w:tc>
          <w:tcPr>
            <w:tcW w:w="1040" w:type="dxa"/>
            <w:vAlign w:val="bottom"/>
            <w:shd w:val="clear" w:color="auto" w:fill="EAEAEA"/>
          </w:tcPr>
          <w:p>
            <w:pPr>
              <w:spacing w:after="0"/>
              <w:rPr>
                <w:sz w:val="15"/>
                <w:szCs w:val="15"/>
                <w:color w:val="auto"/>
              </w:rPr>
            </w:pPr>
          </w:p>
        </w:tc>
        <w:tc>
          <w:tcPr>
            <w:tcW w:w="920" w:type="dxa"/>
            <w:vAlign w:val="bottom"/>
            <w:shd w:val="clear" w:color="auto" w:fill="EAEAEA"/>
          </w:tcPr>
          <w:p>
            <w:pPr>
              <w:spacing w:after="0"/>
              <w:rPr>
                <w:sz w:val="15"/>
                <w:szCs w:val="15"/>
                <w:color w:val="auto"/>
              </w:rPr>
            </w:pPr>
          </w:p>
        </w:tc>
        <w:tc>
          <w:tcPr>
            <w:tcW w:w="1060" w:type="dxa"/>
            <w:vAlign w:val="bottom"/>
            <w:shd w:val="clear" w:color="auto" w:fill="EAEAEA"/>
          </w:tcPr>
          <w:p>
            <w:pPr>
              <w:spacing w:after="0"/>
              <w:rPr>
                <w:sz w:val="15"/>
                <w:szCs w:val="15"/>
                <w:color w:val="auto"/>
              </w:rPr>
            </w:pPr>
          </w:p>
        </w:tc>
        <w:tc>
          <w:tcPr>
            <w:tcW w:w="1040" w:type="dxa"/>
            <w:vAlign w:val="bottom"/>
            <w:shd w:val="clear" w:color="auto" w:fill="EAEAEA"/>
          </w:tcPr>
          <w:p>
            <w:pPr>
              <w:spacing w:after="0"/>
              <w:rPr>
                <w:sz w:val="15"/>
                <w:szCs w:val="15"/>
                <w:color w:val="auto"/>
              </w:rPr>
            </w:pPr>
          </w:p>
        </w:tc>
        <w:tc>
          <w:tcPr>
            <w:tcW w:w="1020" w:type="dxa"/>
            <w:vAlign w:val="bottom"/>
            <w:shd w:val="clear" w:color="auto" w:fill="EAEAEA"/>
          </w:tcPr>
          <w:p>
            <w:pPr>
              <w:spacing w:after="0"/>
              <w:rPr>
                <w:sz w:val="15"/>
                <w:szCs w:val="15"/>
                <w:color w:val="auto"/>
              </w:rPr>
            </w:pPr>
          </w:p>
        </w:tc>
        <w:tc>
          <w:tcPr>
            <w:tcW w:w="960" w:type="dxa"/>
            <w:vAlign w:val="bottom"/>
            <w:shd w:val="clear" w:color="auto" w:fill="EAEAEA"/>
          </w:tcPr>
          <w:p>
            <w:pPr>
              <w:jc w:val="right"/>
              <w:ind w:right="117"/>
              <w:spacing w:after="0"/>
              <w:rPr>
                <w:sz w:val="20"/>
                <w:szCs w:val="20"/>
                <w:color w:val="auto"/>
              </w:rPr>
            </w:pPr>
            <w:r>
              <w:rPr>
                <w:rFonts w:ascii="Arial" w:cs="Arial" w:eastAsia="Arial" w:hAnsi="Arial"/>
                <w:sz w:val="11"/>
                <w:szCs w:val="11"/>
                <w:b w:val="1"/>
                <w:bCs w:val="1"/>
                <w:color w:val="5D89B4"/>
              </w:rPr>
              <w:t>% TOTAL</w:t>
            </w:r>
          </w:p>
        </w:tc>
        <w:tc>
          <w:tcPr>
            <w:tcW w:w="1140" w:type="dxa"/>
            <w:vAlign w:val="bottom"/>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 TOTAL 2023</w:t>
            </w:r>
          </w:p>
        </w:tc>
      </w:tr>
      <w:tr>
        <w:trPr>
          <w:trHeight w:val="120"/>
        </w:trPr>
        <w:tc>
          <w:tcPr>
            <w:tcW w:w="370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92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960" w:type="dxa"/>
            <w:vAlign w:val="bottom"/>
            <w:shd w:val="clear" w:color="auto" w:fill="EAEAEA"/>
          </w:tcPr>
          <w:p>
            <w:pPr>
              <w:jc w:val="right"/>
              <w:ind w:right="117"/>
              <w:spacing w:after="0" w:line="120" w:lineRule="exact"/>
              <w:rPr>
                <w:sz w:val="20"/>
                <w:szCs w:val="20"/>
                <w:color w:val="auto"/>
              </w:rPr>
            </w:pPr>
            <w:r>
              <w:rPr>
                <w:rFonts w:ascii="Arial" w:cs="Arial" w:eastAsia="Arial" w:hAnsi="Arial"/>
                <w:sz w:val="11"/>
                <w:szCs w:val="11"/>
                <w:b w:val="1"/>
                <w:bCs w:val="1"/>
                <w:color w:val="5D89B4"/>
              </w:rPr>
              <w:t>2023</w:t>
            </w:r>
          </w:p>
        </w:tc>
        <w:tc>
          <w:tcPr>
            <w:tcW w:w="1140" w:type="dxa"/>
            <w:vAlign w:val="bottom"/>
            <w:shd w:val="clear" w:color="auto" w:fill="EAEAEA"/>
          </w:tcPr>
          <w:p>
            <w:pPr>
              <w:jc w:val="right"/>
              <w:ind w:right="137"/>
              <w:spacing w:after="0" w:line="120" w:lineRule="exact"/>
              <w:rPr>
                <w:sz w:val="20"/>
                <w:szCs w:val="20"/>
                <w:color w:val="auto"/>
              </w:rPr>
            </w:pPr>
            <w:r>
              <w:rPr>
                <w:rFonts w:ascii="Arial" w:cs="Arial" w:eastAsia="Arial" w:hAnsi="Arial"/>
                <w:sz w:val="11"/>
                <w:szCs w:val="11"/>
                <w:b w:val="1"/>
                <w:bCs w:val="1"/>
                <w:color w:val="5D89B4"/>
              </w:rPr>
              <w:t>TARGET</w:t>
            </w:r>
          </w:p>
        </w:tc>
      </w:tr>
      <w:tr>
        <w:trPr>
          <w:trHeight w:val="120"/>
        </w:trPr>
        <w:tc>
          <w:tcPr>
            <w:tcW w:w="370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92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54"/>
              <w:spacing w:after="0" w:line="120" w:lineRule="exact"/>
              <w:rPr>
                <w:sz w:val="20"/>
                <w:szCs w:val="20"/>
                <w:color w:val="auto"/>
              </w:rPr>
            </w:pPr>
            <w:r>
              <w:rPr>
                <w:rFonts w:ascii="Arial" w:cs="Arial" w:eastAsia="Arial" w:hAnsi="Arial"/>
                <w:sz w:val="11"/>
                <w:szCs w:val="11"/>
                <w:b w:val="1"/>
                <w:bCs w:val="1"/>
                <w:color w:val="5D89B4"/>
              </w:rPr>
              <w:t>TOTAL 2023</w:t>
            </w:r>
          </w:p>
        </w:tc>
        <w:tc>
          <w:tcPr>
            <w:tcW w:w="960" w:type="dxa"/>
            <w:vAlign w:val="bottom"/>
            <w:shd w:val="clear" w:color="auto" w:fill="EAEAEA"/>
          </w:tcPr>
          <w:p>
            <w:pPr>
              <w:jc w:val="right"/>
              <w:ind w:right="117"/>
              <w:spacing w:after="0" w:line="120" w:lineRule="exact"/>
              <w:rPr>
                <w:sz w:val="20"/>
                <w:szCs w:val="20"/>
                <w:color w:val="auto"/>
              </w:rPr>
            </w:pPr>
            <w:r>
              <w:rPr>
                <w:rFonts w:ascii="Arial" w:cs="Arial" w:eastAsia="Arial" w:hAnsi="Arial"/>
                <w:sz w:val="11"/>
                <w:szCs w:val="11"/>
                <w:b w:val="1"/>
                <w:bCs w:val="1"/>
                <w:color w:val="5D89B4"/>
              </w:rPr>
              <w:t>TARGET</w:t>
            </w:r>
          </w:p>
        </w:tc>
        <w:tc>
          <w:tcPr>
            <w:tcW w:w="1140" w:type="dxa"/>
            <w:vAlign w:val="bottom"/>
            <w:shd w:val="clear" w:color="auto" w:fill="EAEAEA"/>
          </w:tcPr>
          <w:p>
            <w:pPr>
              <w:jc w:val="right"/>
              <w:ind w:right="137"/>
              <w:spacing w:after="0" w:line="120" w:lineRule="exact"/>
              <w:rPr>
                <w:sz w:val="20"/>
                <w:szCs w:val="20"/>
                <w:color w:val="auto"/>
              </w:rPr>
            </w:pPr>
            <w:r>
              <w:rPr>
                <w:rFonts w:ascii="Arial" w:cs="Arial" w:eastAsia="Arial" w:hAnsi="Arial"/>
                <w:sz w:val="11"/>
                <w:szCs w:val="11"/>
                <w:b w:val="1"/>
                <w:bCs w:val="1"/>
                <w:color w:val="5D89B4"/>
              </w:rPr>
              <w:t>COMP</w:t>
            </w:r>
          </w:p>
        </w:tc>
      </w:tr>
      <w:tr>
        <w:trPr>
          <w:trHeight w:val="120"/>
        </w:trPr>
        <w:tc>
          <w:tcPr>
            <w:tcW w:w="370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72"/>
              <w:spacing w:after="0" w:line="120" w:lineRule="exact"/>
              <w:rPr>
                <w:sz w:val="20"/>
                <w:szCs w:val="20"/>
                <w:color w:val="auto"/>
              </w:rPr>
            </w:pPr>
            <w:r>
              <w:rPr>
                <w:rFonts w:ascii="Arial" w:cs="Arial" w:eastAsia="Arial" w:hAnsi="Arial"/>
                <w:sz w:val="11"/>
                <w:szCs w:val="11"/>
                <w:b w:val="1"/>
                <w:bCs w:val="1"/>
                <w:color w:val="5D89B4"/>
              </w:rPr>
              <w:t>BASE</w:t>
            </w:r>
          </w:p>
        </w:tc>
        <w:tc>
          <w:tcPr>
            <w:tcW w:w="920" w:type="dxa"/>
            <w:vAlign w:val="bottom"/>
            <w:shd w:val="clear" w:color="auto" w:fill="EAEAEA"/>
          </w:tcPr>
          <w:p>
            <w:pPr>
              <w:jc w:val="right"/>
              <w:ind w:right="32"/>
              <w:spacing w:after="0" w:line="120" w:lineRule="exact"/>
              <w:rPr>
                <w:sz w:val="20"/>
                <w:szCs w:val="20"/>
                <w:color w:val="auto"/>
              </w:rPr>
            </w:pPr>
            <w:r>
              <w:rPr>
                <w:rFonts w:ascii="Arial" w:cs="Arial" w:eastAsia="Arial" w:hAnsi="Arial"/>
                <w:sz w:val="11"/>
                <w:szCs w:val="11"/>
                <w:b w:val="1"/>
                <w:bCs w:val="1"/>
                <w:color w:val="5D89B4"/>
              </w:rPr>
              <w:t>ANNUAL</w:t>
            </w:r>
          </w:p>
        </w:tc>
        <w:tc>
          <w:tcPr>
            <w:tcW w:w="1060" w:type="dxa"/>
            <w:vAlign w:val="bottom"/>
            <w:shd w:val="clear" w:color="auto" w:fill="EAEAEA"/>
          </w:tcPr>
          <w:p>
            <w:pPr>
              <w:jc w:val="right"/>
              <w:ind w:right="52"/>
              <w:spacing w:after="0" w:line="120" w:lineRule="exact"/>
              <w:rPr>
                <w:sz w:val="20"/>
                <w:szCs w:val="20"/>
                <w:color w:val="auto"/>
              </w:rPr>
            </w:pPr>
            <w:r>
              <w:rPr>
                <w:rFonts w:ascii="Arial" w:cs="Arial" w:eastAsia="Arial" w:hAnsi="Arial"/>
                <w:sz w:val="11"/>
                <w:szCs w:val="11"/>
                <w:b w:val="1"/>
                <w:bCs w:val="1"/>
                <w:color w:val="5D89B4"/>
              </w:rPr>
              <w:t>PERFORMANCE</w:t>
            </w:r>
          </w:p>
        </w:tc>
        <w:tc>
          <w:tcPr>
            <w:tcW w:w="1040" w:type="dxa"/>
            <w:vAlign w:val="bottom"/>
            <w:shd w:val="clear" w:color="auto" w:fill="EAEAEA"/>
          </w:tcPr>
          <w:p>
            <w:pPr>
              <w:jc w:val="right"/>
              <w:ind w:right="52"/>
              <w:spacing w:after="0" w:line="120" w:lineRule="exact"/>
              <w:rPr>
                <w:sz w:val="20"/>
                <w:szCs w:val="20"/>
                <w:color w:val="auto"/>
              </w:rPr>
            </w:pPr>
            <w:r>
              <w:rPr>
                <w:rFonts w:ascii="Arial" w:cs="Arial" w:eastAsia="Arial" w:hAnsi="Arial"/>
                <w:sz w:val="11"/>
                <w:szCs w:val="11"/>
                <w:b w:val="1"/>
                <w:bCs w:val="1"/>
                <w:color w:val="5D89B4"/>
              </w:rPr>
              <w:t>RESTRICTED</w:t>
            </w:r>
          </w:p>
        </w:tc>
        <w:tc>
          <w:tcPr>
            <w:tcW w:w="1020" w:type="dxa"/>
            <w:vAlign w:val="bottom"/>
            <w:shd w:val="clear" w:color="auto" w:fill="EAEAEA"/>
          </w:tcPr>
          <w:p>
            <w:pPr>
              <w:jc w:val="right"/>
              <w:ind w:right="54"/>
              <w:spacing w:after="0" w:line="120" w:lineRule="exact"/>
              <w:rPr>
                <w:sz w:val="20"/>
                <w:szCs w:val="20"/>
                <w:color w:val="auto"/>
              </w:rPr>
            </w:pPr>
            <w:r>
              <w:rPr>
                <w:rFonts w:ascii="Arial" w:cs="Arial" w:eastAsia="Arial" w:hAnsi="Arial"/>
                <w:sz w:val="11"/>
                <w:szCs w:val="11"/>
                <w:b w:val="1"/>
                <w:bCs w:val="1"/>
                <w:color w:val="5D89B4"/>
              </w:rPr>
              <w:t>TARGET</w:t>
            </w:r>
          </w:p>
        </w:tc>
        <w:tc>
          <w:tcPr>
            <w:tcW w:w="960" w:type="dxa"/>
            <w:vAlign w:val="bottom"/>
            <w:shd w:val="clear" w:color="auto" w:fill="EAEAEA"/>
          </w:tcPr>
          <w:p>
            <w:pPr>
              <w:jc w:val="right"/>
              <w:ind w:right="117"/>
              <w:spacing w:after="0" w:line="120" w:lineRule="exact"/>
              <w:rPr>
                <w:sz w:val="20"/>
                <w:szCs w:val="20"/>
                <w:color w:val="auto"/>
              </w:rPr>
            </w:pPr>
            <w:r>
              <w:rPr>
                <w:rFonts w:ascii="Arial" w:cs="Arial" w:eastAsia="Arial" w:hAnsi="Arial"/>
                <w:sz w:val="11"/>
                <w:szCs w:val="11"/>
                <w:b w:val="1"/>
                <w:bCs w:val="1"/>
                <w:color w:val="5D89B4"/>
              </w:rPr>
              <w:t>COMP</w:t>
            </w:r>
          </w:p>
        </w:tc>
        <w:tc>
          <w:tcPr>
            <w:tcW w:w="1140" w:type="dxa"/>
            <w:vAlign w:val="bottom"/>
            <w:shd w:val="clear" w:color="auto" w:fill="EAEAEA"/>
          </w:tcPr>
          <w:p>
            <w:pPr>
              <w:jc w:val="right"/>
              <w:ind w:right="137"/>
              <w:spacing w:after="0" w:line="120" w:lineRule="exact"/>
              <w:rPr>
                <w:sz w:val="20"/>
                <w:szCs w:val="20"/>
                <w:color w:val="auto"/>
              </w:rPr>
            </w:pPr>
            <w:r>
              <w:rPr>
                <w:rFonts w:ascii="Arial" w:cs="Arial" w:eastAsia="Arial" w:hAnsi="Arial"/>
                <w:sz w:val="11"/>
                <w:szCs w:val="11"/>
                <w:b w:val="1"/>
                <w:bCs w:val="1"/>
                <w:color w:val="5D89B4"/>
              </w:rPr>
              <w:t>PERFORMANCE-</w:t>
            </w:r>
          </w:p>
        </w:tc>
      </w:tr>
      <w:tr>
        <w:trPr>
          <w:trHeight w:val="180"/>
        </w:trPr>
        <w:tc>
          <w:tcPr>
            <w:tcW w:w="37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1"/>
                <w:szCs w:val="11"/>
                <w:b w:val="1"/>
                <w:bCs w:val="1"/>
                <w:color w:val="5D89B4"/>
              </w:rPr>
              <w:t>NEO</w:t>
            </w:r>
          </w:p>
        </w:tc>
        <w:tc>
          <w:tcPr>
            <w:tcW w:w="1040" w:type="dxa"/>
            <w:vAlign w:val="bottom"/>
            <w:tcBorders>
              <w:bottom w:val="single" w:sz="8" w:color="EAEAEA"/>
            </w:tcBorders>
            <w:shd w:val="clear" w:color="auto" w:fill="EAEAEA"/>
          </w:tcPr>
          <w:p>
            <w:pPr>
              <w:jc w:val="right"/>
              <w:ind w:right="72"/>
              <w:spacing w:after="0"/>
              <w:rPr>
                <w:sz w:val="20"/>
                <w:szCs w:val="20"/>
                <w:color w:val="auto"/>
              </w:rPr>
            </w:pPr>
            <w:r>
              <w:rPr>
                <w:rFonts w:ascii="Arial" w:cs="Arial" w:eastAsia="Arial" w:hAnsi="Arial"/>
                <w:sz w:val="11"/>
                <w:szCs w:val="11"/>
                <w:b w:val="1"/>
                <w:bCs w:val="1"/>
                <w:color w:val="5D89B4"/>
              </w:rPr>
              <w:t>SALARY $</w:t>
            </w:r>
          </w:p>
        </w:tc>
        <w:tc>
          <w:tcPr>
            <w:tcW w:w="920" w:type="dxa"/>
            <w:vAlign w:val="bottom"/>
            <w:tcBorders>
              <w:bottom w:val="single" w:sz="8" w:color="EAEAEA"/>
            </w:tcBorders>
            <w:shd w:val="clear" w:color="auto" w:fill="EAEAEA"/>
          </w:tcPr>
          <w:p>
            <w:pPr>
              <w:jc w:val="right"/>
              <w:ind w:right="32"/>
              <w:spacing w:after="0"/>
              <w:rPr>
                <w:sz w:val="20"/>
                <w:szCs w:val="20"/>
                <w:color w:val="auto"/>
              </w:rPr>
            </w:pPr>
            <w:r>
              <w:rPr>
                <w:rFonts w:ascii="Arial" w:cs="Arial" w:eastAsia="Arial" w:hAnsi="Arial"/>
                <w:sz w:val="11"/>
                <w:szCs w:val="11"/>
                <w:b w:val="1"/>
                <w:bCs w:val="1"/>
                <w:color w:val="5D89B4"/>
              </w:rPr>
              <w:t>INCENTIVE $</w:t>
            </w:r>
          </w:p>
        </w:tc>
        <w:tc>
          <w:tcPr>
            <w:tcW w:w="1060" w:type="dxa"/>
            <w:vAlign w:val="bottom"/>
            <w:tcBorders>
              <w:bottom w:val="single" w:sz="8" w:color="EAEAEA"/>
            </w:tcBorders>
            <w:shd w:val="clear" w:color="auto" w:fill="EAEAEA"/>
          </w:tcPr>
          <w:p>
            <w:pPr>
              <w:jc w:val="right"/>
              <w:ind w:right="52"/>
              <w:spacing w:after="0"/>
              <w:rPr>
                <w:sz w:val="20"/>
                <w:szCs w:val="20"/>
                <w:color w:val="auto"/>
              </w:rPr>
            </w:pPr>
            <w:r>
              <w:rPr>
                <w:rFonts w:ascii="Arial" w:cs="Arial" w:eastAsia="Arial" w:hAnsi="Arial"/>
                <w:sz w:val="11"/>
                <w:szCs w:val="11"/>
                <w:b w:val="1"/>
                <w:bCs w:val="1"/>
                <w:color w:val="5D89B4"/>
              </w:rPr>
              <w:t>SHARE UNITS $</w:t>
            </w:r>
          </w:p>
        </w:tc>
        <w:tc>
          <w:tcPr>
            <w:tcW w:w="1040" w:type="dxa"/>
            <w:vAlign w:val="bottom"/>
            <w:tcBorders>
              <w:bottom w:val="single" w:sz="8" w:color="EAEAEA"/>
            </w:tcBorders>
            <w:shd w:val="clear" w:color="auto" w:fill="EAEAEA"/>
          </w:tcPr>
          <w:p>
            <w:pPr>
              <w:jc w:val="right"/>
              <w:ind w:right="52"/>
              <w:spacing w:after="0"/>
              <w:rPr>
                <w:sz w:val="20"/>
                <w:szCs w:val="20"/>
                <w:color w:val="auto"/>
              </w:rPr>
            </w:pPr>
            <w:r>
              <w:rPr>
                <w:rFonts w:ascii="Arial" w:cs="Arial" w:eastAsia="Arial" w:hAnsi="Arial"/>
                <w:sz w:val="11"/>
                <w:szCs w:val="11"/>
                <w:b w:val="1"/>
                <w:bCs w:val="1"/>
                <w:color w:val="5D89B4"/>
              </w:rPr>
              <w:t>STOCK UNITS $</w:t>
            </w:r>
          </w:p>
        </w:tc>
        <w:tc>
          <w:tcPr>
            <w:tcW w:w="1020" w:type="dxa"/>
            <w:vAlign w:val="bottom"/>
            <w:tcBorders>
              <w:bottom w:val="single" w:sz="8" w:color="EAEAEA"/>
            </w:tcBorders>
            <w:shd w:val="clear" w:color="auto" w:fill="EAEAEA"/>
          </w:tcPr>
          <w:p>
            <w:pPr>
              <w:jc w:val="right"/>
              <w:ind w:right="54"/>
              <w:spacing w:after="0"/>
              <w:rPr>
                <w:sz w:val="20"/>
                <w:szCs w:val="20"/>
                <w:color w:val="auto"/>
              </w:rPr>
            </w:pPr>
            <w:r>
              <w:rPr>
                <w:rFonts w:ascii="Arial" w:cs="Arial" w:eastAsia="Arial" w:hAnsi="Arial"/>
                <w:sz w:val="11"/>
                <w:szCs w:val="11"/>
                <w:b w:val="1"/>
                <w:bCs w:val="1"/>
                <w:color w:val="5D89B4"/>
              </w:rPr>
              <w:t>COMP $</w:t>
            </w:r>
          </w:p>
        </w:tc>
        <w:tc>
          <w:tcPr>
            <w:tcW w:w="960" w:type="dxa"/>
            <w:vAlign w:val="bottom"/>
            <w:tcBorders>
              <w:bottom w:val="single" w:sz="8" w:color="EAEAEA"/>
            </w:tcBorders>
            <w:shd w:val="clear" w:color="auto" w:fill="EAEAEA"/>
          </w:tcPr>
          <w:p>
            <w:pPr>
              <w:jc w:val="right"/>
              <w:ind w:right="117"/>
              <w:spacing w:after="0"/>
              <w:rPr>
                <w:sz w:val="20"/>
                <w:szCs w:val="20"/>
                <w:color w:val="auto"/>
              </w:rPr>
            </w:pPr>
            <w:r>
              <w:rPr>
                <w:rFonts w:ascii="Arial" w:cs="Arial" w:eastAsia="Arial" w:hAnsi="Arial"/>
                <w:sz w:val="11"/>
                <w:szCs w:val="11"/>
                <w:b w:val="1"/>
                <w:bCs w:val="1"/>
                <w:color w:val="5D89B4"/>
              </w:rPr>
              <w:t>VARIABLE(1)</w:t>
            </w:r>
          </w:p>
        </w:tc>
        <w:tc>
          <w:tcPr>
            <w:tcW w:w="1140" w:type="dxa"/>
            <w:vAlign w:val="bottom"/>
            <w:tcBorders>
              <w:bottom w:val="single" w:sz="8" w:color="EAEAEA"/>
            </w:tcBorders>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BASED(2)</w:t>
            </w:r>
          </w:p>
        </w:tc>
      </w:tr>
      <w:tr>
        <w:trPr>
          <w:trHeight w:val="252"/>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1,300,000</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2,080,000</w:t>
            </w:r>
          </w:p>
        </w:tc>
        <w:tc>
          <w:tcPr>
            <w:tcW w:w="1060" w:type="dxa"/>
            <w:vAlign w:val="bottom"/>
          </w:tcPr>
          <w:p>
            <w:pPr>
              <w:jc w:val="right"/>
              <w:ind w:right="52"/>
              <w:spacing w:after="0"/>
              <w:rPr>
                <w:sz w:val="20"/>
                <w:szCs w:val="20"/>
                <w:color w:val="auto"/>
              </w:rPr>
            </w:pPr>
            <w:r>
              <w:rPr>
                <w:rFonts w:ascii="Arial" w:cs="Arial" w:eastAsia="Arial" w:hAnsi="Arial"/>
                <w:sz w:val="15"/>
                <w:szCs w:val="15"/>
                <w:color w:val="auto"/>
              </w:rPr>
              <w:t>6,240,009</w:t>
            </w:r>
          </w:p>
        </w:tc>
        <w:tc>
          <w:tcPr>
            <w:tcW w:w="1040" w:type="dxa"/>
            <w:vAlign w:val="bottom"/>
          </w:tcPr>
          <w:p>
            <w:pPr>
              <w:jc w:val="right"/>
              <w:ind w:right="52"/>
              <w:spacing w:after="0"/>
              <w:rPr>
                <w:sz w:val="20"/>
                <w:szCs w:val="20"/>
                <w:color w:val="auto"/>
              </w:rPr>
            </w:pPr>
            <w:r>
              <w:rPr>
                <w:rFonts w:ascii="Arial" w:cs="Arial" w:eastAsia="Arial" w:hAnsi="Arial"/>
                <w:sz w:val="15"/>
                <w:szCs w:val="15"/>
                <w:color w:val="auto"/>
              </w:rPr>
              <w:t>4,160,006</w:t>
            </w:r>
          </w:p>
        </w:tc>
        <w:tc>
          <w:tcPr>
            <w:tcW w:w="1020" w:type="dxa"/>
            <w:vAlign w:val="bottom"/>
          </w:tcPr>
          <w:p>
            <w:pPr>
              <w:jc w:val="right"/>
              <w:ind w:right="54"/>
              <w:spacing w:after="0"/>
              <w:rPr>
                <w:sz w:val="20"/>
                <w:szCs w:val="20"/>
                <w:color w:val="auto"/>
              </w:rPr>
            </w:pPr>
            <w:r>
              <w:rPr>
                <w:rFonts w:ascii="Arial" w:cs="Arial" w:eastAsia="Arial" w:hAnsi="Arial"/>
                <w:sz w:val="15"/>
                <w:szCs w:val="15"/>
                <w:color w:val="auto"/>
              </w:rPr>
              <w:t>13,780,015</w:t>
            </w:r>
          </w:p>
        </w:tc>
        <w:tc>
          <w:tcPr>
            <w:tcW w:w="960" w:type="dxa"/>
            <w:vAlign w:val="bottom"/>
          </w:tcPr>
          <w:p>
            <w:pPr>
              <w:jc w:val="right"/>
              <w:spacing w:after="0"/>
              <w:rPr>
                <w:sz w:val="20"/>
                <w:szCs w:val="20"/>
                <w:color w:val="auto"/>
              </w:rPr>
            </w:pPr>
            <w:r>
              <w:rPr>
                <w:rFonts w:ascii="Arial" w:cs="Arial" w:eastAsia="Arial" w:hAnsi="Arial"/>
                <w:sz w:val="15"/>
                <w:szCs w:val="15"/>
                <w:color w:val="auto"/>
              </w:rPr>
              <w:t>90%</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60%</w:t>
            </w:r>
          </w:p>
        </w:tc>
      </w:tr>
      <w:tr>
        <w:trPr>
          <w:trHeight w:val="41"/>
        </w:trPr>
        <w:tc>
          <w:tcPr>
            <w:tcW w:w="370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140" w:type="dxa"/>
            <w:vAlign w:val="bottom"/>
            <w:tcBorders>
              <w:bottom w:val="single" w:sz="8" w:color="5D89B4"/>
            </w:tcBorders>
          </w:tcPr>
          <w:p>
            <w:pPr>
              <w:spacing w:after="0"/>
              <w:rPr>
                <w:sz w:val="3"/>
                <w:szCs w:val="3"/>
                <w:color w:val="auto"/>
              </w:rPr>
            </w:pPr>
          </w:p>
        </w:tc>
      </w:tr>
      <w:tr>
        <w:trPr>
          <w:trHeight w:val="232"/>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769,153</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846,068</w:t>
            </w:r>
          </w:p>
        </w:tc>
        <w:tc>
          <w:tcPr>
            <w:tcW w:w="1060" w:type="dxa"/>
            <w:vAlign w:val="bottom"/>
          </w:tcPr>
          <w:p>
            <w:pPr>
              <w:jc w:val="right"/>
              <w:ind w:right="52"/>
              <w:spacing w:after="0"/>
              <w:rPr>
                <w:sz w:val="20"/>
                <w:szCs w:val="20"/>
                <w:color w:val="auto"/>
              </w:rPr>
            </w:pPr>
            <w:r>
              <w:rPr>
                <w:rFonts w:ascii="Arial" w:cs="Arial" w:eastAsia="Arial" w:hAnsi="Arial"/>
                <w:sz w:val="15"/>
                <w:szCs w:val="15"/>
                <w:color w:val="auto"/>
              </w:rPr>
              <w:t>1,800,021</w:t>
            </w:r>
          </w:p>
        </w:tc>
        <w:tc>
          <w:tcPr>
            <w:tcW w:w="1040" w:type="dxa"/>
            <w:vAlign w:val="bottom"/>
          </w:tcPr>
          <w:p>
            <w:pPr>
              <w:jc w:val="right"/>
              <w:ind w:right="52"/>
              <w:spacing w:after="0"/>
              <w:rPr>
                <w:sz w:val="20"/>
                <w:szCs w:val="20"/>
                <w:color w:val="auto"/>
              </w:rPr>
            </w:pPr>
            <w:r>
              <w:rPr>
                <w:rFonts w:ascii="Arial" w:cs="Arial" w:eastAsia="Arial" w:hAnsi="Arial"/>
                <w:sz w:val="15"/>
                <w:szCs w:val="15"/>
                <w:color w:val="auto"/>
              </w:rPr>
              <w:t>1,200,014</w:t>
            </w:r>
          </w:p>
        </w:tc>
        <w:tc>
          <w:tcPr>
            <w:tcW w:w="1020" w:type="dxa"/>
            <w:vAlign w:val="bottom"/>
          </w:tcPr>
          <w:p>
            <w:pPr>
              <w:jc w:val="right"/>
              <w:ind w:right="54"/>
              <w:spacing w:after="0"/>
              <w:rPr>
                <w:sz w:val="20"/>
                <w:szCs w:val="20"/>
                <w:color w:val="auto"/>
              </w:rPr>
            </w:pPr>
            <w:r>
              <w:rPr>
                <w:rFonts w:ascii="Arial" w:cs="Arial" w:eastAsia="Arial" w:hAnsi="Arial"/>
                <w:sz w:val="15"/>
                <w:szCs w:val="15"/>
                <w:color w:val="auto"/>
              </w:rPr>
              <w:t>4,615,256</w:t>
            </w:r>
          </w:p>
        </w:tc>
        <w:tc>
          <w:tcPr>
            <w:tcW w:w="960" w:type="dxa"/>
            <w:vAlign w:val="bottom"/>
          </w:tcPr>
          <w:p>
            <w:pPr>
              <w:jc w:val="right"/>
              <w:spacing w:after="0"/>
              <w:rPr>
                <w:sz w:val="20"/>
                <w:szCs w:val="20"/>
                <w:color w:val="auto"/>
              </w:rPr>
            </w:pPr>
            <w:r>
              <w:rPr>
                <w:rFonts w:ascii="Arial" w:cs="Arial" w:eastAsia="Arial" w:hAnsi="Arial"/>
                <w:sz w:val="15"/>
                <w:szCs w:val="15"/>
                <w:color w:val="auto"/>
              </w:rPr>
              <w:t>83%</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57%</w:t>
            </w:r>
          </w:p>
        </w:tc>
      </w:tr>
      <w:tr>
        <w:trPr>
          <w:trHeight w:val="41"/>
        </w:trPr>
        <w:tc>
          <w:tcPr>
            <w:tcW w:w="370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140" w:type="dxa"/>
            <w:vAlign w:val="bottom"/>
            <w:tcBorders>
              <w:bottom w:val="single" w:sz="8" w:color="5D89B4"/>
            </w:tcBorders>
          </w:tcPr>
          <w:p>
            <w:pPr>
              <w:spacing w:after="0"/>
              <w:rPr>
                <w:sz w:val="3"/>
                <w:szCs w:val="3"/>
                <w:color w:val="auto"/>
              </w:rPr>
            </w:pPr>
          </w:p>
        </w:tc>
      </w:tr>
      <w:tr>
        <w:trPr>
          <w:trHeight w:val="232"/>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600,000</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450,000</w:t>
            </w:r>
          </w:p>
        </w:tc>
        <w:tc>
          <w:tcPr>
            <w:tcW w:w="1060" w:type="dxa"/>
            <w:vAlign w:val="bottom"/>
          </w:tcPr>
          <w:p>
            <w:pPr>
              <w:jc w:val="right"/>
              <w:ind w:right="52"/>
              <w:spacing w:after="0"/>
              <w:rPr>
                <w:sz w:val="20"/>
                <w:szCs w:val="20"/>
                <w:color w:val="auto"/>
              </w:rPr>
            </w:pPr>
            <w:r>
              <w:rPr>
                <w:rFonts w:ascii="Arial" w:cs="Arial" w:eastAsia="Arial" w:hAnsi="Arial"/>
                <w:sz w:val="15"/>
                <w:szCs w:val="15"/>
                <w:color w:val="auto"/>
              </w:rPr>
              <w:t>749,982</w:t>
            </w:r>
          </w:p>
        </w:tc>
        <w:tc>
          <w:tcPr>
            <w:tcW w:w="1040" w:type="dxa"/>
            <w:vAlign w:val="bottom"/>
          </w:tcPr>
          <w:p>
            <w:pPr>
              <w:jc w:val="right"/>
              <w:ind w:right="52"/>
              <w:spacing w:after="0"/>
              <w:rPr>
                <w:sz w:val="20"/>
                <w:szCs w:val="20"/>
                <w:color w:val="auto"/>
              </w:rPr>
            </w:pPr>
            <w:r>
              <w:rPr>
                <w:rFonts w:ascii="Arial" w:cs="Arial" w:eastAsia="Arial" w:hAnsi="Arial"/>
                <w:sz w:val="15"/>
                <w:szCs w:val="15"/>
                <w:color w:val="auto"/>
              </w:rPr>
              <w:t>499,988</w:t>
            </w:r>
          </w:p>
        </w:tc>
        <w:tc>
          <w:tcPr>
            <w:tcW w:w="1020" w:type="dxa"/>
            <w:vAlign w:val="bottom"/>
          </w:tcPr>
          <w:p>
            <w:pPr>
              <w:jc w:val="right"/>
              <w:ind w:right="54"/>
              <w:spacing w:after="0"/>
              <w:rPr>
                <w:sz w:val="20"/>
                <w:szCs w:val="20"/>
                <w:color w:val="auto"/>
              </w:rPr>
            </w:pPr>
            <w:r>
              <w:rPr>
                <w:rFonts w:ascii="Arial" w:cs="Arial" w:eastAsia="Arial" w:hAnsi="Arial"/>
                <w:sz w:val="15"/>
                <w:szCs w:val="15"/>
                <w:color w:val="auto"/>
              </w:rPr>
              <w:t>2,299,970</w:t>
            </w:r>
          </w:p>
        </w:tc>
        <w:tc>
          <w:tcPr>
            <w:tcW w:w="960" w:type="dxa"/>
            <w:vAlign w:val="bottom"/>
          </w:tcPr>
          <w:p>
            <w:pPr>
              <w:jc w:val="right"/>
              <w:spacing w:after="0"/>
              <w:rPr>
                <w:sz w:val="20"/>
                <w:szCs w:val="20"/>
                <w:color w:val="auto"/>
              </w:rPr>
            </w:pPr>
            <w:r>
              <w:rPr>
                <w:rFonts w:ascii="Arial" w:cs="Arial" w:eastAsia="Arial" w:hAnsi="Arial"/>
                <w:sz w:val="15"/>
                <w:szCs w:val="15"/>
                <w:color w:val="auto"/>
              </w:rPr>
              <w:t>75%</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53%</w:t>
            </w:r>
          </w:p>
        </w:tc>
      </w:tr>
      <w:tr>
        <w:trPr>
          <w:trHeight w:val="41"/>
        </w:trPr>
        <w:tc>
          <w:tcPr>
            <w:tcW w:w="370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140" w:type="dxa"/>
            <w:vAlign w:val="bottom"/>
            <w:tcBorders>
              <w:bottom w:val="single" w:sz="8" w:color="5D89B4"/>
            </w:tcBorders>
          </w:tcPr>
          <w:p>
            <w:pPr>
              <w:spacing w:after="0"/>
              <w:rPr>
                <w:sz w:val="3"/>
                <w:szCs w:val="3"/>
                <w:color w:val="auto"/>
              </w:rPr>
            </w:pPr>
          </w:p>
        </w:tc>
      </w:tr>
      <w:tr>
        <w:trPr>
          <w:trHeight w:val="232"/>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556,973</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417,730</w:t>
            </w:r>
          </w:p>
        </w:tc>
        <w:tc>
          <w:tcPr>
            <w:tcW w:w="1060" w:type="dxa"/>
            <w:vAlign w:val="bottom"/>
          </w:tcPr>
          <w:p>
            <w:pPr>
              <w:jc w:val="right"/>
              <w:ind w:right="52"/>
              <w:spacing w:after="0"/>
              <w:rPr>
                <w:sz w:val="20"/>
                <w:szCs w:val="20"/>
                <w:color w:val="auto"/>
              </w:rPr>
            </w:pPr>
            <w:r>
              <w:rPr>
                <w:rFonts w:ascii="Arial" w:cs="Arial" w:eastAsia="Arial" w:hAnsi="Arial"/>
                <w:sz w:val="15"/>
                <w:szCs w:val="15"/>
                <w:color w:val="auto"/>
              </w:rPr>
              <w:t>600,007</w:t>
            </w:r>
          </w:p>
        </w:tc>
        <w:tc>
          <w:tcPr>
            <w:tcW w:w="1040" w:type="dxa"/>
            <w:vAlign w:val="bottom"/>
          </w:tcPr>
          <w:p>
            <w:pPr>
              <w:jc w:val="right"/>
              <w:ind w:right="52"/>
              <w:spacing w:after="0"/>
              <w:rPr>
                <w:sz w:val="20"/>
                <w:szCs w:val="20"/>
                <w:color w:val="auto"/>
              </w:rPr>
            </w:pPr>
            <w:r>
              <w:rPr>
                <w:rFonts w:ascii="Arial" w:cs="Arial" w:eastAsia="Arial" w:hAnsi="Arial"/>
                <w:sz w:val="15"/>
                <w:szCs w:val="15"/>
                <w:color w:val="auto"/>
              </w:rPr>
              <w:t>400,005</w:t>
            </w:r>
          </w:p>
        </w:tc>
        <w:tc>
          <w:tcPr>
            <w:tcW w:w="1020" w:type="dxa"/>
            <w:vAlign w:val="bottom"/>
          </w:tcPr>
          <w:p>
            <w:pPr>
              <w:jc w:val="right"/>
              <w:ind w:right="54"/>
              <w:spacing w:after="0"/>
              <w:rPr>
                <w:sz w:val="20"/>
                <w:szCs w:val="20"/>
                <w:color w:val="auto"/>
              </w:rPr>
            </w:pPr>
            <w:r>
              <w:rPr>
                <w:rFonts w:ascii="Arial" w:cs="Arial" w:eastAsia="Arial" w:hAnsi="Arial"/>
                <w:sz w:val="15"/>
                <w:szCs w:val="15"/>
                <w:color w:val="auto"/>
              </w:rPr>
              <w:t>1,974,715</w:t>
            </w:r>
          </w:p>
        </w:tc>
        <w:tc>
          <w:tcPr>
            <w:tcW w:w="960" w:type="dxa"/>
            <w:vAlign w:val="bottom"/>
          </w:tcPr>
          <w:p>
            <w:pPr>
              <w:jc w:val="right"/>
              <w:spacing w:after="0"/>
              <w:rPr>
                <w:sz w:val="20"/>
                <w:szCs w:val="20"/>
                <w:color w:val="auto"/>
              </w:rPr>
            </w:pPr>
            <w:r>
              <w:rPr>
                <w:rFonts w:ascii="Arial" w:cs="Arial" w:eastAsia="Arial" w:hAnsi="Arial"/>
                <w:sz w:val="15"/>
                <w:szCs w:val="15"/>
                <w:color w:val="auto"/>
              </w:rPr>
              <w:t>72%</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52%</w:t>
            </w:r>
          </w:p>
        </w:tc>
      </w:tr>
      <w:tr>
        <w:trPr>
          <w:trHeight w:val="41"/>
        </w:trPr>
        <w:tc>
          <w:tcPr>
            <w:tcW w:w="370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14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hanging="420"/>
        <w:spacing w:after="0"/>
        <w:tabs>
          <w:tab w:leader="none" w:pos="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annual incentive, PSUs and RSUs.</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annual incentive and PSUs.</w:t>
      </w:r>
    </w:p>
    <w:p>
      <w:pPr>
        <w:spacing w:after="0" w:line="213" w:lineRule="exact"/>
        <w:rPr>
          <w:sz w:val="20"/>
          <w:szCs w:val="20"/>
          <w:color w:val="auto"/>
        </w:rPr>
      </w:pPr>
    </w:p>
    <w:p>
      <w:pPr>
        <w:ind w:left="180" w:right="100"/>
        <w:spacing w:after="0" w:line="259" w:lineRule="auto"/>
        <w:rPr>
          <w:sz w:val="20"/>
          <w:szCs w:val="20"/>
          <w:color w:val="auto"/>
        </w:rPr>
      </w:pPr>
      <w:r>
        <w:rPr>
          <w:rFonts w:ascii="Arial" w:cs="Arial" w:eastAsia="Arial" w:hAnsi="Arial"/>
          <w:sz w:val="14"/>
          <w:szCs w:val="14"/>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90170</wp:posOffset>
            </wp:positionV>
            <wp:extent cx="69138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Market Positioning: 2023 Target Compensation in the Competitive Marketplace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How We Determine the Competitive Market: Challenges in Identifying a Relevant Peer Group</w:t>
      </w:r>
    </w:p>
    <w:p>
      <w:pPr>
        <w:spacing w:after="0" w:line="58" w:lineRule="exact"/>
        <w:rPr>
          <w:sz w:val="20"/>
          <w:szCs w:val="20"/>
          <w:color w:val="auto"/>
        </w:rPr>
      </w:pPr>
    </w:p>
    <w:p>
      <w:pPr>
        <w:jc w:val="both"/>
        <w:ind w:left="180" w:right="160"/>
        <w:spacing w:after="0" w:line="241" w:lineRule="auto"/>
        <w:rPr>
          <w:sz w:val="20"/>
          <w:szCs w:val="20"/>
          <w:color w:val="auto"/>
        </w:rPr>
      </w:pPr>
      <w:r>
        <w:rPr>
          <w:rFonts w:ascii="Arial" w:cs="Arial" w:eastAsia="Arial" w:hAnsi="Arial"/>
          <w:sz w:val="15"/>
          <w:szCs w:val="15"/>
          <w:color w:val="auto"/>
        </w:rPr>
        <w:t>The Committee devotes considerable effort to identifying an appropriate competitive market for benchmarking our executive compensation. The Committee has determined that simply benchmarking against other U.S. companies in our industry would not yield a meaningful peer group. We present a different profile, being significantly larger, more complex, and more global in scope than other U.S.-listed companies in our industry:</w:t>
      </w:r>
    </w:p>
    <w:p>
      <w:pPr>
        <w:spacing w:after="0" w:line="107" w:lineRule="exact"/>
        <w:rPr>
          <w:sz w:val="20"/>
          <w:szCs w:val="20"/>
          <w:color w:val="auto"/>
        </w:rPr>
      </w:pPr>
    </w:p>
    <w:p>
      <w:pPr>
        <w:ind w:left="400" w:right="120" w:hanging="220"/>
        <w:spacing w:after="0" w:line="259" w:lineRule="auto"/>
        <w:tabs>
          <w:tab w:leader="none" w:pos="4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two largest competitors, Adecco and Randstad, are based in Europe, and although we review available compensation data for these two companies, their pay practices are different and disclosure practices differ.</w:t>
      </w:r>
    </w:p>
    <w:p>
      <w:pPr>
        <w:spacing w:after="0" w:line="28" w:lineRule="exact"/>
        <w:rPr>
          <w:rFonts w:ascii="Arial" w:cs="Arial" w:eastAsia="Arial" w:hAnsi="Arial"/>
          <w:sz w:val="15"/>
          <w:szCs w:val="15"/>
          <w:color w:val="auto"/>
        </w:rPr>
      </w:pPr>
    </w:p>
    <w:p>
      <w:pPr>
        <w:ind w:left="400" w:right="360" w:hanging="220"/>
        <w:spacing w:after="0" w:line="259" w:lineRule="auto"/>
        <w:tabs>
          <w:tab w:leader="none" w:pos="4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nearest U.S. public competitor had much smaller revenue — approximately $6 billion in 2023 compared to our revenue of nearly $19 billion — and the other U.S. public competitors are even smaller.</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Mercer has confirmed to the Committee that attempting to use such competitors would not produce relevant data for benchmarking purposes.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The 2023 Peer Group</w:t>
      </w:r>
    </w:p>
    <w:p>
      <w:pPr>
        <w:spacing w:after="0" w:line="58" w:lineRule="exact"/>
        <w:rPr>
          <w:sz w:val="20"/>
          <w:szCs w:val="20"/>
          <w:color w:val="auto"/>
        </w:rPr>
      </w:pPr>
    </w:p>
    <w:p>
      <w:pPr>
        <w:jc w:val="both"/>
        <w:ind w:left="180" w:right="200"/>
        <w:spacing w:after="0" w:line="236" w:lineRule="auto"/>
        <w:rPr>
          <w:sz w:val="20"/>
          <w:szCs w:val="20"/>
          <w:color w:val="auto"/>
        </w:rPr>
      </w:pPr>
      <w:r>
        <w:rPr>
          <w:rFonts w:ascii="Arial" w:cs="Arial" w:eastAsia="Arial" w:hAnsi="Arial"/>
          <w:sz w:val="15"/>
          <w:szCs w:val="15"/>
          <w:color w:val="auto"/>
        </w:rPr>
        <w:t>For 2023, Mercer continued to use the peer group methodology the Committee adopted in 2022 to create greater comparability to the Company’s business. The methodology includes the following factors: (i) similar size to ManpowerGroup in revenues, or market capitalization; (ii) companies in the service sector and with global footprints and comparable margin profiles; and (iii) companies where ManpowerGroup is identified as a peer company by the issuer or by proxy advisory firms. This peer group of 23 companies, which is the same as the peer group used in 2022, is designed to align with these priorities on a composite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139700</wp:posOffset>
            </wp:positionV>
            <wp:extent cx="5252720" cy="2120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52720" cy="212090"/>
                    </a:xfrm>
                    <a:prstGeom prst="rect">
                      <a:avLst/>
                    </a:prstGeom>
                    <a:noFill/>
                  </pic:spPr>
                </pic:pic>
              </a:graphicData>
            </a:graphic>
          </wp:anchor>
        </w:drawing>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5D89B4"/>
        </w:rPr>
        <w:t>2023 Peer Group Companies</w:t>
      </w:r>
    </w:p>
    <w:p>
      <w:pPr>
        <w:spacing w:after="0" w:line="128" w:lineRule="exact"/>
        <w:rPr>
          <w:sz w:val="20"/>
          <w:szCs w:val="20"/>
          <w:color w:val="auto"/>
        </w:rPr>
      </w:pPr>
    </w:p>
    <w:tbl>
      <w:tblPr>
        <w:tblLayout w:type="fixed"/>
        <w:tblInd w:w="1480" w:type="dxa"/>
        <w:tblCellMar>
          <w:top w:w="0" w:type="dxa"/>
          <w:left w:w="0" w:type="dxa"/>
          <w:bottom w:w="0" w:type="dxa"/>
          <w:right w:w="0" w:type="dxa"/>
        </w:tblCellMar>
      </w:tblPr>
      <w:tr>
        <w:trPr>
          <w:trHeight w:val="199"/>
        </w:trPr>
        <w:tc>
          <w:tcPr>
            <w:tcW w:w="2480" w:type="dxa"/>
            <w:vAlign w:val="bottom"/>
          </w:tcPr>
          <w:p>
            <w:pPr>
              <w:ind w:left="80"/>
              <w:spacing w:after="0"/>
              <w:rPr>
                <w:sz w:val="20"/>
                <w:szCs w:val="20"/>
                <w:color w:val="auto"/>
              </w:rPr>
            </w:pPr>
            <w:r>
              <w:rPr>
                <w:rFonts w:ascii="Arial" w:cs="Arial" w:eastAsia="Arial" w:hAnsi="Arial"/>
                <w:sz w:val="15"/>
                <w:szCs w:val="15"/>
                <w:color w:val="auto"/>
              </w:rPr>
              <w:t>Aramark</w:t>
            </w:r>
          </w:p>
        </w:tc>
        <w:tc>
          <w:tcPr>
            <w:tcW w:w="2900" w:type="dxa"/>
            <w:vAlign w:val="bottom"/>
          </w:tcPr>
          <w:p>
            <w:pPr>
              <w:ind w:left="480"/>
              <w:spacing w:after="0"/>
              <w:rPr>
                <w:sz w:val="20"/>
                <w:szCs w:val="20"/>
                <w:color w:val="auto"/>
              </w:rPr>
            </w:pPr>
            <w:r>
              <w:rPr>
                <w:rFonts w:ascii="Arial" w:cs="Arial" w:eastAsia="Arial" w:hAnsi="Arial"/>
                <w:sz w:val="15"/>
                <w:szCs w:val="15"/>
                <w:color w:val="auto"/>
              </w:rPr>
              <w:t>EOG Resources, Inc.</w:t>
            </w:r>
          </w:p>
        </w:tc>
        <w:tc>
          <w:tcPr>
            <w:tcW w:w="2900" w:type="dxa"/>
            <w:vAlign w:val="bottom"/>
          </w:tcPr>
          <w:p>
            <w:pPr>
              <w:ind w:left="320"/>
              <w:spacing w:after="0"/>
              <w:rPr>
                <w:sz w:val="20"/>
                <w:szCs w:val="20"/>
                <w:color w:val="auto"/>
              </w:rPr>
            </w:pPr>
            <w:r>
              <w:rPr>
                <w:rFonts w:ascii="Arial" w:cs="Arial" w:eastAsia="Arial" w:hAnsi="Arial"/>
                <w:sz w:val="15"/>
                <w:szCs w:val="15"/>
                <w:color w:val="auto"/>
              </w:rPr>
              <w:t>Nucor Corporation</w:t>
            </w: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r>
        <w:trPr>
          <w:trHeight w:val="228"/>
        </w:trPr>
        <w:tc>
          <w:tcPr>
            <w:tcW w:w="2480" w:type="dxa"/>
            <w:vAlign w:val="bottom"/>
          </w:tcPr>
          <w:p>
            <w:pPr>
              <w:ind w:left="80"/>
              <w:spacing w:after="0"/>
              <w:rPr>
                <w:sz w:val="20"/>
                <w:szCs w:val="20"/>
                <w:color w:val="auto"/>
              </w:rPr>
            </w:pPr>
            <w:r>
              <w:rPr>
                <w:rFonts w:ascii="Arial" w:cs="Arial" w:eastAsia="Arial" w:hAnsi="Arial"/>
                <w:sz w:val="15"/>
                <w:szCs w:val="15"/>
                <w:color w:val="auto"/>
              </w:rPr>
              <w:t>Baker Hughes Co.</w:t>
            </w:r>
          </w:p>
        </w:tc>
        <w:tc>
          <w:tcPr>
            <w:tcW w:w="2900" w:type="dxa"/>
            <w:vAlign w:val="bottom"/>
          </w:tcPr>
          <w:p>
            <w:pPr>
              <w:ind w:left="480"/>
              <w:spacing w:after="0"/>
              <w:rPr>
                <w:sz w:val="20"/>
                <w:szCs w:val="20"/>
                <w:color w:val="auto"/>
              </w:rPr>
            </w:pPr>
            <w:r>
              <w:rPr>
                <w:rFonts w:ascii="Arial" w:cs="Arial" w:eastAsia="Arial" w:hAnsi="Arial"/>
                <w:sz w:val="15"/>
                <w:szCs w:val="15"/>
                <w:color w:val="auto"/>
              </w:rPr>
              <w:t>Fluor Corporation</w:t>
            </w:r>
          </w:p>
        </w:tc>
        <w:tc>
          <w:tcPr>
            <w:tcW w:w="2900" w:type="dxa"/>
            <w:vAlign w:val="bottom"/>
          </w:tcPr>
          <w:p>
            <w:pPr>
              <w:ind w:left="320"/>
              <w:spacing w:after="0"/>
              <w:rPr>
                <w:sz w:val="20"/>
                <w:szCs w:val="20"/>
                <w:color w:val="auto"/>
              </w:rPr>
            </w:pPr>
            <w:r>
              <w:rPr>
                <w:rFonts w:ascii="Arial" w:cs="Arial" w:eastAsia="Arial" w:hAnsi="Arial"/>
                <w:sz w:val="15"/>
                <w:szCs w:val="15"/>
                <w:color w:val="auto"/>
              </w:rPr>
              <w:t>PACCAR Inc.</w:t>
            </w: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r>
        <w:trPr>
          <w:trHeight w:val="228"/>
        </w:trPr>
        <w:tc>
          <w:tcPr>
            <w:tcW w:w="2480" w:type="dxa"/>
            <w:vAlign w:val="bottom"/>
          </w:tcPr>
          <w:p>
            <w:pPr>
              <w:ind w:left="80"/>
              <w:spacing w:after="0"/>
              <w:rPr>
                <w:sz w:val="20"/>
                <w:szCs w:val="20"/>
                <w:color w:val="auto"/>
              </w:rPr>
            </w:pPr>
            <w:r>
              <w:rPr>
                <w:rFonts w:ascii="Arial" w:cs="Arial" w:eastAsia="Arial" w:hAnsi="Arial"/>
                <w:sz w:val="15"/>
                <w:szCs w:val="15"/>
                <w:color w:val="auto"/>
              </w:rPr>
              <w:t>CBRE Group, Inc.</w:t>
            </w:r>
          </w:p>
        </w:tc>
        <w:tc>
          <w:tcPr>
            <w:tcW w:w="2900" w:type="dxa"/>
            <w:vAlign w:val="bottom"/>
          </w:tcPr>
          <w:p>
            <w:pPr>
              <w:ind w:left="480"/>
              <w:spacing w:after="0"/>
              <w:rPr>
                <w:sz w:val="20"/>
                <w:szCs w:val="20"/>
                <w:color w:val="auto"/>
              </w:rPr>
            </w:pPr>
            <w:r>
              <w:rPr>
                <w:rFonts w:ascii="Arial" w:cs="Arial" w:eastAsia="Arial" w:hAnsi="Arial"/>
                <w:sz w:val="15"/>
                <w:szCs w:val="15"/>
                <w:color w:val="auto"/>
              </w:rPr>
              <w:t>General Mills, Inc.</w:t>
            </w:r>
          </w:p>
        </w:tc>
        <w:tc>
          <w:tcPr>
            <w:tcW w:w="2900" w:type="dxa"/>
            <w:vAlign w:val="bottom"/>
          </w:tcPr>
          <w:p>
            <w:pPr>
              <w:ind w:left="320"/>
              <w:spacing w:after="0"/>
              <w:rPr>
                <w:sz w:val="20"/>
                <w:szCs w:val="20"/>
                <w:color w:val="auto"/>
              </w:rPr>
            </w:pPr>
            <w:r>
              <w:rPr>
                <w:rFonts w:ascii="Arial" w:cs="Arial" w:eastAsia="Arial" w:hAnsi="Arial"/>
                <w:sz w:val="15"/>
                <w:szCs w:val="15"/>
                <w:color w:val="auto"/>
              </w:rPr>
              <w:t>Textron Inc.</w:t>
            </w: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r>
        <w:trPr>
          <w:trHeight w:val="228"/>
        </w:trPr>
        <w:tc>
          <w:tcPr>
            <w:tcW w:w="2480" w:type="dxa"/>
            <w:vAlign w:val="bottom"/>
          </w:tcPr>
          <w:p>
            <w:pPr>
              <w:ind w:left="80"/>
              <w:spacing w:after="0"/>
              <w:rPr>
                <w:sz w:val="20"/>
                <w:szCs w:val="20"/>
                <w:color w:val="auto"/>
              </w:rPr>
            </w:pPr>
            <w:r>
              <w:rPr>
                <w:rFonts w:ascii="Arial" w:cs="Arial" w:eastAsia="Arial" w:hAnsi="Arial"/>
                <w:sz w:val="15"/>
                <w:szCs w:val="15"/>
                <w:color w:val="auto"/>
              </w:rPr>
              <w:t>CDW Corp.</w:t>
            </w:r>
          </w:p>
        </w:tc>
        <w:tc>
          <w:tcPr>
            <w:tcW w:w="2900" w:type="dxa"/>
            <w:vAlign w:val="bottom"/>
          </w:tcPr>
          <w:p>
            <w:pPr>
              <w:ind w:left="480"/>
              <w:spacing w:after="0"/>
              <w:rPr>
                <w:sz w:val="20"/>
                <w:szCs w:val="20"/>
                <w:color w:val="auto"/>
              </w:rPr>
            </w:pPr>
            <w:r>
              <w:rPr>
                <w:rFonts w:ascii="Arial" w:cs="Arial" w:eastAsia="Arial" w:hAnsi="Arial"/>
                <w:sz w:val="15"/>
                <w:szCs w:val="15"/>
                <w:color w:val="auto"/>
              </w:rPr>
              <w:t>Genuine Parts Co</w:t>
            </w:r>
          </w:p>
        </w:tc>
        <w:tc>
          <w:tcPr>
            <w:tcW w:w="2900" w:type="dxa"/>
            <w:vAlign w:val="bottom"/>
          </w:tcPr>
          <w:p>
            <w:pPr>
              <w:ind w:left="320"/>
              <w:spacing w:after="0"/>
              <w:rPr>
                <w:sz w:val="20"/>
                <w:szCs w:val="20"/>
                <w:color w:val="auto"/>
              </w:rPr>
            </w:pPr>
            <w:r>
              <w:rPr>
                <w:rFonts w:ascii="Arial" w:cs="Arial" w:eastAsia="Arial" w:hAnsi="Arial"/>
                <w:sz w:val="15"/>
                <w:szCs w:val="15"/>
                <w:color w:val="auto"/>
              </w:rPr>
              <w:t>The Clorox Co.</w:t>
            </w: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r>
        <w:trPr>
          <w:trHeight w:val="228"/>
        </w:trPr>
        <w:tc>
          <w:tcPr>
            <w:tcW w:w="2480" w:type="dxa"/>
            <w:vAlign w:val="bottom"/>
          </w:tcPr>
          <w:p>
            <w:pPr>
              <w:ind w:left="80"/>
              <w:spacing w:after="0"/>
              <w:rPr>
                <w:sz w:val="20"/>
                <w:szCs w:val="20"/>
                <w:color w:val="auto"/>
              </w:rPr>
            </w:pPr>
            <w:r>
              <w:rPr>
                <w:rFonts w:ascii="Arial" w:cs="Arial" w:eastAsia="Arial" w:hAnsi="Arial"/>
                <w:sz w:val="15"/>
                <w:szCs w:val="15"/>
                <w:color w:val="auto"/>
              </w:rPr>
              <w:t>CH Robinson Worldwide Inc.</w:t>
            </w:r>
          </w:p>
        </w:tc>
        <w:tc>
          <w:tcPr>
            <w:tcW w:w="2900" w:type="dxa"/>
            <w:vAlign w:val="bottom"/>
          </w:tcPr>
          <w:p>
            <w:pPr>
              <w:ind w:left="480"/>
              <w:spacing w:after="0"/>
              <w:rPr>
                <w:sz w:val="20"/>
                <w:szCs w:val="20"/>
                <w:color w:val="auto"/>
              </w:rPr>
            </w:pPr>
            <w:r>
              <w:rPr>
                <w:rFonts w:ascii="Arial" w:cs="Arial" w:eastAsia="Arial" w:hAnsi="Arial"/>
                <w:sz w:val="15"/>
                <w:szCs w:val="15"/>
                <w:color w:val="auto"/>
              </w:rPr>
              <w:t>Hewlett Packard Enterprise Co.</w:t>
            </w:r>
          </w:p>
        </w:tc>
        <w:tc>
          <w:tcPr>
            <w:tcW w:w="2900" w:type="dxa"/>
            <w:vAlign w:val="bottom"/>
          </w:tcPr>
          <w:p>
            <w:pPr>
              <w:ind w:left="320"/>
              <w:spacing w:after="0"/>
              <w:rPr>
                <w:sz w:val="20"/>
                <w:szCs w:val="20"/>
                <w:color w:val="auto"/>
              </w:rPr>
            </w:pPr>
            <w:r>
              <w:rPr>
                <w:rFonts w:ascii="Arial" w:cs="Arial" w:eastAsia="Arial" w:hAnsi="Arial"/>
                <w:sz w:val="15"/>
                <w:szCs w:val="15"/>
                <w:color w:val="auto"/>
              </w:rPr>
              <w:t>The Gap, Inc.</w:t>
            </w: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r>
        <w:trPr>
          <w:trHeight w:val="228"/>
        </w:trPr>
        <w:tc>
          <w:tcPr>
            <w:tcW w:w="2480" w:type="dxa"/>
            <w:vAlign w:val="bottom"/>
          </w:tcPr>
          <w:p>
            <w:pPr>
              <w:ind w:left="80"/>
              <w:spacing w:after="0"/>
              <w:rPr>
                <w:sz w:val="20"/>
                <w:szCs w:val="20"/>
                <w:color w:val="auto"/>
              </w:rPr>
            </w:pPr>
            <w:r>
              <w:rPr>
                <w:rFonts w:ascii="Arial" w:cs="Arial" w:eastAsia="Arial" w:hAnsi="Arial"/>
                <w:sz w:val="15"/>
                <w:szCs w:val="15"/>
                <w:color w:val="auto"/>
              </w:rPr>
              <w:t>Cummins Inc.</w:t>
            </w:r>
          </w:p>
        </w:tc>
        <w:tc>
          <w:tcPr>
            <w:tcW w:w="2900" w:type="dxa"/>
            <w:vAlign w:val="bottom"/>
          </w:tcPr>
          <w:p>
            <w:pPr>
              <w:ind w:left="480"/>
              <w:spacing w:after="0"/>
              <w:rPr>
                <w:sz w:val="20"/>
                <w:szCs w:val="20"/>
                <w:color w:val="auto"/>
              </w:rPr>
            </w:pPr>
            <w:r>
              <w:rPr>
                <w:rFonts w:ascii="Arial" w:cs="Arial" w:eastAsia="Arial" w:hAnsi="Arial"/>
                <w:sz w:val="15"/>
                <w:szCs w:val="15"/>
                <w:color w:val="auto"/>
              </w:rPr>
              <w:t>International Paper Company</w:t>
            </w:r>
          </w:p>
        </w:tc>
        <w:tc>
          <w:tcPr>
            <w:tcW w:w="2900" w:type="dxa"/>
            <w:vAlign w:val="bottom"/>
          </w:tcPr>
          <w:p>
            <w:pPr>
              <w:ind w:left="320"/>
              <w:spacing w:after="0"/>
              <w:rPr>
                <w:sz w:val="20"/>
                <w:szCs w:val="20"/>
                <w:color w:val="auto"/>
              </w:rPr>
            </w:pPr>
            <w:r>
              <w:rPr>
                <w:rFonts w:ascii="Arial" w:cs="Arial" w:eastAsia="Arial" w:hAnsi="Arial"/>
                <w:sz w:val="15"/>
                <w:szCs w:val="15"/>
                <w:color w:val="auto"/>
              </w:rPr>
              <w:t>Western Digital Corporation</w:t>
            </w: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r>
        <w:trPr>
          <w:trHeight w:val="228"/>
        </w:trPr>
        <w:tc>
          <w:tcPr>
            <w:tcW w:w="2480" w:type="dxa"/>
            <w:vAlign w:val="bottom"/>
          </w:tcPr>
          <w:p>
            <w:pPr>
              <w:ind w:left="80"/>
              <w:spacing w:after="0"/>
              <w:rPr>
                <w:sz w:val="20"/>
                <w:szCs w:val="20"/>
                <w:color w:val="auto"/>
              </w:rPr>
            </w:pPr>
            <w:r>
              <w:rPr>
                <w:rFonts w:ascii="Arial" w:cs="Arial" w:eastAsia="Arial" w:hAnsi="Arial"/>
                <w:sz w:val="15"/>
                <w:szCs w:val="15"/>
                <w:color w:val="auto"/>
              </w:rPr>
              <w:t>Dollar Tree, Inc.</w:t>
            </w:r>
          </w:p>
        </w:tc>
        <w:tc>
          <w:tcPr>
            <w:tcW w:w="2900" w:type="dxa"/>
            <w:vAlign w:val="bottom"/>
          </w:tcPr>
          <w:p>
            <w:pPr>
              <w:ind w:left="480"/>
              <w:spacing w:after="0"/>
              <w:rPr>
                <w:sz w:val="20"/>
                <w:szCs w:val="20"/>
                <w:color w:val="auto"/>
              </w:rPr>
            </w:pPr>
            <w:r>
              <w:rPr>
                <w:rFonts w:ascii="Arial" w:cs="Arial" w:eastAsia="Arial" w:hAnsi="Arial"/>
                <w:sz w:val="15"/>
                <w:szCs w:val="15"/>
                <w:color w:val="auto"/>
              </w:rPr>
              <w:t>Jacobs Engineering Group Inc.</w:t>
            </w:r>
          </w:p>
        </w:tc>
        <w:tc>
          <w:tcPr>
            <w:tcW w:w="2900" w:type="dxa"/>
            <w:vAlign w:val="bottom"/>
          </w:tcPr>
          <w:p>
            <w:pPr>
              <w:ind w:left="320"/>
              <w:spacing w:after="0"/>
              <w:rPr>
                <w:sz w:val="20"/>
                <w:szCs w:val="20"/>
                <w:color w:val="auto"/>
              </w:rPr>
            </w:pPr>
            <w:r>
              <w:rPr>
                <w:rFonts w:ascii="Arial" w:cs="Arial" w:eastAsia="Arial" w:hAnsi="Arial"/>
                <w:sz w:val="15"/>
                <w:szCs w:val="15"/>
                <w:color w:val="auto"/>
              </w:rPr>
              <w:t>WW Grainger Inc.</w:t>
            </w: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r>
        <w:trPr>
          <w:trHeight w:val="228"/>
        </w:trPr>
        <w:tc>
          <w:tcPr>
            <w:tcW w:w="2480" w:type="dxa"/>
            <w:vAlign w:val="bottom"/>
          </w:tcPr>
          <w:p>
            <w:pPr>
              <w:ind w:left="80"/>
              <w:spacing w:after="0"/>
              <w:rPr>
                <w:sz w:val="20"/>
                <w:szCs w:val="20"/>
                <w:color w:val="auto"/>
              </w:rPr>
            </w:pPr>
            <w:r>
              <w:rPr>
                <w:rFonts w:ascii="Arial" w:cs="Arial" w:eastAsia="Arial" w:hAnsi="Arial"/>
                <w:sz w:val="15"/>
                <w:szCs w:val="15"/>
                <w:color w:val="auto"/>
              </w:rPr>
              <w:t>DXC Technology Company</w:t>
            </w:r>
          </w:p>
        </w:tc>
        <w:tc>
          <w:tcPr>
            <w:tcW w:w="2900" w:type="dxa"/>
            <w:vAlign w:val="bottom"/>
          </w:tcPr>
          <w:p>
            <w:pPr>
              <w:ind w:left="480"/>
              <w:spacing w:after="0"/>
              <w:rPr>
                <w:sz w:val="20"/>
                <w:szCs w:val="20"/>
                <w:color w:val="auto"/>
              </w:rPr>
            </w:pPr>
            <w:r>
              <w:rPr>
                <w:rFonts w:ascii="Arial" w:cs="Arial" w:eastAsia="Arial" w:hAnsi="Arial"/>
                <w:sz w:val="15"/>
                <w:szCs w:val="15"/>
                <w:color w:val="auto"/>
              </w:rPr>
              <w:t>Kohl’s Corporation</w:t>
            </w:r>
          </w:p>
        </w:tc>
        <w:tc>
          <w:tcPr>
            <w:tcW w:w="2900" w:type="dxa"/>
            <w:vAlign w:val="bottom"/>
          </w:tcPr>
          <w:p>
            <w:pPr>
              <w:spacing w:after="0"/>
              <w:rPr>
                <w:sz w:val="19"/>
                <w:szCs w:val="19"/>
                <w:color w:val="auto"/>
              </w:rPr>
            </w:pPr>
          </w:p>
        </w:tc>
      </w:tr>
      <w:tr>
        <w:trPr>
          <w:trHeight w:val="45"/>
        </w:trPr>
        <w:tc>
          <w:tcPr>
            <w:tcW w:w="248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c>
          <w:tcPr>
            <w:tcW w:w="2900" w:type="dxa"/>
            <w:vAlign w:val="bottom"/>
            <w:tcBorders>
              <w:bottom w:val="single" w:sz="8" w:color="5D89B4"/>
            </w:tcBorders>
          </w:tcPr>
          <w:p>
            <w:pPr>
              <w:spacing w:after="0"/>
              <w:rPr>
                <w:sz w:val="3"/>
                <w:szCs w:val="3"/>
                <w:color w:val="auto"/>
              </w:rPr>
            </w:pPr>
          </w:p>
        </w:tc>
      </w:tr>
    </w:tbl>
    <w:p>
      <w:pPr>
        <w:spacing w:after="0" w:line="3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Additional Data Sources</w:t>
      </w:r>
    </w:p>
    <w:p>
      <w:pPr>
        <w:spacing w:after="0" w:line="58" w:lineRule="exact"/>
        <w:rPr>
          <w:sz w:val="20"/>
          <w:szCs w:val="20"/>
          <w:color w:val="auto"/>
        </w:rPr>
      </w:pPr>
    </w:p>
    <w:p>
      <w:pPr>
        <w:ind w:left="180" w:right="200"/>
        <w:spacing w:after="0" w:line="233" w:lineRule="auto"/>
        <w:rPr>
          <w:sz w:val="20"/>
          <w:szCs w:val="20"/>
          <w:color w:val="auto"/>
        </w:rPr>
      </w:pPr>
      <w:r>
        <w:rPr>
          <w:rFonts w:ascii="Arial" w:cs="Arial" w:eastAsia="Arial" w:hAnsi="Arial"/>
          <w:sz w:val="15"/>
          <w:szCs w:val="15"/>
          <w:color w:val="auto"/>
        </w:rPr>
        <w:t>The Committee also uses data from U.S. compensation surveys published by Mercer and other third-party data providers that are recommended by Mercer as a means to evaluate compensation for certain NEO positions. The CEO and CFO positions were only compared to companies within the peer group for 2023. Compensation for global functional leaders was compared against compensation survey data recommended by Mercer for executives with similar roles and responsibilities. Ms. Nettles’s position was compared to a composite of U.S. compensation survey data of Chief Human Resources Officers and top functional officers within the peer group for 2023. Mr. Buchband’s position was compared with U.S. compensation survey data of legal executives.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Assessing Individual Factors</w:t>
      </w:r>
    </w:p>
    <w:p>
      <w:pPr>
        <w:spacing w:after="0" w:line="71" w:lineRule="exact"/>
        <w:rPr>
          <w:sz w:val="20"/>
          <w:szCs w:val="20"/>
          <w:color w:val="auto"/>
        </w:rPr>
      </w:pPr>
    </w:p>
    <w:p>
      <w:pPr>
        <w:ind w:left="180" w:right="80"/>
        <w:spacing w:after="0" w:line="236" w:lineRule="auto"/>
        <w:rPr>
          <w:sz w:val="20"/>
          <w:szCs w:val="20"/>
          <w:color w:val="auto"/>
        </w:rPr>
      </w:pPr>
      <w:r>
        <w:rPr>
          <w:rFonts w:ascii="Arial" w:cs="Arial" w:eastAsia="Arial" w:hAnsi="Arial"/>
          <w:sz w:val="15"/>
          <w:szCs w:val="15"/>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88900</wp:posOffset>
            </wp:positionV>
            <wp:extent cx="69138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The Committee’s Decision-Making Process</w:t>
      </w:r>
    </w:p>
    <w:p>
      <w:pPr>
        <w:spacing w:after="0" w:line="120" w:lineRule="exact"/>
        <w:rPr>
          <w:sz w:val="20"/>
          <w:szCs w:val="20"/>
          <w:color w:val="auto"/>
        </w:rPr>
      </w:pPr>
    </w:p>
    <w:p>
      <w:pPr>
        <w:ind w:left="180" w:right="20"/>
        <w:spacing w:after="0" w:line="229" w:lineRule="auto"/>
        <w:rPr>
          <w:sz w:val="20"/>
          <w:szCs w:val="20"/>
          <w:color w:val="auto"/>
        </w:rPr>
      </w:pPr>
      <w:r>
        <w:rPr>
          <w:rFonts w:ascii="Arial" w:cs="Arial" w:eastAsia="Arial" w:hAnsi="Arial"/>
          <w:sz w:val="15"/>
          <w:szCs w:val="15"/>
          <w:color w:val="auto"/>
        </w:rPr>
        <w:t>The Committee determines the CEO’s compensation levels, including base salary, establishing and determining the achievement of the financial goals and Strategic KPIs and ESG Goals for the annual cash incentives, and any equity-based compensation awards. Generally, the CEO establishes and recommends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provides input to the Committee regarding the final compensation for all of the NEOs. This input reflects the Company’s performance results for 2023, external market references against the peer group, internal compensation references and the individual performance of each of the NEOs. Under the Committee’s charter, compensation for our CEO and CFO is subject to ratification by the board of directors. Accordingly, the board of directors ratified the determinations for Mr. Prising and Mr. McGinnis.</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Components of the 2023 Executive Compensation Program — Base Salary</w:t>
      </w:r>
    </w:p>
    <w:p>
      <w:pPr>
        <w:spacing w:after="0" w:line="120" w:lineRule="exact"/>
        <w:rPr>
          <w:sz w:val="20"/>
          <w:szCs w:val="20"/>
          <w:color w:val="auto"/>
        </w:rPr>
      </w:pPr>
    </w:p>
    <w:p>
      <w:pPr>
        <w:ind w:left="180" w:right="60"/>
        <w:spacing w:after="0" w:line="259" w:lineRule="auto"/>
        <w:rPr>
          <w:sz w:val="20"/>
          <w:szCs w:val="20"/>
          <w:color w:val="auto"/>
        </w:rPr>
      </w:pPr>
      <w:r>
        <w:rPr>
          <w:rFonts w:ascii="Arial" w:cs="Arial" w:eastAsia="Arial" w:hAnsi="Arial"/>
          <w:sz w:val="15"/>
          <w:szCs w:val="15"/>
          <w:color w:val="auto"/>
        </w:rPr>
        <w:t>Base salaries for NEOs are set based on base salaries paid in the relevant competitive market, for the particular position, subject to individual performance factors as described earlier.</w:t>
      </w:r>
    </w:p>
    <w:p>
      <w:pPr>
        <w:spacing w:after="0" w:line="81" w:lineRule="exact"/>
        <w:rPr>
          <w:sz w:val="20"/>
          <w:szCs w:val="20"/>
          <w:color w:val="auto"/>
        </w:rPr>
      </w:pPr>
    </w:p>
    <w:p>
      <w:pPr>
        <w:ind w:left="180" w:right="60"/>
        <w:spacing w:after="0" w:line="236" w:lineRule="auto"/>
        <w:rPr>
          <w:sz w:val="20"/>
          <w:szCs w:val="20"/>
          <w:color w:val="auto"/>
        </w:rPr>
      </w:pPr>
      <w:r>
        <w:rPr>
          <w:rFonts w:ascii="Arial" w:cs="Arial" w:eastAsia="Arial" w:hAnsi="Arial"/>
          <w:sz w:val="15"/>
          <w:szCs w:val="15"/>
          <w:color w:val="auto"/>
        </w:rPr>
        <w:t>Base salary levels affect the value of the annual incentive awarded to the NEOs because the incentive is awarded as a percentage of base salary. A higher base salary will result in a higher annual incentive, assuming the same level of achievement against goals. The level of severance benefits each NEO may receive is also increased if his or her salary is increased. The value of long-term incentive awards is not determined as a multiple of base salary. All of the NEOs received an increase between 3% and 6% in base salary in 2023 to better align with the competitive market for their roles.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Components of the 2023 Executive Compensation Program — Annual Cash Incentives</w:t>
      </w:r>
    </w:p>
    <w:p>
      <w:pPr>
        <w:spacing w:after="0" w:line="120" w:lineRule="exact"/>
        <w:rPr>
          <w:sz w:val="20"/>
          <w:szCs w:val="20"/>
          <w:color w:val="auto"/>
        </w:rPr>
      </w:pPr>
    </w:p>
    <w:p>
      <w:pPr>
        <w:ind w:left="180" w:right="200"/>
        <w:spacing w:after="0" w:line="241" w:lineRule="auto"/>
        <w:rPr>
          <w:sz w:val="20"/>
          <w:szCs w:val="20"/>
          <w:color w:val="auto"/>
        </w:rPr>
      </w:pPr>
      <w:r>
        <w:rPr>
          <w:rFonts w:ascii="Arial" w:cs="Arial" w:eastAsia="Arial" w:hAnsi="Arial"/>
          <w:sz w:val="15"/>
          <w:szCs w:val="15"/>
          <w:color w:val="auto"/>
        </w:rPr>
        <w:t>The Incentive Plan provides for the payment of annual cash rewards to a participant based on the Company’s attainment of one or more financial goals and Strategic KPIs and ESG Goals established for that participant for the relevant year. Incentive amounts are based on achievement of pre-established goals using these metrics. The financial goals include EPS, ROIC and Revenue. The Strategic KPIs and ESG Goals are tied to broad strategic or operational initiatives.</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How EPS, ROIC and Revenue are Calculated</w:t>
      </w:r>
    </w:p>
    <w:p>
      <w:pPr>
        <w:spacing w:after="0" w:line="71" w:lineRule="exact"/>
        <w:rPr>
          <w:sz w:val="20"/>
          <w:szCs w:val="20"/>
          <w:color w:val="auto"/>
        </w:rPr>
      </w:pPr>
    </w:p>
    <w:p>
      <w:pPr>
        <w:jc w:val="both"/>
        <w:ind w:left="180" w:right="360"/>
        <w:spacing w:after="0" w:line="241" w:lineRule="auto"/>
        <w:rPr>
          <w:sz w:val="20"/>
          <w:szCs w:val="20"/>
          <w:color w:val="auto"/>
        </w:rPr>
      </w:pPr>
      <w:r>
        <w:rPr>
          <w:rFonts w:ascii="Arial" w:cs="Arial" w:eastAsia="Arial" w:hAnsi="Arial"/>
          <w:sz w:val="15"/>
          <w:szCs w:val="15"/>
          <w:color w:val="auto"/>
        </w:rPr>
        <w:t>The annual cash incentives for NEOs for 2023 are based on three objective factors — EPS, ROIC, Revenue — and individual Strategic KPIs and ESG Goals. When setting the 2023 targets, which occurred in mid-February 2023, the Committee determined that certain items should be excluded from our performance metrics as described in the calculations below:</w:t>
      </w:r>
    </w:p>
    <w:p>
      <w:pPr>
        <w:spacing w:after="0" w:line="81" w:lineRule="exact"/>
        <w:rPr>
          <w:sz w:val="20"/>
          <w:szCs w:val="20"/>
          <w:color w:val="auto"/>
        </w:rPr>
      </w:pPr>
    </w:p>
    <w:p>
      <w:pPr>
        <w:ind w:left="600" w:hanging="206"/>
        <w:spacing w:after="0" w:line="233" w:lineRule="auto"/>
        <w:tabs>
          <w:tab w:leader="none" w:pos="60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EPS </w:t>
      </w:r>
      <w:r>
        <w:rPr>
          <w:rFonts w:ascii="Arial" w:cs="Arial" w:eastAsia="Arial" w:hAnsi="Arial"/>
          <w:sz w:val="15"/>
          <w:szCs w:val="15"/>
          <w:color w:val="auto"/>
        </w:rPr>
        <w:t>— net earnings per share — diluted, including net earnings from continuing and discontinued operations, but excluding the impact of currency, any</w:t>
      </w:r>
      <w:r>
        <w:rPr>
          <w:rFonts w:ascii="Arial" w:cs="Arial" w:eastAsia="Arial" w:hAnsi="Arial"/>
          <w:sz w:val="15"/>
          <w:szCs w:val="15"/>
          <w:b w:val="1"/>
          <w:bCs w:val="1"/>
          <w:color w:val="auto"/>
        </w:rPr>
        <w:t xml:space="preserve"> </w:t>
      </w:r>
      <w:r>
        <w:rPr>
          <w:rFonts w:ascii="Arial" w:cs="Arial" w:eastAsia="Arial" w:hAnsi="Arial"/>
          <w:sz w:val="15"/>
          <w:szCs w:val="15"/>
          <w:color w:val="auto"/>
        </w:rPr>
        <w:t>changes in accounting principles during the performance period, restructuring charges net of related savings, extraordinary items, goodwill impairment or the benefit of current year share repurchases in excess of dilution. Earnings per share are further adjusted for the following items: tax or regulatory law changes, accounting adjustments related to acquisitions or dispositions where the Company previously held ownership interest, non-operational, non-cash charges related to pension settlements and non-recurring adjustments exceeding $10 million pertaining to prior periods.</w:t>
      </w:r>
    </w:p>
    <w:p>
      <w:pPr>
        <w:spacing w:after="0" w:line="83" w:lineRule="exact"/>
        <w:rPr>
          <w:rFonts w:ascii="Arial" w:cs="Arial" w:eastAsia="Arial" w:hAnsi="Arial"/>
          <w:sz w:val="15"/>
          <w:szCs w:val="15"/>
          <w:color w:val="auto"/>
        </w:rPr>
      </w:pPr>
    </w:p>
    <w:p>
      <w:pPr>
        <w:ind w:left="600" w:hanging="206"/>
        <w:spacing w:after="0"/>
        <w:tabs>
          <w:tab w:leader="none" w:pos="60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ROIC </w:t>
      </w:r>
      <w:r>
        <w:rPr>
          <w:rFonts w:ascii="Arial" w:cs="Arial" w:eastAsia="Arial" w:hAnsi="Arial"/>
          <w:sz w:val="15"/>
          <w:szCs w:val="15"/>
          <w:color w:val="auto"/>
        </w:rPr>
        <w:t>— consolidated net operating profit after taxes divided by average capital. Net operating profit equals earnings before income taxes plus net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and goodwill impairment (including the results of continuing and discontinued operations) minus income taxes, excluding the impact of currency and restructuring charges net of related saving. ROIC is further adjusted for the following items: changes in accounting principles during the performance period, extraordinary items, restructuring charges net of related savings, tax or regulatory law changes, adjustments related to acquisitions or dispositions where the Company previously held an ownership interest, non-operational, non-cash charges related to pension settlements and non-recurring adjustments exceeding $10 million pertaining to prior periods. Average capital is the average monthly ending balance of capital employed plus or minus certain adjustments.</w:t>
      </w:r>
    </w:p>
    <w:p>
      <w:pPr>
        <w:spacing w:after="0" w:line="205" w:lineRule="exact"/>
        <w:rPr>
          <w:rFonts w:ascii="Arial" w:cs="Arial" w:eastAsia="Arial" w:hAnsi="Arial"/>
          <w:sz w:val="15"/>
          <w:szCs w:val="15"/>
          <w:color w:val="auto"/>
        </w:rPr>
      </w:pPr>
    </w:p>
    <w:p>
      <w:pPr>
        <w:ind w:left="600" w:right="140" w:hanging="206"/>
        <w:spacing w:after="0" w:line="259" w:lineRule="auto"/>
        <w:tabs>
          <w:tab w:leader="none" w:pos="60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 Revenue during the period, including continued and discontinued operations. Revenue is adjusted to exclude the impact of currency, changes</w:t>
      </w:r>
      <w:r>
        <w:rPr>
          <w:rFonts w:ascii="Arial" w:cs="Arial" w:eastAsia="Arial" w:hAnsi="Arial"/>
          <w:sz w:val="15"/>
          <w:szCs w:val="15"/>
          <w:b w:val="1"/>
          <w:bCs w:val="1"/>
          <w:color w:val="auto"/>
        </w:rPr>
        <w:t xml:space="preserve"> </w:t>
      </w:r>
      <w:r>
        <w:rPr>
          <w:rFonts w:ascii="Arial" w:cs="Arial" w:eastAsia="Arial" w:hAnsi="Arial"/>
          <w:sz w:val="15"/>
          <w:szCs w:val="15"/>
          <w:color w:val="auto"/>
        </w:rPr>
        <w:t>in client contracts that result in a change from gross to net accounting and the same adjustments as made to EPS,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79375</wp:posOffset>
            </wp:positionV>
            <wp:extent cx="69138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See page 35 for a discussion of the specific items excluded from EPS, ROIC and Revenue for 2023.</w:t>
      </w:r>
    </w:p>
    <w:p>
      <w:pPr>
        <w:spacing w:after="0" w:line="121" w:lineRule="exact"/>
        <w:rPr>
          <w:sz w:val="20"/>
          <w:szCs w:val="20"/>
          <w:color w:val="auto"/>
        </w:rPr>
      </w:pPr>
    </w:p>
    <w:p>
      <w:pPr>
        <w:ind w:left="180" w:right="100"/>
        <w:spacing w:after="0" w:line="233" w:lineRule="auto"/>
        <w:rPr>
          <w:sz w:val="20"/>
          <w:szCs w:val="20"/>
          <w:color w:val="auto"/>
        </w:rPr>
      </w:pPr>
      <w:r>
        <w:rPr>
          <w:rFonts w:ascii="Arial" w:cs="Arial" w:eastAsia="Arial" w:hAnsi="Arial"/>
          <w:sz w:val="15"/>
          <w:szCs w:val="15"/>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10" w:lineRule="exact"/>
        <w:rPr>
          <w:sz w:val="20"/>
          <w:szCs w:val="20"/>
          <w:color w:val="auto"/>
        </w:rPr>
      </w:pPr>
    </w:p>
    <w:p>
      <w:pPr>
        <w:jc w:val="both"/>
        <w:ind w:left="180" w:right="440"/>
        <w:spacing w:after="0" w:line="241" w:lineRule="auto"/>
        <w:rPr>
          <w:sz w:val="20"/>
          <w:szCs w:val="20"/>
          <w:color w:val="auto"/>
        </w:rPr>
      </w:pPr>
      <w:r>
        <w:rPr>
          <w:rFonts w:ascii="Arial" w:cs="Arial" w:eastAsia="Arial" w:hAnsi="Arial"/>
          <w:sz w:val="15"/>
          <w:szCs w:val="15"/>
          <w:color w:val="auto"/>
        </w:rPr>
        <w:t>The ROIC target is determined based on the earnings growth reflected by the EPS target as well as consideration by the Committee of factors relating to the Company’s level of capital. The Revenue target is generally based on the Company’s targeted long-term growth rate for Revenue. Similar to EPS, it may be adjusted year-by-year based on economic conditions and the Company’s expected financial performance for the year.</w:t>
      </w:r>
    </w:p>
    <w:p>
      <w:pPr>
        <w:spacing w:after="0" w:line="107" w:lineRule="exact"/>
        <w:rPr>
          <w:sz w:val="20"/>
          <w:szCs w:val="20"/>
          <w:color w:val="auto"/>
        </w:rPr>
      </w:pPr>
    </w:p>
    <w:p>
      <w:pPr>
        <w:ind w:left="180" w:right="40"/>
        <w:spacing w:after="0" w:line="241" w:lineRule="auto"/>
        <w:rPr>
          <w:sz w:val="20"/>
          <w:szCs w:val="20"/>
          <w:color w:val="auto"/>
        </w:rPr>
      </w:pPr>
      <w:r>
        <w:rPr>
          <w:rFonts w:ascii="Arial" w:cs="Arial" w:eastAsia="Arial" w:hAnsi="Arial"/>
          <w:sz w:val="15"/>
          <w:szCs w:val="15"/>
          <w:color w:val="auto"/>
        </w:rPr>
        <w:t>This methodology is not the same as the Company’s financial budgeting or business outlook for the year. As a result, target performance for purposes of achieving an incentive award will not be the same as performance as the budgeted financial plan, which may be higher or lower than target performance depending on economic conditions and trends at the time.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Why the Company uses EPS, ROIC and Revenue</w:t>
      </w:r>
    </w:p>
    <w:p>
      <w:pPr>
        <w:spacing w:after="0" w:line="58" w:lineRule="exact"/>
        <w:rPr>
          <w:sz w:val="20"/>
          <w:szCs w:val="20"/>
          <w:color w:val="auto"/>
        </w:rPr>
      </w:pPr>
    </w:p>
    <w:p>
      <w:pPr>
        <w:ind w:left="180" w:right="40"/>
        <w:spacing w:after="0" w:line="228" w:lineRule="auto"/>
        <w:rPr>
          <w:sz w:val="20"/>
          <w:szCs w:val="20"/>
          <w:color w:val="auto"/>
        </w:rPr>
      </w:pPr>
      <w:r>
        <w:rPr>
          <w:rFonts w:ascii="Arial" w:cs="Arial" w:eastAsia="Arial" w:hAnsi="Arial"/>
          <w:sz w:val="15"/>
          <w:szCs w:val="15"/>
          <w:color w:val="auto"/>
        </w:rPr>
        <w:t>The Committee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incentivizes our executives to carefully manage our accounts receivable and other capital investments in order to maximize the return on capital deployed. Our goal is to continuously improve our internal capital employed each year resulting in stable to improving ROIC. The Company uses Revenue as a performance goal in order to incentivize top-line growth, in addition to profitability. The percentage weightings of each of the metrics is as follows:</w:t>
      </w:r>
    </w:p>
    <w:p>
      <w:pPr>
        <w:spacing w:after="0" w:line="224" w:lineRule="exact"/>
        <w:rPr>
          <w:sz w:val="20"/>
          <w:szCs w:val="20"/>
          <w:color w:val="auto"/>
        </w:rPr>
      </w:pPr>
    </w:p>
    <w:tbl>
      <w:tblPr>
        <w:tblLayout w:type="fixed"/>
        <w:tblInd w:w="1060" w:type="dxa"/>
        <w:tblCellMar>
          <w:top w:w="0" w:type="dxa"/>
          <w:left w:w="0" w:type="dxa"/>
          <w:bottom w:w="0" w:type="dxa"/>
          <w:right w:w="0" w:type="dxa"/>
        </w:tblCellMar>
      </w:tblPr>
      <w:tr>
        <w:trPr>
          <w:trHeight w:val="274"/>
        </w:trPr>
        <w:tc>
          <w:tcPr>
            <w:tcW w:w="652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METRIC</w:t>
            </w:r>
          </w:p>
        </w:tc>
        <w:tc>
          <w:tcPr>
            <w:tcW w:w="2620" w:type="dxa"/>
            <w:vAlign w:val="bottom"/>
            <w:tcBorders>
              <w:bottom w:val="single" w:sz="8" w:color="EAEAEA"/>
            </w:tcBorders>
            <w:shd w:val="clear" w:color="auto" w:fill="EAEAEA"/>
          </w:tcPr>
          <w:p>
            <w:pPr>
              <w:jc w:val="right"/>
              <w:ind w:right="285"/>
              <w:spacing w:after="0"/>
              <w:rPr>
                <w:sz w:val="20"/>
                <w:szCs w:val="20"/>
                <w:color w:val="auto"/>
              </w:rPr>
            </w:pPr>
            <w:r>
              <w:rPr>
                <w:rFonts w:ascii="Arial" w:cs="Arial" w:eastAsia="Arial" w:hAnsi="Arial"/>
                <w:sz w:val="14"/>
                <w:szCs w:val="14"/>
                <w:b w:val="1"/>
                <w:bCs w:val="1"/>
                <w:color w:val="5D89B4"/>
              </w:rPr>
              <w:t>2023 WEIGHTING</w:t>
            </w:r>
          </w:p>
        </w:tc>
      </w:tr>
      <w:tr>
        <w:trPr>
          <w:trHeight w:val="252"/>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620" w:type="dxa"/>
            <w:vAlign w:val="bottom"/>
          </w:tcPr>
          <w:p>
            <w:pPr>
              <w:jc w:val="right"/>
              <w:ind w:right="145"/>
              <w:spacing w:after="0"/>
              <w:rPr>
                <w:sz w:val="20"/>
                <w:szCs w:val="20"/>
                <w:color w:val="auto"/>
              </w:rPr>
            </w:pPr>
            <w:r>
              <w:rPr>
                <w:rFonts w:ascii="Arial" w:cs="Arial" w:eastAsia="Arial" w:hAnsi="Arial"/>
                <w:sz w:val="15"/>
                <w:szCs w:val="15"/>
                <w:color w:val="auto"/>
              </w:rPr>
              <w:t>25.0%</w:t>
            </w:r>
          </w:p>
        </w:tc>
      </w:tr>
      <w:tr>
        <w:trPr>
          <w:trHeight w:val="41"/>
        </w:trPr>
        <w:tc>
          <w:tcPr>
            <w:tcW w:w="652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620" w:type="dxa"/>
            <w:vAlign w:val="bottom"/>
          </w:tcPr>
          <w:p>
            <w:pPr>
              <w:jc w:val="right"/>
              <w:ind w:right="145"/>
              <w:spacing w:after="0"/>
              <w:rPr>
                <w:sz w:val="20"/>
                <w:szCs w:val="20"/>
                <w:color w:val="auto"/>
              </w:rPr>
            </w:pPr>
            <w:r>
              <w:rPr>
                <w:rFonts w:ascii="Arial" w:cs="Arial" w:eastAsia="Arial" w:hAnsi="Arial"/>
                <w:sz w:val="15"/>
                <w:szCs w:val="15"/>
                <w:color w:val="auto"/>
              </w:rPr>
              <w:t>25.0%</w:t>
            </w:r>
          </w:p>
        </w:tc>
      </w:tr>
      <w:tr>
        <w:trPr>
          <w:trHeight w:val="41"/>
        </w:trPr>
        <w:tc>
          <w:tcPr>
            <w:tcW w:w="652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620" w:type="dxa"/>
            <w:vAlign w:val="bottom"/>
          </w:tcPr>
          <w:p>
            <w:pPr>
              <w:jc w:val="right"/>
              <w:ind w:right="145"/>
              <w:spacing w:after="0"/>
              <w:rPr>
                <w:sz w:val="20"/>
                <w:szCs w:val="20"/>
                <w:color w:val="auto"/>
              </w:rPr>
            </w:pPr>
            <w:r>
              <w:rPr>
                <w:rFonts w:ascii="Arial" w:cs="Arial" w:eastAsia="Arial" w:hAnsi="Arial"/>
                <w:sz w:val="15"/>
                <w:szCs w:val="15"/>
                <w:color w:val="auto"/>
              </w:rPr>
              <w:t>20.0%</w:t>
            </w:r>
          </w:p>
        </w:tc>
      </w:tr>
      <w:tr>
        <w:trPr>
          <w:trHeight w:val="41"/>
        </w:trPr>
        <w:tc>
          <w:tcPr>
            <w:tcW w:w="652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620" w:type="dxa"/>
            <w:vAlign w:val="bottom"/>
          </w:tcPr>
          <w:p>
            <w:pPr>
              <w:jc w:val="right"/>
              <w:ind w:right="145"/>
              <w:spacing w:after="0"/>
              <w:rPr>
                <w:sz w:val="20"/>
                <w:szCs w:val="20"/>
                <w:color w:val="auto"/>
              </w:rPr>
            </w:pPr>
            <w:r>
              <w:rPr>
                <w:rFonts w:ascii="Arial" w:cs="Arial" w:eastAsia="Arial" w:hAnsi="Arial"/>
                <w:sz w:val="15"/>
                <w:szCs w:val="15"/>
                <w:color w:val="auto"/>
              </w:rPr>
              <w:t>30.0%</w:t>
            </w:r>
          </w:p>
        </w:tc>
      </w:tr>
      <w:tr>
        <w:trPr>
          <w:trHeight w:val="41"/>
        </w:trPr>
        <w:tc>
          <w:tcPr>
            <w:tcW w:w="652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620" w:type="dxa"/>
            <w:vAlign w:val="bottom"/>
          </w:tcPr>
          <w:p>
            <w:pPr>
              <w:jc w:val="right"/>
              <w:ind w:right="145"/>
              <w:spacing w:after="0"/>
              <w:rPr>
                <w:sz w:val="20"/>
                <w:szCs w:val="20"/>
                <w:color w:val="auto"/>
              </w:rPr>
            </w:pPr>
            <w:r>
              <w:rPr>
                <w:rFonts w:ascii="Arial" w:cs="Arial" w:eastAsia="Arial" w:hAnsi="Arial"/>
                <w:sz w:val="15"/>
                <w:szCs w:val="15"/>
                <w:color w:val="auto"/>
              </w:rPr>
              <w:t>100.0%</w:t>
            </w:r>
          </w:p>
        </w:tc>
      </w:tr>
      <w:tr>
        <w:trPr>
          <w:trHeight w:val="41"/>
        </w:trPr>
        <w:tc>
          <w:tcPr>
            <w:tcW w:w="652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bl>
    <w:p>
      <w:pPr>
        <w:spacing w:after="0" w:line="3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The 2023 EPS, ROIC and Revenue Goals</w:t>
      </w:r>
    </w:p>
    <w:p>
      <w:pPr>
        <w:spacing w:after="0" w:line="138" w:lineRule="exact"/>
        <w:rPr>
          <w:sz w:val="20"/>
          <w:szCs w:val="20"/>
          <w:color w:val="auto"/>
        </w:rPr>
      </w:pPr>
    </w:p>
    <w:p>
      <w:pPr>
        <w:ind w:left="180" w:right="60"/>
        <w:spacing w:after="0" w:line="230" w:lineRule="auto"/>
        <w:rPr>
          <w:sz w:val="20"/>
          <w:szCs w:val="20"/>
          <w:color w:val="auto"/>
        </w:rPr>
      </w:pPr>
      <w:r>
        <w:rPr>
          <w:rFonts w:ascii="Arial" w:cs="Arial" w:eastAsia="Arial" w:hAnsi="Arial"/>
          <w:sz w:val="15"/>
          <w:szCs w:val="15"/>
          <w:color w:val="auto"/>
        </w:rPr>
        <w:t>For 2023, the Committee continued its practice of setting threshold, target and outstanding goals for EPS and ROIC that were based on its view of appropriate rates of EPS growth based on prior year achievement. Similarly, the Committee set threshold, target and outstanding goals for Revenue that were based on its view of appropriate Revenue growth. The Committee believed the threshold levels for EPS, ROIC and Revenue were the minimum levels at which it would be appropriate to earn an incentive, based on global economic conditions as they existed at the time when the goals were set in mid-February 2023. Each year the Committee sets targets based on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2023 where the Committee assumed continued deterioration in global economic conditions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182880</wp:posOffset>
            </wp:positionV>
            <wp:extent cx="69138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shows the EPS, ROIC and Revenue goals established by the Committee for 2023:</w:t>
      </w:r>
    </w:p>
    <w:p>
      <w:pPr>
        <w:spacing w:after="0" w:line="245" w:lineRule="exact"/>
        <w:rPr>
          <w:sz w:val="20"/>
          <w:szCs w:val="20"/>
          <w:color w:val="auto"/>
        </w:rPr>
      </w:pPr>
    </w:p>
    <w:tbl>
      <w:tblPr>
        <w:tblLayout w:type="fixed"/>
        <w:tblInd w:w="1060" w:type="dxa"/>
        <w:tblCellMar>
          <w:top w:w="0" w:type="dxa"/>
          <w:left w:w="0" w:type="dxa"/>
          <w:bottom w:w="0" w:type="dxa"/>
          <w:right w:w="0" w:type="dxa"/>
        </w:tblCellMar>
      </w:tblPr>
      <w:tr>
        <w:trPr>
          <w:trHeight w:val="252"/>
        </w:trPr>
        <w:tc>
          <w:tcPr>
            <w:tcW w:w="2740" w:type="dxa"/>
            <w:vAlign w:val="bottom"/>
            <w:shd w:val="clear" w:color="auto" w:fill="EAEAEA"/>
          </w:tcPr>
          <w:p>
            <w:pPr>
              <w:ind w:left="60"/>
              <w:spacing w:after="0"/>
              <w:rPr>
                <w:sz w:val="20"/>
                <w:szCs w:val="20"/>
                <w:color w:val="auto"/>
              </w:rPr>
            </w:pPr>
            <w:r>
              <w:rPr>
                <w:rFonts w:ascii="Arial" w:cs="Arial" w:eastAsia="Arial" w:hAnsi="Arial"/>
                <w:sz w:val="14"/>
                <w:szCs w:val="14"/>
                <w:b w:val="1"/>
                <w:bCs w:val="1"/>
                <w:color w:val="5D89B4"/>
              </w:rPr>
              <w:t>METRIC</w:t>
            </w:r>
          </w:p>
        </w:tc>
        <w:tc>
          <w:tcPr>
            <w:tcW w:w="1060" w:type="dxa"/>
            <w:vAlign w:val="bottom"/>
            <w:shd w:val="clear" w:color="auto" w:fill="EAEAEA"/>
          </w:tcPr>
          <w:p>
            <w:pPr>
              <w:spacing w:after="0"/>
              <w:rPr>
                <w:sz w:val="21"/>
                <w:szCs w:val="21"/>
                <w:color w:val="auto"/>
              </w:rPr>
            </w:pPr>
          </w:p>
        </w:tc>
        <w:tc>
          <w:tcPr>
            <w:tcW w:w="1240" w:type="dxa"/>
            <w:vAlign w:val="bottom"/>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THRESHOLD</w:t>
            </w:r>
          </w:p>
        </w:tc>
        <w:tc>
          <w:tcPr>
            <w:tcW w:w="1080" w:type="dxa"/>
            <w:vAlign w:val="bottom"/>
            <w:shd w:val="clear" w:color="auto" w:fill="EAEAEA"/>
          </w:tcPr>
          <w:p>
            <w:pPr>
              <w:spacing w:after="0"/>
              <w:rPr>
                <w:sz w:val="21"/>
                <w:szCs w:val="21"/>
                <w:color w:val="auto"/>
              </w:rPr>
            </w:pPr>
          </w:p>
        </w:tc>
        <w:tc>
          <w:tcPr>
            <w:tcW w:w="1240" w:type="dxa"/>
            <w:vAlign w:val="bottom"/>
            <w:shd w:val="clear" w:color="auto" w:fill="EAEAEA"/>
          </w:tcPr>
          <w:p>
            <w:pPr>
              <w:ind w:left="260"/>
              <w:spacing w:after="0"/>
              <w:rPr>
                <w:sz w:val="20"/>
                <w:szCs w:val="20"/>
                <w:color w:val="auto"/>
              </w:rPr>
            </w:pPr>
            <w:r>
              <w:rPr>
                <w:rFonts w:ascii="Arial" w:cs="Arial" w:eastAsia="Arial" w:hAnsi="Arial"/>
                <w:sz w:val="14"/>
                <w:szCs w:val="14"/>
                <w:b w:val="1"/>
                <w:bCs w:val="1"/>
                <w:color w:val="5D89B4"/>
              </w:rPr>
              <w:t>TARGET</w:t>
            </w:r>
          </w:p>
        </w:tc>
        <w:tc>
          <w:tcPr>
            <w:tcW w:w="380" w:type="dxa"/>
            <w:vAlign w:val="bottom"/>
            <w:shd w:val="clear" w:color="auto" w:fill="EAEAEA"/>
          </w:tcPr>
          <w:p>
            <w:pPr>
              <w:spacing w:after="0"/>
              <w:rPr>
                <w:sz w:val="21"/>
                <w:szCs w:val="21"/>
                <w:color w:val="auto"/>
              </w:rPr>
            </w:pPr>
          </w:p>
        </w:tc>
        <w:tc>
          <w:tcPr>
            <w:tcW w:w="1400" w:type="dxa"/>
            <w:vAlign w:val="bottom"/>
            <w:shd w:val="clear" w:color="auto" w:fill="EAEAEA"/>
          </w:tcPr>
          <w:p>
            <w:pPr>
              <w:jc w:val="right"/>
              <w:ind w:right="286"/>
              <w:spacing w:after="0"/>
              <w:rPr>
                <w:sz w:val="20"/>
                <w:szCs w:val="20"/>
                <w:color w:val="auto"/>
              </w:rPr>
            </w:pPr>
            <w:r>
              <w:rPr>
                <w:rFonts w:ascii="Arial" w:cs="Arial" w:eastAsia="Arial" w:hAnsi="Arial"/>
                <w:sz w:val="14"/>
                <w:szCs w:val="14"/>
                <w:b w:val="1"/>
                <w:bCs w:val="1"/>
                <w:color w:val="5D89B4"/>
                <w:w w:val="99"/>
              </w:rPr>
              <w:t>OUTSTANDING</w:t>
            </w:r>
          </w:p>
        </w:tc>
      </w:tr>
      <w:tr>
        <w:trPr>
          <w:trHeight w:val="275"/>
        </w:trPr>
        <w:tc>
          <w:tcPr>
            <w:tcW w:w="2740" w:type="dxa"/>
            <w:vAlign w:val="bottom"/>
            <w:tcBorders>
              <w:bottom w:val="single" w:sz="8" w:color="EAEAEA"/>
            </w:tcBorders>
            <w:shd w:val="clear" w:color="auto" w:fill="EAEAEA"/>
          </w:tcPr>
          <w:p>
            <w:pPr>
              <w:ind w:left="420"/>
              <w:spacing w:after="0"/>
              <w:rPr>
                <w:sz w:val="20"/>
                <w:szCs w:val="20"/>
                <w:color w:val="auto"/>
              </w:rPr>
            </w:pPr>
            <w:r>
              <w:rPr>
                <w:rFonts w:ascii="Arial" w:cs="Arial" w:eastAsia="Arial" w:hAnsi="Arial"/>
                <w:sz w:val="14"/>
                <w:szCs w:val="14"/>
                <w:b w:val="1"/>
                <w:bCs w:val="1"/>
                <w:color w:val="auto"/>
              </w:rPr>
              <w:t>PAYOUT AS A % OF TARGET</w:t>
            </w:r>
          </w:p>
        </w:tc>
        <w:tc>
          <w:tcPr>
            <w:tcW w:w="2300" w:type="dxa"/>
            <w:vAlign w:val="bottom"/>
            <w:tcBorders>
              <w:bottom w:val="single" w:sz="8" w:color="EAEAEA"/>
            </w:tcBorders>
            <w:gridSpan w:val="2"/>
            <w:shd w:val="clear" w:color="auto" w:fill="EAEAEA"/>
          </w:tcPr>
          <w:p>
            <w:pPr>
              <w:ind w:left="820"/>
              <w:spacing w:after="0"/>
              <w:rPr>
                <w:sz w:val="20"/>
                <w:szCs w:val="20"/>
                <w:color w:val="auto"/>
              </w:rPr>
            </w:pPr>
            <w:r>
              <w:rPr>
                <w:rFonts w:ascii="Arial" w:cs="Arial" w:eastAsia="Arial" w:hAnsi="Arial"/>
                <w:sz w:val="14"/>
                <w:szCs w:val="14"/>
                <w:b w:val="1"/>
                <w:bCs w:val="1"/>
                <w:color w:val="5D89B4"/>
              </w:rPr>
              <w:t>ALL NEOs: 33% (1)</w:t>
            </w:r>
          </w:p>
        </w:tc>
        <w:tc>
          <w:tcPr>
            <w:tcW w:w="2320" w:type="dxa"/>
            <w:vAlign w:val="bottom"/>
            <w:tcBorders>
              <w:bottom w:val="single" w:sz="8" w:color="EAEAEA"/>
            </w:tcBorders>
            <w:gridSpan w:val="2"/>
            <w:shd w:val="clear" w:color="auto" w:fill="EAEAEA"/>
          </w:tcPr>
          <w:p>
            <w:pPr>
              <w:ind w:left="760"/>
              <w:spacing w:after="0"/>
              <w:rPr>
                <w:sz w:val="20"/>
                <w:szCs w:val="20"/>
                <w:color w:val="auto"/>
              </w:rPr>
            </w:pPr>
            <w:r>
              <w:rPr>
                <w:rFonts w:ascii="Arial" w:cs="Arial" w:eastAsia="Arial" w:hAnsi="Arial"/>
                <w:sz w:val="14"/>
                <w:szCs w:val="14"/>
                <w:b w:val="1"/>
                <w:bCs w:val="1"/>
                <w:color w:val="5D89B4"/>
              </w:rPr>
              <w:t>ALL NEOs: 100%</w:t>
            </w:r>
          </w:p>
        </w:tc>
        <w:tc>
          <w:tcPr>
            <w:tcW w:w="1780" w:type="dxa"/>
            <w:vAlign w:val="bottom"/>
            <w:tcBorders>
              <w:bottom w:val="single" w:sz="8" w:color="EAEAEA"/>
            </w:tcBorders>
            <w:gridSpan w:val="2"/>
            <w:shd w:val="clear" w:color="auto" w:fill="EAEAEA"/>
          </w:tcPr>
          <w:p>
            <w:pPr>
              <w:ind w:left="280"/>
              <w:spacing w:after="0"/>
              <w:rPr>
                <w:sz w:val="20"/>
                <w:szCs w:val="20"/>
                <w:color w:val="auto"/>
              </w:rPr>
            </w:pPr>
            <w:r>
              <w:rPr>
                <w:rFonts w:ascii="Arial" w:cs="Arial" w:eastAsia="Arial" w:hAnsi="Arial"/>
                <w:sz w:val="14"/>
                <w:szCs w:val="14"/>
                <w:b w:val="1"/>
                <w:bCs w:val="1"/>
                <w:color w:val="5D89B4"/>
              </w:rPr>
              <w:t>ALL NEOs: 200%</w:t>
            </w:r>
          </w:p>
        </w:tc>
      </w:tr>
      <w:tr>
        <w:trPr>
          <w:trHeight w:val="252"/>
        </w:trPr>
        <w:tc>
          <w:tcPr>
            <w:tcW w:w="2740" w:type="dxa"/>
            <w:vAlign w:val="bottom"/>
          </w:tcPr>
          <w:p>
            <w:pPr>
              <w:ind w:left="60"/>
              <w:spacing w:after="0"/>
              <w:rPr>
                <w:sz w:val="20"/>
                <w:szCs w:val="20"/>
                <w:color w:val="auto"/>
              </w:rPr>
            </w:pPr>
            <w:r>
              <w:rPr>
                <w:rFonts w:ascii="Arial" w:cs="Arial" w:eastAsia="Arial" w:hAnsi="Arial"/>
                <w:sz w:val="14"/>
                <w:szCs w:val="14"/>
                <w:b w:val="1"/>
                <w:bCs w:val="1"/>
                <w:color w:val="auto"/>
              </w:rPr>
              <w:t>EPS (weighted 25%)</w:t>
            </w:r>
          </w:p>
        </w:tc>
        <w:tc>
          <w:tcPr>
            <w:tcW w:w="1060" w:type="dxa"/>
            <w:vAlign w:val="bottom"/>
          </w:tcPr>
          <w:p>
            <w:pPr>
              <w:ind w:left="82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7.01</w:t>
            </w:r>
          </w:p>
        </w:tc>
        <w:tc>
          <w:tcPr>
            <w:tcW w:w="1080" w:type="dxa"/>
            <w:vAlign w:val="bottom"/>
          </w:tcPr>
          <w:p>
            <w:pPr>
              <w:ind w:left="740"/>
              <w:spacing w:after="0"/>
              <w:rPr>
                <w:sz w:val="20"/>
                <w:szCs w:val="20"/>
                <w:color w:val="auto"/>
              </w:rPr>
            </w:pPr>
            <w:r>
              <w:rPr>
                <w:rFonts w:ascii="Arial" w:cs="Arial" w:eastAsia="Arial" w:hAnsi="Arial"/>
                <w:sz w:val="15"/>
                <w:szCs w:val="15"/>
                <w:color w:val="auto"/>
              </w:rPr>
              <w:t>$</w:t>
            </w:r>
          </w:p>
        </w:tc>
        <w:tc>
          <w:tcPr>
            <w:tcW w:w="1240" w:type="dxa"/>
            <w:vAlign w:val="bottom"/>
          </w:tcPr>
          <w:p>
            <w:pPr>
              <w:ind w:left="540"/>
              <w:spacing w:after="0"/>
              <w:rPr>
                <w:sz w:val="20"/>
                <w:szCs w:val="20"/>
                <w:color w:val="auto"/>
              </w:rPr>
            </w:pPr>
            <w:r>
              <w:rPr>
                <w:rFonts w:ascii="Arial" w:cs="Arial" w:eastAsia="Arial" w:hAnsi="Arial"/>
                <w:sz w:val="15"/>
                <w:szCs w:val="15"/>
                <w:color w:val="auto"/>
              </w:rPr>
              <w:t>8.88</w:t>
            </w:r>
          </w:p>
        </w:tc>
        <w:tc>
          <w:tcPr>
            <w:tcW w:w="380" w:type="dxa"/>
            <w:vAlign w:val="bottom"/>
          </w:tcPr>
          <w:p>
            <w:pPr>
              <w:ind w:left="260"/>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286"/>
              <w:spacing w:after="0"/>
              <w:rPr>
                <w:sz w:val="20"/>
                <w:szCs w:val="20"/>
                <w:color w:val="auto"/>
              </w:rPr>
            </w:pPr>
            <w:r>
              <w:rPr>
                <w:rFonts w:ascii="Arial" w:cs="Arial" w:eastAsia="Arial" w:hAnsi="Arial"/>
                <w:sz w:val="15"/>
                <w:szCs w:val="15"/>
                <w:color w:val="auto"/>
              </w:rPr>
              <w:t>10.02</w:t>
            </w:r>
          </w:p>
        </w:tc>
      </w:tr>
      <w:tr>
        <w:trPr>
          <w:trHeight w:val="41"/>
        </w:trPr>
        <w:tc>
          <w:tcPr>
            <w:tcW w:w="274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1400" w:type="dxa"/>
            <w:vAlign w:val="bottom"/>
            <w:tcBorders>
              <w:bottom w:val="single" w:sz="8" w:color="5D89B4"/>
            </w:tcBorders>
          </w:tcPr>
          <w:p>
            <w:pPr>
              <w:spacing w:after="0"/>
              <w:rPr>
                <w:sz w:val="3"/>
                <w:szCs w:val="3"/>
                <w:color w:val="auto"/>
              </w:rPr>
            </w:pPr>
          </w:p>
        </w:tc>
      </w:tr>
      <w:tr>
        <w:trPr>
          <w:trHeight w:val="232"/>
        </w:trPr>
        <w:tc>
          <w:tcPr>
            <w:tcW w:w="2740" w:type="dxa"/>
            <w:vAlign w:val="bottom"/>
          </w:tcPr>
          <w:p>
            <w:pPr>
              <w:ind w:left="60"/>
              <w:spacing w:after="0"/>
              <w:rPr>
                <w:sz w:val="20"/>
                <w:szCs w:val="20"/>
                <w:color w:val="auto"/>
              </w:rPr>
            </w:pPr>
            <w:r>
              <w:rPr>
                <w:rFonts w:ascii="Arial" w:cs="Arial" w:eastAsia="Arial" w:hAnsi="Arial"/>
                <w:sz w:val="14"/>
                <w:szCs w:val="14"/>
                <w:b w:val="1"/>
                <w:bCs w:val="1"/>
                <w:color w:val="auto"/>
              </w:rPr>
              <w:t>ROIC (weighted 25%)</w:t>
            </w:r>
          </w:p>
        </w:tc>
        <w:tc>
          <w:tcPr>
            <w:tcW w:w="10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11.2%</w:t>
            </w:r>
          </w:p>
        </w:tc>
        <w:tc>
          <w:tcPr>
            <w:tcW w:w="1080" w:type="dxa"/>
            <w:vAlign w:val="bottom"/>
          </w:tcPr>
          <w:p>
            <w:pPr>
              <w:spacing w:after="0"/>
              <w:rPr>
                <w:sz w:val="20"/>
                <w:szCs w:val="20"/>
                <w:color w:val="auto"/>
              </w:rPr>
            </w:pPr>
          </w:p>
        </w:tc>
        <w:tc>
          <w:tcPr>
            <w:tcW w:w="1240" w:type="dxa"/>
            <w:vAlign w:val="bottom"/>
          </w:tcPr>
          <w:p>
            <w:pPr>
              <w:ind w:left="540"/>
              <w:spacing w:after="0"/>
              <w:rPr>
                <w:sz w:val="20"/>
                <w:szCs w:val="20"/>
                <w:color w:val="auto"/>
              </w:rPr>
            </w:pPr>
            <w:r>
              <w:rPr>
                <w:rFonts w:ascii="Arial" w:cs="Arial" w:eastAsia="Arial" w:hAnsi="Arial"/>
                <w:sz w:val="15"/>
                <w:szCs w:val="15"/>
                <w:color w:val="auto"/>
              </w:rPr>
              <w:t>13.8%</w:t>
            </w:r>
          </w:p>
        </w:tc>
        <w:tc>
          <w:tcPr>
            <w:tcW w:w="380" w:type="dxa"/>
            <w:vAlign w:val="bottom"/>
          </w:tcPr>
          <w:p>
            <w:pPr>
              <w:spacing w:after="0"/>
              <w:rPr>
                <w:sz w:val="20"/>
                <w:szCs w:val="20"/>
                <w:color w:val="auto"/>
              </w:rPr>
            </w:pPr>
          </w:p>
        </w:tc>
        <w:tc>
          <w:tcPr>
            <w:tcW w:w="1400" w:type="dxa"/>
            <w:vAlign w:val="bottom"/>
          </w:tcPr>
          <w:p>
            <w:pPr>
              <w:jc w:val="right"/>
              <w:ind w:right="146"/>
              <w:spacing w:after="0"/>
              <w:rPr>
                <w:sz w:val="20"/>
                <w:szCs w:val="20"/>
                <w:color w:val="auto"/>
              </w:rPr>
            </w:pPr>
            <w:r>
              <w:rPr>
                <w:rFonts w:ascii="Arial" w:cs="Arial" w:eastAsia="Arial" w:hAnsi="Arial"/>
                <w:sz w:val="15"/>
                <w:szCs w:val="15"/>
                <w:color w:val="auto"/>
              </w:rPr>
              <w:t>15.4%</w:t>
            </w:r>
          </w:p>
        </w:tc>
      </w:tr>
      <w:tr>
        <w:trPr>
          <w:trHeight w:val="41"/>
        </w:trPr>
        <w:tc>
          <w:tcPr>
            <w:tcW w:w="274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1400" w:type="dxa"/>
            <w:vAlign w:val="bottom"/>
            <w:tcBorders>
              <w:bottom w:val="single" w:sz="8" w:color="5D89B4"/>
            </w:tcBorders>
          </w:tcPr>
          <w:p>
            <w:pPr>
              <w:spacing w:after="0"/>
              <w:rPr>
                <w:sz w:val="3"/>
                <w:szCs w:val="3"/>
                <w:color w:val="auto"/>
              </w:rPr>
            </w:pPr>
          </w:p>
        </w:tc>
      </w:tr>
      <w:tr>
        <w:trPr>
          <w:trHeight w:val="232"/>
        </w:trPr>
        <w:tc>
          <w:tcPr>
            <w:tcW w:w="2740" w:type="dxa"/>
            <w:vAlign w:val="bottom"/>
          </w:tcPr>
          <w:p>
            <w:pPr>
              <w:ind w:left="60"/>
              <w:spacing w:after="0"/>
              <w:rPr>
                <w:sz w:val="20"/>
                <w:szCs w:val="20"/>
                <w:color w:val="auto"/>
              </w:rPr>
            </w:pPr>
            <w:r>
              <w:rPr>
                <w:rFonts w:ascii="Arial" w:cs="Arial" w:eastAsia="Arial" w:hAnsi="Arial"/>
                <w:sz w:val="14"/>
                <w:szCs w:val="14"/>
                <w:b w:val="1"/>
                <w:bCs w:val="1"/>
                <w:color w:val="auto"/>
              </w:rPr>
              <w:t>Revenue (in billions) (weighted 20%)</w:t>
            </w:r>
          </w:p>
        </w:tc>
        <w:tc>
          <w:tcPr>
            <w:tcW w:w="1060" w:type="dxa"/>
            <w:vAlign w:val="bottom"/>
          </w:tcPr>
          <w:p>
            <w:pPr>
              <w:ind w:left="820"/>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06"/>
              <w:spacing w:after="0"/>
              <w:rPr>
                <w:sz w:val="20"/>
                <w:szCs w:val="20"/>
                <w:color w:val="auto"/>
              </w:rPr>
            </w:pPr>
            <w:r>
              <w:rPr>
                <w:rFonts w:ascii="Arial" w:cs="Arial" w:eastAsia="Arial" w:hAnsi="Arial"/>
                <w:sz w:val="15"/>
                <w:szCs w:val="15"/>
                <w:color w:val="auto"/>
              </w:rPr>
              <w:t>18.8</w:t>
            </w:r>
          </w:p>
        </w:tc>
        <w:tc>
          <w:tcPr>
            <w:tcW w:w="1080" w:type="dxa"/>
            <w:vAlign w:val="bottom"/>
          </w:tcPr>
          <w:p>
            <w:pPr>
              <w:ind w:left="740"/>
              <w:spacing w:after="0"/>
              <w:rPr>
                <w:sz w:val="20"/>
                <w:szCs w:val="20"/>
                <w:color w:val="auto"/>
              </w:rPr>
            </w:pPr>
            <w:r>
              <w:rPr>
                <w:rFonts w:ascii="Arial" w:cs="Arial" w:eastAsia="Arial" w:hAnsi="Arial"/>
                <w:sz w:val="15"/>
                <w:szCs w:val="15"/>
                <w:color w:val="auto"/>
              </w:rPr>
              <w:t>$</w:t>
            </w:r>
          </w:p>
        </w:tc>
        <w:tc>
          <w:tcPr>
            <w:tcW w:w="1240" w:type="dxa"/>
            <w:vAlign w:val="bottom"/>
          </w:tcPr>
          <w:p>
            <w:pPr>
              <w:ind w:left="540"/>
              <w:spacing w:after="0"/>
              <w:rPr>
                <w:sz w:val="20"/>
                <w:szCs w:val="20"/>
                <w:color w:val="auto"/>
              </w:rPr>
            </w:pPr>
            <w:r>
              <w:rPr>
                <w:rFonts w:ascii="Arial" w:cs="Arial" w:eastAsia="Arial" w:hAnsi="Arial"/>
                <w:sz w:val="15"/>
                <w:szCs w:val="15"/>
                <w:color w:val="auto"/>
              </w:rPr>
              <w:t>20.0</w:t>
            </w:r>
          </w:p>
        </w:tc>
        <w:tc>
          <w:tcPr>
            <w:tcW w:w="380" w:type="dxa"/>
            <w:vAlign w:val="bottom"/>
          </w:tcPr>
          <w:p>
            <w:pPr>
              <w:ind w:left="260"/>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286"/>
              <w:spacing w:after="0"/>
              <w:rPr>
                <w:sz w:val="20"/>
                <w:szCs w:val="20"/>
                <w:color w:val="auto"/>
              </w:rPr>
            </w:pPr>
            <w:r>
              <w:rPr>
                <w:rFonts w:ascii="Arial" w:cs="Arial" w:eastAsia="Arial" w:hAnsi="Arial"/>
                <w:sz w:val="15"/>
                <w:szCs w:val="15"/>
                <w:color w:val="auto"/>
              </w:rPr>
              <w:t>20.6</w:t>
            </w:r>
          </w:p>
        </w:tc>
      </w:tr>
      <w:tr>
        <w:trPr>
          <w:trHeight w:val="41"/>
        </w:trPr>
        <w:tc>
          <w:tcPr>
            <w:tcW w:w="274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140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hanging="420"/>
        <w:spacing w:after="0"/>
        <w:tabs>
          <w:tab w:leader="none" w:pos="6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2023, the Committee increased the threshold payout opportunity for the CEO and CFO to 33% from 25% to align with the other NEOs.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Annual Incentive Award Opportunities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shows the total annual incentive award opportunities by NEO shown as a percentage of base salary:</w:t>
      </w:r>
    </w:p>
    <w:p>
      <w:pPr>
        <w:spacing w:after="0" w:line="245"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2540" w:type="dxa"/>
            <w:vAlign w:val="bottom"/>
            <w:shd w:val="clear" w:color="auto" w:fill="EAEAEA"/>
          </w:tcPr>
          <w:p>
            <w:pPr>
              <w:spacing w:after="0"/>
              <w:rPr>
                <w:sz w:val="18"/>
                <w:szCs w:val="18"/>
                <w:color w:val="auto"/>
              </w:rPr>
            </w:pPr>
          </w:p>
        </w:tc>
        <w:tc>
          <w:tcPr>
            <w:tcW w:w="2660" w:type="dxa"/>
            <w:vAlign w:val="bottom"/>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THRESHOLD AS</w:t>
            </w:r>
          </w:p>
        </w:tc>
        <w:tc>
          <w:tcPr>
            <w:tcW w:w="2060" w:type="dxa"/>
            <w:vAlign w:val="bottom"/>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TARGET AS</w:t>
            </w:r>
          </w:p>
        </w:tc>
        <w:tc>
          <w:tcPr>
            <w:tcW w:w="18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OUTSTANDING AS</w:t>
            </w:r>
          </w:p>
        </w:tc>
      </w:tr>
      <w:tr>
        <w:trPr>
          <w:trHeight w:val="160"/>
        </w:trPr>
        <w:tc>
          <w:tcPr>
            <w:tcW w:w="2540" w:type="dxa"/>
            <w:vAlign w:val="bottom"/>
            <w:shd w:val="clear" w:color="auto" w:fill="EAEAEA"/>
          </w:tcPr>
          <w:p>
            <w:pPr>
              <w:spacing w:after="0"/>
              <w:rPr>
                <w:sz w:val="13"/>
                <w:szCs w:val="13"/>
                <w:color w:val="auto"/>
              </w:rPr>
            </w:pPr>
          </w:p>
        </w:tc>
        <w:tc>
          <w:tcPr>
            <w:tcW w:w="2660" w:type="dxa"/>
            <w:vAlign w:val="bottom"/>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A PERCENTAGE</w:t>
            </w:r>
          </w:p>
        </w:tc>
        <w:tc>
          <w:tcPr>
            <w:tcW w:w="2060" w:type="dxa"/>
            <w:vAlign w:val="bottom"/>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A PERCENTAGE</w:t>
            </w:r>
          </w:p>
        </w:tc>
        <w:tc>
          <w:tcPr>
            <w:tcW w:w="188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A PERCENTAGE</w:t>
            </w:r>
          </w:p>
        </w:tc>
      </w:tr>
      <w:tr>
        <w:trPr>
          <w:trHeight w:val="216"/>
        </w:trPr>
        <w:tc>
          <w:tcPr>
            <w:tcW w:w="25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NEO</w:t>
            </w:r>
          </w:p>
        </w:tc>
        <w:tc>
          <w:tcPr>
            <w:tcW w:w="2660" w:type="dxa"/>
            <w:vAlign w:val="bottom"/>
            <w:tcBorders>
              <w:bottom w:val="single" w:sz="8" w:color="EAEAEA"/>
            </w:tcBorders>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OF SALARY</w:t>
            </w:r>
          </w:p>
        </w:tc>
        <w:tc>
          <w:tcPr>
            <w:tcW w:w="2060" w:type="dxa"/>
            <w:vAlign w:val="bottom"/>
            <w:tcBorders>
              <w:bottom w:val="single" w:sz="8" w:color="EAEAEA"/>
            </w:tcBorders>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OF SALARY</w:t>
            </w:r>
          </w:p>
        </w:tc>
        <w:tc>
          <w:tcPr>
            <w:tcW w:w="188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OF SALARY</w:t>
            </w:r>
          </w:p>
        </w:tc>
      </w:tr>
      <w:tr>
        <w:trPr>
          <w:trHeight w:val="252"/>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Jonas Prising</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53.0%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160.0%</w:t>
            </w:r>
          </w:p>
        </w:tc>
        <w:tc>
          <w:tcPr>
            <w:tcW w:w="1880" w:type="dxa"/>
            <w:vAlign w:val="bottom"/>
          </w:tcPr>
          <w:p>
            <w:pPr>
              <w:jc w:val="right"/>
              <w:ind w:right="46"/>
              <w:spacing w:after="0"/>
              <w:rPr>
                <w:sz w:val="20"/>
                <w:szCs w:val="20"/>
                <w:color w:val="auto"/>
              </w:rPr>
            </w:pPr>
            <w:r>
              <w:rPr>
                <w:rFonts w:ascii="Arial" w:cs="Arial" w:eastAsia="Arial" w:hAnsi="Arial"/>
                <w:sz w:val="15"/>
                <w:szCs w:val="15"/>
                <w:color w:val="auto"/>
              </w:rPr>
              <w:t>320.0%</w:t>
            </w:r>
          </w:p>
        </w:tc>
      </w:tr>
      <w:tr>
        <w:trPr>
          <w:trHeight w:val="41"/>
        </w:trPr>
        <w:tc>
          <w:tcPr>
            <w:tcW w:w="2540" w:type="dxa"/>
            <w:vAlign w:val="bottom"/>
            <w:tcBorders>
              <w:bottom w:val="single" w:sz="8" w:color="5D89B4"/>
            </w:tcBorders>
          </w:tcPr>
          <w:p>
            <w:pPr>
              <w:spacing w:after="0"/>
              <w:rPr>
                <w:sz w:val="3"/>
                <w:szCs w:val="3"/>
                <w:color w:val="auto"/>
              </w:rPr>
            </w:pPr>
          </w:p>
        </w:tc>
        <w:tc>
          <w:tcPr>
            <w:tcW w:w="266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r>
      <w:tr>
        <w:trPr>
          <w:trHeight w:val="232"/>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John T. McGinnis</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37.0%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110.0%</w:t>
            </w:r>
          </w:p>
        </w:tc>
        <w:tc>
          <w:tcPr>
            <w:tcW w:w="1880" w:type="dxa"/>
            <w:vAlign w:val="bottom"/>
          </w:tcPr>
          <w:p>
            <w:pPr>
              <w:jc w:val="right"/>
              <w:ind w:right="46"/>
              <w:spacing w:after="0"/>
              <w:rPr>
                <w:sz w:val="20"/>
                <w:szCs w:val="20"/>
                <w:color w:val="auto"/>
              </w:rPr>
            </w:pPr>
            <w:r>
              <w:rPr>
                <w:rFonts w:ascii="Arial" w:cs="Arial" w:eastAsia="Arial" w:hAnsi="Arial"/>
                <w:sz w:val="15"/>
                <w:szCs w:val="15"/>
                <w:color w:val="auto"/>
              </w:rPr>
              <w:t>220.0%</w:t>
            </w:r>
          </w:p>
        </w:tc>
      </w:tr>
      <w:tr>
        <w:trPr>
          <w:trHeight w:val="41"/>
        </w:trPr>
        <w:tc>
          <w:tcPr>
            <w:tcW w:w="2540" w:type="dxa"/>
            <w:vAlign w:val="bottom"/>
            <w:tcBorders>
              <w:bottom w:val="single" w:sz="8" w:color="5D89B4"/>
            </w:tcBorders>
          </w:tcPr>
          <w:p>
            <w:pPr>
              <w:spacing w:after="0"/>
              <w:rPr>
                <w:sz w:val="3"/>
                <w:szCs w:val="3"/>
                <w:color w:val="auto"/>
              </w:rPr>
            </w:pPr>
          </w:p>
        </w:tc>
        <w:tc>
          <w:tcPr>
            <w:tcW w:w="266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r>
      <w:tr>
        <w:trPr>
          <w:trHeight w:val="232"/>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Michelle S. Nettles</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25.0%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75.0%</w:t>
            </w:r>
          </w:p>
        </w:tc>
        <w:tc>
          <w:tcPr>
            <w:tcW w:w="1880" w:type="dxa"/>
            <w:vAlign w:val="bottom"/>
          </w:tcPr>
          <w:p>
            <w:pPr>
              <w:jc w:val="right"/>
              <w:ind w:right="46"/>
              <w:spacing w:after="0"/>
              <w:rPr>
                <w:sz w:val="20"/>
                <w:szCs w:val="20"/>
                <w:color w:val="auto"/>
              </w:rPr>
            </w:pPr>
            <w:r>
              <w:rPr>
                <w:rFonts w:ascii="Arial" w:cs="Arial" w:eastAsia="Arial" w:hAnsi="Arial"/>
                <w:sz w:val="15"/>
                <w:szCs w:val="15"/>
                <w:color w:val="auto"/>
              </w:rPr>
              <w:t>150.0%</w:t>
            </w:r>
          </w:p>
        </w:tc>
      </w:tr>
      <w:tr>
        <w:trPr>
          <w:trHeight w:val="41"/>
        </w:trPr>
        <w:tc>
          <w:tcPr>
            <w:tcW w:w="2540" w:type="dxa"/>
            <w:vAlign w:val="bottom"/>
            <w:tcBorders>
              <w:bottom w:val="single" w:sz="8" w:color="5D89B4"/>
            </w:tcBorders>
          </w:tcPr>
          <w:p>
            <w:pPr>
              <w:spacing w:after="0"/>
              <w:rPr>
                <w:sz w:val="3"/>
                <w:szCs w:val="3"/>
                <w:color w:val="auto"/>
              </w:rPr>
            </w:pPr>
          </w:p>
        </w:tc>
        <w:tc>
          <w:tcPr>
            <w:tcW w:w="266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r>
      <w:tr>
        <w:trPr>
          <w:trHeight w:val="232"/>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Richard Buchband</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25.0%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75.0%</w:t>
            </w:r>
          </w:p>
        </w:tc>
        <w:tc>
          <w:tcPr>
            <w:tcW w:w="1880" w:type="dxa"/>
            <w:vAlign w:val="bottom"/>
          </w:tcPr>
          <w:p>
            <w:pPr>
              <w:jc w:val="right"/>
              <w:ind w:right="46"/>
              <w:spacing w:after="0"/>
              <w:rPr>
                <w:sz w:val="20"/>
                <w:szCs w:val="20"/>
                <w:color w:val="auto"/>
              </w:rPr>
            </w:pPr>
            <w:r>
              <w:rPr>
                <w:rFonts w:ascii="Arial" w:cs="Arial" w:eastAsia="Arial" w:hAnsi="Arial"/>
                <w:sz w:val="15"/>
                <w:szCs w:val="15"/>
                <w:color w:val="auto"/>
              </w:rPr>
              <w:t>150.0%</w:t>
            </w:r>
          </w:p>
        </w:tc>
      </w:tr>
      <w:tr>
        <w:trPr>
          <w:trHeight w:val="41"/>
        </w:trPr>
        <w:tc>
          <w:tcPr>
            <w:tcW w:w="2540" w:type="dxa"/>
            <w:vAlign w:val="bottom"/>
            <w:tcBorders>
              <w:bottom w:val="single" w:sz="8" w:color="5D89B4"/>
            </w:tcBorders>
          </w:tcPr>
          <w:p>
            <w:pPr>
              <w:spacing w:after="0"/>
              <w:rPr>
                <w:sz w:val="3"/>
                <w:szCs w:val="3"/>
                <w:color w:val="auto"/>
              </w:rPr>
            </w:pPr>
          </w:p>
        </w:tc>
        <w:tc>
          <w:tcPr>
            <w:tcW w:w="2660" w:type="dxa"/>
            <w:vAlign w:val="bottom"/>
            <w:tcBorders>
              <w:bottom w:val="single" w:sz="8" w:color="5D89B4"/>
            </w:tcBorders>
          </w:tcPr>
          <w:p>
            <w:pPr>
              <w:spacing w:after="0"/>
              <w:rPr>
                <w:sz w:val="3"/>
                <w:szCs w:val="3"/>
                <w:color w:val="auto"/>
              </w:rPr>
            </w:pPr>
          </w:p>
        </w:tc>
        <w:tc>
          <w:tcPr>
            <w:tcW w:w="206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r>
    </w:tbl>
    <w:p>
      <w:pPr>
        <w:spacing w:after="0" w:line="3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2023 Strategic KPIs and ESG Goals and Annual Incentive Award Payouts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Jonas Prising</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Strategic KPIs and ESG Goals comprise 30% of the total annual incentive for Mr. Prising and were as follows for 2023:</w:t>
      </w:r>
    </w:p>
    <w:p>
      <w:pPr>
        <w:spacing w:after="0" w:line="68" w:lineRule="exact"/>
        <w:rPr>
          <w:sz w:val="20"/>
          <w:szCs w:val="20"/>
          <w:color w:val="auto"/>
        </w:rPr>
      </w:pPr>
    </w:p>
    <w:p>
      <w:pPr>
        <w:ind w:left="400" w:hanging="220"/>
        <w:spacing w:after="0"/>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Execute strategic initiatives focused on digitization and transformation of the business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Diversify the business within the Company’s various brands</w:t>
      </w:r>
    </w:p>
    <w:p>
      <w:pPr>
        <w:spacing w:after="0" w:line="67" w:lineRule="exact"/>
        <w:rPr>
          <w:rFonts w:ascii="Arial" w:cs="Arial" w:eastAsia="Arial" w:hAnsi="Arial"/>
          <w:sz w:val="15"/>
          <w:szCs w:val="15"/>
          <w:color w:val="auto"/>
        </w:rPr>
      </w:pPr>
    </w:p>
    <w:p>
      <w:pPr>
        <w:ind w:left="400" w:right="240" w:hanging="220"/>
        <w:spacing w:after="0" w:line="259" w:lineRule="auto"/>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Strengthen global governance model, develop a robust and diverse talent pipeline, including deepening capabilities of employees and strengthen DEIB/ESG leadership position within the industry</w:t>
      </w:r>
    </w:p>
    <w:p>
      <w:pPr>
        <w:spacing w:after="0" w:line="28" w:lineRule="exact"/>
        <w:rPr>
          <w:rFonts w:ascii="Arial" w:cs="Arial" w:eastAsia="Arial" w:hAnsi="Arial"/>
          <w:sz w:val="15"/>
          <w:szCs w:val="15"/>
          <w:color w:val="auto"/>
        </w:rPr>
      </w:pPr>
    </w:p>
    <w:p>
      <w:pPr>
        <w:ind w:left="400" w:hanging="220"/>
        <w:spacing w:after="0"/>
        <w:tabs>
          <w:tab w:leader="none" w:pos="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Advance various technology pilots and tools to drive innovation and increase productivity</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Committee determined that Mr. Prising did not earn a cash incentive award for 2023 for the EPS and ROIC performance goals as actual results for the year were below the threshold level. It determined Mr. Prising earned an award for the Revenue performance goal between the threshold and target levels as actual results were slightly above threshold. Additionally, the Committee approved an incentive award to Mr. Prising based on its determination of the level of performance towards achievement of his various Strategic KPIs and ESG Goals. Based on these results, the Committee determined the amount of the 2023 award to be paid to Mr. Prising to be $727,047. The following table illustrates Mr. Prising’s 2023 achievement of the performance targets in relation to the payment of his 2023 award:</w:t>
      </w:r>
    </w:p>
    <w:p>
      <w:pPr>
        <w:spacing w:after="0" w:line="356"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3720" w:type="dxa"/>
            <w:vAlign w:val="bottom"/>
            <w:shd w:val="clear" w:color="auto" w:fill="EAEAEA"/>
          </w:tcPr>
          <w:p>
            <w:pPr>
              <w:spacing w:after="0"/>
              <w:rPr>
                <w:sz w:val="18"/>
                <w:szCs w:val="18"/>
                <w:color w:val="auto"/>
              </w:rPr>
            </w:pPr>
          </w:p>
        </w:tc>
        <w:tc>
          <w:tcPr>
            <w:tcW w:w="238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PERFORMANCE</w:t>
            </w:r>
          </w:p>
        </w:tc>
        <w:tc>
          <w:tcPr>
            <w:tcW w:w="202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PERCENTAGE</w:t>
            </w:r>
          </w:p>
        </w:tc>
        <w:tc>
          <w:tcPr>
            <w:tcW w:w="1020" w:type="dxa"/>
            <w:vAlign w:val="bottom"/>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AMOUNT</w:t>
            </w:r>
          </w:p>
        </w:tc>
      </w:tr>
      <w:tr>
        <w:trPr>
          <w:trHeight w:val="216"/>
        </w:trPr>
        <w:tc>
          <w:tcPr>
            <w:tcW w:w="3720" w:type="dxa"/>
            <w:vAlign w:val="bottom"/>
            <w:tcBorders>
              <w:bottom w:val="single" w:sz="8" w:color="EAEAEA"/>
            </w:tcBorders>
            <w:shd w:val="clear" w:color="auto" w:fill="EAEAEA"/>
          </w:tcPr>
          <w:p>
            <w:pPr>
              <w:spacing w:after="0"/>
              <w:rPr>
                <w:sz w:val="18"/>
                <w:szCs w:val="18"/>
                <w:color w:val="auto"/>
              </w:rPr>
            </w:pPr>
          </w:p>
        </w:tc>
        <w:tc>
          <w:tcPr>
            <w:tcW w:w="238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LEVEL</w:t>
            </w:r>
          </w:p>
        </w:tc>
        <w:tc>
          <w:tcPr>
            <w:tcW w:w="202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OF 2023 SALARY</w:t>
            </w:r>
          </w:p>
        </w:tc>
        <w:tc>
          <w:tcPr>
            <w:tcW w:w="1020" w:type="dxa"/>
            <w:vAlign w:val="bottom"/>
            <w:tcBorders>
              <w:bottom w:val="single" w:sz="8" w:color="EAEAEA"/>
            </w:tcBorders>
            <w:gridSpan w:val="2"/>
            <w:shd w:val="clear" w:color="auto" w:fill="EAEAEA"/>
          </w:tcPr>
          <w:p>
            <w:pPr>
              <w:ind w:left="340"/>
              <w:spacing w:after="0"/>
              <w:rPr>
                <w:sz w:val="20"/>
                <w:szCs w:val="20"/>
                <w:color w:val="auto"/>
              </w:rPr>
            </w:pPr>
            <w:r>
              <w:rPr>
                <w:rFonts w:ascii="Arial" w:cs="Arial" w:eastAsia="Arial" w:hAnsi="Arial"/>
                <w:sz w:val="14"/>
                <w:szCs w:val="14"/>
                <w:b w:val="1"/>
                <w:bCs w:val="1"/>
                <w:color w:val="5D89B4"/>
              </w:rPr>
              <w:t>EARNED</w:t>
            </w:r>
          </w:p>
        </w:tc>
      </w:tr>
      <w:tr>
        <w:trPr>
          <w:trHeight w:val="25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14.2%</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184,167</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41.8%</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542,880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80" w:type="dxa"/>
            <w:vAlign w:val="bottom"/>
          </w:tcPr>
          <w:p>
            <w:pPr>
              <w:spacing w:after="0"/>
              <w:rPr>
                <w:sz w:val="20"/>
                <w:szCs w:val="20"/>
                <w:color w:val="auto"/>
              </w:rPr>
            </w:pP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56.0%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727,047</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bl>
    <w:p>
      <w:pPr>
        <w:spacing w:after="0" w:line="19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See page 35 for a calculation of the 2023 financial metrics, including the impact of the certain items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113030</wp:posOffset>
            </wp:positionV>
            <wp:extent cx="69138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John T. McGinnis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Strategic KPIs and ESG Goals comprise 30% of the total annual incentive for Mr. McGinnis and were as follows for 2023:</w:t>
      </w:r>
    </w:p>
    <w:p>
      <w:pPr>
        <w:spacing w:after="0" w:line="68" w:lineRule="exact"/>
        <w:rPr>
          <w:sz w:val="20"/>
          <w:szCs w:val="20"/>
          <w:color w:val="auto"/>
        </w:rPr>
      </w:pPr>
    </w:p>
    <w:p>
      <w:pPr>
        <w:ind w:left="400" w:hanging="220"/>
        <w:spacing w:after="0"/>
        <w:tabs>
          <w:tab w:leader="none" w:pos="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Continue to progress the technology and transformation roadmaps within global finance function</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Advance the Company’s growth strategy in certain brands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Develop a robust and diverse talent pipeline within the global finance function</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Deepen leadership impact to meet or exceed certain strategic and operational goals</w:t>
      </w:r>
    </w:p>
    <w:p>
      <w:pPr>
        <w:spacing w:after="0" w:line="134" w:lineRule="exact"/>
        <w:rPr>
          <w:sz w:val="20"/>
          <w:szCs w:val="20"/>
          <w:color w:val="auto"/>
        </w:rPr>
      </w:pPr>
    </w:p>
    <w:p>
      <w:pPr>
        <w:ind w:left="180"/>
        <w:spacing w:after="0" w:line="231" w:lineRule="auto"/>
        <w:rPr>
          <w:sz w:val="20"/>
          <w:szCs w:val="20"/>
          <w:color w:val="auto"/>
        </w:rPr>
      </w:pPr>
      <w:r>
        <w:rPr>
          <w:rFonts w:ascii="Arial" w:cs="Arial" w:eastAsia="Arial" w:hAnsi="Arial"/>
          <w:sz w:val="15"/>
          <w:szCs w:val="15"/>
          <w:color w:val="auto"/>
        </w:rPr>
        <w:t>The Committee determined that Mr. McGinnis did not earn a cash incentive award for 2023 for the EPS and ROIC performance goals as actual results for the year were below the threshold level. It determined Mr. McGinnis earned an award for the Revenue performance goal between the threshold and target levels as actual results were slightly above threshold. Additionally, the Committee approved an incentive award to Mr. McGinnis based on its determination of the level of performance towards achievement of his various Strategic KPIs and ESG Goals. Based on these results, the Committee determined the amount of the 2023 award to be paid to Mr. McGinnis to be $296,354. The following table illustrates Mr. McGinnis’s 2023 achievement of the performance targets in relation to the payment of his 2023 award:</w:t>
      </w:r>
    </w:p>
    <w:p>
      <w:pPr>
        <w:spacing w:after="0" w:line="222"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3720" w:type="dxa"/>
            <w:vAlign w:val="bottom"/>
            <w:shd w:val="clear" w:color="auto" w:fill="EAEAEA"/>
          </w:tcPr>
          <w:p>
            <w:pPr>
              <w:spacing w:after="0"/>
              <w:rPr>
                <w:sz w:val="18"/>
                <w:szCs w:val="18"/>
                <w:color w:val="auto"/>
              </w:rPr>
            </w:pPr>
          </w:p>
        </w:tc>
        <w:tc>
          <w:tcPr>
            <w:tcW w:w="238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PERFORMANCE</w:t>
            </w:r>
          </w:p>
        </w:tc>
        <w:tc>
          <w:tcPr>
            <w:tcW w:w="202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PERCENTAGE</w:t>
            </w:r>
          </w:p>
        </w:tc>
        <w:tc>
          <w:tcPr>
            <w:tcW w:w="1020" w:type="dxa"/>
            <w:vAlign w:val="bottom"/>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AMOUNT</w:t>
            </w:r>
          </w:p>
        </w:tc>
      </w:tr>
      <w:tr>
        <w:trPr>
          <w:trHeight w:val="216"/>
        </w:trPr>
        <w:tc>
          <w:tcPr>
            <w:tcW w:w="3720" w:type="dxa"/>
            <w:vAlign w:val="bottom"/>
            <w:tcBorders>
              <w:bottom w:val="single" w:sz="8" w:color="EAEAEA"/>
            </w:tcBorders>
            <w:shd w:val="clear" w:color="auto" w:fill="EAEAEA"/>
          </w:tcPr>
          <w:p>
            <w:pPr>
              <w:spacing w:after="0"/>
              <w:rPr>
                <w:sz w:val="18"/>
                <w:szCs w:val="18"/>
                <w:color w:val="auto"/>
              </w:rPr>
            </w:pPr>
          </w:p>
        </w:tc>
        <w:tc>
          <w:tcPr>
            <w:tcW w:w="238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LEVEL</w:t>
            </w:r>
          </w:p>
        </w:tc>
        <w:tc>
          <w:tcPr>
            <w:tcW w:w="202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OF 2023 SALARY</w:t>
            </w:r>
          </w:p>
        </w:tc>
        <w:tc>
          <w:tcPr>
            <w:tcW w:w="1020" w:type="dxa"/>
            <w:vAlign w:val="bottom"/>
            <w:tcBorders>
              <w:bottom w:val="single" w:sz="8" w:color="EAEAEA"/>
            </w:tcBorders>
            <w:gridSpan w:val="2"/>
            <w:shd w:val="clear" w:color="auto" w:fill="EAEAEA"/>
          </w:tcPr>
          <w:p>
            <w:pPr>
              <w:ind w:left="340"/>
              <w:spacing w:after="0"/>
              <w:rPr>
                <w:sz w:val="20"/>
                <w:szCs w:val="20"/>
                <w:color w:val="auto"/>
              </w:rPr>
            </w:pPr>
            <w:r>
              <w:rPr>
                <w:rFonts w:ascii="Arial" w:cs="Arial" w:eastAsia="Arial" w:hAnsi="Arial"/>
                <w:sz w:val="14"/>
                <w:szCs w:val="14"/>
                <w:b w:val="1"/>
                <w:bCs w:val="1"/>
                <w:color w:val="5D89B4"/>
              </w:rPr>
              <w:t>EARNED</w:t>
            </w:r>
          </w:p>
        </w:tc>
      </w:tr>
      <w:tr>
        <w:trPr>
          <w:trHeight w:val="25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9.8%</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75,608</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28.7%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220,746</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80" w:type="dxa"/>
            <w:vAlign w:val="bottom"/>
          </w:tcPr>
          <w:p>
            <w:pPr>
              <w:spacing w:after="0"/>
              <w:rPr>
                <w:sz w:val="20"/>
                <w:szCs w:val="20"/>
                <w:color w:val="auto"/>
              </w:rPr>
            </w:pP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38.5%</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296,354</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bl>
    <w:p>
      <w:pPr>
        <w:spacing w:after="0" w:line="11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Michelle S. Nettles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Strategic KPIs and ESG Goals comprise 30% of the total annual incentive for Ms. Nettles and were as follows for 2023:</w:t>
      </w:r>
    </w:p>
    <w:p>
      <w:pPr>
        <w:spacing w:after="0" w:line="68" w:lineRule="exact"/>
        <w:rPr>
          <w:sz w:val="20"/>
          <w:szCs w:val="20"/>
          <w:color w:val="auto"/>
        </w:rPr>
      </w:pPr>
    </w:p>
    <w:p>
      <w:pPr>
        <w:ind w:left="400" w:hanging="220"/>
        <w:spacing w:after="0"/>
        <w:tabs>
          <w:tab w:leader="none" w:pos="4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Continue to execute diversification initiatives within certain brands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Progress the Company’s talent strategy, including deepening the talent pipeline and increasing gender diversity at the leadership level</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Progress change management efforts to accelerate digitization strategy</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Advance organizational effectiveness</w:t>
      </w:r>
    </w:p>
    <w:p>
      <w:pPr>
        <w:spacing w:after="0" w:line="134" w:lineRule="exact"/>
        <w:rPr>
          <w:sz w:val="20"/>
          <w:szCs w:val="20"/>
          <w:color w:val="auto"/>
        </w:rPr>
      </w:pPr>
    </w:p>
    <w:p>
      <w:pPr>
        <w:ind w:left="180" w:right="160"/>
        <w:spacing w:after="0" w:line="231" w:lineRule="auto"/>
        <w:rPr>
          <w:sz w:val="20"/>
          <w:szCs w:val="20"/>
          <w:color w:val="auto"/>
        </w:rPr>
      </w:pPr>
      <w:r>
        <w:rPr>
          <w:rFonts w:ascii="Arial" w:cs="Arial" w:eastAsia="Arial" w:hAnsi="Arial"/>
          <w:sz w:val="15"/>
          <w:szCs w:val="15"/>
          <w:color w:val="auto"/>
        </w:rPr>
        <w:t>The Committee determined that Ms. Nettles did not earn a cash incentive award for 2023 for the EPS and ROIC performance goals as actual results for the year were below the threshold level. It determined Ms. Nettles did earn an award for the Revenue performance goal between the threshold and target levels as actual results were slightly above threshold. Additionally, the Committee approved an incentive award to Ms. Nettles based on its determination of the level of performance towards achievement of her various Strategic KPIs and ESG Goals. Based on these results, the Committee determined the amount of the 2023 award to be paid to Ms. Nettles to be $160,020. The following table illustrates Ms. Nettles’s 2023 achievement of the performance targets in relation to the payment of her 2023 award:</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880" w:type="dxa"/>
            <w:vAlign w:val="bottom"/>
          </w:tcPr>
          <w:p>
            <w:pPr>
              <w:spacing w:after="0"/>
              <w:rPr>
                <w:sz w:val="18"/>
                <w:szCs w:val="18"/>
                <w:color w:val="auto"/>
              </w:rPr>
            </w:pPr>
          </w:p>
        </w:tc>
        <w:tc>
          <w:tcPr>
            <w:tcW w:w="3720" w:type="dxa"/>
            <w:vAlign w:val="bottom"/>
            <w:shd w:val="clear" w:color="auto" w:fill="EAEAEA"/>
          </w:tcPr>
          <w:p>
            <w:pPr>
              <w:spacing w:after="0"/>
              <w:rPr>
                <w:sz w:val="18"/>
                <w:szCs w:val="18"/>
                <w:color w:val="auto"/>
              </w:rPr>
            </w:pPr>
          </w:p>
        </w:tc>
        <w:tc>
          <w:tcPr>
            <w:tcW w:w="2380" w:type="dxa"/>
            <w:vAlign w:val="bottom"/>
            <w:gridSpan w:val="2"/>
            <w:shd w:val="clear" w:color="auto" w:fill="EAEAEA"/>
          </w:tcPr>
          <w:p>
            <w:pPr>
              <w:jc w:val="right"/>
              <w:ind w:right="344"/>
              <w:spacing w:after="0"/>
              <w:rPr>
                <w:sz w:val="20"/>
                <w:szCs w:val="20"/>
                <w:color w:val="auto"/>
              </w:rPr>
            </w:pPr>
            <w:r>
              <w:rPr>
                <w:rFonts w:ascii="Arial" w:cs="Arial" w:eastAsia="Arial" w:hAnsi="Arial"/>
                <w:sz w:val="14"/>
                <w:szCs w:val="14"/>
                <w:b w:val="1"/>
                <w:bCs w:val="1"/>
                <w:color w:val="5D89B4"/>
              </w:rPr>
              <w:t>PERFORMANCE</w:t>
            </w:r>
          </w:p>
        </w:tc>
        <w:tc>
          <w:tcPr>
            <w:tcW w:w="202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PERCENTAGE</w:t>
            </w:r>
          </w:p>
        </w:tc>
        <w:tc>
          <w:tcPr>
            <w:tcW w:w="1020" w:type="dxa"/>
            <w:vAlign w:val="bottom"/>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AMOUNT</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20" w:type="dxa"/>
            <w:vAlign w:val="bottom"/>
            <w:tcBorders>
              <w:bottom w:val="single" w:sz="8" w:color="EAEAEA"/>
            </w:tcBorders>
            <w:shd w:val="clear" w:color="auto" w:fill="EAEAEA"/>
          </w:tcPr>
          <w:p>
            <w:pPr>
              <w:spacing w:after="0"/>
              <w:rPr>
                <w:sz w:val="18"/>
                <w:szCs w:val="18"/>
                <w:color w:val="auto"/>
              </w:rPr>
            </w:pPr>
          </w:p>
        </w:tc>
        <w:tc>
          <w:tcPr>
            <w:tcW w:w="1020" w:type="dxa"/>
            <w:vAlign w:val="bottom"/>
            <w:tcBorders>
              <w:bottom w:val="single" w:sz="8" w:color="EAEAEA"/>
            </w:tcBorders>
            <w:shd w:val="clear" w:color="auto" w:fill="EAEAEA"/>
          </w:tcPr>
          <w:p>
            <w:pPr>
              <w:spacing w:after="0"/>
              <w:rPr>
                <w:sz w:val="18"/>
                <w:szCs w:val="18"/>
                <w:color w:val="auto"/>
              </w:rPr>
            </w:pPr>
          </w:p>
        </w:tc>
        <w:tc>
          <w:tcPr>
            <w:tcW w:w="1360" w:type="dxa"/>
            <w:vAlign w:val="bottom"/>
            <w:tcBorders>
              <w:bottom w:val="single" w:sz="8" w:color="EAEAEA"/>
            </w:tcBorders>
            <w:shd w:val="clear" w:color="auto" w:fill="EAEAEA"/>
          </w:tcPr>
          <w:p>
            <w:pPr>
              <w:jc w:val="right"/>
              <w:ind w:right="344"/>
              <w:spacing w:after="0"/>
              <w:rPr>
                <w:sz w:val="20"/>
                <w:szCs w:val="20"/>
                <w:color w:val="auto"/>
              </w:rPr>
            </w:pPr>
            <w:r>
              <w:rPr>
                <w:rFonts w:ascii="Arial" w:cs="Arial" w:eastAsia="Arial" w:hAnsi="Arial"/>
                <w:sz w:val="14"/>
                <w:szCs w:val="14"/>
                <w:b w:val="1"/>
                <w:bCs w:val="1"/>
                <w:color w:val="5D89B4"/>
              </w:rPr>
              <w:t>LEVEL</w:t>
            </w:r>
          </w:p>
        </w:tc>
        <w:tc>
          <w:tcPr>
            <w:tcW w:w="202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OF 2023 SALARY</w:t>
            </w:r>
          </w:p>
        </w:tc>
        <w:tc>
          <w:tcPr>
            <w:tcW w:w="1020" w:type="dxa"/>
            <w:vAlign w:val="bottom"/>
            <w:tcBorders>
              <w:bottom w:val="single" w:sz="8" w:color="EAEAEA"/>
            </w:tcBorders>
            <w:gridSpan w:val="2"/>
            <w:shd w:val="clear" w:color="auto" w:fill="EAEAEA"/>
          </w:tcPr>
          <w:p>
            <w:pPr>
              <w:ind w:left="340"/>
              <w:spacing w:after="0"/>
              <w:rPr>
                <w:sz w:val="20"/>
                <w:szCs w:val="20"/>
                <w:color w:val="auto"/>
              </w:rPr>
            </w:pPr>
            <w:r>
              <w:rPr>
                <w:rFonts w:ascii="Arial" w:cs="Arial" w:eastAsia="Arial" w:hAnsi="Arial"/>
                <w:sz w:val="14"/>
                <w:szCs w:val="14"/>
                <w:b w:val="1"/>
                <w:bCs w:val="1"/>
                <w:color w:val="5D89B4"/>
              </w:rPr>
              <w:t>EARNED</w:t>
            </w:r>
          </w:p>
        </w:tc>
        <w:tc>
          <w:tcPr>
            <w:tcW w:w="860" w:type="dxa"/>
            <w:vAlign w:val="bottom"/>
          </w:tcPr>
          <w:p>
            <w:pPr>
              <w:spacing w:after="0"/>
              <w:rPr>
                <w:sz w:val="18"/>
                <w:szCs w:val="18"/>
                <w:color w:val="auto"/>
              </w:rPr>
            </w:pPr>
          </w:p>
        </w:tc>
      </w:tr>
      <w:tr>
        <w:trPr>
          <w:trHeight w:val="252"/>
        </w:trPr>
        <w:tc>
          <w:tcPr>
            <w:tcW w:w="880" w:type="dxa"/>
            <w:vAlign w:val="bottom"/>
          </w:tcPr>
          <w:p>
            <w:pPr>
              <w:spacing w:after="0"/>
              <w:rPr>
                <w:sz w:val="21"/>
                <w:szCs w:val="21"/>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80" w:type="dxa"/>
            <w:vAlign w:val="bottom"/>
            <w:gridSpan w:val="2"/>
          </w:tcPr>
          <w:p>
            <w:pPr>
              <w:jc w:val="right"/>
              <w:ind w:right="344"/>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21"/>
                <w:szCs w:val="21"/>
                <w:color w:val="auto"/>
              </w:rPr>
            </w:pPr>
          </w:p>
        </w:tc>
      </w:tr>
      <w:tr>
        <w:trPr>
          <w:trHeight w:val="41"/>
        </w:trPr>
        <w:tc>
          <w:tcPr>
            <w:tcW w:w="880" w:type="dxa"/>
            <w:vAlign w:val="bottom"/>
          </w:tcPr>
          <w:p>
            <w:pPr>
              <w:spacing w:after="0"/>
              <w:rPr>
                <w:sz w:val="3"/>
                <w:szCs w:val="3"/>
                <w:color w:val="auto"/>
              </w:rPr>
            </w:pPr>
          </w:p>
        </w:tc>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gridSpan w:val="2"/>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c>
          <w:tcPr>
            <w:tcW w:w="860" w:type="dxa"/>
            <w:vAlign w:val="bottom"/>
          </w:tcPr>
          <w:p>
            <w:pPr>
              <w:spacing w:after="0"/>
              <w:rPr>
                <w:sz w:val="3"/>
                <w:szCs w:val="3"/>
                <w:color w:val="auto"/>
              </w:rPr>
            </w:pPr>
          </w:p>
        </w:tc>
      </w:tr>
      <w:tr>
        <w:trPr>
          <w:trHeight w:val="232"/>
        </w:trPr>
        <w:tc>
          <w:tcPr>
            <w:tcW w:w="88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80" w:type="dxa"/>
            <w:vAlign w:val="bottom"/>
            <w:gridSpan w:val="2"/>
          </w:tcPr>
          <w:p>
            <w:pPr>
              <w:jc w:val="right"/>
              <w:ind w:right="344"/>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c>
          <w:tcPr>
            <w:tcW w:w="860" w:type="dxa"/>
            <w:vAlign w:val="bottom"/>
          </w:tcPr>
          <w:p>
            <w:pPr>
              <w:spacing w:after="0"/>
              <w:rPr>
                <w:sz w:val="20"/>
                <w:szCs w:val="20"/>
                <w:color w:val="auto"/>
              </w:rPr>
            </w:pPr>
          </w:p>
        </w:tc>
      </w:tr>
      <w:tr>
        <w:trPr>
          <w:trHeight w:val="41"/>
        </w:trPr>
        <w:tc>
          <w:tcPr>
            <w:tcW w:w="880" w:type="dxa"/>
            <w:vAlign w:val="bottom"/>
          </w:tcPr>
          <w:p>
            <w:pPr>
              <w:spacing w:after="0"/>
              <w:rPr>
                <w:sz w:val="3"/>
                <w:szCs w:val="3"/>
                <w:color w:val="auto"/>
              </w:rPr>
            </w:pPr>
          </w:p>
        </w:tc>
        <w:tc>
          <w:tcPr>
            <w:tcW w:w="372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136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c>
          <w:tcPr>
            <w:tcW w:w="860" w:type="dxa"/>
            <w:vAlign w:val="bottom"/>
          </w:tcPr>
          <w:p>
            <w:pPr>
              <w:spacing w:after="0"/>
              <w:rPr>
                <w:sz w:val="3"/>
                <w:szCs w:val="3"/>
                <w:color w:val="auto"/>
              </w:rPr>
            </w:pPr>
          </w:p>
        </w:tc>
      </w:tr>
      <w:tr>
        <w:trPr>
          <w:trHeight w:val="232"/>
        </w:trPr>
        <w:tc>
          <w:tcPr>
            <w:tcW w:w="88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1020" w:type="dxa"/>
            <w:vAlign w:val="bottom"/>
          </w:tcPr>
          <w:p>
            <w:pPr>
              <w:spacing w:after="0"/>
              <w:rPr>
                <w:sz w:val="20"/>
                <w:szCs w:val="20"/>
                <w:color w:val="auto"/>
              </w:rPr>
            </w:pP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6.7%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40,020</w:t>
            </w:r>
          </w:p>
        </w:tc>
        <w:tc>
          <w:tcPr>
            <w:tcW w:w="860" w:type="dxa"/>
            <w:vAlign w:val="bottom"/>
          </w:tcPr>
          <w:p>
            <w:pPr>
              <w:spacing w:after="0"/>
              <w:rPr>
                <w:sz w:val="20"/>
                <w:szCs w:val="20"/>
                <w:color w:val="auto"/>
              </w:rPr>
            </w:pPr>
          </w:p>
        </w:tc>
      </w:tr>
      <w:tr>
        <w:trPr>
          <w:trHeight w:val="41"/>
        </w:trPr>
        <w:tc>
          <w:tcPr>
            <w:tcW w:w="880" w:type="dxa"/>
            <w:vAlign w:val="bottom"/>
          </w:tcPr>
          <w:p>
            <w:pPr>
              <w:spacing w:after="0"/>
              <w:rPr>
                <w:sz w:val="3"/>
                <w:szCs w:val="3"/>
                <w:color w:val="auto"/>
              </w:rPr>
            </w:pPr>
          </w:p>
        </w:tc>
        <w:tc>
          <w:tcPr>
            <w:tcW w:w="372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136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c>
          <w:tcPr>
            <w:tcW w:w="860" w:type="dxa"/>
            <w:vAlign w:val="bottom"/>
          </w:tcPr>
          <w:p>
            <w:pPr>
              <w:spacing w:after="0"/>
              <w:rPr>
                <w:sz w:val="3"/>
                <w:szCs w:val="3"/>
                <w:color w:val="auto"/>
              </w:rPr>
            </w:pPr>
          </w:p>
        </w:tc>
      </w:tr>
      <w:tr>
        <w:trPr>
          <w:trHeight w:val="232"/>
        </w:trPr>
        <w:tc>
          <w:tcPr>
            <w:tcW w:w="88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1020" w:type="dxa"/>
            <w:vAlign w:val="bottom"/>
          </w:tcPr>
          <w:p>
            <w:pPr>
              <w:spacing w:after="0"/>
              <w:rPr>
                <w:sz w:val="20"/>
                <w:szCs w:val="20"/>
                <w:color w:val="auto"/>
              </w:rPr>
            </w:pPr>
          </w:p>
        </w:tc>
        <w:tc>
          <w:tcPr>
            <w:tcW w:w="1360" w:type="dxa"/>
            <w:vAlign w:val="bottom"/>
          </w:tcPr>
          <w:p>
            <w:pPr>
              <w:jc w:val="right"/>
              <w:ind w:right="344"/>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20.0%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120,000</w:t>
            </w:r>
          </w:p>
        </w:tc>
        <w:tc>
          <w:tcPr>
            <w:tcW w:w="860" w:type="dxa"/>
            <w:vAlign w:val="bottom"/>
          </w:tcPr>
          <w:p>
            <w:pPr>
              <w:spacing w:after="0"/>
              <w:rPr>
                <w:sz w:val="20"/>
                <w:szCs w:val="20"/>
                <w:color w:val="auto"/>
              </w:rPr>
            </w:pPr>
          </w:p>
        </w:tc>
      </w:tr>
      <w:tr>
        <w:trPr>
          <w:trHeight w:val="41"/>
        </w:trPr>
        <w:tc>
          <w:tcPr>
            <w:tcW w:w="880" w:type="dxa"/>
            <w:vAlign w:val="bottom"/>
          </w:tcPr>
          <w:p>
            <w:pPr>
              <w:spacing w:after="0"/>
              <w:rPr>
                <w:sz w:val="3"/>
                <w:szCs w:val="3"/>
                <w:color w:val="auto"/>
              </w:rPr>
            </w:pPr>
          </w:p>
        </w:tc>
        <w:tc>
          <w:tcPr>
            <w:tcW w:w="372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136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c>
          <w:tcPr>
            <w:tcW w:w="860" w:type="dxa"/>
            <w:vAlign w:val="bottom"/>
          </w:tcPr>
          <w:p>
            <w:pPr>
              <w:spacing w:after="0"/>
              <w:rPr>
                <w:sz w:val="3"/>
                <w:szCs w:val="3"/>
                <w:color w:val="auto"/>
              </w:rPr>
            </w:pPr>
          </w:p>
        </w:tc>
      </w:tr>
      <w:tr>
        <w:trPr>
          <w:trHeight w:val="232"/>
        </w:trPr>
        <w:tc>
          <w:tcPr>
            <w:tcW w:w="880" w:type="dxa"/>
            <w:vAlign w:val="bottom"/>
          </w:tcPr>
          <w:p>
            <w:pPr>
              <w:spacing w:after="0"/>
              <w:rPr>
                <w:sz w:val="20"/>
                <w:szCs w:val="20"/>
                <w:color w:val="auto"/>
              </w:rPr>
            </w:pPr>
          </w:p>
        </w:tc>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26.7%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160,020</w:t>
            </w:r>
          </w:p>
        </w:tc>
        <w:tc>
          <w:tcPr>
            <w:tcW w:w="860" w:type="dxa"/>
            <w:vAlign w:val="bottom"/>
          </w:tcPr>
          <w:p>
            <w:pPr>
              <w:spacing w:after="0"/>
              <w:rPr>
                <w:sz w:val="20"/>
                <w:szCs w:val="20"/>
                <w:color w:val="auto"/>
              </w:rPr>
            </w:pPr>
          </w:p>
        </w:tc>
      </w:tr>
      <w:tr>
        <w:trPr>
          <w:trHeight w:val="41"/>
        </w:trPr>
        <w:tc>
          <w:tcPr>
            <w:tcW w:w="880" w:type="dxa"/>
            <w:vAlign w:val="bottom"/>
          </w:tcPr>
          <w:p>
            <w:pPr>
              <w:spacing w:after="0"/>
              <w:rPr>
                <w:sz w:val="3"/>
                <w:szCs w:val="3"/>
                <w:color w:val="auto"/>
              </w:rPr>
            </w:pPr>
          </w:p>
        </w:tc>
        <w:tc>
          <w:tcPr>
            <w:tcW w:w="372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3380" w:type="dxa"/>
            <w:vAlign w:val="bottom"/>
            <w:tcBorders>
              <w:bottom w:val="single" w:sz="8" w:color="5D89B4"/>
            </w:tcBorders>
            <w:gridSpan w:val="2"/>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c>
          <w:tcPr>
            <w:tcW w:w="860" w:type="dxa"/>
            <w:vAlign w:val="bottom"/>
          </w:tcPr>
          <w:p>
            <w:pPr>
              <w:spacing w:after="0"/>
              <w:rPr>
                <w:sz w:val="3"/>
                <w:szCs w:val="3"/>
                <w:color w:val="auto"/>
              </w:rPr>
            </w:pPr>
          </w:p>
        </w:tc>
      </w:tr>
      <w:tr>
        <w:trPr>
          <w:trHeight w:val="167"/>
        </w:trPr>
        <w:tc>
          <w:tcPr>
            <w:tcW w:w="880" w:type="dxa"/>
            <w:vAlign w:val="bottom"/>
            <w:tcBorders>
              <w:bottom w:val="single" w:sz="8" w:color="5D89B4"/>
            </w:tcBorders>
          </w:tcPr>
          <w:p>
            <w:pPr>
              <w:spacing w:after="0"/>
              <w:rPr>
                <w:sz w:val="14"/>
                <w:szCs w:val="14"/>
                <w:color w:val="auto"/>
              </w:rPr>
            </w:pPr>
          </w:p>
        </w:tc>
        <w:tc>
          <w:tcPr>
            <w:tcW w:w="3720" w:type="dxa"/>
            <w:vAlign w:val="bottom"/>
            <w:tcBorders>
              <w:bottom w:val="single" w:sz="8" w:color="5D89B4"/>
            </w:tcBorders>
          </w:tcPr>
          <w:p>
            <w:pPr>
              <w:spacing w:after="0"/>
              <w:rPr>
                <w:sz w:val="14"/>
                <w:szCs w:val="14"/>
                <w:color w:val="auto"/>
              </w:rPr>
            </w:pPr>
          </w:p>
        </w:tc>
        <w:tc>
          <w:tcPr>
            <w:tcW w:w="1020" w:type="dxa"/>
            <w:vAlign w:val="bottom"/>
            <w:tcBorders>
              <w:bottom w:val="single" w:sz="8" w:color="5D89B4"/>
            </w:tcBorders>
          </w:tcPr>
          <w:p>
            <w:pPr>
              <w:spacing w:after="0"/>
              <w:rPr>
                <w:sz w:val="14"/>
                <w:szCs w:val="14"/>
                <w:color w:val="auto"/>
              </w:rPr>
            </w:pPr>
          </w:p>
        </w:tc>
        <w:tc>
          <w:tcPr>
            <w:tcW w:w="3380" w:type="dxa"/>
            <w:vAlign w:val="bottom"/>
            <w:tcBorders>
              <w:bottom w:val="single" w:sz="8" w:color="5D89B4"/>
            </w:tcBorders>
            <w:gridSpan w:val="2"/>
          </w:tcPr>
          <w:p>
            <w:pPr>
              <w:spacing w:after="0"/>
              <w:rPr>
                <w:sz w:val="14"/>
                <w:szCs w:val="14"/>
                <w:color w:val="auto"/>
              </w:rPr>
            </w:pPr>
          </w:p>
        </w:tc>
        <w:tc>
          <w:tcPr>
            <w:tcW w:w="380" w:type="dxa"/>
            <w:vAlign w:val="bottom"/>
            <w:tcBorders>
              <w:bottom w:val="single" w:sz="8" w:color="5D89B4"/>
            </w:tcBorders>
          </w:tcPr>
          <w:p>
            <w:pPr>
              <w:spacing w:after="0"/>
              <w:rPr>
                <w:sz w:val="14"/>
                <w:szCs w:val="14"/>
                <w:color w:val="auto"/>
              </w:rPr>
            </w:pPr>
          </w:p>
        </w:tc>
        <w:tc>
          <w:tcPr>
            <w:tcW w:w="640" w:type="dxa"/>
            <w:vAlign w:val="bottom"/>
            <w:tcBorders>
              <w:bottom w:val="single" w:sz="8" w:color="5D89B4"/>
            </w:tcBorders>
          </w:tcPr>
          <w:p>
            <w:pPr>
              <w:spacing w:after="0"/>
              <w:rPr>
                <w:sz w:val="14"/>
                <w:szCs w:val="14"/>
                <w:color w:val="auto"/>
              </w:rPr>
            </w:pPr>
          </w:p>
        </w:tc>
        <w:tc>
          <w:tcPr>
            <w:tcW w:w="860" w:type="dxa"/>
            <w:vAlign w:val="bottom"/>
            <w:tcBorders>
              <w:bottom w:val="single" w:sz="8" w:color="5D89B4"/>
            </w:tcBorders>
          </w:tcPr>
          <w:p>
            <w:pPr>
              <w:spacing w:after="0"/>
              <w:rPr>
                <w:sz w:val="14"/>
                <w:szCs w:val="14"/>
                <w:color w:val="auto"/>
              </w:rPr>
            </w:pPr>
          </w:p>
        </w:tc>
      </w:tr>
      <w:tr>
        <w:trPr>
          <w:trHeight w:val="386"/>
        </w:trPr>
        <w:tc>
          <w:tcPr>
            <w:tcW w:w="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5D89B4"/>
              </w:rPr>
              <w:t>47</w:t>
            </w:r>
          </w:p>
        </w:tc>
        <w:tc>
          <w:tcPr>
            <w:tcW w:w="3380" w:type="dxa"/>
            <w:vAlign w:val="bottom"/>
            <w:gridSpan w:val="2"/>
          </w:tcPr>
          <w:p>
            <w:pPr>
              <w:jc w:val="right"/>
              <w:ind w:right="1266"/>
              <w:spacing w:after="0"/>
              <w:rPr>
                <w:sz w:val="20"/>
                <w:szCs w:val="20"/>
                <w:color w:val="auto"/>
              </w:rPr>
            </w:pPr>
            <w:r>
              <w:rPr>
                <w:rFonts w:ascii="Arial" w:cs="Arial" w:eastAsia="Arial" w:hAnsi="Arial"/>
                <w:sz w:val="16"/>
                <w:szCs w:val="16"/>
                <w:b w:val="1"/>
                <w:bCs w:val="1"/>
                <w:color w:val="BFBFBF"/>
              </w:rPr>
              <w:t>2024 Proxy Statement</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-154940</wp:posOffset>
            </wp:positionV>
            <wp:extent cx="932180" cy="169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Richard Buchband</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Strategic KPIs and ESG Goals comprise 30% of the total annual incentive for Mr. Buchband and were as follows for 2023:</w:t>
      </w:r>
    </w:p>
    <w:p>
      <w:pPr>
        <w:spacing w:after="0" w:line="68" w:lineRule="exact"/>
        <w:rPr>
          <w:sz w:val="20"/>
          <w:szCs w:val="20"/>
          <w:color w:val="auto"/>
        </w:rPr>
      </w:pPr>
    </w:p>
    <w:p>
      <w:pPr>
        <w:ind w:left="400" w:hanging="220"/>
        <w:spacing w:after="0"/>
        <w:tabs>
          <w:tab w:leader="none" w:pos="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Continue to provide strong leadership and strategic direction to global legal function worldwide</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Develop a robust and diverse talent pipeline within the legal function, including deepening capabilities of employees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Serve as trusted advisor to the board of directors and executive team</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Continue to refine and develop legal workstream processes to advance various strategic initiatives</w:t>
      </w:r>
    </w:p>
    <w:p>
      <w:pPr>
        <w:spacing w:after="0" w:line="134" w:lineRule="exact"/>
        <w:rPr>
          <w:sz w:val="20"/>
          <w:szCs w:val="20"/>
          <w:color w:val="auto"/>
        </w:rPr>
      </w:pPr>
    </w:p>
    <w:p>
      <w:pPr>
        <w:ind w:left="180"/>
        <w:spacing w:after="0" w:line="231" w:lineRule="auto"/>
        <w:rPr>
          <w:sz w:val="20"/>
          <w:szCs w:val="20"/>
          <w:color w:val="auto"/>
        </w:rPr>
      </w:pPr>
      <w:r>
        <w:rPr>
          <w:rFonts w:ascii="Arial" w:cs="Arial" w:eastAsia="Arial" w:hAnsi="Arial"/>
          <w:sz w:val="15"/>
          <w:szCs w:val="15"/>
          <w:color w:val="auto"/>
        </w:rPr>
        <w:t>The Committee determined that Mr. Buchband did not earn a cash incentive award for 2023 for the EPS and ROIC performance goals as actual results for the year were below the threshold level. It determined Mr. Buchband earned an award for the Revenue performance goal between the threshold and target levels as actual results were slightly above threshold. Additionally, the Committee approved an incentive award to Mr. Buchband based on its determination of the level of performance towards achievement of his various Strategic KPIs and ESG Goals. Based on these results, the Committee determined the amount of the 2023 award to be paid to Mr. Buchband to be $148,545. The following table illustrates Mr. Buchband’s 2023 achievement of the performance targets in relation to the payment of his 2023 award:</w:t>
      </w:r>
    </w:p>
    <w:p>
      <w:pPr>
        <w:spacing w:after="0" w:line="222"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3720" w:type="dxa"/>
            <w:vAlign w:val="bottom"/>
            <w:shd w:val="clear" w:color="auto" w:fill="EAEAEA"/>
          </w:tcPr>
          <w:p>
            <w:pPr>
              <w:spacing w:after="0"/>
              <w:rPr>
                <w:sz w:val="18"/>
                <w:szCs w:val="18"/>
                <w:color w:val="auto"/>
              </w:rPr>
            </w:pPr>
          </w:p>
        </w:tc>
        <w:tc>
          <w:tcPr>
            <w:tcW w:w="238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PERFORMANCE</w:t>
            </w:r>
          </w:p>
        </w:tc>
        <w:tc>
          <w:tcPr>
            <w:tcW w:w="2020" w:type="dxa"/>
            <w:vAlign w:val="bottom"/>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PERCENTAGE</w:t>
            </w:r>
          </w:p>
        </w:tc>
        <w:tc>
          <w:tcPr>
            <w:tcW w:w="1020" w:type="dxa"/>
            <w:vAlign w:val="bottom"/>
            <w:gridSpan w:val="2"/>
            <w:shd w:val="clear" w:color="auto" w:fill="EAEAEA"/>
          </w:tcPr>
          <w:p>
            <w:pPr>
              <w:ind w:left="320"/>
              <w:spacing w:after="0"/>
              <w:rPr>
                <w:sz w:val="20"/>
                <w:szCs w:val="20"/>
                <w:color w:val="auto"/>
              </w:rPr>
            </w:pPr>
            <w:r>
              <w:rPr>
                <w:rFonts w:ascii="Arial" w:cs="Arial" w:eastAsia="Arial" w:hAnsi="Arial"/>
                <w:sz w:val="14"/>
                <w:szCs w:val="14"/>
                <w:b w:val="1"/>
                <w:bCs w:val="1"/>
                <w:color w:val="5D89B4"/>
              </w:rPr>
              <w:t>AMOUNT</w:t>
            </w:r>
          </w:p>
        </w:tc>
      </w:tr>
      <w:tr>
        <w:trPr>
          <w:trHeight w:val="216"/>
        </w:trPr>
        <w:tc>
          <w:tcPr>
            <w:tcW w:w="3720" w:type="dxa"/>
            <w:vAlign w:val="bottom"/>
            <w:tcBorders>
              <w:bottom w:val="single" w:sz="8" w:color="EAEAEA"/>
            </w:tcBorders>
            <w:shd w:val="clear" w:color="auto" w:fill="EAEAEA"/>
          </w:tcPr>
          <w:p>
            <w:pPr>
              <w:spacing w:after="0"/>
              <w:rPr>
                <w:sz w:val="18"/>
                <w:szCs w:val="18"/>
                <w:color w:val="auto"/>
              </w:rPr>
            </w:pPr>
          </w:p>
        </w:tc>
        <w:tc>
          <w:tcPr>
            <w:tcW w:w="238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LEVEL</w:t>
            </w:r>
          </w:p>
        </w:tc>
        <w:tc>
          <w:tcPr>
            <w:tcW w:w="2020" w:type="dxa"/>
            <w:vAlign w:val="bottom"/>
            <w:tcBorders>
              <w:bottom w:val="single" w:sz="8" w:color="EAEAEA"/>
            </w:tcBorders>
            <w:shd w:val="clear" w:color="auto" w:fill="EAEAEA"/>
          </w:tcPr>
          <w:p>
            <w:pPr>
              <w:jc w:val="right"/>
              <w:ind w:right="346"/>
              <w:spacing w:after="0"/>
              <w:rPr>
                <w:sz w:val="20"/>
                <w:szCs w:val="20"/>
                <w:color w:val="auto"/>
              </w:rPr>
            </w:pPr>
            <w:r>
              <w:rPr>
                <w:rFonts w:ascii="Arial" w:cs="Arial" w:eastAsia="Arial" w:hAnsi="Arial"/>
                <w:sz w:val="14"/>
                <w:szCs w:val="14"/>
                <w:b w:val="1"/>
                <w:bCs w:val="1"/>
                <w:color w:val="5D89B4"/>
              </w:rPr>
              <w:t>OF 2023 SALARY</w:t>
            </w:r>
          </w:p>
        </w:tc>
        <w:tc>
          <w:tcPr>
            <w:tcW w:w="1020" w:type="dxa"/>
            <w:vAlign w:val="bottom"/>
            <w:tcBorders>
              <w:bottom w:val="single" w:sz="8" w:color="EAEAEA"/>
            </w:tcBorders>
            <w:gridSpan w:val="2"/>
            <w:shd w:val="clear" w:color="auto" w:fill="EAEAEA"/>
          </w:tcPr>
          <w:p>
            <w:pPr>
              <w:ind w:left="340"/>
              <w:spacing w:after="0"/>
              <w:rPr>
                <w:sz w:val="20"/>
                <w:szCs w:val="20"/>
                <w:color w:val="auto"/>
              </w:rPr>
            </w:pPr>
            <w:r>
              <w:rPr>
                <w:rFonts w:ascii="Arial" w:cs="Arial" w:eastAsia="Arial" w:hAnsi="Arial"/>
                <w:sz w:val="14"/>
                <w:szCs w:val="14"/>
                <w:b w:val="1"/>
                <w:bCs w:val="1"/>
                <w:color w:val="5D89B4"/>
              </w:rPr>
              <w:t>EARNED</w:t>
            </w:r>
          </w:p>
        </w:tc>
      </w:tr>
      <w:tr>
        <w:trPr>
          <w:trHeight w:val="25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Threshold</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6.7%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37,150</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380" w:type="dxa"/>
            <w:vAlign w:val="bottom"/>
          </w:tcPr>
          <w:p>
            <w:pPr>
              <w:jc w:val="right"/>
              <w:ind w:right="346"/>
              <w:spacing w:after="0"/>
              <w:rPr>
                <w:sz w:val="20"/>
                <w:szCs w:val="20"/>
                <w:color w:val="auto"/>
              </w:rPr>
            </w:pPr>
            <w:r>
              <w:rPr>
                <w:rFonts w:ascii="Arial" w:cs="Arial" w:eastAsia="Arial" w:hAnsi="Arial"/>
                <w:sz w:val="15"/>
                <w:szCs w:val="15"/>
                <w:color w:val="auto"/>
              </w:rPr>
              <w:t>Below Target</w:t>
            </w: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20.0%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111,395</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r>
        <w:trPr>
          <w:trHeight w:val="23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80" w:type="dxa"/>
            <w:vAlign w:val="bottom"/>
          </w:tcPr>
          <w:p>
            <w:pPr>
              <w:spacing w:after="0"/>
              <w:rPr>
                <w:sz w:val="20"/>
                <w:szCs w:val="20"/>
                <w:color w:val="auto"/>
              </w:rPr>
            </w:pPr>
          </w:p>
        </w:tc>
        <w:tc>
          <w:tcPr>
            <w:tcW w:w="2020" w:type="dxa"/>
            <w:vAlign w:val="bottom"/>
          </w:tcPr>
          <w:p>
            <w:pPr>
              <w:jc w:val="right"/>
              <w:ind w:right="226"/>
              <w:spacing w:after="0"/>
              <w:rPr>
                <w:sz w:val="20"/>
                <w:szCs w:val="20"/>
                <w:color w:val="auto"/>
              </w:rPr>
            </w:pPr>
            <w:r>
              <w:rPr>
                <w:rFonts w:ascii="Arial" w:cs="Arial" w:eastAsia="Arial" w:hAnsi="Arial"/>
                <w:sz w:val="15"/>
                <w:szCs w:val="15"/>
                <w:color w:val="auto"/>
              </w:rPr>
              <w:t>26.7%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w w:val="99"/>
              </w:rPr>
              <w:t>148,545</w:t>
            </w:r>
          </w:p>
        </w:tc>
      </w:tr>
      <w:tr>
        <w:trPr>
          <w:trHeight w:val="41"/>
        </w:trPr>
        <w:tc>
          <w:tcPr>
            <w:tcW w:w="3720" w:type="dxa"/>
            <w:vAlign w:val="bottom"/>
            <w:tcBorders>
              <w:bottom w:val="single" w:sz="8" w:color="5D89B4"/>
            </w:tcBorders>
          </w:tcPr>
          <w:p>
            <w:pPr>
              <w:spacing w:after="0"/>
              <w:rPr>
                <w:sz w:val="3"/>
                <w:szCs w:val="3"/>
                <w:color w:val="auto"/>
              </w:rPr>
            </w:pPr>
          </w:p>
        </w:tc>
        <w:tc>
          <w:tcPr>
            <w:tcW w:w="238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380" w:type="dxa"/>
            <w:vAlign w:val="bottom"/>
            <w:tcBorders>
              <w:bottom w:val="single" w:sz="8" w:color="5D89B4"/>
            </w:tcBorders>
          </w:tcPr>
          <w:p>
            <w:pPr>
              <w:spacing w:after="0"/>
              <w:rPr>
                <w:sz w:val="3"/>
                <w:szCs w:val="3"/>
                <w:color w:val="auto"/>
              </w:rPr>
            </w:pPr>
          </w:p>
        </w:tc>
        <w:tc>
          <w:tcPr>
            <w:tcW w:w="640" w:type="dxa"/>
            <w:vAlign w:val="bottom"/>
            <w:tcBorders>
              <w:bottom w:val="single" w:sz="8" w:color="5D89B4"/>
            </w:tcBorders>
          </w:tcPr>
          <w:p>
            <w:pPr>
              <w:spacing w:after="0"/>
              <w:rPr>
                <w:sz w:val="3"/>
                <w:szCs w:val="3"/>
                <w:color w:val="auto"/>
              </w:rPr>
            </w:pPr>
          </w:p>
        </w:tc>
      </w:tr>
    </w:tbl>
    <w:p>
      <w:pPr>
        <w:spacing w:after="0" w:line="296"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Components of the 2023 Executive Compensation Program — Long-Term Incentives</w:t>
      </w:r>
    </w:p>
    <w:p>
      <w:pPr>
        <w:spacing w:after="0" w:line="147" w:lineRule="exact"/>
        <w:rPr>
          <w:sz w:val="20"/>
          <w:szCs w:val="20"/>
          <w:color w:val="auto"/>
        </w:rPr>
      </w:pPr>
    </w:p>
    <w:p>
      <w:pPr>
        <w:ind w:left="180" w:right="20"/>
        <w:spacing w:after="0" w:line="241" w:lineRule="auto"/>
        <w:rPr>
          <w:sz w:val="20"/>
          <w:szCs w:val="20"/>
          <w:color w:val="auto"/>
        </w:rPr>
      </w:pPr>
      <w:r>
        <w:rPr>
          <w:rFonts w:ascii="Arial" w:cs="Arial" w:eastAsia="Arial" w:hAnsi="Arial"/>
          <w:sz w:val="15"/>
          <w:szCs w:val="15"/>
          <w:color w:val="auto"/>
        </w:rPr>
        <w:t>Each year the Committee determines the appropriate mix of PSUs and RSUs that should comprise the long-term incentives for the NEOs. This flexibility allows the Committee to tailor its program to create the incentive structure that it believes will best align executive performance and the needs of the Company. The Committee determined for 2023 that the annual grant of long-term awards to the NEOs should be made up of 60% PSUs and 40% RSUs.</w:t>
      </w:r>
    </w:p>
    <w:p>
      <w:pPr>
        <w:spacing w:after="0" w:line="107" w:lineRule="exact"/>
        <w:rPr>
          <w:sz w:val="20"/>
          <w:szCs w:val="20"/>
          <w:color w:val="auto"/>
        </w:rPr>
      </w:pPr>
    </w:p>
    <w:p>
      <w:pPr>
        <w:ind w:left="180" w:right="160"/>
        <w:spacing w:after="0" w:line="236" w:lineRule="auto"/>
        <w:rPr>
          <w:sz w:val="20"/>
          <w:szCs w:val="20"/>
          <w:color w:val="auto"/>
        </w:rPr>
      </w:pPr>
      <w:r>
        <w:rPr>
          <w:rFonts w:ascii="Arial" w:cs="Arial" w:eastAsia="Arial" w:hAnsi="Arial"/>
          <w:sz w:val="15"/>
          <w:szCs w:val="15"/>
          <w:color w:val="auto"/>
        </w:rPr>
        <w:t>The Committee generally determines and approves equity awards to the NEOs and the related vesting schedules, at its regularly scheduled meeting in February each year, and as required under the Committee’s charter, subject to ratification by the board of directors in the case of Mr. Prising and Mr. McGinnis. The equity awards and related vesting schedules for Messrs. McGinnis and Buchband and Ms. Nettles are generally based on recommendations by Mr. Prising. The Committee may make grants to NEOs at other times during the year, as it deems appropriate.</w:t>
      </w:r>
    </w:p>
    <w:p>
      <w:pPr>
        <w:spacing w:after="0" w:line="109" w:lineRule="exact"/>
        <w:rPr>
          <w:sz w:val="20"/>
          <w:szCs w:val="20"/>
          <w:color w:val="auto"/>
        </w:rPr>
      </w:pPr>
    </w:p>
    <w:p>
      <w:pPr>
        <w:ind w:left="180" w:right="380"/>
        <w:spacing w:after="0" w:line="259" w:lineRule="auto"/>
        <w:rPr>
          <w:sz w:val="20"/>
          <w:szCs w:val="20"/>
          <w:color w:val="auto"/>
        </w:rPr>
      </w:pPr>
      <w:r>
        <w:rPr>
          <w:rFonts w:ascii="Arial" w:cs="Arial" w:eastAsia="Arial" w:hAnsi="Arial"/>
          <w:sz w:val="15"/>
          <w:szCs w:val="15"/>
          <w:color w:val="auto"/>
        </w:rPr>
        <w:t>The PSUs and RSUs awarded in 2023 have the characteristics below. The specific long-term incentive grants for each officer are shown in the Grants of Plan Based Awards table on page 55.</w:t>
      </w:r>
    </w:p>
    <w:p>
      <w:pPr>
        <w:spacing w:after="0" w:line="27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Performance Share Units</w:t>
      </w:r>
    </w:p>
    <w:p>
      <w:pPr>
        <w:spacing w:after="0" w:line="98" w:lineRule="exact"/>
        <w:rPr>
          <w:sz w:val="20"/>
          <w:szCs w:val="20"/>
          <w:color w:val="auto"/>
        </w:rPr>
      </w:pPr>
    </w:p>
    <w:p>
      <w:pPr>
        <w:ind w:left="180" w:right="40"/>
        <w:spacing w:after="0" w:line="241" w:lineRule="auto"/>
        <w:rPr>
          <w:sz w:val="20"/>
          <w:szCs w:val="20"/>
          <w:color w:val="auto"/>
        </w:rPr>
      </w:pPr>
      <w:r>
        <w:rPr>
          <w:rFonts w:ascii="Arial" w:cs="Arial" w:eastAsia="Arial" w:hAnsi="Arial"/>
          <w:sz w:val="15"/>
          <w:szCs w:val="15"/>
          <w:color w:val="auto"/>
        </w:rPr>
        <w:t>For the PSUs granted in 2023, vesting is based on achievement of a pre-established goal for average annual EBITA Margin Percent, over a three-year period ending December 31, 2025. EBITA Margin Percent measures operating efficiency without the impact of amortization while continuing to focus executive officers on the long-term profitability of the Company.</w:t>
      </w:r>
    </w:p>
    <w:p>
      <w:pPr>
        <w:spacing w:after="0" w:line="174" w:lineRule="exact"/>
        <w:rPr>
          <w:sz w:val="20"/>
          <w:szCs w:val="20"/>
          <w:color w:val="auto"/>
        </w:rPr>
      </w:pPr>
    </w:p>
    <w:p>
      <w:pPr>
        <w:ind w:left="180" w:right="200"/>
        <w:spacing w:after="0" w:line="241" w:lineRule="auto"/>
        <w:rPr>
          <w:sz w:val="20"/>
          <w:szCs w:val="20"/>
          <w:color w:val="auto"/>
        </w:rPr>
      </w:pPr>
      <w:r>
        <w:rPr>
          <w:rFonts w:ascii="Arial" w:cs="Arial" w:eastAsia="Arial" w:hAnsi="Arial"/>
          <w:sz w:val="15"/>
          <w:szCs w:val="15"/>
          <w:color w:val="auto"/>
        </w:rPr>
        <w:t>The Committee also included a KPI modifier that can increase or decrease the final PSU payout (which will be determined based on the EBITA margin for the performance period and the performance gate described below) by up to 30%, but not more than the outstanding award or less than the threshold award. Under this feature, the Committee established strategic growth objectives and will evaluate 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87630</wp:posOffset>
            </wp:positionV>
            <wp:extent cx="69138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5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500"/>
        <w:spacing w:after="0"/>
        <w:rPr>
          <w:sz w:val="20"/>
          <w:szCs w:val="20"/>
          <w:color w:val="auto"/>
        </w:rPr>
      </w:pPr>
      <w:r>
        <w:rPr>
          <w:rFonts w:ascii="Arial" w:cs="Arial" w:eastAsia="Arial" w:hAnsi="Arial"/>
          <w:sz w:val="15"/>
          <w:szCs w:val="15"/>
          <w:b w:val="1"/>
          <w:bCs w:val="1"/>
          <w:color w:val="5D89B4"/>
        </w:rPr>
        <w:t>COMPENSATION DISCUSSION AND ANALYSIS</w:t>
      </w:r>
    </w:p>
    <w:p>
      <w:pPr>
        <w:spacing w:after="0" w:line="158" w:lineRule="exact"/>
        <w:rPr>
          <w:sz w:val="20"/>
          <w:szCs w:val="20"/>
          <w:color w:val="auto"/>
        </w:rPr>
      </w:pPr>
    </w:p>
    <w:p>
      <w:pPr>
        <w:ind w:left="180"/>
        <w:spacing w:after="0" w:line="241" w:lineRule="auto"/>
        <w:rPr>
          <w:sz w:val="20"/>
          <w:szCs w:val="20"/>
          <w:color w:val="auto"/>
        </w:rPr>
      </w:pPr>
      <w:r>
        <w:rPr>
          <w:rFonts w:ascii="Arial" w:cs="Arial" w:eastAsia="Arial" w:hAnsi="Arial"/>
          <w:sz w:val="15"/>
          <w:szCs w:val="15"/>
          <w:color w:val="auto"/>
        </w:rPr>
        <w:t>well management has performed against those pre-established strategic growth objectives during the three-year period of the PSUs. The number of shares earned will vest and be settled in common stock in February 2026, after the Committee determines the achievement of the performance goals and assesses the achievement of the strategic growth objectives. The specific strategic growth objectives are summarized below.</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How the Company Sets EBITA Margin Percent Goals</w:t>
      </w:r>
    </w:p>
    <w:p>
      <w:pPr>
        <w:spacing w:after="0" w:line="106" w:lineRule="exact"/>
        <w:rPr>
          <w:sz w:val="20"/>
          <w:szCs w:val="20"/>
          <w:color w:val="auto"/>
        </w:rPr>
      </w:pPr>
    </w:p>
    <w:p>
      <w:pPr>
        <w:ind w:left="180" w:right="360"/>
        <w:spacing w:after="0" w:line="259" w:lineRule="auto"/>
        <w:rPr>
          <w:sz w:val="20"/>
          <w:szCs w:val="20"/>
          <w:color w:val="auto"/>
        </w:rPr>
      </w:pPr>
      <w:r>
        <w:rPr>
          <w:rFonts w:ascii="Arial" w:cs="Arial" w:eastAsia="Arial" w:hAnsi="Arial"/>
          <w:sz w:val="15"/>
          <w:szCs w:val="15"/>
          <w:color w:val="auto"/>
        </w:rPr>
        <w:t>The following table shows the goals established by the Committee in February 2023 for the three-year performance period for these PSUs and the associated payout percentage:</w:t>
      </w:r>
    </w:p>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274"/>
        </w:trPr>
        <w:tc>
          <w:tcPr>
            <w:tcW w:w="3780" w:type="dxa"/>
            <w:vAlign w:val="bottom"/>
            <w:tcBorders>
              <w:bottom w:val="single" w:sz="8" w:color="EAEAEA"/>
            </w:tcBorders>
            <w:shd w:val="clear" w:color="auto" w:fill="EAEAEA"/>
          </w:tcPr>
          <w:p>
            <w:pPr>
              <w:spacing w:after="0"/>
              <w:rPr>
                <w:sz w:val="23"/>
                <w:szCs w:val="23"/>
                <w:color w:val="auto"/>
              </w:rPr>
            </w:pPr>
          </w:p>
        </w:tc>
        <w:tc>
          <w:tcPr>
            <w:tcW w:w="2340" w:type="dxa"/>
            <w:vAlign w:val="bottom"/>
            <w:tcBorders>
              <w:bottom w:val="single" w:sz="8" w:color="EAEAEA"/>
            </w:tcBorders>
            <w:shd w:val="clear" w:color="auto" w:fill="EAEAEA"/>
          </w:tcPr>
          <w:p>
            <w:pPr>
              <w:jc w:val="right"/>
              <w:ind w:right="466"/>
              <w:spacing w:after="0"/>
              <w:rPr>
                <w:sz w:val="20"/>
                <w:szCs w:val="20"/>
                <w:color w:val="auto"/>
              </w:rPr>
            </w:pPr>
            <w:r>
              <w:rPr>
                <w:rFonts w:ascii="Arial" w:cs="Arial" w:eastAsia="Arial" w:hAnsi="Arial"/>
                <w:sz w:val="14"/>
                <w:szCs w:val="14"/>
                <w:b w:val="1"/>
                <w:bCs w:val="1"/>
                <w:color w:val="5D89B4"/>
              </w:rPr>
              <w:t>THRESHOLD</w:t>
            </w:r>
          </w:p>
        </w:tc>
        <w:tc>
          <w:tcPr>
            <w:tcW w:w="142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TARGET</w:t>
            </w:r>
          </w:p>
        </w:tc>
        <w:tc>
          <w:tcPr>
            <w:tcW w:w="1600" w:type="dxa"/>
            <w:vAlign w:val="bottom"/>
            <w:tcBorders>
              <w:bottom w:val="single" w:sz="8" w:color="EAEAEA"/>
            </w:tcBorders>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OUTSTANDING</w:t>
            </w:r>
          </w:p>
        </w:tc>
      </w:tr>
      <w:tr>
        <w:trPr>
          <w:trHeight w:val="252"/>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EBITA Margin Percent 2023-2025</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1.00%</w:t>
            </w:r>
          </w:p>
        </w:tc>
        <w:tc>
          <w:tcPr>
            <w:tcW w:w="1420" w:type="dxa"/>
            <w:vAlign w:val="bottom"/>
          </w:tcPr>
          <w:p>
            <w:pPr>
              <w:jc w:val="right"/>
              <w:ind w:right="226"/>
              <w:spacing w:after="0"/>
              <w:rPr>
                <w:sz w:val="20"/>
                <w:szCs w:val="20"/>
                <w:color w:val="auto"/>
              </w:rPr>
            </w:pPr>
            <w:r>
              <w:rPr>
                <w:rFonts w:ascii="Arial" w:cs="Arial" w:eastAsia="Arial" w:hAnsi="Arial"/>
                <w:sz w:val="15"/>
                <w:szCs w:val="15"/>
                <w:color w:val="auto"/>
              </w:rPr>
              <w:t>3.80%</w:t>
            </w:r>
          </w:p>
        </w:tc>
        <w:tc>
          <w:tcPr>
            <w:tcW w:w="1600" w:type="dxa"/>
            <w:vAlign w:val="bottom"/>
          </w:tcPr>
          <w:p>
            <w:pPr>
              <w:jc w:val="right"/>
              <w:ind w:right="46"/>
              <w:spacing w:after="0"/>
              <w:rPr>
                <w:sz w:val="20"/>
                <w:szCs w:val="20"/>
                <w:color w:val="auto"/>
              </w:rPr>
            </w:pPr>
            <w:r>
              <w:rPr>
                <w:rFonts w:ascii="Arial" w:cs="Arial" w:eastAsia="Arial" w:hAnsi="Arial"/>
                <w:sz w:val="15"/>
                <w:szCs w:val="15"/>
                <w:color w:val="auto"/>
              </w:rPr>
              <w:t>4.10%</w:t>
            </w:r>
          </w:p>
        </w:tc>
      </w:tr>
      <w:tr>
        <w:trPr>
          <w:trHeight w:val="41"/>
        </w:trPr>
        <w:tc>
          <w:tcPr>
            <w:tcW w:w="3780" w:type="dxa"/>
            <w:vAlign w:val="bottom"/>
            <w:tcBorders>
              <w:bottom w:val="single" w:sz="8" w:color="5D89B4"/>
            </w:tcBorders>
          </w:tcPr>
          <w:p>
            <w:pPr>
              <w:spacing w:after="0"/>
              <w:rPr>
                <w:sz w:val="3"/>
                <w:szCs w:val="3"/>
                <w:color w:val="auto"/>
              </w:rPr>
            </w:pPr>
          </w:p>
        </w:tc>
        <w:tc>
          <w:tcPr>
            <w:tcW w:w="2340" w:type="dxa"/>
            <w:vAlign w:val="bottom"/>
            <w:tcBorders>
              <w:bottom w:val="single" w:sz="8" w:color="5D89B4"/>
            </w:tcBorders>
          </w:tcPr>
          <w:p>
            <w:pPr>
              <w:spacing w:after="0"/>
              <w:rPr>
                <w:sz w:val="3"/>
                <w:szCs w:val="3"/>
                <w:color w:val="auto"/>
              </w:rPr>
            </w:pPr>
          </w:p>
        </w:tc>
        <w:tc>
          <w:tcPr>
            <w:tcW w:w="1420" w:type="dxa"/>
            <w:vAlign w:val="bottom"/>
            <w:tcBorders>
              <w:bottom w:val="single" w:sz="8" w:color="5D89B4"/>
            </w:tcBorders>
          </w:tcPr>
          <w:p>
            <w:pPr>
              <w:spacing w:after="0"/>
              <w:rPr>
                <w:sz w:val="3"/>
                <w:szCs w:val="3"/>
                <w:color w:val="auto"/>
              </w:rPr>
            </w:pPr>
          </w:p>
        </w:tc>
        <w:tc>
          <w:tcPr>
            <w:tcW w:w="1600" w:type="dxa"/>
            <w:vAlign w:val="bottom"/>
            <w:tcBorders>
              <w:bottom w:val="single" w:sz="8" w:color="5D89B4"/>
            </w:tcBorders>
          </w:tcPr>
          <w:p>
            <w:pPr>
              <w:spacing w:after="0"/>
              <w:rPr>
                <w:sz w:val="3"/>
                <w:szCs w:val="3"/>
                <w:color w:val="auto"/>
              </w:rPr>
            </w:pPr>
          </w:p>
        </w:tc>
      </w:tr>
      <w:tr>
        <w:trPr>
          <w:trHeight w:val="232"/>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Payout Percentage</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0.0%</w:t>
            </w:r>
          </w:p>
        </w:tc>
        <w:tc>
          <w:tcPr>
            <w:tcW w:w="1420" w:type="dxa"/>
            <w:vAlign w:val="bottom"/>
          </w:tcPr>
          <w:p>
            <w:pPr>
              <w:jc w:val="right"/>
              <w:ind w:right="226"/>
              <w:spacing w:after="0"/>
              <w:rPr>
                <w:sz w:val="20"/>
                <w:szCs w:val="20"/>
                <w:color w:val="auto"/>
              </w:rPr>
            </w:pPr>
            <w:r>
              <w:rPr>
                <w:rFonts w:ascii="Arial" w:cs="Arial" w:eastAsia="Arial" w:hAnsi="Arial"/>
                <w:sz w:val="15"/>
                <w:szCs w:val="15"/>
                <w:color w:val="auto"/>
              </w:rPr>
              <w:t>100.0%</w:t>
            </w:r>
          </w:p>
        </w:tc>
        <w:tc>
          <w:tcPr>
            <w:tcW w:w="1600" w:type="dxa"/>
            <w:vAlign w:val="bottom"/>
          </w:tcPr>
          <w:p>
            <w:pPr>
              <w:jc w:val="right"/>
              <w:ind w:right="46"/>
              <w:spacing w:after="0"/>
              <w:rPr>
                <w:sz w:val="20"/>
                <w:szCs w:val="20"/>
                <w:color w:val="auto"/>
              </w:rPr>
            </w:pPr>
            <w:r>
              <w:rPr>
                <w:rFonts w:ascii="Arial" w:cs="Arial" w:eastAsia="Arial" w:hAnsi="Arial"/>
                <w:sz w:val="15"/>
                <w:szCs w:val="15"/>
                <w:color w:val="auto"/>
              </w:rPr>
              <w:t>200.0%</w:t>
            </w:r>
          </w:p>
        </w:tc>
      </w:tr>
      <w:tr>
        <w:trPr>
          <w:trHeight w:val="41"/>
        </w:trPr>
        <w:tc>
          <w:tcPr>
            <w:tcW w:w="3780" w:type="dxa"/>
            <w:vAlign w:val="bottom"/>
            <w:tcBorders>
              <w:bottom w:val="single" w:sz="8" w:color="5D89B4"/>
            </w:tcBorders>
          </w:tcPr>
          <w:p>
            <w:pPr>
              <w:spacing w:after="0"/>
              <w:rPr>
                <w:sz w:val="3"/>
                <w:szCs w:val="3"/>
                <w:color w:val="auto"/>
              </w:rPr>
            </w:pPr>
          </w:p>
        </w:tc>
        <w:tc>
          <w:tcPr>
            <w:tcW w:w="2340" w:type="dxa"/>
            <w:vAlign w:val="bottom"/>
            <w:tcBorders>
              <w:bottom w:val="single" w:sz="8" w:color="5D89B4"/>
            </w:tcBorders>
          </w:tcPr>
          <w:p>
            <w:pPr>
              <w:spacing w:after="0"/>
              <w:rPr>
                <w:sz w:val="3"/>
                <w:szCs w:val="3"/>
                <w:color w:val="auto"/>
              </w:rPr>
            </w:pPr>
          </w:p>
        </w:tc>
        <w:tc>
          <w:tcPr>
            <w:tcW w:w="1420" w:type="dxa"/>
            <w:vAlign w:val="bottom"/>
            <w:tcBorders>
              <w:bottom w:val="single" w:sz="8" w:color="5D89B4"/>
            </w:tcBorders>
          </w:tcPr>
          <w:p>
            <w:pPr>
              <w:spacing w:after="0"/>
              <w:rPr>
                <w:sz w:val="3"/>
                <w:szCs w:val="3"/>
                <w:color w:val="auto"/>
              </w:rPr>
            </w:pPr>
          </w:p>
        </w:tc>
        <w:tc>
          <w:tcPr>
            <w:tcW w:w="1600" w:type="dxa"/>
            <w:vAlign w:val="bottom"/>
            <w:tcBorders>
              <w:bottom w:val="single" w:sz="8" w:color="5D89B4"/>
            </w:tcBorders>
          </w:tcPr>
          <w:p>
            <w:pPr>
              <w:spacing w:after="0"/>
              <w:rPr>
                <w:sz w:val="3"/>
                <w:szCs w:val="3"/>
                <w:color w:val="auto"/>
              </w:rPr>
            </w:pPr>
          </w:p>
        </w:tc>
      </w:tr>
    </w:tbl>
    <w:p>
      <w:pPr>
        <w:spacing w:after="0" w:line="116" w:lineRule="exact"/>
        <w:rPr>
          <w:sz w:val="20"/>
          <w:szCs w:val="20"/>
          <w:color w:val="auto"/>
        </w:rPr>
      </w:pPr>
    </w:p>
    <w:p>
      <w:pPr>
        <w:ind w:left="180" w:right="120"/>
        <w:spacing w:after="0" w:line="259" w:lineRule="auto"/>
        <w:rPr>
          <w:sz w:val="20"/>
          <w:szCs w:val="20"/>
          <w:color w:val="auto"/>
        </w:rPr>
      </w:pPr>
      <w:r>
        <w:rPr>
          <w:rFonts w:ascii="Arial" w:cs="Arial" w:eastAsia="Arial" w:hAnsi="Arial"/>
          <w:sz w:val="15"/>
          <w:szCs w:val="15"/>
          <w:color w:val="auto"/>
        </w:rPr>
        <w:t>To determine the average EBITA Margin Percent at the end of the three-year period, the actual performance results from each year will be averaged to determine the three-year average performance results. The final award will be determined by using the payout scale relative to the average performance.</w:t>
      </w:r>
    </w:p>
    <w:p>
      <w:pPr>
        <w:spacing w:after="0" w:line="95" w:lineRule="exact"/>
        <w:rPr>
          <w:sz w:val="20"/>
          <w:szCs w:val="20"/>
          <w:color w:val="auto"/>
        </w:rPr>
      </w:pPr>
    </w:p>
    <w:p>
      <w:pPr>
        <w:ind w:left="180" w:right="180"/>
        <w:spacing w:after="0" w:line="259" w:lineRule="auto"/>
        <w:rPr>
          <w:sz w:val="20"/>
          <w:szCs w:val="20"/>
          <w:color w:val="auto"/>
        </w:rPr>
      </w:pPr>
      <w:r>
        <w:rPr>
          <w:rFonts w:ascii="Arial" w:cs="Arial" w:eastAsia="Arial" w:hAnsi="Arial"/>
          <w:sz w:val="15"/>
          <w:szCs w:val="15"/>
          <w:color w:val="auto"/>
        </w:rPr>
        <w:t>When determining the financial goals for the 2023 grant, the Committee determined certain items would be excluded from the EBITA Margin Percent calculation, as described in the following calculation:</w:t>
      </w:r>
    </w:p>
    <w:p>
      <w:pPr>
        <w:spacing w:after="0" w:line="95" w:lineRule="exact"/>
        <w:rPr>
          <w:sz w:val="20"/>
          <w:szCs w:val="20"/>
          <w:color w:val="auto"/>
        </w:rPr>
      </w:pPr>
    </w:p>
    <w:p>
      <w:pPr>
        <w:ind w:left="400" w:right="20" w:hanging="220"/>
        <w:spacing w:after="0" w:line="231" w:lineRule="auto"/>
        <w:tabs>
          <w:tab w:leader="none" w:pos="40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 xml:space="preserve">EBITA Margin Percent </w:t>
      </w:r>
      <w:r>
        <w:rPr>
          <w:rFonts w:ascii="Arial" w:cs="Arial" w:eastAsia="Arial" w:hAnsi="Arial"/>
          <w:sz w:val="15"/>
          <w:szCs w:val="15"/>
          <w:color w:val="auto"/>
        </w:rPr>
        <w:t>— annual operating profit plus amortization, divided by revenue from services, with adjustments to be made (a) to reverse the impact of</w:t>
      </w:r>
      <w:r>
        <w:rPr>
          <w:rFonts w:ascii="Arial" w:cs="Arial" w:eastAsia="Arial" w:hAnsi="Arial"/>
          <w:sz w:val="15"/>
          <w:szCs w:val="15"/>
          <w:b w:val="1"/>
          <w:bCs w:val="1"/>
          <w:color w:val="auto"/>
        </w:rPr>
        <w:t xml:space="preserve"> </w:t>
      </w:r>
      <w:r>
        <w:rPr>
          <w:rFonts w:ascii="Arial" w:cs="Arial" w:eastAsia="Arial" w:hAnsi="Arial"/>
          <w:sz w:val="15"/>
          <w:szCs w:val="15"/>
          <w:color w:val="auto"/>
        </w:rPr>
        <w:t>a change in accounting principles during the performance period, or (b) for any of the following items: extraordinary items, goodwill impairment, nonrecurring restructuring charges, tax or regulatory law changes, adjustments related to acquisitions or dispositions where the Company previously held an ownership interest, any change in client contracts that result in a change from gross to net revenue accounting, non-recurring adjustments exceeding $10 million pertaining to prior periods. If an adjustment relates to an accrual from a prior period deemed an appropriate change in estimate in the current period, the adjustment impact will only be for the amount in excess of $10 million.</w:t>
      </w:r>
    </w:p>
    <w:p>
      <w:pPr>
        <w:spacing w:after="0" w:line="111" w:lineRule="exact"/>
        <w:rPr>
          <w:sz w:val="20"/>
          <w:szCs w:val="20"/>
          <w:color w:val="auto"/>
        </w:rPr>
      </w:pPr>
    </w:p>
    <w:p>
      <w:pPr>
        <w:jc w:val="both"/>
        <w:ind w:left="180" w:right="60"/>
        <w:spacing w:after="0" w:line="236" w:lineRule="auto"/>
        <w:rPr>
          <w:sz w:val="20"/>
          <w:szCs w:val="20"/>
          <w:color w:val="auto"/>
        </w:rPr>
      </w:pPr>
      <w:r>
        <w:rPr>
          <w:rFonts w:ascii="Arial" w:cs="Arial" w:eastAsia="Arial" w:hAnsi="Arial"/>
          <w:sz w:val="15"/>
          <w:szCs w:val="15"/>
          <w:color w:val="auto"/>
        </w:rPr>
        <w:t>Our business is historically cyclical and is impacted by numerous macroeconomic conditions.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2023 where the Committee assumed continued deterioration in global economic conditions during 2023.</w:t>
      </w:r>
    </w:p>
    <w:p>
      <w:pPr>
        <w:spacing w:after="0" w:line="95" w:lineRule="exact"/>
        <w:rPr>
          <w:sz w:val="20"/>
          <w:szCs w:val="20"/>
          <w:color w:val="auto"/>
        </w:rPr>
      </w:pPr>
    </w:p>
    <w:p>
      <w:pPr>
        <w:ind w:left="180" w:right="480"/>
        <w:spacing w:after="0" w:line="241" w:lineRule="auto"/>
        <w:rPr>
          <w:sz w:val="20"/>
          <w:szCs w:val="20"/>
          <w:color w:val="auto"/>
        </w:rPr>
      </w:pPr>
      <w:r>
        <w:rPr>
          <w:rFonts w:ascii="Arial" w:cs="Arial" w:eastAsia="Arial" w:hAnsi="Arial"/>
          <w:sz w:val="15"/>
          <w:szCs w:val="15"/>
          <w:color w:val="auto"/>
        </w:rPr>
        <w:t>An EBITA “gate” was also established for the PSUs to ensure EBITA margins are achieved without significantly decreasing revenues. This gate was set at $636.0 million, meaning participants cannot receive more than 100% of the target level payout unless average EBITA for the 2023-2025 performance period exceeds $636.0 million.</w:t>
      </w:r>
    </w:p>
    <w:p>
      <w:pPr>
        <w:spacing w:after="0" w:line="107" w:lineRule="exact"/>
        <w:rPr>
          <w:sz w:val="20"/>
          <w:szCs w:val="20"/>
          <w:color w:val="auto"/>
        </w:rPr>
      </w:pPr>
    </w:p>
    <w:p>
      <w:pPr>
        <w:ind w:left="180" w:right="60"/>
        <w:spacing w:after="0" w:line="233" w:lineRule="auto"/>
        <w:rPr>
          <w:sz w:val="20"/>
          <w:szCs w:val="20"/>
          <w:color w:val="auto"/>
        </w:rPr>
      </w:pPr>
      <w:r>
        <w:rPr>
          <w:rFonts w:ascii="Arial" w:cs="Arial" w:eastAsia="Arial" w:hAnsi="Arial"/>
          <w:sz w:val="15"/>
          <w:szCs w:val="15"/>
          <w:color w:val="auto"/>
        </w:rPr>
        <w:t>As mentioned above, the Committee included a KPI modifier to the final PSU payout that can increase or decrease the final PSU payout by up to 30%. At the end of the 3-year PSU vesting period, the Committee will assess the achievement of the strategic growth objectives and may increase or decrease the PSU payout percent (that was determined based on the EBITA Margin Percent for the performance period and the gate) by an amount up to 30% based on strategic growth objectives over the 3-year life of the award. The KPI modifier cannot decrease the payout below the threshold level nor increase the payout above the outstanding level. The following are the strategic growth objectives set by the Committee for 2023:</w:t>
      </w:r>
    </w:p>
    <w:p>
      <w:pPr>
        <w:spacing w:after="0" w:line="110" w:lineRule="exact"/>
        <w:rPr>
          <w:sz w:val="20"/>
          <w:szCs w:val="20"/>
          <w:color w:val="auto"/>
        </w:rPr>
      </w:pPr>
    </w:p>
    <w:p>
      <w:pPr>
        <w:ind w:left="400" w:right="120" w:hanging="220"/>
        <w:spacing w:after="0" w:line="259" w:lineRule="auto"/>
        <w:tabs>
          <w:tab w:leader="none" w:pos="4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Strengthen global governance model, grow the succession pipeline, broaden and deepen capabilities of our people to capitalize on digitization and strengthen DEI and ESG leadership within the industry;</w:t>
      </w:r>
    </w:p>
    <w:p>
      <w:pPr>
        <w:spacing w:after="0" w:line="28" w:lineRule="exact"/>
        <w:rPr>
          <w:rFonts w:ascii="Arial" w:cs="Arial" w:eastAsia="Arial" w:hAnsi="Arial"/>
          <w:sz w:val="15"/>
          <w:szCs w:val="15"/>
          <w:color w:val="auto"/>
        </w:rPr>
      </w:pPr>
    </w:p>
    <w:p>
      <w:pPr>
        <w:ind w:left="400" w:hanging="220"/>
        <w:spacing w:after="0"/>
        <w:tabs>
          <w:tab w:leader="none" w:pos="4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Complete technology and transformation transition and strengthen digital brand and cyber security posture;</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Advance MyPath, global analytics and AI capabilities and execute diversification pilots for scalability; and</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Execute acceleration plan for growth within certain brands, accelerate skills specialization and shift business mix to accelerate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113030</wp:posOffset>
            </wp:positionV>
            <wp:extent cx="69138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Shares Earned under the 2021 Annual PSU Grant</w:t>
      </w:r>
    </w:p>
    <w:p>
      <w:pPr>
        <w:spacing w:after="0" w:line="133" w:lineRule="exact"/>
        <w:rPr>
          <w:sz w:val="20"/>
          <w:szCs w:val="20"/>
          <w:color w:val="auto"/>
        </w:rPr>
      </w:pPr>
    </w:p>
    <w:p>
      <w:pPr>
        <w:ind w:left="180"/>
        <w:spacing w:after="0" w:line="231" w:lineRule="auto"/>
        <w:rPr>
          <w:sz w:val="20"/>
          <w:szCs w:val="20"/>
          <w:color w:val="auto"/>
        </w:rPr>
      </w:pPr>
      <w:r>
        <w:rPr>
          <w:rFonts w:ascii="Arial" w:cs="Arial" w:eastAsia="Arial" w:hAnsi="Arial"/>
          <w:sz w:val="15"/>
          <w:szCs w:val="15"/>
          <w:color w:val="auto"/>
        </w:rPr>
        <w:t>As disclosed in previous years, in light of the uncertain environment in February 2021, the Committee departed from its customary use of a three-year performance period and instead used a one-year performance period, based on pre-established goals for OPMP for 2021, with a three-year holding period from the date of grant and application of the KPI modifier. Based on OPMP for the one-year period of 2021 of 2.97%, the Committee determined the 2021 Annual PSU Grant vested at the outstanding level before consideration of KPIs. The operating profit dollar gate was also reached. The Committee used negative discretion in applying the KPI modifier to reduce the final PSU payout to 195% of target. These shares were vested and were settled in common stock in February 2024, after the Committee determined the achievement of the performance goals. The number of shared earned for each of the NEOs is as follows:</w:t>
      </w:r>
    </w:p>
    <w:p>
      <w:pPr>
        <w:spacing w:after="0" w:line="222"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5080" w:type="dxa"/>
            <w:vAlign w:val="bottom"/>
            <w:shd w:val="clear" w:color="auto" w:fill="EAEAEA"/>
          </w:tcPr>
          <w:p>
            <w:pPr>
              <w:spacing w:after="0"/>
              <w:rPr>
                <w:sz w:val="18"/>
                <w:szCs w:val="18"/>
                <w:color w:val="auto"/>
              </w:rPr>
            </w:pPr>
          </w:p>
        </w:tc>
        <w:tc>
          <w:tcPr>
            <w:tcW w:w="234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PSUs GRANTED</w:t>
            </w:r>
          </w:p>
        </w:tc>
        <w:tc>
          <w:tcPr>
            <w:tcW w:w="1720" w:type="dxa"/>
            <w:vAlign w:val="bottom"/>
            <w:shd w:val="clear" w:color="auto" w:fill="EAEAEA"/>
          </w:tcPr>
          <w:p>
            <w:pPr>
              <w:spacing w:after="0"/>
              <w:rPr>
                <w:sz w:val="18"/>
                <w:szCs w:val="18"/>
                <w:color w:val="auto"/>
              </w:rPr>
            </w:pPr>
          </w:p>
        </w:tc>
      </w:tr>
      <w:tr>
        <w:trPr>
          <w:trHeight w:val="216"/>
        </w:trPr>
        <w:tc>
          <w:tcPr>
            <w:tcW w:w="50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NEO</w:t>
            </w:r>
          </w:p>
        </w:tc>
        <w:tc>
          <w:tcPr>
            <w:tcW w:w="234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AT TARGET(#)</w:t>
            </w:r>
          </w:p>
        </w:tc>
        <w:tc>
          <w:tcPr>
            <w:tcW w:w="172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4"/>
                <w:szCs w:val="14"/>
                <w:b w:val="1"/>
                <w:bCs w:val="1"/>
                <w:color w:val="5D89B4"/>
              </w:rPr>
              <w:t>PSUs EARNED(#)</w:t>
            </w:r>
          </w:p>
        </w:tc>
      </w:tr>
      <w:tr>
        <w:trPr>
          <w:trHeight w:val="252"/>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Jonas Prising</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64,872</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126,500</w:t>
            </w:r>
          </w:p>
        </w:tc>
      </w:tr>
      <w:tr>
        <w:trPr>
          <w:trHeight w:val="41"/>
        </w:trPr>
        <w:tc>
          <w:tcPr>
            <w:tcW w:w="5080" w:type="dxa"/>
            <w:vAlign w:val="bottom"/>
            <w:tcBorders>
              <w:bottom w:val="single" w:sz="8" w:color="5D89B4"/>
            </w:tcBorders>
          </w:tcPr>
          <w:p>
            <w:pPr>
              <w:spacing w:after="0"/>
              <w:rPr>
                <w:sz w:val="3"/>
                <w:szCs w:val="3"/>
                <w:color w:val="auto"/>
              </w:rPr>
            </w:pPr>
          </w:p>
        </w:tc>
        <w:tc>
          <w:tcPr>
            <w:tcW w:w="2340" w:type="dxa"/>
            <w:vAlign w:val="bottom"/>
            <w:tcBorders>
              <w:bottom w:val="single" w:sz="8" w:color="5D89B4"/>
            </w:tcBorders>
          </w:tcPr>
          <w:p>
            <w:pPr>
              <w:spacing w:after="0"/>
              <w:rPr>
                <w:sz w:val="3"/>
                <w:szCs w:val="3"/>
                <w:color w:val="auto"/>
              </w:rPr>
            </w:pPr>
          </w:p>
        </w:tc>
        <w:tc>
          <w:tcPr>
            <w:tcW w:w="1720" w:type="dxa"/>
            <w:vAlign w:val="bottom"/>
            <w:tcBorders>
              <w:bottom w:val="single" w:sz="8" w:color="5D89B4"/>
            </w:tcBorders>
          </w:tcPr>
          <w:p>
            <w:pPr>
              <w:spacing w:after="0"/>
              <w:rPr>
                <w:sz w:val="3"/>
                <w:szCs w:val="3"/>
                <w:color w:val="auto"/>
              </w:rPr>
            </w:pPr>
          </w:p>
        </w:tc>
      </w:tr>
      <w:tr>
        <w:trPr>
          <w:trHeight w:val="232"/>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John T. McGinnis</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19,462</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37,951</w:t>
            </w:r>
          </w:p>
        </w:tc>
      </w:tr>
      <w:tr>
        <w:trPr>
          <w:trHeight w:val="41"/>
        </w:trPr>
        <w:tc>
          <w:tcPr>
            <w:tcW w:w="5080" w:type="dxa"/>
            <w:vAlign w:val="bottom"/>
            <w:tcBorders>
              <w:bottom w:val="single" w:sz="8" w:color="5D89B4"/>
            </w:tcBorders>
          </w:tcPr>
          <w:p>
            <w:pPr>
              <w:spacing w:after="0"/>
              <w:rPr>
                <w:sz w:val="3"/>
                <w:szCs w:val="3"/>
                <w:color w:val="auto"/>
              </w:rPr>
            </w:pPr>
          </w:p>
        </w:tc>
        <w:tc>
          <w:tcPr>
            <w:tcW w:w="2340" w:type="dxa"/>
            <w:vAlign w:val="bottom"/>
            <w:tcBorders>
              <w:bottom w:val="single" w:sz="8" w:color="5D89B4"/>
            </w:tcBorders>
          </w:tcPr>
          <w:p>
            <w:pPr>
              <w:spacing w:after="0"/>
              <w:rPr>
                <w:sz w:val="3"/>
                <w:szCs w:val="3"/>
                <w:color w:val="auto"/>
              </w:rPr>
            </w:pPr>
          </w:p>
        </w:tc>
        <w:tc>
          <w:tcPr>
            <w:tcW w:w="1720" w:type="dxa"/>
            <w:vAlign w:val="bottom"/>
            <w:tcBorders>
              <w:bottom w:val="single" w:sz="8" w:color="5D89B4"/>
            </w:tcBorders>
          </w:tcPr>
          <w:p>
            <w:pPr>
              <w:spacing w:after="0"/>
              <w:rPr>
                <w:sz w:val="3"/>
                <w:szCs w:val="3"/>
                <w:color w:val="auto"/>
              </w:rPr>
            </w:pPr>
          </w:p>
        </w:tc>
      </w:tr>
      <w:tr>
        <w:trPr>
          <w:trHeight w:val="232"/>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Michelle S. Nettles</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6,488</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12,652</w:t>
            </w:r>
          </w:p>
        </w:tc>
      </w:tr>
      <w:tr>
        <w:trPr>
          <w:trHeight w:val="41"/>
        </w:trPr>
        <w:tc>
          <w:tcPr>
            <w:tcW w:w="5080" w:type="dxa"/>
            <w:vAlign w:val="bottom"/>
            <w:tcBorders>
              <w:bottom w:val="single" w:sz="8" w:color="5D89B4"/>
            </w:tcBorders>
          </w:tcPr>
          <w:p>
            <w:pPr>
              <w:spacing w:after="0"/>
              <w:rPr>
                <w:sz w:val="3"/>
                <w:szCs w:val="3"/>
                <w:color w:val="auto"/>
              </w:rPr>
            </w:pPr>
          </w:p>
        </w:tc>
        <w:tc>
          <w:tcPr>
            <w:tcW w:w="2340" w:type="dxa"/>
            <w:vAlign w:val="bottom"/>
            <w:tcBorders>
              <w:bottom w:val="single" w:sz="8" w:color="5D89B4"/>
            </w:tcBorders>
          </w:tcPr>
          <w:p>
            <w:pPr>
              <w:spacing w:after="0"/>
              <w:rPr>
                <w:sz w:val="3"/>
                <w:szCs w:val="3"/>
                <w:color w:val="auto"/>
              </w:rPr>
            </w:pPr>
          </w:p>
        </w:tc>
        <w:tc>
          <w:tcPr>
            <w:tcW w:w="1720" w:type="dxa"/>
            <w:vAlign w:val="bottom"/>
            <w:tcBorders>
              <w:bottom w:val="single" w:sz="8" w:color="5D89B4"/>
            </w:tcBorders>
          </w:tcPr>
          <w:p>
            <w:pPr>
              <w:spacing w:after="0"/>
              <w:rPr>
                <w:sz w:val="3"/>
                <w:szCs w:val="3"/>
                <w:color w:val="auto"/>
              </w:rPr>
            </w:pPr>
          </w:p>
        </w:tc>
      </w:tr>
      <w:tr>
        <w:trPr>
          <w:trHeight w:val="232"/>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Richard Buchband</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5,190</w:t>
            </w:r>
          </w:p>
        </w:tc>
        <w:tc>
          <w:tcPr>
            <w:tcW w:w="1720" w:type="dxa"/>
            <w:vAlign w:val="bottom"/>
          </w:tcPr>
          <w:p>
            <w:pPr>
              <w:jc w:val="right"/>
              <w:ind w:right="85"/>
              <w:spacing w:after="0"/>
              <w:rPr>
                <w:sz w:val="20"/>
                <w:szCs w:val="20"/>
                <w:color w:val="auto"/>
              </w:rPr>
            </w:pPr>
            <w:r>
              <w:rPr>
                <w:rFonts w:ascii="Arial" w:cs="Arial" w:eastAsia="Arial" w:hAnsi="Arial"/>
                <w:sz w:val="15"/>
                <w:szCs w:val="15"/>
                <w:color w:val="auto"/>
              </w:rPr>
              <w:t>10,121</w:t>
            </w:r>
          </w:p>
        </w:tc>
      </w:tr>
      <w:tr>
        <w:trPr>
          <w:trHeight w:val="41"/>
        </w:trPr>
        <w:tc>
          <w:tcPr>
            <w:tcW w:w="5080" w:type="dxa"/>
            <w:vAlign w:val="bottom"/>
            <w:tcBorders>
              <w:bottom w:val="single" w:sz="8" w:color="5D89B4"/>
            </w:tcBorders>
          </w:tcPr>
          <w:p>
            <w:pPr>
              <w:spacing w:after="0"/>
              <w:rPr>
                <w:sz w:val="3"/>
                <w:szCs w:val="3"/>
                <w:color w:val="auto"/>
              </w:rPr>
            </w:pPr>
          </w:p>
        </w:tc>
        <w:tc>
          <w:tcPr>
            <w:tcW w:w="2340" w:type="dxa"/>
            <w:vAlign w:val="bottom"/>
            <w:tcBorders>
              <w:bottom w:val="single" w:sz="8" w:color="5D89B4"/>
            </w:tcBorders>
          </w:tcPr>
          <w:p>
            <w:pPr>
              <w:spacing w:after="0"/>
              <w:rPr>
                <w:sz w:val="3"/>
                <w:szCs w:val="3"/>
                <w:color w:val="auto"/>
              </w:rPr>
            </w:pPr>
          </w:p>
        </w:tc>
        <w:tc>
          <w:tcPr>
            <w:tcW w:w="1720" w:type="dxa"/>
            <w:vAlign w:val="bottom"/>
            <w:tcBorders>
              <w:bottom w:val="single" w:sz="8" w:color="5D89B4"/>
            </w:tcBorders>
          </w:tcPr>
          <w:p>
            <w:pPr>
              <w:spacing w:after="0"/>
              <w:rPr>
                <w:sz w:val="3"/>
                <w:szCs w:val="3"/>
                <w:color w:val="auto"/>
              </w:rPr>
            </w:pPr>
          </w:p>
        </w:tc>
      </w:tr>
    </w:tbl>
    <w:p>
      <w:pPr>
        <w:spacing w:after="0" w:line="30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33333"/>
        </w:rPr>
        <w:t>Changes in 2024 - Introduction of Relative Total Shareholder Return Modifier</w:t>
      </w:r>
    </w:p>
    <w:p>
      <w:pPr>
        <w:spacing w:after="0" w:line="106" w:lineRule="exact"/>
        <w:rPr>
          <w:sz w:val="20"/>
          <w:szCs w:val="20"/>
          <w:color w:val="auto"/>
        </w:rPr>
      </w:pPr>
    </w:p>
    <w:p>
      <w:pPr>
        <w:ind w:left="180" w:right="40"/>
        <w:spacing w:after="0" w:line="233" w:lineRule="auto"/>
        <w:rPr>
          <w:sz w:val="20"/>
          <w:szCs w:val="20"/>
          <w:color w:val="auto"/>
        </w:rPr>
      </w:pPr>
      <w:r>
        <w:rPr>
          <w:rFonts w:ascii="Arial" w:cs="Arial" w:eastAsia="Arial" w:hAnsi="Arial"/>
          <w:sz w:val="15"/>
          <w:szCs w:val="15"/>
          <w:color w:val="auto"/>
        </w:rPr>
        <w:t>Starting with the PSUs awarded to the NEOs in February 2024, the Committee has introduced a modifier based on relative Total Shareholder Return (“rTSR”) in lieu of the prior Strategic KPIs and ESG Goals modifier. Under these awards, the number of shares that may be earned upon vesting of the PSUs can be increased or decreased based on the Company’s total shareholder return relative to a group of approximately 15 peer companies over the three-year performance period. The 15-company rTsR peer group consists of companies within our industry that have similar performance characteristics and is different from the peer group used for benchmarking purposes.</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Restricted Stock Units</w:t>
      </w:r>
    </w:p>
    <w:p>
      <w:pPr>
        <w:spacing w:after="0" w:line="71" w:lineRule="exact"/>
        <w:rPr>
          <w:sz w:val="20"/>
          <w:szCs w:val="20"/>
          <w:color w:val="auto"/>
        </w:rPr>
      </w:pPr>
    </w:p>
    <w:p>
      <w:pPr>
        <w:jc w:val="both"/>
        <w:ind w:left="180" w:right="240"/>
        <w:spacing w:after="0" w:line="241" w:lineRule="auto"/>
        <w:rPr>
          <w:sz w:val="20"/>
          <w:szCs w:val="20"/>
          <w:color w:val="auto"/>
        </w:rPr>
      </w:pPr>
      <w:r>
        <w:rPr>
          <w:rFonts w:ascii="Arial" w:cs="Arial" w:eastAsia="Arial" w:hAnsi="Arial"/>
          <w:sz w:val="15"/>
          <w:szCs w:val="15"/>
          <w:color w:val="auto"/>
        </w:rPr>
        <w:t>The Committee uses RSUs to align the interests of the NEOs with long-term shareholder value and add balance to the compensation program as they provide both upside potential and downside risk. In addition, RSUs provide a retention incentive to the NEOs to remain with the Company through the vesting date. The RSUs have a three-year cliff vest.</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Career Shares, Retirement and Deferred Compensation Plans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Career Shares</w:t>
      </w:r>
    </w:p>
    <w:p>
      <w:pPr>
        <w:spacing w:after="0" w:line="58" w:lineRule="exact"/>
        <w:rPr>
          <w:sz w:val="20"/>
          <w:szCs w:val="20"/>
          <w:color w:val="auto"/>
        </w:rPr>
      </w:pPr>
    </w:p>
    <w:p>
      <w:pPr>
        <w:ind w:left="180" w:right="260"/>
        <w:spacing w:after="0" w:line="241" w:lineRule="auto"/>
        <w:rPr>
          <w:sz w:val="20"/>
          <w:szCs w:val="20"/>
          <w:color w:val="auto"/>
        </w:rPr>
      </w:pPr>
      <w:r>
        <w:rPr>
          <w:rFonts w:ascii="Arial" w:cs="Arial" w:eastAsia="Arial" w:hAnsi="Arial"/>
          <w:sz w:val="15"/>
          <w:szCs w:val="15"/>
          <w:color w:val="auto"/>
        </w:rPr>
        <w:t>The Committee selectively grants career shares in the form of long-dated RSUs, typically five years, as needed to attract and retain executives. These career shares vest completely on a single date several years into the future. The Committee makes infrequent use of this compensation element and determines each year whether to make any such grants. None of the NEOs received career shares in 2023.</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Retirement and Deferred Compensation Plans</w:t>
      </w:r>
    </w:p>
    <w:p>
      <w:pPr>
        <w:spacing w:after="0" w:line="58" w:lineRule="exact"/>
        <w:rPr>
          <w:sz w:val="20"/>
          <w:szCs w:val="20"/>
          <w:color w:val="auto"/>
        </w:rPr>
      </w:pPr>
    </w:p>
    <w:p>
      <w:pPr>
        <w:ind w:left="180" w:right="220"/>
        <w:spacing w:after="0" w:line="231" w:lineRule="auto"/>
        <w:rPr>
          <w:sz w:val="20"/>
          <w:szCs w:val="20"/>
          <w:color w:val="auto"/>
        </w:rPr>
      </w:pPr>
      <w:r>
        <w:rPr>
          <w:rFonts w:ascii="Arial" w:cs="Arial" w:eastAsia="Arial" w:hAnsi="Arial"/>
          <w:sz w:val="15"/>
          <w:szCs w:val="15"/>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in their first year of employment or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The non-qualified savings plan also permits the Company to provide a discretionary profit-sharing contribution to participants.</w:t>
      </w:r>
    </w:p>
    <w:p>
      <w:pPr>
        <w:spacing w:after="0" w:line="111" w:lineRule="exact"/>
        <w:rPr>
          <w:sz w:val="20"/>
          <w:szCs w:val="20"/>
          <w:color w:val="auto"/>
        </w:rPr>
      </w:pPr>
    </w:p>
    <w:p>
      <w:pPr>
        <w:ind w:left="180" w:right="260"/>
        <w:spacing w:after="0" w:line="259" w:lineRule="auto"/>
        <w:rPr>
          <w:sz w:val="20"/>
          <w:szCs w:val="20"/>
          <w:color w:val="auto"/>
        </w:rPr>
      </w:pPr>
      <w:r>
        <w:rPr>
          <w:rFonts w:ascii="Arial" w:cs="Arial" w:eastAsia="Arial" w:hAnsi="Arial"/>
          <w:sz w:val="15"/>
          <w:szCs w:val="15"/>
          <w:color w:val="auto"/>
        </w:rPr>
        <w:t>Furthermore, the plan benefits are unsecured and subject to risk of forfeiture in bankruptcy. The Committee maintains this program in an effort to provide NEOs with reasonably competitive benefits to those in the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88265</wp:posOffset>
            </wp:positionV>
            <wp:extent cx="69138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50</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Other Benefits</w:t>
      </w:r>
    </w:p>
    <w:p>
      <w:pPr>
        <w:spacing w:after="0" w:line="120" w:lineRule="exact"/>
        <w:rPr>
          <w:sz w:val="20"/>
          <w:szCs w:val="20"/>
          <w:color w:val="auto"/>
        </w:rPr>
      </w:pPr>
    </w:p>
    <w:p>
      <w:pPr>
        <w:ind w:left="180" w:right="100"/>
        <w:spacing w:after="0" w:line="259" w:lineRule="auto"/>
        <w:rPr>
          <w:sz w:val="20"/>
          <w:szCs w:val="20"/>
          <w:color w:val="auto"/>
        </w:rPr>
      </w:pPr>
      <w:r>
        <w:rPr>
          <w:rFonts w:ascii="Arial" w:cs="Arial" w:eastAsia="Arial" w:hAnsi="Arial"/>
          <w:sz w:val="15"/>
          <w:szCs w:val="15"/>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161" w:lineRule="exact"/>
        <w:rPr>
          <w:sz w:val="20"/>
          <w:szCs w:val="20"/>
          <w:color w:val="auto"/>
        </w:rPr>
      </w:pPr>
    </w:p>
    <w:p>
      <w:pPr>
        <w:ind w:left="180" w:right="300"/>
        <w:spacing w:after="0" w:line="241" w:lineRule="auto"/>
        <w:rPr>
          <w:sz w:val="20"/>
          <w:szCs w:val="20"/>
          <w:color w:val="auto"/>
        </w:rPr>
      </w:pPr>
      <w:r>
        <w:rPr>
          <w:rFonts w:ascii="Arial" w:cs="Arial" w:eastAsia="Arial" w:hAnsi="Arial"/>
          <w:sz w:val="15"/>
          <w:szCs w:val="15"/>
          <w:color w:val="auto"/>
        </w:rPr>
        <w:t>ManpowerGroup also reimburses NEOs for financial planning and tax preparation services as well as annual executive physicals. In addition, ManpowerGroup provides an auto allowance to approximately 300 management employees in the U.S., including the U.S.-based NEOs. All of the NEOs received an auto allowance for 2023.</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Severance Agreements</w:t>
      </w:r>
    </w:p>
    <w:p>
      <w:pPr>
        <w:spacing w:after="0" w:line="58" w:lineRule="exact"/>
        <w:rPr>
          <w:sz w:val="20"/>
          <w:szCs w:val="20"/>
          <w:color w:val="auto"/>
        </w:rPr>
      </w:pPr>
    </w:p>
    <w:p>
      <w:pPr>
        <w:ind w:left="180"/>
        <w:spacing w:after="0" w:line="233"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These severance agreements are more fully described on pages 62-63.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agreements do not provide for any tax gross up payments and require a double trigger in order for our NEOs to receive benefits following a change in control.</w:t>
      </w:r>
    </w:p>
    <w:p>
      <w:pPr>
        <w:spacing w:after="0" w:line="30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Governance Features of Our Executive Compensation Programs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We Have Stock Ownership Guidelines for Executive Officers</w:t>
      </w:r>
    </w:p>
    <w:p>
      <w:pPr>
        <w:spacing w:after="0" w:line="71" w:lineRule="exact"/>
        <w:rPr>
          <w:sz w:val="20"/>
          <w:szCs w:val="20"/>
          <w:color w:val="auto"/>
        </w:rPr>
      </w:pPr>
    </w:p>
    <w:p>
      <w:pPr>
        <w:ind w:left="180" w:right="40"/>
        <w:spacing w:after="0" w:line="228" w:lineRule="auto"/>
        <w:rPr>
          <w:sz w:val="20"/>
          <w:szCs w:val="20"/>
          <w:color w:val="auto"/>
        </w:rPr>
      </w:pPr>
      <w:r>
        <w:rPr>
          <w:rFonts w:ascii="Arial" w:cs="Arial" w:eastAsia="Arial" w:hAnsi="Arial"/>
          <w:sz w:val="15"/>
          <w:szCs w:val="15"/>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RSUs, and unvested PSUs calculated at the threshold level. The Committee does not consider any unexercised stock options or PSUs above the threshold level held by the NEOs. As all of the executives’ outstanding unvested PSUs have a threshold level of 0%, these do not contribute to calculating an executive’s ownership of shares. Additionally, to enforce our stock ownership policies, we limit the ability of executive officers to sell equity until they are in compliance with the guidelines. An executive who has not yet met, or who falls below, the stock ownership guidelines, is required to hold 50% of the shares received from the exercise of stock options or the vesting of RSUs or PSUs until the ownership guidelines have been satisfied. The following table shows the status as of December 31, 2023, of each of the NEOs.</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2660" w:type="dxa"/>
            <w:vAlign w:val="bottom"/>
            <w:shd w:val="clear" w:color="auto" w:fill="EAEAEA"/>
          </w:tcPr>
          <w:p>
            <w:pPr>
              <w:spacing w:after="0"/>
              <w:rPr>
                <w:sz w:val="16"/>
                <w:szCs w:val="16"/>
                <w:color w:val="auto"/>
              </w:rPr>
            </w:pPr>
          </w:p>
        </w:tc>
        <w:tc>
          <w:tcPr>
            <w:tcW w:w="1500" w:type="dxa"/>
            <w:vAlign w:val="bottom"/>
            <w:shd w:val="clear" w:color="auto" w:fill="EAEAEA"/>
          </w:tcPr>
          <w:p>
            <w:pPr>
              <w:jc w:val="center"/>
              <w:ind w:left="170"/>
              <w:spacing w:after="0"/>
              <w:rPr>
                <w:sz w:val="20"/>
                <w:szCs w:val="20"/>
                <w:color w:val="auto"/>
              </w:rPr>
            </w:pPr>
            <w:r>
              <w:rPr>
                <w:rFonts w:ascii="Arial" w:cs="Arial" w:eastAsia="Arial" w:hAnsi="Arial"/>
                <w:sz w:val="12"/>
                <w:szCs w:val="12"/>
                <w:b w:val="1"/>
                <w:bCs w:val="1"/>
                <w:color w:val="5D89B4"/>
              </w:rPr>
              <w:t>TARGET AS</w:t>
            </w:r>
          </w:p>
        </w:tc>
        <w:tc>
          <w:tcPr>
            <w:tcW w:w="1240" w:type="dxa"/>
            <w:vAlign w:val="bottom"/>
            <w:vMerge w:val="restart"/>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TARGET</w:t>
            </w:r>
          </w:p>
        </w:tc>
        <w:tc>
          <w:tcPr>
            <w:tcW w:w="2020" w:type="dxa"/>
            <w:vAlign w:val="bottom"/>
            <w:vMerge w:val="restart"/>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TARGET</w:t>
            </w:r>
          </w:p>
        </w:tc>
        <w:tc>
          <w:tcPr>
            <w:tcW w:w="1940" w:type="dxa"/>
            <w:vAlign w:val="bottom"/>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NUMBER OF</w:t>
            </w:r>
          </w:p>
        </w:tc>
        <w:tc>
          <w:tcPr>
            <w:tcW w:w="1520" w:type="dxa"/>
            <w:vAlign w:val="bottom"/>
            <w:vMerge w:val="restart"/>
            <w:shd w:val="clear" w:color="auto" w:fill="EAEAEA"/>
          </w:tcPr>
          <w:p>
            <w:pPr>
              <w:jc w:val="center"/>
              <w:ind w:left="238"/>
              <w:spacing w:after="0"/>
              <w:rPr>
                <w:sz w:val="20"/>
                <w:szCs w:val="20"/>
                <w:color w:val="auto"/>
              </w:rPr>
            </w:pPr>
            <w:r>
              <w:rPr>
                <w:rFonts w:ascii="Arial" w:cs="Arial" w:eastAsia="Arial" w:hAnsi="Arial"/>
                <w:sz w:val="12"/>
                <w:szCs w:val="12"/>
                <w:b w:val="1"/>
                <w:bCs w:val="1"/>
                <w:color w:val="5D89B4"/>
              </w:rPr>
              <w:t>STATUS AS OF</w:t>
            </w:r>
          </w:p>
        </w:tc>
        <w:tc>
          <w:tcPr>
            <w:tcW w:w="0" w:type="dxa"/>
            <w:vAlign w:val="bottom"/>
          </w:tcPr>
          <w:p>
            <w:pPr>
              <w:spacing w:after="0"/>
              <w:rPr>
                <w:sz w:val="1"/>
                <w:szCs w:val="1"/>
                <w:color w:val="auto"/>
              </w:rPr>
            </w:pPr>
          </w:p>
        </w:tc>
      </w:tr>
      <w:tr>
        <w:trPr>
          <w:trHeight w:val="133"/>
        </w:trPr>
        <w:tc>
          <w:tcPr>
            <w:tcW w:w="2660" w:type="dxa"/>
            <w:vAlign w:val="bottom"/>
            <w:vMerge w:val="restart"/>
            <w:shd w:val="clear" w:color="auto" w:fill="EAEAEA"/>
          </w:tcPr>
          <w:p>
            <w:pPr>
              <w:ind w:left="80"/>
              <w:spacing w:after="0"/>
              <w:rPr>
                <w:sz w:val="20"/>
                <w:szCs w:val="20"/>
                <w:color w:val="auto"/>
              </w:rPr>
            </w:pPr>
            <w:r>
              <w:rPr>
                <w:rFonts w:ascii="Arial" w:cs="Arial" w:eastAsia="Arial" w:hAnsi="Arial"/>
                <w:sz w:val="12"/>
                <w:szCs w:val="12"/>
                <w:b w:val="1"/>
                <w:bCs w:val="1"/>
                <w:color w:val="5D89B4"/>
              </w:rPr>
              <w:t>NEO</w:t>
            </w:r>
          </w:p>
        </w:tc>
        <w:tc>
          <w:tcPr>
            <w:tcW w:w="1500" w:type="dxa"/>
            <w:vAlign w:val="bottom"/>
            <w:shd w:val="clear" w:color="auto" w:fill="EAEAEA"/>
          </w:tcPr>
          <w:p>
            <w:pPr>
              <w:jc w:val="center"/>
              <w:ind w:left="170"/>
              <w:spacing w:after="0" w:line="134" w:lineRule="exact"/>
              <w:rPr>
                <w:sz w:val="20"/>
                <w:szCs w:val="20"/>
                <w:color w:val="auto"/>
              </w:rPr>
            </w:pPr>
            <w:r>
              <w:rPr>
                <w:rFonts w:ascii="Arial" w:cs="Arial" w:eastAsia="Arial" w:hAnsi="Arial"/>
                <w:sz w:val="12"/>
                <w:szCs w:val="12"/>
                <w:b w:val="1"/>
                <w:bCs w:val="1"/>
                <w:color w:val="5D89B4"/>
              </w:rPr>
              <w:t>A MULTIPLE</w:t>
            </w:r>
          </w:p>
        </w:tc>
        <w:tc>
          <w:tcPr>
            <w:tcW w:w="1240" w:type="dxa"/>
            <w:vAlign w:val="bottom"/>
            <w:vMerge w:val="continue"/>
            <w:shd w:val="clear" w:color="auto" w:fill="EAEAEA"/>
          </w:tcPr>
          <w:p>
            <w:pPr>
              <w:spacing w:after="0"/>
              <w:rPr>
                <w:sz w:val="11"/>
                <w:szCs w:val="11"/>
                <w:color w:val="auto"/>
              </w:rPr>
            </w:pPr>
          </w:p>
        </w:tc>
        <w:tc>
          <w:tcPr>
            <w:tcW w:w="2020" w:type="dxa"/>
            <w:vAlign w:val="bottom"/>
            <w:vMerge w:val="continue"/>
            <w:shd w:val="clear" w:color="auto" w:fill="EAEAEA"/>
          </w:tcPr>
          <w:p>
            <w:pPr>
              <w:spacing w:after="0"/>
              <w:rPr>
                <w:sz w:val="11"/>
                <w:szCs w:val="11"/>
                <w:color w:val="auto"/>
              </w:rPr>
            </w:pPr>
          </w:p>
        </w:tc>
        <w:tc>
          <w:tcPr>
            <w:tcW w:w="1940" w:type="dxa"/>
            <w:vAlign w:val="bottom"/>
            <w:shd w:val="clear" w:color="auto" w:fill="EAEAEA"/>
          </w:tcPr>
          <w:p>
            <w:pPr>
              <w:jc w:val="right"/>
              <w:ind w:right="210"/>
              <w:spacing w:after="0" w:line="134" w:lineRule="exact"/>
              <w:rPr>
                <w:sz w:val="20"/>
                <w:szCs w:val="20"/>
                <w:color w:val="auto"/>
              </w:rPr>
            </w:pPr>
            <w:r>
              <w:rPr>
                <w:rFonts w:ascii="Arial" w:cs="Arial" w:eastAsia="Arial" w:hAnsi="Arial"/>
                <w:sz w:val="12"/>
                <w:szCs w:val="12"/>
                <w:b w:val="1"/>
                <w:bCs w:val="1"/>
                <w:color w:val="5D89B4"/>
              </w:rPr>
              <w:t>SHARES HELD AS OF</w:t>
            </w:r>
          </w:p>
        </w:tc>
        <w:tc>
          <w:tcPr>
            <w:tcW w:w="152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660" w:type="dxa"/>
            <w:vAlign w:val="bottom"/>
            <w:tcBorders>
              <w:bottom w:val="single" w:sz="8" w:color="EAEAEA"/>
            </w:tcBorders>
            <w:vMerge w:val="continue"/>
            <w:shd w:val="clear" w:color="auto" w:fill="EAEAEA"/>
          </w:tcPr>
          <w:p>
            <w:pPr>
              <w:spacing w:after="0"/>
              <w:rPr>
                <w:sz w:val="17"/>
                <w:szCs w:val="17"/>
                <w:color w:val="auto"/>
              </w:rPr>
            </w:pPr>
          </w:p>
        </w:tc>
        <w:tc>
          <w:tcPr>
            <w:tcW w:w="1500" w:type="dxa"/>
            <w:vAlign w:val="bottom"/>
            <w:tcBorders>
              <w:bottom w:val="single" w:sz="8" w:color="EAEAEA"/>
            </w:tcBorders>
            <w:shd w:val="clear" w:color="auto" w:fill="EAEAEA"/>
          </w:tcPr>
          <w:p>
            <w:pPr>
              <w:jc w:val="center"/>
              <w:ind w:left="170"/>
              <w:spacing w:after="0"/>
              <w:rPr>
                <w:sz w:val="20"/>
                <w:szCs w:val="20"/>
                <w:color w:val="auto"/>
              </w:rPr>
            </w:pPr>
            <w:r>
              <w:rPr>
                <w:rFonts w:ascii="Arial" w:cs="Arial" w:eastAsia="Arial" w:hAnsi="Arial"/>
                <w:sz w:val="12"/>
                <w:szCs w:val="12"/>
                <w:b w:val="1"/>
                <w:bCs w:val="1"/>
                <w:color w:val="5D89B4"/>
              </w:rPr>
              <w:t>OF SALARY</w:t>
            </w:r>
          </w:p>
        </w:tc>
        <w:tc>
          <w:tcPr>
            <w:tcW w:w="1240" w:type="dxa"/>
            <w:vAlign w:val="bottom"/>
            <w:tcBorders>
              <w:bottom w:val="single" w:sz="8" w:color="EAEAEA"/>
            </w:tcBorders>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VALUE($)(1)</w:t>
            </w:r>
          </w:p>
        </w:tc>
        <w:tc>
          <w:tcPr>
            <w:tcW w:w="2020" w:type="dxa"/>
            <w:vAlign w:val="bottom"/>
            <w:tcBorders>
              <w:bottom w:val="single" w:sz="8" w:color="EAEAEA"/>
            </w:tcBorders>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NUMBER OF SHARES(#)</w:t>
            </w:r>
          </w:p>
        </w:tc>
        <w:tc>
          <w:tcPr>
            <w:tcW w:w="1940" w:type="dxa"/>
            <w:vAlign w:val="bottom"/>
            <w:tcBorders>
              <w:bottom w:val="single" w:sz="8" w:color="EAEAEA"/>
            </w:tcBorders>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DECEMBER 31, 2023(#)</w:t>
            </w:r>
          </w:p>
        </w:tc>
        <w:tc>
          <w:tcPr>
            <w:tcW w:w="1520" w:type="dxa"/>
            <w:vAlign w:val="bottom"/>
            <w:tcBorders>
              <w:bottom w:val="single" w:sz="8" w:color="EAEAEA"/>
            </w:tcBorders>
            <w:shd w:val="clear" w:color="auto" w:fill="EAEAEA"/>
          </w:tcPr>
          <w:p>
            <w:pPr>
              <w:jc w:val="center"/>
              <w:ind w:left="238"/>
              <w:spacing w:after="0"/>
              <w:rPr>
                <w:sz w:val="20"/>
                <w:szCs w:val="20"/>
                <w:color w:val="auto"/>
              </w:rPr>
            </w:pPr>
            <w:r>
              <w:rPr>
                <w:rFonts w:ascii="Arial" w:cs="Arial" w:eastAsia="Arial" w:hAnsi="Arial"/>
                <w:sz w:val="12"/>
                <w:szCs w:val="12"/>
                <w:b w:val="1"/>
                <w:bCs w:val="1"/>
                <w:color w:val="5D89B4"/>
              </w:rPr>
              <w:t>DECEMBER 31, 2023</w:t>
            </w:r>
          </w:p>
        </w:tc>
        <w:tc>
          <w:tcPr>
            <w:tcW w:w="0" w:type="dxa"/>
            <w:vAlign w:val="bottom"/>
          </w:tcPr>
          <w:p>
            <w:pPr>
              <w:spacing w:after="0"/>
              <w:rPr>
                <w:sz w:val="1"/>
                <w:szCs w:val="1"/>
                <w:color w:val="auto"/>
              </w:rPr>
            </w:pPr>
          </w:p>
        </w:tc>
      </w:tr>
      <w:tr>
        <w:trPr>
          <w:trHeight w:val="252"/>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500" w:type="dxa"/>
            <w:vAlign w:val="bottom"/>
          </w:tcPr>
          <w:p>
            <w:pPr>
              <w:jc w:val="center"/>
              <w:ind w:left="170"/>
              <w:spacing w:after="0"/>
              <w:rPr>
                <w:sz w:val="20"/>
                <w:szCs w:val="20"/>
                <w:color w:val="auto"/>
              </w:rPr>
            </w:pPr>
            <w:r>
              <w:rPr>
                <w:rFonts w:ascii="Arial" w:cs="Arial" w:eastAsia="Arial" w:hAnsi="Arial"/>
                <w:sz w:val="15"/>
                <w:szCs w:val="15"/>
                <w:color w:val="auto"/>
              </w:rPr>
              <w:t>6</w:t>
            </w: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6,600,000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94,011</w:t>
            </w:r>
          </w:p>
        </w:tc>
        <w:tc>
          <w:tcPr>
            <w:tcW w:w="1940" w:type="dxa"/>
            <w:vAlign w:val="bottom"/>
          </w:tcPr>
          <w:p>
            <w:pPr>
              <w:jc w:val="right"/>
              <w:ind w:right="210"/>
              <w:spacing w:after="0"/>
              <w:rPr>
                <w:sz w:val="20"/>
                <w:szCs w:val="20"/>
                <w:color w:val="auto"/>
              </w:rPr>
            </w:pPr>
            <w:r>
              <w:rPr>
                <w:rFonts w:ascii="Arial" w:cs="Arial" w:eastAsia="Arial" w:hAnsi="Arial"/>
                <w:sz w:val="15"/>
                <w:szCs w:val="15"/>
                <w:color w:val="auto"/>
              </w:rPr>
              <w:t>468,881</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66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c>
          <w:tcPr>
            <w:tcW w:w="15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John T. McGinnis(2)</w:t>
            </w:r>
          </w:p>
        </w:tc>
        <w:tc>
          <w:tcPr>
            <w:tcW w:w="1500" w:type="dxa"/>
            <w:vAlign w:val="bottom"/>
          </w:tcPr>
          <w:p>
            <w:pPr>
              <w:jc w:val="center"/>
              <w:ind w:left="170"/>
              <w:spacing w:after="0"/>
              <w:rPr>
                <w:sz w:val="20"/>
                <w:szCs w:val="20"/>
                <w:color w:val="auto"/>
              </w:rPr>
            </w:pPr>
            <w:r>
              <w:rPr>
                <w:rFonts w:ascii="Arial" w:cs="Arial" w:eastAsia="Arial" w:hAnsi="Arial"/>
                <w:sz w:val="15"/>
                <w:szCs w:val="15"/>
                <w:color w:val="auto"/>
              </w:rPr>
              <w:t>4</w:t>
            </w: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2,400,000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32,994</w:t>
            </w:r>
          </w:p>
        </w:tc>
        <w:tc>
          <w:tcPr>
            <w:tcW w:w="1940" w:type="dxa"/>
            <w:vAlign w:val="bottom"/>
          </w:tcPr>
          <w:p>
            <w:pPr>
              <w:jc w:val="right"/>
              <w:ind w:right="210"/>
              <w:spacing w:after="0"/>
              <w:rPr>
                <w:sz w:val="20"/>
                <w:szCs w:val="20"/>
                <w:color w:val="auto"/>
              </w:rPr>
            </w:pPr>
            <w:r>
              <w:rPr>
                <w:rFonts w:ascii="Arial" w:cs="Arial" w:eastAsia="Arial" w:hAnsi="Arial"/>
                <w:sz w:val="15"/>
                <w:szCs w:val="15"/>
                <w:color w:val="auto"/>
              </w:rPr>
              <w:t>96,636</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6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c>
          <w:tcPr>
            <w:tcW w:w="15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Michelle S. Nettles(2)</w:t>
            </w:r>
          </w:p>
        </w:tc>
        <w:tc>
          <w:tcPr>
            <w:tcW w:w="1500" w:type="dxa"/>
            <w:vAlign w:val="bottom"/>
          </w:tcPr>
          <w:p>
            <w:pPr>
              <w:jc w:val="center"/>
              <w:ind w:left="170"/>
              <w:spacing w:after="0"/>
              <w:rPr>
                <w:sz w:val="20"/>
                <w:szCs w:val="20"/>
                <w:color w:val="auto"/>
              </w:rPr>
            </w:pPr>
            <w:r>
              <w:rPr>
                <w:rFonts w:ascii="Arial" w:cs="Arial" w:eastAsia="Arial" w:hAnsi="Arial"/>
                <w:sz w:val="15"/>
                <w:szCs w:val="15"/>
                <w:color w:val="auto"/>
              </w:rPr>
              <w:t>3</w:t>
            </w: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1,650,000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22,968</w:t>
            </w:r>
          </w:p>
        </w:tc>
        <w:tc>
          <w:tcPr>
            <w:tcW w:w="1940" w:type="dxa"/>
            <w:vAlign w:val="bottom"/>
          </w:tcPr>
          <w:p>
            <w:pPr>
              <w:jc w:val="right"/>
              <w:ind w:right="210"/>
              <w:spacing w:after="0"/>
              <w:rPr>
                <w:sz w:val="20"/>
                <w:szCs w:val="20"/>
                <w:color w:val="auto"/>
              </w:rPr>
            </w:pPr>
            <w:r>
              <w:rPr>
                <w:rFonts w:ascii="Arial" w:cs="Arial" w:eastAsia="Arial" w:hAnsi="Arial"/>
                <w:sz w:val="15"/>
                <w:szCs w:val="15"/>
                <w:color w:val="auto"/>
              </w:rPr>
              <w:t>46,055</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6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c>
          <w:tcPr>
            <w:tcW w:w="15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6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500" w:type="dxa"/>
            <w:vAlign w:val="bottom"/>
          </w:tcPr>
          <w:p>
            <w:pPr>
              <w:jc w:val="center"/>
              <w:ind w:left="170"/>
              <w:spacing w:after="0"/>
              <w:rPr>
                <w:sz w:val="20"/>
                <w:szCs w:val="20"/>
                <w:color w:val="auto"/>
              </w:rPr>
            </w:pPr>
            <w:r>
              <w:rPr>
                <w:rFonts w:ascii="Arial" w:cs="Arial" w:eastAsia="Arial" w:hAnsi="Arial"/>
                <w:sz w:val="15"/>
                <w:szCs w:val="15"/>
                <w:color w:val="auto"/>
              </w:rPr>
              <w:t>2</w:t>
            </w:r>
          </w:p>
        </w:tc>
        <w:tc>
          <w:tcPr>
            <w:tcW w:w="1240" w:type="dxa"/>
            <w:vAlign w:val="bottom"/>
          </w:tcPr>
          <w:p>
            <w:pPr>
              <w:jc w:val="right"/>
              <w:ind w:right="209"/>
              <w:spacing w:after="0"/>
              <w:rPr>
                <w:sz w:val="20"/>
                <w:szCs w:val="20"/>
                <w:color w:val="auto"/>
              </w:rPr>
            </w:pPr>
            <w:r>
              <w:rPr>
                <w:rFonts w:ascii="Arial" w:cs="Arial" w:eastAsia="Arial" w:hAnsi="Arial"/>
                <w:sz w:val="15"/>
                <w:szCs w:val="15"/>
                <w:color w:val="auto"/>
              </w:rPr>
              <w:t>910,000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12,962</w:t>
            </w:r>
          </w:p>
        </w:tc>
        <w:tc>
          <w:tcPr>
            <w:tcW w:w="1940" w:type="dxa"/>
            <w:vAlign w:val="bottom"/>
          </w:tcPr>
          <w:p>
            <w:pPr>
              <w:jc w:val="right"/>
              <w:ind w:right="210"/>
              <w:spacing w:after="0"/>
              <w:rPr>
                <w:sz w:val="20"/>
                <w:szCs w:val="20"/>
                <w:color w:val="auto"/>
              </w:rPr>
            </w:pPr>
            <w:r>
              <w:rPr>
                <w:rFonts w:ascii="Arial" w:cs="Arial" w:eastAsia="Arial" w:hAnsi="Arial"/>
                <w:sz w:val="15"/>
                <w:szCs w:val="15"/>
                <w:color w:val="auto"/>
              </w:rPr>
              <w:t>23,983</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66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40" w:type="dxa"/>
            <w:vAlign w:val="bottom"/>
            <w:tcBorders>
              <w:bottom w:val="single" w:sz="8" w:color="5D89B4"/>
            </w:tcBorders>
          </w:tcPr>
          <w:p>
            <w:pPr>
              <w:spacing w:after="0"/>
              <w:rPr>
                <w:sz w:val="3"/>
                <w:szCs w:val="3"/>
                <w:color w:val="auto"/>
              </w:rPr>
            </w:pPr>
          </w:p>
        </w:tc>
        <w:tc>
          <w:tcPr>
            <w:tcW w:w="202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c>
          <w:tcPr>
            <w:tcW w:w="152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6612890</wp:posOffset>
            </wp:positionH>
            <wp:positionV relativeFrom="paragraph">
              <wp:posOffset>-668655</wp:posOffset>
            </wp:positionV>
            <wp:extent cx="50800" cy="590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-482600</wp:posOffset>
            </wp:positionV>
            <wp:extent cx="50800" cy="590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-295910</wp:posOffset>
            </wp:positionV>
            <wp:extent cx="50800" cy="590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0800" cy="59055"/>
                    </a:xfrm>
                    <a:prstGeom prst="rect">
                      <a:avLst/>
                    </a:prstGeom>
                    <a:noFill/>
                  </pic:spPr>
                </pic:pic>
              </a:graphicData>
            </a:graphic>
          </wp:anchor>
        </w:drawing>
        <w:drawing>
          <wp:anchor simplePos="0" relativeHeight="251657728" behindDoc="1" locked="0" layoutInCell="0" allowOverlap="1">
            <wp:simplePos x="0" y="0"/>
            <wp:positionH relativeFrom="column">
              <wp:posOffset>6612890</wp:posOffset>
            </wp:positionH>
            <wp:positionV relativeFrom="paragraph">
              <wp:posOffset>-109220</wp:posOffset>
            </wp:positionV>
            <wp:extent cx="50800" cy="590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0800" cy="59055"/>
                    </a:xfrm>
                    <a:prstGeom prst="rect">
                      <a:avLst/>
                    </a:prstGeom>
                    <a:noFill/>
                  </pic:spPr>
                </pic:pic>
              </a:graphicData>
            </a:graphic>
          </wp:anchor>
        </w:drawing>
      </w:r>
    </w:p>
    <w:p>
      <w:pPr>
        <w:spacing w:after="0" w:line="91" w:lineRule="exact"/>
        <w:rPr>
          <w:sz w:val="20"/>
          <w:szCs w:val="20"/>
          <w:color w:val="auto"/>
        </w:rPr>
      </w:pPr>
    </w:p>
    <w:p>
      <w:pPr>
        <w:ind w:left="600" w:right="120" w:hanging="420"/>
        <w:spacing w:after="0" w:line="280" w:lineRule="auto"/>
        <w:tabs>
          <w:tab w:leader="none" w:pos="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and Ms. Nettles. Under the policy, executive officers have five years from January 1, 2014, to attain the targeted ownership levels or five years from date of hire for executive officers that were hired after January 1, 2014.</w:t>
      </w:r>
    </w:p>
    <w:p>
      <w:pPr>
        <w:spacing w:after="0" w:line="24" w:lineRule="exact"/>
        <w:rPr>
          <w:rFonts w:ascii="Arial" w:cs="Arial" w:eastAsia="Arial" w:hAnsi="Arial"/>
          <w:sz w:val="14"/>
          <w:szCs w:val="14"/>
          <w:color w:val="auto"/>
        </w:rPr>
      </w:pPr>
    </w:p>
    <w:p>
      <w:pPr>
        <w:ind w:left="600" w:hanging="420"/>
        <w:spacing w:after="0"/>
        <w:tabs>
          <w:tab w:leader="none" w:pos="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target values for Mr. McGinnis and Ms. Nettles are based on each of their base salaries and stock price on their dates of hire.</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We Have a Clawback Policy</w:t>
      </w:r>
    </w:p>
    <w:p>
      <w:pPr>
        <w:spacing w:after="0" w:line="98" w:lineRule="exact"/>
        <w:rPr>
          <w:sz w:val="20"/>
          <w:szCs w:val="20"/>
          <w:color w:val="auto"/>
        </w:rPr>
      </w:pPr>
    </w:p>
    <w:p>
      <w:pPr>
        <w:ind w:left="180" w:right="20"/>
        <w:spacing w:after="0" w:line="241" w:lineRule="auto"/>
        <w:rPr>
          <w:sz w:val="20"/>
          <w:szCs w:val="20"/>
          <w:color w:val="auto"/>
        </w:rPr>
      </w:pPr>
      <w:r>
        <w:rPr>
          <w:rFonts w:ascii="Arial" w:cs="Arial" w:eastAsia="Arial" w:hAnsi="Arial"/>
          <w:sz w:val="15"/>
          <w:szCs w:val="15"/>
          <w:color w:val="auto"/>
        </w:rPr>
        <w:t>In 2023, the Committee adopted the Senior Executive Compensation Recovery Policy (the “ Senior Recovery Policy”), which adheres to the listing standards of the NYSE and the rules of the SEC and replaced the clawback policy the Company had previously adopted in 2012. The Senior Recovery Policy applies to the NEOs as well as certain other senior leaders within the Company. Under the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87630</wp:posOffset>
            </wp:positionV>
            <wp:extent cx="69138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5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51</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6" w:lineRule="exact"/>
        <w:rPr>
          <w:sz w:val="20"/>
          <w:szCs w:val="20"/>
          <w:color w:val="auto"/>
        </w:rPr>
      </w:pPr>
    </w:p>
    <w:p>
      <w:pPr>
        <w:ind w:left="180" w:right="160"/>
        <w:spacing w:after="0" w:line="236" w:lineRule="auto"/>
        <w:rPr>
          <w:sz w:val="20"/>
          <w:szCs w:val="20"/>
          <w:color w:val="auto"/>
        </w:rPr>
      </w:pPr>
      <w:r>
        <w:rPr>
          <w:rFonts w:ascii="Arial" w:cs="Arial" w:eastAsia="Arial" w:hAnsi="Arial"/>
          <w:sz w:val="15"/>
          <w:szCs w:val="15"/>
          <w:color w:val="auto"/>
        </w:rPr>
        <w:t>Recovery Policy, in the event the Company is required to prepare an accounting restatement due to material noncompliance with any financial reporting requirement under the federal securities laws, the Company will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w:t>
      </w:r>
    </w:p>
    <w:p>
      <w:pPr>
        <w:spacing w:after="0" w:line="175" w:lineRule="exact"/>
        <w:rPr>
          <w:sz w:val="20"/>
          <w:szCs w:val="20"/>
          <w:color w:val="auto"/>
        </w:rPr>
      </w:pPr>
    </w:p>
    <w:p>
      <w:pPr>
        <w:ind w:left="180" w:right="80"/>
        <w:spacing w:after="0" w:line="241" w:lineRule="auto"/>
        <w:rPr>
          <w:sz w:val="20"/>
          <w:szCs w:val="20"/>
          <w:color w:val="auto"/>
        </w:rPr>
      </w:pPr>
      <w:r>
        <w:rPr>
          <w:rFonts w:ascii="Arial" w:cs="Arial" w:eastAsia="Arial" w:hAnsi="Arial"/>
          <w:sz w:val="15"/>
          <w:szCs w:val="15"/>
          <w:color w:val="auto"/>
        </w:rPr>
        <w:t>In addition to the Senior Recovery Policy, the Committee also adopted the Broad-Based Compensation Recovery Policy that applies to all employees not covered under the Senior Recovery Policy. This policy is similar to the Senior Recovery Policy except that it excludes recovery for immaterial errors to previously issued financial statements that would result in a material misstatement if the error were corrected in the current period, also known as little “r” restatements.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Our Insider Trading Policy Prohibits Hedging, Pledging and Short-Sale Transactions</w:t>
      </w:r>
    </w:p>
    <w:p>
      <w:pPr>
        <w:spacing w:after="0" w:line="98" w:lineRule="exact"/>
        <w:rPr>
          <w:sz w:val="20"/>
          <w:szCs w:val="20"/>
          <w:color w:val="auto"/>
        </w:rPr>
      </w:pPr>
    </w:p>
    <w:p>
      <w:pPr>
        <w:ind w:left="180" w:right="80"/>
        <w:spacing w:after="0" w:line="233" w:lineRule="auto"/>
        <w:rPr>
          <w:sz w:val="20"/>
          <w:szCs w:val="20"/>
          <w:color w:val="auto"/>
        </w:rPr>
      </w:pPr>
      <w:r>
        <w:rPr>
          <w:rFonts w:ascii="Arial" w:cs="Arial" w:eastAsia="Arial" w:hAnsi="Arial"/>
          <w:sz w:val="15"/>
          <w:szCs w:val="15"/>
          <w:color w:val="auto"/>
        </w:rPr>
        <w:t>Under ManpowerGroup’s Insider Trading Policy, all directors, officers and employees of the Company and their respective household members (collectively,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 as collateral for a loan.</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Material Tax Implications of the Executive Compensation Program</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Tax Implications for ManpowerGroup</w:t>
      </w:r>
    </w:p>
    <w:p>
      <w:pPr>
        <w:spacing w:after="0" w:line="58" w:lineRule="exact"/>
        <w:rPr>
          <w:sz w:val="20"/>
          <w:szCs w:val="20"/>
          <w:color w:val="auto"/>
        </w:rPr>
      </w:pPr>
    </w:p>
    <w:p>
      <w:pPr>
        <w:jc w:val="both"/>
        <w:ind w:left="180" w:right="60"/>
        <w:spacing w:after="0" w:line="241" w:lineRule="auto"/>
        <w:rPr>
          <w:sz w:val="20"/>
          <w:szCs w:val="20"/>
          <w:color w:val="auto"/>
        </w:rPr>
      </w:pPr>
      <w:r>
        <w:rPr>
          <w:rFonts w:ascii="Arial" w:cs="Arial" w:eastAsia="Arial" w:hAnsi="Arial"/>
          <w:sz w:val="15"/>
          <w:szCs w:val="15"/>
          <w:color w:val="auto"/>
        </w:rPr>
        <w:t>Section 162(m) of the Internal Revenue Code generally disallows a tax deduction to public corporations for compensation over $1,000,000 paid in any tax year to any “covered employee.” Covered employees include the corporation’s CEO, CFO and each of its three most highly compensated NEOs (other than the CEO and CFO) regardless of whether they were in service as of the end of any such tax year.</w:t>
      </w:r>
    </w:p>
    <w:p>
      <w:pPr>
        <w:spacing w:after="0" w:line="67" w:lineRule="exact"/>
        <w:rPr>
          <w:sz w:val="20"/>
          <w:szCs w:val="20"/>
          <w:color w:val="auto"/>
        </w:rPr>
      </w:pPr>
    </w:p>
    <w:p>
      <w:pPr>
        <w:jc w:val="both"/>
        <w:ind w:left="180" w:right="140"/>
        <w:spacing w:after="0" w:line="241" w:lineRule="auto"/>
        <w:rPr>
          <w:sz w:val="20"/>
          <w:szCs w:val="20"/>
          <w:color w:val="auto"/>
        </w:rPr>
      </w:pPr>
      <w:r>
        <w:rPr>
          <w:rFonts w:ascii="Arial" w:cs="Arial" w:eastAsia="Arial" w:hAnsi="Arial"/>
          <w:sz w:val="15"/>
          <w:szCs w:val="15"/>
          <w:color w:val="auto"/>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67" w:lineRule="exact"/>
        <w:rPr>
          <w:sz w:val="20"/>
          <w:szCs w:val="20"/>
          <w:color w:val="auto"/>
        </w:rPr>
      </w:pPr>
    </w:p>
    <w:p>
      <w:pPr>
        <w:ind w:left="180" w:right="60"/>
        <w:spacing w:after="0" w:line="241" w:lineRule="auto"/>
        <w:rPr>
          <w:sz w:val="20"/>
          <w:szCs w:val="20"/>
          <w:color w:val="auto"/>
        </w:rPr>
      </w:pPr>
      <w:r>
        <w:rPr>
          <w:rFonts w:ascii="Arial" w:cs="Arial" w:eastAsia="Arial" w:hAnsi="Arial"/>
          <w:sz w:val="15"/>
          <w:szCs w:val="15"/>
          <w:color w:val="auto"/>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Tax Implications for NEOs</w:t>
      </w:r>
    </w:p>
    <w:p>
      <w:pPr>
        <w:spacing w:after="0" w:line="71" w:lineRule="exact"/>
        <w:rPr>
          <w:sz w:val="20"/>
          <w:szCs w:val="20"/>
          <w:color w:val="auto"/>
        </w:rPr>
      </w:pPr>
    </w:p>
    <w:p>
      <w:pPr>
        <w:ind w:left="180"/>
        <w:spacing w:after="0" w:line="228" w:lineRule="auto"/>
        <w:rPr>
          <w:sz w:val="20"/>
          <w:szCs w:val="20"/>
          <w:color w:val="auto"/>
        </w:rPr>
      </w:pPr>
      <w:r>
        <w:rPr>
          <w:rFonts w:ascii="Arial" w:cs="Arial" w:eastAsia="Arial" w:hAnsi="Arial"/>
          <w:sz w:val="15"/>
          <w:szCs w:val="15"/>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91440</wp:posOffset>
            </wp:positionV>
            <wp:extent cx="69138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40"/>
          </w:cols>
          <w:pgMar w:left="320" w:top="480"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960"/>
        <w:spacing w:after="0" w:line="298" w:lineRule="auto"/>
        <w:rPr>
          <w:sz w:val="20"/>
          <w:szCs w:val="20"/>
          <w:color w:val="auto"/>
        </w:rPr>
      </w:pPr>
      <w:r>
        <w:rPr>
          <w:rFonts w:ascii="Arial" w:cs="Arial" w:eastAsia="Arial" w:hAnsi="Arial"/>
          <w:sz w:val="42"/>
          <w:szCs w:val="42"/>
          <w:b w:val="1"/>
          <w:bCs w:val="1"/>
          <w:color w:val="5D89B4"/>
        </w:rPr>
        <w:t>Report of the People, Culture and Compensation Committee of the Board of Directors</w:t>
      </w:r>
    </w:p>
    <w:p>
      <w:pPr>
        <w:spacing w:after="0" w:line="134" w:lineRule="exact"/>
        <w:rPr>
          <w:sz w:val="20"/>
          <w:szCs w:val="20"/>
          <w:color w:val="auto"/>
        </w:rPr>
      </w:pPr>
    </w:p>
    <w:p>
      <w:pPr>
        <w:ind w:left="180"/>
        <w:spacing w:after="0" w:line="241" w:lineRule="auto"/>
        <w:rPr>
          <w:sz w:val="20"/>
          <w:szCs w:val="20"/>
          <w:color w:val="auto"/>
        </w:rPr>
      </w:pPr>
      <w:r>
        <w:rPr>
          <w:rFonts w:ascii="Arial" w:cs="Arial" w:eastAsia="Arial" w:hAnsi="Arial"/>
          <w:sz w:val="15"/>
          <w:szCs w:val="15"/>
          <w:color w:val="auto"/>
        </w:rPr>
        <w:t>The people, culture and compensation committee of the board of directors of ManpowerGroup has reviewed and discussed with management the Compensation Discussion and Analysis included in this proxy statement. Based on this review and discussion, the people, culture and compensation committee recommended to the board of directors that the Compensation Discussion and Analysis be included in this proxy statement.</w:t>
      </w:r>
    </w:p>
    <w:p>
      <w:pPr>
        <w:spacing w:after="0" w:line="17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5D89B4"/>
        </w:rPr>
        <w:t>The People, Culture and Compensation Committee</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Elizabeth P. Sartain, Chair</w:t>
      </w:r>
    </w:p>
    <w:p>
      <w:pPr>
        <w:spacing w:after="0" w:line="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William Downe</w:t>
      </w:r>
    </w:p>
    <w:p>
      <w:pPr>
        <w:spacing w:after="0" w:line="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William P. Gipson</w:t>
      </w:r>
    </w:p>
    <w:p>
      <w:pPr>
        <w:spacing w:after="0" w:line="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Julie M. Howard</w:t>
      </w:r>
    </w:p>
    <w:p>
      <w:pPr>
        <w:spacing w:after="0" w:line="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Muriel Pénicaud</w:t>
      </w:r>
    </w:p>
    <w:p>
      <w:pPr>
        <w:spacing w:after="0" w:line="384" w:lineRule="exact"/>
        <w:rPr>
          <w:sz w:val="20"/>
          <w:szCs w:val="20"/>
          <w:color w:val="auto"/>
        </w:rPr>
      </w:pPr>
    </w:p>
    <w:p>
      <w:pPr>
        <w:ind w:left="180" w:right="1400"/>
        <w:spacing w:after="0" w:line="298" w:lineRule="auto"/>
        <w:rPr>
          <w:sz w:val="20"/>
          <w:szCs w:val="20"/>
          <w:color w:val="auto"/>
        </w:rPr>
      </w:pPr>
      <w:r>
        <w:rPr>
          <w:rFonts w:ascii="Arial" w:cs="Arial" w:eastAsia="Arial" w:hAnsi="Arial"/>
          <w:sz w:val="42"/>
          <w:szCs w:val="42"/>
          <w:b w:val="1"/>
          <w:bCs w:val="1"/>
          <w:color w:val="5D89B4"/>
        </w:rPr>
        <w:t>People, Culture and Compensation Committee Interlocks and Insider Participation</w:t>
      </w:r>
    </w:p>
    <w:p>
      <w:pPr>
        <w:spacing w:after="0" w:line="134" w:lineRule="exact"/>
        <w:rPr>
          <w:sz w:val="20"/>
          <w:szCs w:val="20"/>
          <w:color w:val="auto"/>
        </w:rPr>
      </w:pPr>
    </w:p>
    <w:p>
      <w:pPr>
        <w:ind w:left="180" w:right="200"/>
        <w:spacing w:after="0" w:line="241" w:lineRule="auto"/>
        <w:rPr>
          <w:sz w:val="20"/>
          <w:szCs w:val="20"/>
          <w:color w:val="auto"/>
        </w:rPr>
      </w:pPr>
      <w:r>
        <w:rPr>
          <w:rFonts w:ascii="Arial" w:cs="Arial" w:eastAsia="Arial" w:hAnsi="Arial"/>
          <w:sz w:val="15"/>
          <w:szCs w:val="15"/>
          <w:color w:val="auto"/>
        </w:rPr>
        <w:t>No member of the people, culture and compensation committee has ever been an officer or employee of ManpowerGroup or any of our subsidiaries or had any relationships requiring disclosure under Item 404 of Regulation S-K. None of our executive officers have served on the compensation committee or board of directors of any company of which any of our other directors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96520</wp:posOffset>
            </wp:positionV>
            <wp:extent cx="69138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5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00"/>
          </w:cols>
          <w:pgMar w:left="320" w:top="480"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Compensation Tables</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Summary Compensation Table</w:t>
      </w:r>
    </w:p>
    <w:p>
      <w:pPr>
        <w:spacing w:after="0" w:line="120" w:lineRule="exact"/>
        <w:rPr>
          <w:sz w:val="20"/>
          <w:szCs w:val="20"/>
          <w:color w:val="auto"/>
        </w:rPr>
      </w:pPr>
    </w:p>
    <w:p>
      <w:pPr>
        <w:ind w:left="180" w:right="120"/>
        <w:spacing w:after="0" w:line="241" w:lineRule="auto"/>
        <w:rPr>
          <w:sz w:val="20"/>
          <w:szCs w:val="20"/>
          <w:color w:val="auto"/>
        </w:rPr>
      </w:pPr>
      <w:r>
        <w:rPr>
          <w:rFonts w:ascii="Arial" w:cs="Arial" w:eastAsia="Arial" w:hAnsi="Arial"/>
          <w:sz w:val="15"/>
          <w:szCs w:val="15"/>
          <w:color w:val="auto"/>
        </w:rPr>
        <w:t>The table below sets forth the compensation information for our NEOs during the fiscal years ended December 31, 2023, December 31, 2022, and December 31, 2021. All amounts are calculated in accordance with SEC disclosure rules, including amounts with respect to our equity compensation plan awards, as further described below.</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2380" w:type="dxa"/>
            <w:vAlign w:val="bottom"/>
            <w:shd w:val="clear" w:color="auto" w:fill="EAEAEA"/>
          </w:tcPr>
          <w:p>
            <w:pPr>
              <w:spacing w:after="0"/>
              <w:rPr>
                <w:sz w:val="15"/>
                <w:szCs w:val="15"/>
                <w:color w:val="auto"/>
              </w:rPr>
            </w:pPr>
          </w:p>
        </w:tc>
        <w:tc>
          <w:tcPr>
            <w:tcW w:w="640" w:type="dxa"/>
            <w:vAlign w:val="bottom"/>
            <w:shd w:val="clear" w:color="auto" w:fill="EAEAEA"/>
          </w:tcPr>
          <w:p>
            <w:pPr>
              <w:spacing w:after="0"/>
              <w:rPr>
                <w:sz w:val="15"/>
                <w:szCs w:val="15"/>
                <w:color w:val="auto"/>
              </w:rPr>
            </w:pPr>
          </w:p>
        </w:tc>
        <w:tc>
          <w:tcPr>
            <w:tcW w:w="840" w:type="dxa"/>
            <w:vAlign w:val="bottom"/>
            <w:shd w:val="clear" w:color="auto" w:fill="EAEAEA"/>
          </w:tcPr>
          <w:p>
            <w:pPr>
              <w:spacing w:after="0"/>
              <w:rPr>
                <w:sz w:val="15"/>
                <w:szCs w:val="15"/>
                <w:color w:val="auto"/>
              </w:rPr>
            </w:pPr>
          </w:p>
        </w:tc>
        <w:tc>
          <w:tcPr>
            <w:tcW w:w="660" w:type="dxa"/>
            <w:vAlign w:val="bottom"/>
            <w:shd w:val="clear" w:color="auto" w:fill="EAEAEA"/>
          </w:tcPr>
          <w:p>
            <w:pPr>
              <w:spacing w:after="0"/>
              <w:rPr>
                <w:sz w:val="15"/>
                <w:szCs w:val="15"/>
                <w:color w:val="auto"/>
              </w:rPr>
            </w:pPr>
          </w:p>
        </w:tc>
        <w:tc>
          <w:tcPr>
            <w:tcW w:w="96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1220" w:type="dxa"/>
            <w:vAlign w:val="bottom"/>
            <w:shd w:val="clear" w:color="auto" w:fill="EAEAEA"/>
          </w:tcPr>
          <w:p>
            <w:pPr>
              <w:spacing w:after="0"/>
              <w:rPr>
                <w:sz w:val="15"/>
                <w:szCs w:val="15"/>
                <w:color w:val="auto"/>
              </w:rPr>
            </w:pPr>
          </w:p>
        </w:tc>
        <w:tc>
          <w:tcPr>
            <w:tcW w:w="1220" w:type="dxa"/>
            <w:vAlign w:val="bottom"/>
            <w:shd w:val="clear" w:color="auto" w:fill="EAEAEA"/>
          </w:tcPr>
          <w:p>
            <w:pPr>
              <w:jc w:val="right"/>
              <w:ind w:right="32"/>
              <w:spacing w:after="0"/>
              <w:rPr>
                <w:sz w:val="20"/>
                <w:szCs w:val="20"/>
                <w:color w:val="auto"/>
              </w:rPr>
            </w:pPr>
            <w:r>
              <w:rPr>
                <w:rFonts w:ascii="Arial" w:cs="Arial" w:eastAsia="Arial" w:hAnsi="Arial"/>
                <w:sz w:val="12"/>
                <w:szCs w:val="12"/>
                <w:b w:val="1"/>
                <w:bCs w:val="1"/>
                <w:color w:val="5D89B4"/>
              </w:rPr>
              <w:t>CHANGE IN</w:t>
            </w:r>
          </w:p>
        </w:tc>
        <w:tc>
          <w:tcPr>
            <w:tcW w:w="124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EAEAEA"/>
          </w:tcPr>
          <w:p>
            <w:pPr>
              <w:spacing w:after="0"/>
              <w:rPr>
                <w:sz w:val="11"/>
                <w:szCs w:val="11"/>
                <w:color w:val="auto"/>
              </w:rPr>
            </w:pPr>
          </w:p>
        </w:tc>
        <w:tc>
          <w:tcPr>
            <w:tcW w:w="64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PENSION VALUE</w:t>
            </w:r>
          </w:p>
        </w:tc>
        <w:tc>
          <w:tcPr>
            <w:tcW w:w="124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EAEAEA"/>
          </w:tcPr>
          <w:p>
            <w:pPr>
              <w:spacing w:after="0"/>
              <w:rPr>
                <w:sz w:val="11"/>
                <w:szCs w:val="11"/>
                <w:color w:val="auto"/>
              </w:rPr>
            </w:pPr>
          </w:p>
        </w:tc>
        <w:tc>
          <w:tcPr>
            <w:tcW w:w="64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AND NON-</w:t>
            </w:r>
          </w:p>
        </w:tc>
        <w:tc>
          <w:tcPr>
            <w:tcW w:w="124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EAEAEA"/>
          </w:tcPr>
          <w:p>
            <w:pPr>
              <w:spacing w:after="0"/>
              <w:rPr>
                <w:sz w:val="11"/>
                <w:szCs w:val="11"/>
                <w:color w:val="auto"/>
              </w:rPr>
            </w:pPr>
          </w:p>
        </w:tc>
        <w:tc>
          <w:tcPr>
            <w:tcW w:w="640" w:type="dxa"/>
            <w:vAlign w:val="bottom"/>
            <w:shd w:val="clear" w:color="auto" w:fill="EAEAEA"/>
          </w:tcPr>
          <w:p>
            <w:pPr>
              <w:spacing w:after="0"/>
              <w:rPr>
                <w:sz w:val="11"/>
                <w:szCs w:val="11"/>
                <w:color w:val="auto"/>
              </w:rPr>
            </w:pPr>
          </w:p>
        </w:tc>
        <w:tc>
          <w:tcPr>
            <w:tcW w:w="84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2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QUALIFIED</w:t>
            </w:r>
          </w:p>
        </w:tc>
        <w:tc>
          <w:tcPr>
            <w:tcW w:w="124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80" w:type="dxa"/>
            <w:vAlign w:val="bottom"/>
            <w:vMerge w:val="restart"/>
            <w:shd w:val="clear" w:color="auto" w:fill="EAEAEA"/>
          </w:tcPr>
          <w:p>
            <w:pPr>
              <w:ind w:left="80"/>
              <w:spacing w:after="0"/>
              <w:rPr>
                <w:sz w:val="20"/>
                <w:szCs w:val="20"/>
                <w:color w:val="auto"/>
              </w:rPr>
            </w:pPr>
            <w:r>
              <w:rPr>
                <w:rFonts w:ascii="Arial" w:cs="Arial" w:eastAsia="Arial" w:hAnsi="Arial"/>
                <w:sz w:val="12"/>
                <w:szCs w:val="12"/>
                <w:b w:val="1"/>
                <w:bCs w:val="1"/>
                <w:color w:val="5D89B4"/>
              </w:rPr>
              <w:t>NAME &amp;</w:t>
            </w:r>
          </w:p>
        </w:tc>
        <w:tc>
          <w:tcPr>
            <w:tcW w:w="640" w:type="dxa"/>
            <w:vAlign w:val="bottom"/>
            <w:shd w:val="clear" w:color="auto" w:fill="EAEAEA"/>
          </w:tcPr>
          <w:p>
            <w:pPr>
              <w:spacing w:after="0"/>
              <w:rPr>
                <w:sz w:val="12"/>
                <w:szCs w:val="12"/>
                <w:color w:val="auto"/>
              </w:rPr>
            </w:pPr>
          </w:p>
        </w:tc>
        <w:tc>
          <w:tcPr>
            <w:tcW w:w="840" w:type="dxa"/>
            <w:vAlign w:val="bottom"/>
            <w:shd w:val="clear" w:color="auto" w:fill="EAEAEA"/>
          </w:tcPr>
          <w:p>
            <w:pPr>
              <w:spacing w:after="0"/>
              <w:rPr>
                <w:sz w:val="12"/>
                <w:szCs w:val="12"/>
                <w:color w:val="auto"/>
              </w:rPr>
            </w:pPr>
          </w:p>
        </w:tc>
        <w:tc>
          <w:tcPr>
            <w:tcW w:w="660" w:type="dxa"/>
            <w:vAlign w:val="bottom"/>
            <w:shd w:val="clear" w:color="auto" w:fill="EAEAEA"/>
          </w:tcPr>
          <w:p>
            <w:pPr>
              <w:spacing w:after="0"/>
              <w:rPr>
                <w:sz w:val="12"/>
                <w:szCs w:val="12"/>
                <w:color w:val="auto"/>
              </w:rPr>
            </w:pPr>
          </w:p>
        </w:tc>
        <w:tc>
          <w:tcPr>
            <w:tcW w:w="960" w:type="dxa"/>
            <w:vAlign w:val="bottom"/>
            <w:vMerge w:val="restart"/>
            <w:shd w:val="clear" w:color="auto" w:fill="EAEAEA"/>
          </w:tcPr>
          <w:p>
            <w:pPr>
              <w:jc w:val="right"/>
              <w:ind w:right="51"/>
              <w:spacing w:after="0"/>
              <w:rPr>
                <w:sz w:val="20"/>
                <w:szCs w:val="20"/>
                <w:color w:val="auto"/>
              </w:rPr>
            </w:pPr>
            <w:r>
              <w:rPr>
                <w:rFonts w:ascii="Arial" w:cs="Arial" w:eastAsia="Arial" w:hAnsi="Arial"/>
                <w:sz w:val="12"/>
                <w:szCs w:val="12"/>
                <w:b w:val="1"/>
                <w:bCs w:val="1"/>
                <w:color w:val="5D89B4"/>
              </w:rPr>
              <w:t>STOCK</w:t>
            </w:r>
          </w:p>
        </w:tc>
        <w:tc>
          <w:tcPr>
            <w:tcW w:w="860" w:type="dxa"/>
            <w:vAlign w:val="bottom"/>
            <w:vMerge w:val="restart"/>
            <w:shd w:val="clear" w:color="auto" w:fill="EAEAEA"/>
          </w:tcPr>
          <w:p>
            <w:pPr>
              <w:jc w:val="right"/>
              <w:ind w:right="31"/>
              <w:spacing w:after="0"/>
              <w:rPr>
                <w:sz w:val="20"/>
                <w:szCs w:val="20"/>
                <w:color w:val="auto"/>
              </w:rPr>
            </w:pPr>
            <w:r>
              <w:rPr>
                <w:rFonts w:ascii="Arial" w:cs="Arial" w:eastAsia="Arial" w:hAnsi="Arial"/>
                <w:sz w:val="12"/>
                <w:szCs w:val="12"/>
                <w:b w:val="1"/>
                <w:bCs w:val="1"/>
                <w:color w:val="5D89B4"/>
              </w:rPr>
              <w:t>OPTION</w:t>
            </w:r>
          </w:p>
        </w:tc>
        <w:tc>
          <w:tcPr>
            <w:tcW w:w="1220" w:type="dxa"/>
            <w:vAlign w:val="bottom"/>
            <w:shd w:val="clear" w:color="auto" w:fill="EAEAEA"/>
          </w:tcPr>
          <w:p>
            <w:pPr>
              <w:jc w:val="right"/>
              <w:ind w:right="11"/>
              <w:spacing w:after="0"/>
              <w:rPr>
                <w:sz w:val="20"/>
                <w:szCs w:val="20"/>
                <w:color w:val="auto"/>
              </w:rPr>
            </w:pPr>
            <w:r>
              <w:rPr>
                <w:rFonts w:ascii="Arial" w:cs="Arial" w:eastAsia="Arial" w:hAnsi="Arial"/>
                <w:sz w:val="12"/>
                <w:szCs w:val="12"/>
                <w:b w:val="1"/>
                <w:bCs w:val="1"/>
                <w:color w:val="5D89B4"/>
              </w:rPr>
              <w:t>NON-EQUITY</w:t>
            </w:r>
          </w:p>
        </w:tc>
        <w:tc>
          <w:tcPr>
            <w:tcW w:w="1220" w:type="dxa"/>
            <w:vAlign w:val="bottom"/>
            <w:shd w:val="clear" w:color="auto" w:fill="EAEAEA"/>
          </w:tcPr>
          <w:p>
            <w:pPr>
              <w:jc w:val="right"/>
              <w:ind w:right="32"/>
              <w:spacing w:after="0"/>
              <w:rPr>
                <w:sz w:val="20"/>
                <w:szCs w:val="20"/>
                <w:color w:val="auto"/>
              </w:rPr>
            </w:pPr>
            <w:r>
              <w:rPr>
                <w:rFonts w:ascii="Arial" w:cs="Arial" w:eastAsia="Arial" w:hAnsi="Arial"/>
                <w:sz w:val="12"/>
                <w:szCs w:val="12"/>
                <w:b w:val="1"/>
                <w:bCs w:val="1"/>
                <w:color w:val="5D89B4"/>
              </w:rPr>
              <w:t>DEFERRED</w:t>
            </w:r>
          </w:p>
        </w:tc>
        <w:tc>
          <w:tcPr>
            <w:tcW w:w="1240" w:type="dxa"/>
            <w:vAlign w:val="bottom"/>
            <w:vMerge w:val="restart"/>
            <w:shd w:val="clear" w:color="auto" w:fill="EAEAEA"/>
          </w:tcPr>
          <w:p>
            <w:pPr>
              <w:jc w:val="right"/>
              <w:ind w:right="51"/>
              <w:spacing w:after="0"/>
              <w:rPr>
                <w:sz w:val="20"/>
                <w:szCs w:val="20"/>
                <w:color w:val="auto"/>
              </w:rPr>
            </w:pPr>
            <w:r>
              <w:rPr>
                <w:rFonts w:ascii="Arial" w:cs="Arial" w:eastAsia="Arial" w:hAnsi="Arial"/>
                <w:sz w:val="12"/>
                <w:szCs w:val="12"/>
                <w:b w:val="1"/>
                <w:bCs w:val="1"/>
                <w:color w:val="5D89B4"/>
              </w:rPr>
              <w:t>ALL OTHER</w:t>
            </w:r>
          </w:p>
        </w:tc>
        <w:tc>
          <w:tcPr>
            <w:tcW w:w="86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380" w:type="dxa"/>
            <w:vAlign w:val="bottom"/>
            <w:vMerge w:val="continue"/>
            <w:shd w:val="clear" w:color="auto" w:fill="EAEAEA"/>
          </w:tcPr>
          <w:p>
            <w:pPr>
              <w:spacing w:after="0"/>
              <w:rPr>
                <w:sz w:val="11"/>
                <w:szCs w:val="11"/>
                <w:color w:val="auto"/>
              </w:rPr>
            </w:pPr>
          </w:p>
        </w:tc>
        <w:tc>
          <w:tcPr>
            <w:tcW w:w="640" w:type="dxa"/>
            <w:vAlign w:val="bottom"/>
            <w:shd w:val="clear" w:color="auto" w:fill="EAEAEA"/>
          </w:tcPr>
          <w:p>
            <w:pPr>
              <w:spacing w:after="0"/>
              <w:rPr>
                <w:sz w:val="11"/>
                <w:szCs w:val="11"/>
                <w:color w:val="auto"/>
              </w:rPr>
            </w:pPr>
          </w:p>
        </w:tc>
        <w:tc>
          <w:tcPr>
            <w:tcW w:w="840" w:type="dxa"/>
            <w:vAlign w:val="bottom"/>
            <w:vMerge w:val="restart"/>
            <w:shd w:val="clear" w:color="auto" w:fill="EAEAEA"/>
          </w:tcPr>
          <w:p>
            <w:pPr>
              <w:jc w:val="right"/>
              <w:ind w:right="30"/>
              <w:spacing w:after="0"/>
              <w:rPr>
                <w:sz w:val="20"/>
                <w:szCs w:val="20"/>
                <w:color w:val="auto"/>
              </w:rPr>
            </w:pPr>
            <w:r>
              <w:rPr>
                <w:rFonts w:ascii="Arial" w:cs="Arial" w:eastAsia="Arial" w:hAnsi="Arial"/>
                <w:sz w:val="12"/>
                <w:szCs w:val="12"/>
                <w:b w:val="1"/>
                <w:bCs w:val="1"/>
                <w:color w:val="5D89B4"/>
              </w:rPr>
              <w:t>SALARY</w:t>
            </w:r>
          </w:p>
        </w:tc>
        <w:tc>
          <w:tcPr>
            <w:tcW w:w="660" w:type="dxa"/>
            <w:vAlign w:val="bottom"/>
            <w:vMerge w:val="restart"/>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BONUS</w:t>
            </w:r>
          </w:p>
        </w:tc>
        <w:tc>
          <w:tcPr>
            <w:tcW w:w="960" w:type="dxa"/>
            <w:vAlign w:val="bottom"/>
            <w:vMerge w:val="continue"/>
            <w:shd w:val="clear" w:color="auto" w:fill="EAEAEA"/>
          </w:tcPr>
          <w:p>
            <w:pPr>
              <w:spacing w:after="0"/>
              <w:rPr>
                <w:sz w:val="11"/>
                <w:szCs w:val="11"/>
                <w:color w:val="auto"/>
              </w:rPr>
            </w:pPr>
          </w:p>
        </w:tc>
        <w:tc>
          <w:tcPr>
            <w:tcW w:w="860" w:type="dxa"/>
            <w:vAlign w:val="bottom"/>
            <w:vMerge w:val="continue"/>
            <w:shd w:val="clear" w:color="auto" w:fill="EAEAEA"/>
          </w:tcPr>
          <w:p>
            <w:pPr>
              <w:spacing w:after="0"/>
              <w:rPr>
                <w:sz w:val="11"/>
                <w:szCs w:val="11"/>
                <w:color w:val="auto"/>
              </w:rPr>
            </w:pP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INCENTIVE PLAN</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COMPENSATION</w:t>
            </w:r>
          </w:p>
        </w:tc>
        <w:tc>
          <w:tcPr>
            <w:tcW w:w="1240" w:type="dxa"/>
            <w:vAlign w:val="bottom"/>
            <w:vMerge w:val="continue"/>
            <w:shd w:val="clear" w:color="auto" w:fill="EAEAEA"/>
          </w:tcPr>
          <w:p>
            <w:pPr>
              <w:spacing w:after="0"/>
              <w:rPr>
                <w:sz w:val="11"/>
                <w:szCs w:val="11"/>
                <w:color w:val="auto"/>
              </w:rPr>
            </w:pPr>
          </w:p>
        </w:tc>
        <w:tc>
          <w:tcPr>
            <w:tcW w:w="860" w:type="dxa"/>
            <w:vAlign w:val="bottom"/>
            <w:vMerge w:val="restart"/>
            <w:shd w:val="clear" w:color="auto" w:fill="EAEAEA"/>
          </w:tcPr>
          <w:p>
            <w:pPr>
              <w:jc w:val="right"/>
              <w:spacing w:after="0"/>
              <w:rPr>
                <w:sz w:val="20"/>
                <w:szCs w:val="20"/>
                <w:color w:val="auto"/>
              </w:rPr>
            </w:pPr>
            <w:r>
              <w:rPr>
                <w:rFonts w:ascii="Arial" w:cs="Arial" w:eastAsia="Arial" w:hAnsi="Arial"/>
                <w:sz w:val="12"/>
                <w:szCs w:val="12"/>
                <w:b w:val="1"/>
                <w:bCs w:val="1"/>
                <w:color w:val="5D89B4"/>
              </w:rPr>
              <w:t>TOTAL</w:t>
            </w:r>
          </w:p>
        </w:tc>
        <w:tc>
          <w:tcPr>
            <w:tcW w:w="0" w:type="dxa"/>
            <w:vAlign w:val="bottom"/>
          </w:tcPr>
          <w:p>
            <w:pPr>
              <w:spacing w:after="0"/>
              <w:rPr>
                <w:sz w:val="1"/>
                <w:szCs w:val="1"/>
                <w:color w:val="auto"/>
              </w:rPr>
            </w:pPr>
          </w:p>
        </w:tc>
      </w:tr>
      <w:tr>
        <w:trPr>
          <w:trHeight w:val="133"/>
        </w:trPr>
        <w:tc>
          <w:tcPr>
            <w:tcW w:w="238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PRINCIPAL</w:t>
            </w:r>
          </w:p>
        </w:tc>
        <w:tc>
          <w:tcPr>
            <w:tcW w:w="640" w:type="dxa"/>
            <w:vAlign w:val="bottom"/>
            <w:vMerge w:val="restart"/>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YEAR</w:t>
            </w:r>
          </w:p>
        </w:tc>
        <w:tc>
          <w:tcPr>
            <w:tcW w:w="840" w:type="dxa"/>
            <w:vAlign w:val="bottom"/>
            <w:vMerge w:val="continue"/>
            <w:shd w:val="clear" w:color="auto" w:fill="EAEAEA"/>
          </w:tcPr>
          <w:p>
            <w:pPr>
              <w:spacing w:after="0"/>
              <w:rPr>
                <w:sz w:val="11"/>
                <w:szCs w:val="11"/>
                <w:color w:val="auto"/>
              </w:rPr>
            </w:pPr>
          </w:p>
        </w:tc>
        <w:tc>
          <w:tcPr>
            <w:tcW w:w="660" w:type="dxa"/>
            <w:vAlign w:val="bottom"/>
            <w:vMerge w:val="continue"/>
            <w:shd w:val="clear" w:color="auto" w:fill="EAEAEA"/>
          </w:tcPr>
          <w:p>
            <w:pPr>
              <w:spacing w:after="0"/>
              <w:rPr>
                <w:sz w:val="11"/>
                <w:szCs w:val="11"/>
                <w:color w:val="auto"/>
              </w:rPr>
            </w:pPr>
          </w:p>
        </w:tc>
        <w:tc>
          <w:tcPr>
            <w:tcW w:w="960" w:type="dxa"/>
            <w:vAlign w:val="bottom"/>
            <w:shd w:val="clear" w:color="auto" w:fill="EAEAEA"/>
          </w:tcPr>
          <w:p>
            <w:pPr>
              <w:jc w:val="right"/>
              <w:ind w:right="51"/>
              <w:spacing w:after="0" w:line="134" w:lineRule="exact"/>
              <w:rPr>
                <w:sz w:val="20"/>
                <w:szCs w:val="20"/>
                <w:color w:val="auto"/>
              </w:rPr>
            </w:pPr>
            <w:r>
              <w:rPr>
                <w:rFonts w:ascii="Arial" w:cs="Arial" w:eastAsia="Arial" w:hAnsi="Arial"/>
                <w:sz w:val="12"/>
                <w:szCs w:val="12"/>
                <w:b w:val="1"/>
                <w:bCs w:val="1"/>
                <w:color w:val="5D89B4"/>
              </w:rPr>
              <w:t>AWARDS</w:t>
            </w:r>
          </w:p>
        </w:tc>
        <w:tc>
          <w:tcPr>
            <w:tcW w:w="860" w:type="dxa"/>
            <w:vAlign w:val="bottom"/>
            <w:shd w:val="clear" w:color="auto" w:fill="EAEAEA"/>
          </w:tcPr>
          <w:p>
            <w:pPr>
              <w:jc w:val="right"/>
              <w:ind w:right="31"/>
              <w:spacing w:after="0" w:line="134" w:lineRule="exact"/>
              <w:rPr>
                <w:sz w:val="20"/>
                <w:szCs w:val="20"/>
                <w:color w:val="auto"/>
              </w:rPr>
            </w:pPr>
            <w:r>
              <w:rPr>
                <w:rFonts w:ascii="Arial" w:cs="Arial" w:eastAsia="Arial" w:hAnsi="Arial"/>
                <w:sz w:val="12"/>
                <w:szCs w:val="12"/>
                <w:b w:val="1"/>
                <w:bCs w:val="1"/>
                <w:color w:val="5D89B4"/>
              </w:rPr>
              <w:t>AWARDS</w:t>
            </w:r>
          </w:p>
        </w:tc>
        <w:tc>
          <w:tcPr>
            <w:tcW w:w="1220" w:type="dxa"/>
            <w:vAlign w:val="bottom"/>
            <w:shd w:val="clear" w:color="auto" w:fill="EAEAEA"/>
          </w:tcPr>
          <w:p>
            <w:pPr>
              <w:jc w:val="right"/>
              <w:ind w:right="11"/>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32"/>
              <w:spacing w:after="0" w:line="134" w:lineRule="exact"/>
              <w:rPr>
                <w:sz w:val="20"/>
                <w:szCs w:val="20"/>
                <w:color w:val="auto"/>
              </w:rPr>
            </w:pPr>
            <w:r>
              <w:rPr>
                <w:rFonts w:ascii="Arial" w:cs="Arial" w:eastAsia="Arial" w:hAnsi="Arial"/>
                <w:sz w:val="12"/>
                <w:szCs w:val="12"/>
                <w:b w:val="1"/>
                <w:bCs w:val="1"/>
                <w:color w:val="5D89B4"/>
              </w:rPr>
              <w:t>EARNINGS</w:t>
            </w:r>
          </w:p>
        </w:tc>
        <w:tc>
          <w:tcPr>
            <w:tcW w:w="1240" w:type="dxa"/>
            <w:vAlign w:val="bottom"/>
            <w:shd w:val="clear" w:color="auto" w:fill="EAEAEA"/>
          </w:tcPr>
          <w:p>
            <w:pPr>
              <w:jc w:val="right"/>
              <w:ind w:right="51"/>
              <w:spacing w:after="0" w:line="134" w:lineRule="exact"/>
              <w:rPr>
                <w:sz w:val="20"/>
                <w:szCs w:val="20"/>
                <w:color w:val="auto"/>
              </w:rPr>
            </w:pPr>
            <w:r>
              <w:rPr>
                <w:rFonts w:ascii="Arial" w:cs="Arial" w:eastAsia="Arial" w:hAnsi="Arial"/>
                <w:sz w:val="12"/>
                <w:szCs w:val="12"/>
                <w:b w:val="1"/>
                <w:bCs w:val="1"/>
                <w:color w:val="5D89B4"/>
              </w:rPr>
              <w:t>COMPENSATION</w:t>
            </w:r>
          </w:p>
        </w:tc>
        <w:tc>
          <w:tcPr>
            <w:tcW w:w="86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3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POSITION</w:t>
            </w:r>
          </w:p>
        </w:tc>
        <w:tc>
          <w:tcPr>
            <w:tcW w:w="640" w:type="dxa"/>
            <w:vAlign w:val="bottom"/>
            <w:tcBorders>
              <w:bottom w:val="single" w:sz="8" w:color="EAEAEA"/>
            </w:tcBorders>
            <w:vMerge w:val="continue"/>
            <w:shd w:val="clear" w:color="auto" w:fill="EAEAEA"/>
          </w:tcPr>
          <w:p>
            <w:pPr>
              <w:spacing w:after="0"/>
              <w:rPr>
                <w:sz w:val="17"/>
                <w:szCs w:val="17"/>
                <w:color w:val="auto"/>
              </w:rPr>
            </w:pPr>
          </w:p>
        </w:tc>
        <w:tc>
          <w:tcPr>
            <w:tcW w:w="840" w:type="dxa"/>
            <w:vAlign w:val="bottom"/>
            <w:tcBorders>
              <w:bottom w:val="single" w:sz="8" w:color="EAEAEA"/>
            </w:tcBorders>
            <w:shd w:val="clear" w:color="auto" w:fill="EAEAEA"/>
          </w:tcPr>
          <w:p>
            <w:pPr>
              <w:jc w:val="right"/>
              <w:ind w:right="30"/>
              <w:spacing w:after="0"/>
              <w:rPr>
                <w:sz w:val="20"/>
                <w:szCs w:val="20"/>
                <w:color w:val="auto"/>
              </w:rPr>
            </w:pPr>
            <w:r>
              <w:rPr>
                <w:rFonts w:ascii="Arial" w:cs="Arial" w:eastAsia="Arial" w:hAnsi="Arial"/>
                <w:sz w:val="12"/>
                <w:szCs w:val="12"/>
                <w:b w:val="1"/>
                <w:bCs w:val="1"/>
                <w:color w:val="5D89B4"/>
              </w:rPr>
              <w:t>($)</w:t>
            </w:r>
          </w:p>
        </w:tc>
        <w:tc>
          <w:tcPr>
            <w:tcW w:w="660" w:type="dxa"/>
            <w:vAlign w:val="bottom"/>
            <w:tcBorders>
              <w:bottom w:val="single" w:sz="8" w:color="EAEAEA"/>
            </w:tcBorders>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w:t>
            </w:r>
          </w:p>
        </w:tc>
        <w:tc>
          <w:tcPr>
            <w:tcW w:w="960" w:type="dxa"/>
            <w:vAlign w:val="bottom"/>
            <w:tcBorders>
              <w:bottom w:val="single" w:sz="8" w:color="EAEAEA"/>
            </w:tcBorders>
            <w:shd w:val="clear" w:color="auto" w:fill="EAEAEA"/>
          </w:tcPr>
          <w:p>
            <w:pPr>
              <w:jc w:val="right"/>
              <w:ind w:right="51"/>
              <w:spacing w:after="0"/>
              <w:rPr>
                <w:sz w:val="20"/>
                <w:szCs w:val="20"/>
                <w:color w:val="auto"/>
              </w:rPr>
            </w:pPr>
            <w:r>
              <w:rPr>
                <w:rFonts w:ascii="Arial" w:cs="Arial" w:eastAsia="Arial" w:hAnsi="Arial"/>
                <w:sz w:val="12"/>
                <w:szCs w:val="12"/>
                <w:b w:val="1"/>
                <w:bCs w:val="1"/>
                <w:color w:val="5D89B4"/>
              </w:rPr>
              <w:t>($)(1)</w:t>
            </w:r>
          </w:p>
        </w:tc>
        <w:tc>
          <w:tcPr>
            <w:tcW w:w="860" w:type="dxa"/>
            <w:vAlign w:val="bottom"/>
            <w:tcBorders>
              <w:bottom w:val="single" w:sz="8" w:color="EAEAEA"/>
            </w:tcBorders>
            <w:shd w:val="clear" w:color="auto" w:fill="EAEAEA"/>
          </w:tcPr>
          <w:p>
            <w:pPr>
              <w:jc w:val="right"/>
              <w:ind w:right="31"/>
              <w:spacing w:after="0"/>
              <w:rPr>
                <w:sz w:val="20"/>
                <w:szCs w:val="20"/>
                <w:color w:val="auto"/>
              </w:rPr>
            </w:pPr>
            <w:r>
              <w:rPr>
                <w:rFonts w:ascii="Arial" w:cs="Arial" w:eastAsia="Arial" w:hAnsi="Arial"/>
                <w:sz w:val="12"/>
                <w:szCs w:val="12"/>
                <w:b w:val="1"/>
                <w:bCs w:val="1"/>
                <w:color w:val="5D89B4"/>
              </w:rPr>
              <w:t>($)(2)</w:t>
            </w:r>
          </w:p>
        </w:tc>
        <w:tc>
          <w:tcPr>
            <w:tcW w:w="1220" w:type="dxa"/>
            <w:vAlign w:val="bottom"/>
            <w:tcBorders>
              <w:bottom w:val="single" w:sz="8" w:color="EAEAEA"/>
            </w:tcBorders>
            <w:shd w:val="clear" w:color="auto" w:fill="EAEAEA"/>
          </w:tcPr>
          <w:p>
            <w:pPr>
              <w:jc w:val="right"/>
              <w:ind w:right="11"/>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32"/>
              <w:spacing w:after="0"/>
              <w:rPr>
                <w:sz w:val="20"/>
                <w:szCs w:val="20"/>
                <w:color w:val="auto"/>
              </w:rPr>
            </w:pPr>
            <w:r>
              <w:rPr>
                <w:rFonts w:ascii="Arial" w:cs="Arial" w:eastAsia="Arial" w:hAnsi="Arial"/>
                <w:sz w:val="12"/>
                <w:szCs w:val="12"/>
                <w:b w:val="1"/>
                <w:bCs w:val="1"/>
                <w:color w:val="5D89B4"/>
              </w:rPr>
              <w:t>($)</w:t>
            </w:r>
          </w:p>
        </w:tc>
        <w:tc>
          <w:tcPr>
            <w:tcW w:w="1240" w:type="dxa"/>
            <w:vAlign w:val="bottom"/>
            <w:tcBorders>
              <w:bottom w:val="single" w:sz="8" w:color="EAEAEA"/>
            </w:tcBorders>
            <w:shd w:val="clear" w:color="auto" w:fill="EAEAEA"/>
          </w:tcPr>
          <w:p>
            <w:pPr>
              <w:jc w:val="right"/>
              <w:ind w:right="51"/>
              <w:spacing w:after="0"/>
              <w:rPr>
                <w:sz w:val="20"/>
                <w:szCs w:val="20"/>
                <w:color w:val="auto"/>
              </w:rPr>
            </w:pPr>
            <w:r>
              <w:rPr>
                <w:rFonts w:ascii="Arial" w:cs="Arial" w:eastAsia="Arial" w:hAnsi="Arial"/>
                <w:sz w:val="12"/>
                <w:szCs w:val="12"/>
                <w:b w:val="1"/>
                <w:bCs w:val="1"/>
                <w:color w:val="5D89B4"/>
              </w:rPr>
              <w:t>($)(3)</w:t>
            </w:r>
          </w:p>
        </w:tc>
        <w:tc>
          <w:tcPr>
            <w:tcW w:w="8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c>
          <w:tcPr>
            <w:tcW w:w="0" w:type="dxa"/>
            <w:vAlign w:val="bottom"/>
          </w:tcPr>
          <w:p>
            <w:pPr>
              <w:spacing w:after="0"/>
              <w:rPr>
                <w:sz w:val="1"/>
                <w:szCs w:val="1"/>
                <w:color w:val="auto"/>
              </w:rPr>
            </w:pPr>
          </w:p>
        </w:tc>
      </w:tr>
      <w:tr>
        <w:trPr>
          <w:trHeight w:val="151"/>
        </w:trPr>
        <w:tc>
          <w:tcPr>
            <w:tcW w:w="2380" w:type="dxa"/>
            <w:vAlign w:val="bottom"/>
          </w:tcPr>
          <w:p>
            <w:pPr>
              <w:ind w:left="80"/>
              <w:spacing w:after="0" w:line="151" w:lineRule="exact"/>
              <w:rPr>
                <w:sz w:val="20"/>
                <w:szCs w:val="20"/>
                <w:color w:val="auto"/>
              </w:rPr>
            </w:pPr>
            <w:r>
              <w:rPr>
                <w:rFonts w:ascii="Arial" w:cs="Arial" w:eastAsia="Arial" w:hAnsi="Arial"/>
                <w:sz w:val="14"/>
                <w:szCs w:val="14"/>
                <w:b w:val="1"/>
                <w:bCs w:val="1"/>
                <w:color w:val="auto"/>
              </w:rPr>
              <w:t>Jonas Prising</w:t>
            </w:r>
          </w:p>
        </w:tc>
        <w:tc>
          <w:tcPr>
            <w:tcW w:w="640" w:type="dxa"/>
            <w:vAlign w:val="bottom"/>
          </w:tcPr>
          <w:p>
            <w:pPr>
              <w:jc w:val="right"/>
              <w:ind w:right="50"/>
              <w:spacing w:after="0" w:line="151" w:lineRule="exact"/>
              <w:rPr>
                <w:sz w:val="20"/>
                <w:szCs w:val="20"/>
                <w:color w:val="auto"/>
              </w:rPr>
            </w:pPr>
            <w:r>
              <w:rPr>
                <w:rFonts w:ascii="Arial" w:cs="Arial" w:eastAsia="Arial" w:hAnsi="Arial"/>
                <w:sz w:val="14"/>
                <w:szCs w:val="14"/>
                <w:color w:val="auto"/>
              </w:rPr>
              <w:t>2023</w:t>
            </w:r>
          </w:p>
        </w:tc>
        <w:tc>
          <w:tcPr>
            <w:tcW w:w="840" w:type="dxa"/>
            <w:vAlign w:val="bottom"/>
          </w:tcPr>
          <w:p>
            <w:pPr>
              <w:jc w:val="right"/>
              <w:ind w:right="30"/>
              <w:spacing w:after="0" w:line="151" w:lineRule="exact"/>
              <w:rPr>
                <w:sz w:val="20"/>
                <w:szCs w:val="20"/>
                <w:color w:val="auto"/>
              </w:rPr>
            </w:pPr>
            <w:r>
              <w:rPr>
                <w:rFonts w:ascii="Arial" w:cs="Arial" w:eastAsia="Arial" w:hAnsi="Arial"/>
                <w:sz w:val="14"/>
                <w:szCs w:val="14"/>
                <w:color w:val="auto"/>
              </w:rPr>
              <w:t>1,300,000</w:t>
            </w:r>
          </w:p>
        </w:tc>
        <w:tc>
          <w:tcPr>
            <w:tcW w:w="660" w:type="dxa"/>
            <w:vAlign w:val="bottom"/>
          </w:tcPr>
          <w:p>
            <w:pPr>
              <w:jc w:val="right"/>
              <w:ind w:right="50"/>
              <w:spacing w:after="0" w:line="15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line="151" w:lineRule="exact"/>
              <w:rPr>
                <w:sz w:val="20"/>
                <w:szCs w:val="20"/>
                <w:color w:val="auto"/>
              </w:rPr>
            </w:pPr>
            <w:r>
              <w:rPr>
                <w:rFonts w:ascii="Arial" w:cs="Arial" w:eastAsia="Arial" w:hAnsi="Arial"/>
                <w:sz w:val="14"/>
                <w:szCs w:val="14"/>
                <w:color w:val="auto"/>
              </w:rPr>
              <w:t>10,400,015</w:t>
            </w:r>
          </w:p>
        </w:tc>
        <w:tc>
          <w:tcPr>
            <w:tcW w:w="860" w:type="dxa"/>
            <w:vAlign w:val="bottom"/>
          </w:tcPr>
          <w:p>
            <w:pPr>
              <w:jc w:val="right"/>
              <w:ind w:right="31"/>
              <w:spacing w:after="0" w:line="151"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line="151" w:lineRule="exact"/>
              <w:rPr>
                <w:sz w:val="20"/>
                <w:szCs w:val="20"/>
                <w:color w:val="auto"/>
              </w:rPr>
            </w:pPr>
            <w:r>
              <w:rPr>
                <w:rFonts w:ascii="Arial" w:cs="Arial" w:eastAsia="Arial" w:hAnsi="Arial"/>
                <w:sz w:val="14"/>
                <w:szCs w:val="14"/>
                <w:color w:val="auto"/>
              </w:rPr>
              <w:t>727,047</w:t>
            </w:r>
          </w:p>
        </w:tc>
        <w:tc>
          <w:tcPr>
            <w:tcW w:w="1220" w:type="dxa"/>
            <w:vAlign w:val="bottom"/>
          </w:tcPr>
          <w:p>
            <w:pPr>
              <w:jc w:val="right"/>
              <w:ind w:right="32"/>
              <w:spacing w:after="0" w:line="151"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1"/>
              <w:spacing w:after="0" w:line="151" w:lineRule="exact"/>
              <w:rPr>
                <w:sz w:val="20"/>
                <w:szCs w:val="20"/>
                <w:color w:val="auto"/>
              </w:rPr>
            </w:pPr>
            <w:r>
              <w:rPr>
                <w:rFonts w:ascii="Arial" w:cs="Arial" w:eastAsia="Arial" w:hAnsi="Arial"/>
                <w:sz w:val="14"/>
                <w:szCs w:val="14"/>
                <w:color w:val="auto"/>
              </w:rPr>
              <w:t>285,291</w:t>
            </w:r>
          </w:p>
        </w:tc>
        <w:tc>
          <w:tcPr>
            <w:tcW w:w="860" w:type="dxa"/>
            <w:vAlign w:val="bottom"/>
          </w:tcPr>
          <w:p>
            <w:pPr>
              <w:jc w:val="right"/>
              <w:spacing w:after="0" w:line="151" w:lineRule="exact"/>
              <w:rPr>
                <w:sz w:val="20"/>
                <w:szCs w:val="20"/>
                <w:color w:val="auto"/>
              </w:rPr>
            </w:pPr>
            <w:r>
              <w:rPr>
                <w:rFonts w:ascii="Arial" w:cs="Arial" w:eastAsia="Arial" w:hAnsi="Arial"/>
                <w:sz w:val="14"/>
                <w:szCs w:val="14"/>
                <w:color w:val="auto"/>
              </w:rPr>
              <w:t>12,712,353</w:t>
            </w:r>
          </w:p>
        </w:tc>
        <w:tc>
          <w:tcPr>
            <w:tcW w:w="0" w:type="dxa"/>
            <w:vAlign w:val="bottom"/>
          </w:tcPr>
          <w:p>
            <w:pPr>
              <w:spacing w:after="0"/>
              <w:rPr>
                <w:sz w:val="1"/>
                <w:szCs w:val="1"/>
                <w:color w:val="auto"/>
              </w:rPr>
            </w:pPr>
          </w:p>
        </w:tc>
      </w:tr>
      <w:tr>
        <w:trPr>
          <w:trHeight w:val="189"/>
        </w:trPr>
        <w:tc>
          <w:tcPr>
            <w:tcW w:w="2380" w:type="dxa"/>
            <w:vAlign w:val="bottom"/>
          </w:tcPr>
          <w:p>
            <w:pPr>
              <w:ind w:left="80"/>
              <w:spacing w:after="0"/>
              <w:rPr>
                <w:sz w:val="20"/>
                <w:szCs w:val="20"/>
                <w:color w:val="auto"/>
              </w:rPr>
            </w:pPr>
            <w:r>
              <w:rPr>
                <w:rFonts w:ascii="Arial" w:cs="Arial" w:eastAsia="Arial" w:hAnsi="Arial"/>
                <w:sz w:val="14"/>
                <w:szCs w:val="14"/>
                <w:color w:val="333333"/>
              </w:rPr>
              <w:t>CEO</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1,250,000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10,000,045</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1,725,310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color w:val="auto"/>
              </w:rPr>
              <w:t>148,630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13,123,985</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3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1,250,000</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12,000,023</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2,000,022</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3,475,000</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62,790</w:t>
            </w:r>
          </w:p>
        </w:tc>
        <w:tc>
          <w:tcPr>
            <w:tcW w:w="860" w:type="dxa"/>
            <w:vAlign w:val="bottom"/>
          </w:tcPr>
          <w:p>
            <w:pPr>
              <w:jc w:val="right"/>
              <w:spacing w:after="0"/>
              <w:rPr>
                <w:sz w:val="20"/>
                <w:szCs w:val="20"/>
                <w:color w:val="auto"/>
              </w:rPr>
            </w:pPr>
            <w:r>
              <w:rPr>
                <w:rFonts w:ascii="Arial" w:cs="Arial" w:eastAsia="Arial" w:hAnsi="Arial"/>
                <w:sz w:val="14"/>
                <w:szCs w:val="14"/>
                <w:color w:val="auto"/>
              </w:rPr>
              <w:t>18,787,835</w:t>
            </w:r>
          </w:p>
        </w:tc>
        <w:tc>
          <w:tcPr>
            <w:tcW w:w="0" w:type="dxa"/>
            <w:vAlign w:val="bottom"/>
          </w:tcPr>
          <w:p>
            <w:pPr>
              <w:spacing w:after="0"/>
              <w:rPr>
                <w:sz w:val="1"/>
                <w:szCs w:val="1"/>
                <w:color w:val="auto"/>
              </w:rPr>
            </w:pPr>
          </w:p>
        </w:tc>
      </w:tr>
      <w:tr>
        <w:trPr>
          <w:trHeight w:val="47"/>
        </w:trPr>
        <w:tc>
          <w:tcPr>
            <w:tcW w:w="238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38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John T. McGinnis</w:t>
            </w:r>
          </w:p>
        </w:tc>
        <w:tc>
          <w:tcPr>
            <w:tcW w:w="640" w:type="dxa"/>
            <w:vAlign w:val="bottom"/>
          </w:tcPr>
          <w:p>
            <w:pPr>
              <w:jc w:val="right"/>
              <w:ind w:right="50"/>
              <w:spacing w:after="0" w:line="144" w:lineRule="exact"/>
              <w:rPr>
                <w:sz w:val="20"/>
                <w:szCs w:val="20"/>
                <w:color w:val="auto"/>
              </w:rPr>
            </w:pPr>
            <w:r>
              <w:rPr>
                <w:rFonts w:ascii="Arial" w:cs="Arial" w:eastAsia="Arial" w:hAnsi="Arial"/>
                <w:sz w:val="14"/>
                <w:szCs w:val="14"/>
                <w:color w:val="auto"/>
              </w:rPr>
              <w:t>2023</w:t>
            </w:r>
          </w:p>
        </w:tc>
        <w:tc>
          <w:tcPr>
            <w:tcW w:w="840" w:type="dxa"/>
            <w:vAlign w:val="bottom"/>
          </w:tcPr>
          <w:p>
            <w:pPr>
              <w:jc w:val="right"/>
              <w:ind w:right="30"/>
              <w:spacing w:after="0" w:line="144" w:lineRule="exact"/>
              <w:rPr>
                <w:sz w:val="20"/>
                <w:szCs w:val="20"/>
                <w:color w:val="auto"/>
              </w:rPr>
            </w:pPr>
            <w:r>
              <w:rPr>
                <w:rFonts w:ascii="Arial" w:cs="Arial" w:eastAsia="Arial" w:hAnsi="Arial"/>
                <w:sz w:val="14"/>
                <w:szCs w:val="14"/>
                <w:color w:val="auto"/>
              </w:rPr>
              <w:t>769,153</w:t>
            </w:r>
          </w:p>
        </w:tc>
        <w:tc>
          <w:tcPr>
            <w:tcW w:w="660" w:type="dxa"/>
            <w:vAlign w:val="bottom"/>
          </w:tcPr>
          <w:p>
            <w:pPr>
              <w:jc w:val="right"/>
              <w:ind w:right="50"/>
              <w:spacing w:after="0" w:line="144"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line="144" w:lineRule="exact"/>
              <w:rPr>
                <w:sz w:val="20"/>
                <w:szCs w:val="20"/>
                <w:color w:val="auto"/>
              </w:rPr>
            </w:pPr>
            <w:r>
              <w:rPr>
                <w:rFonts w:ascii="Arial" w:cs="Arial" w:eastAsia="Arial" w:hAnsi="Arial"/>
                <w:sz w:val="14"/>
                <w:szCs w:val="14"/>
                <w:color w:val="auto"/>
              </w:rPr>
              <w:t>3,000,035</w:t>
            </w:r>
          </w:p>
        </w:tc>
        <w:tc>
          <w:tcPr>
            <w:tcW w:w="860" w:type="dxa"/>
            <w:vAlign w:val="bottom"/>
          </w:tcPr>
          <w:p>
            <w:pPr>
              <w:jc w:val="right"/>
              <w:ind w:right="31"/>
              <w:spacing w:after="0" w:line="144"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line="144" w:lineRule="exact"/>
              <w:rPr>
                <w:sz w:val="20"/>
                <w:szCs w:val="20"/>
                <w:color w:val="auto"/>
              </w:rPr>
            </w:pPr>
            <w:r>
              <w:rPr>
                <w:rFonts w:ascii="Arial" w:cs="Arial" w:eastAsia="Arial" w:hAnsi="Arial"/>
                <w:sz w:val="14"/>
                <w:szCs w:val="14"/>
                <w:color w:val="auto"/>
              </w:rPr>
              <w:t>296,354</w:t>
            </w:r>
          </w:p>
        </w:tc>
        <w:tc>
          <w:tcPr>
            <w:tcW w:w="12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1"/>
              <w:spacing w:after="0" w:line="144" w:lineRule="exact"/>
              <w:rPr>
                <w:sz w:val="20"/>
                <w:szCs w:val="20"/>
                <w:color w:val="auto"/>
              </w:rPr>
            </w:pPr>
            <w:r>
              <w:rPr>
                <w:rFonts w:ascii="Arial" w:cs="Arial" w:eastAsia="Arial" w:hAnsi="Arial"/>
                <w:sz w:val="14"/>
                <w:szCs w:val="14"/>
                <w:color w:val="auto"/>
              </w:rPr>
              <w:t>132,293</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4,197,835</w:t>
            </w:r>
          </w:p>
        </w:tc>
        <w:tc>
          <w:tcPr>
            <w:tcW w:w="0" w:type="dxa"/>
            <w:vAlign w:val="bottom"/>
          </w:tcPr>
          <w:p>
            <w:pPr>
              <w:spacing w:after="0"/>
              <w:rPr>
                <w:sz w:val="1"/>
                <w:szCs w:val="1"/>
                <w:color w:val="auto"/>
              </w:rPr>
            </w:pPr>
          </w:p>
        </w:tc>
      </w:tr>
      <w:tr>
        <w:trPr>
          <w:trHeight w:val="189"/>
        </w:trPr>
        <w:tc>
          <w:tcPr>
            <w:tcW w:w="2380" w:type="dxa"/>
            <w:vAlign w:val="bottom"/>
          </w:tcPr>
          <w:p>
            <w:pPr>
              <w:ind w:left="80"/>
              <w:spacing w:after="0"/>
              <w:rPr>
                <w:sz w:val="20"/>
                <w:szCs w:val="20"/>
                <w:color w:val="auto"/>
              </w:rPr>
            </w:pPr>
            <w:r>
              <w:rPr>
                <w:rFonts w:ascii="Arial" w:cs="Arial" w:eastAsia="Arial" w:hAnsi="Arial"/>
                <w:sz w:val="14"/>
                <w:szCs w:val="14"/>
                <w:color w:val="333333"/>
              </w:rPr>
              <w:t>CFO</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746,750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5,499,981</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740,000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color w:val="auto"/>
              </w:rPr>
              <w:t>126,301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7,113,032</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38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2021</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746,750</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3,600,173</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600,018</w:t>
            </w:r>
          </w:p>
        </w:tc>
        <w:tc>
          <w:tcPr>
            <w:tcW w:w="1220" w:type="dxa"/>
            <w:vAlign w:val="bottom"/>
          </w:tcPr>
          <w:p>
            <w:pPr>
              <w:jc w:val="right"/>
              <w:ind w:right="11"/>
              <w:spacing w:after="0"/>
              <w:rPr>
                <w:sz w:val="20"/>
                <w:szCs w:val="20"/>
                <w:color w:val="auto"/>
              </w:rPr>
            </w:pPr>
            <w:r>
              <w:rPr>
                <w:rFonts w:ascii="Arial" w:cs="Arial" w:eastAsia="Arial" w:hAnsi="Arial"/>
                <w:sz w:val="14"/>
                <w:szCs w:val="14"/>
                <w:color w:val="auto"/>
              </w:rPr>
              <w:t>1,458,029</w:t>
            </w: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80,905</w:t>
            </w:r>
          </w:p>
        </w:tc>
        <w:tc>
          <w:tcPr>
            <w:tcW w:w="860" w:type="dxa"/>
            <w:vAlign w:val="bottom"/>
          </w:tcPr>
          <w:p>
            <w:pPr>
              <w:jc w:val="right"/>
              <w:spacing w:after="0"/>
              <w:rPr>
                <w:sz w:val="20"/>
                <w:szCs w:val="20"/>
                <w:color w:val="auto"/>
              </w:rPr>
            </w:pPr>
            <w:r>
              <w:rPr>
                <w:rFonts w:ascii="Arial" w:cs="Arial" w:eastAsia="Arial" w:hAnsi="Arial"/>
                <w:sz w:val="14"/>
                <w:szCs w:val="14"/>
                <w:color w:val="auto"/>
              </w:rPr>
              <w:t>6,485,875</w:t>
            </w:r>
          </w:p>
        </w:tc>
        <w:tc>
          <w:tcPr>
            <w:tcW w:w="0" w:type="dxa"/>
            <w:vAlign w:val="bottom"/>
          </w:tcPr>
          <w:p>
            <w:pPr>
              <w:spacing w:after="0"/>
              <w:rPr>
                <w:sz w:val="1"/>
                <w:szCs w:val="1"/>
                <w:color w:val="auto"/>
              </w:rPr>
            </w:pPr>
          </w:p>
        </w:tc>
      </w:tr>
      <w:tr>
        <w:trPr>
          <w:trHeight w:val="47"/>
        </w:trPr>
        <w:tc>
          <w:tcPr>
            <w:tcW w:w="238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38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Michelle S. Nettles</w:t>
            </w:r>
          </w:p>
        </w:tc>
        <w:tc>
          <w:tcPr>
            <w:tcW w:w="640" w:type="dxa"/>
            <w:vAlign w:val="bottom"/>
          </w:tcPr>
          <w:p>
            <w:pPr>
              <w:jc w:val="right"/>
              <w:ind w:right="50"/>
              <w:spacing w:after="0" w:line="144" w:lineRule="exact"/>
              <w:rPr>
                <w:sz w:val="20"/>
                <w:szCs w:val="20"/>
                <w:color w:val="auto"/>
              </w:rPr>
            </w:pPr>
            <w:r>
              <w:rPr>
                <w:rFonts w:ascii="Arial" w:cs="Arial" w:eastAsia="Arial" w:hAnsi="Arial"/>
                <w:sz w:val="14"/>
                <w:szCs w:val="14"/>
                <w:color w:val="auto"/>
              </w:rPr>
              <w:t>2023</w:t>
            </w:r>
          </w:p>
        </w:tc>
        <w:tc>
          <w:tcPr>
            <w:tcW w:w="840" w:type="dxa"/>
            <w:vAlign w:val="bottom"/>
          </w:tcPr>
          <w:p>
            <w:pPr>
              <w:jc w:val="right"/>
              <w:ind w:right="30"/>
              <w:spacing w:after="0" w:line="144" w:lineRule="exact"/>
              <w:rPr>
                <w:sz w:val="20"/>
                <w:szCs w:val="20"/>
                <w:color w:val="auto"/>
              </w:rPr>
            </w:pPr>
            <w:r>
              <w:rPr>
                <w:rFonts w:ascii="Arial" w:cs="Arial" w:eastAsia="Arial" w:hAnsi="Arial"/>
                <w:sz w:val="14"/>
                <w:szCs w:val="14"/>
                <w:color w:val="auto"/>
              </w:rPr>
              <w:t>600,000</w:t>
            </w:r>
          </w:p>
        </w:tc>
        <w:tc>
          <w:tcPr>
            <w:tcW w:w="660" w:type="dxa"/>
            <w:vAlign w:val="bottom"/>
          </w:tcPr>
          <w:p>
            <w:pPr>
              <w:jc w:val="right"/>
              <w:ind w:right="50"/>
              <w:spacing w:after="0" w:line="144"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line="144" w:lineRule="exact"/>
              <w:rPr>
                <w:sz w:val="20"/>
                <w:szCs w:val="20"/>
                <w:color w:val="auto"/>
              </w:rPr>
            </w:pPr>
            <w:r>
              <w:rPr>
                <w:rFonts w:ascii="Arial" w:cs="Arial" w:eastAsia="Arial" w:hAnsi="Arial"/>
                <w:sz w:val="14"/>
                <w:szCs w:val="14"/>
                <w:color w:val="auto"/>
              </w:rPr>
              <w:t>1,249,970</w:t>
            </w:r>
          </w:p>
        </w:tc>
        <w:tc>
          <w:tcPr>
            <w:tcW w:w="860" w:type="dxa"/>
            <w:vAlign w:val="bottom"/>
          </w:tcPr>
          <w:p>
            <w:pPr>
              <w:jc w:val="right"/>
              <w:ind w:right="31"/>
              <w:spacing w:after="0" w:line="144"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line="144" w:lineRule="exact"/>
              <w:rPr>
                <w:sz w:val="20"/>
                <w:szCs w:val="20"/>
                <w:color w:val="auto"/>
              </w:rPr>
            </w:pPr>
            <w:r>
              <w:rPr>
                <w:rFonts w:ascii="Arial" w:cs="Arial" w:eastAsia="Arial" w:hAnsi="Arial"/>
                <w:sz w:val="14"/>
                <w:szCs w:val="14"/>
                <w:color w:val="auto"/>
              </w:rPr>
              <w:t>160,020</w:t>
            </w:r>
          </w:p>
        </w:tc>
        <w:tc>
          <w:tcPr>
            <w:tcW w:w="12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1"/>
              <w:spacing w:after="0" w:line="144" w:lineRule="exact"/>
              <w:rPr>
                <w:sz w:val="20"/>
                <w:szCs w:val="20"/>
                <w:color w:val="auto"/>
              </w:rPr>
            </w:pPr>
            <w:r>
              <w:rPr>
                <w:rFonts w:ascii="Arial" w:cs="Arial" w:eastAsia="Arial" w:hAnsi="Arial"/>
                <w:sz w:val="14"/>
                <w:szCs w:val="14"/>
                <w:color w:val="auto"/>
              </w:rPr>
              <w:t>80,354</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2,090,344</w:t>
            </w:r>
          </w:p>
        </w:tc>
        <w:tc>
          <w:tcPr>
            <w:tcW w:w="0" w:type="dxa"/>
            <w:vAlign w:val="bottom"/>
          </w:tcPr>
          <w:p>
            <w:pPr>
              <w:spacing w:after="0"/>
              <w:rPr>
                <w:sz w:val="1"/>
                <w:szCs w:val="1"/>
                <w:color w:val="auto"/>
              </w:rPr>
            </w:pPr>
          </w:p>
        </w:tc>
      </w:tr>
      <w:tr>
        <w:trPr>
          <w:trHeight w:val="160"/>
        </w:trPr>
        <w:tc>
          <w:tcPr>
            <w:tcW w:w="2380" w:type="dxa"/>
            <w:vAlign w:val="bottom"/>
          </w:tcPr>
          <w:p>
            <w:pPr>
              <w:ind w:left="80"/>
              <w:spacing w:after="0"/>
              <w:rPr>
                <w:sz w:val="20"/>
                <w:szCs w:val="20"/>
                <w:color w:val="auto"/>
              </w:rPr>
            </w:pPr>
            <w:r>
              <w:rPr>
                <w:rFonts w:ascii="Arial" w:cs="Arial" w:eastAsia="Arial" w:hAnsi="Arial"/>
                <w:sz w:val="14"/>
                <w:szCs w:val="14"/>
                <w:color w:val="333333"/>
              </w:rPr>
              <w:t>Chief People</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566,500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2,500,012</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385,000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color w:val="auto"/>
              </w:rPr>
              <w:t>67,997</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3,519,509</w:t>
            </w:r>
          </w:p>
        </w:tc>
        <w:tc>
          <w:tcPr>
            <w:tcW w:w="0" w:type="dxa"/>
            <w:vAlign w:val="bottom"/>
          </w:tcPr>
          <w:p>
            <w:pPr>
              <w:spacing w:after="0"/>
              <w:rPr>
                <w:sz w:val="1"/>
                <w:szCs w:val="1"/>
                <w:color w:val="auto"/>
              </w:rPr>
            </w:pPr>
          </w:p>
        </w:tc>
      </w:tr>
      <w:tr>
        <w:trPr>
          <w:trHeight w:val="95"/>
        </w:trPr>
        <w:tc>
          <w:tcPr>
            <w:tcW w:w="2380" w:type="dxa"/>
            <w:vAlign w:val="bottom"/>
            <w:vMerge w:val="restart"/>
          </w:tcPr>
          <w:p>
            <w:pPr>
              <w:ind w:left="80"/>
              <w:spacing w:after="0"/>
              <w:rPr>
                <w:sz w:val="20"/>
                <w:szCs w:val="20"/>
                <w:color w:val="auto"/>
              </w:rPr>
            </w:pPr>
            <w:r>
              <w:rPr>
                <w:rFonts w:ascii="Arial" w:cs="Arial" w:eastAsia="Arial" w:hAnsi="Arial"/>
                <w:sz w:val="14"/>
                <w:szCs w:val="14"/>
                <w:color w:val="333333"/>
              </w:rPr>
              <w:t>and Culture Officer</w:t>
            </w:r>
          </w:p>
        </w:tc>
        <w:tc>
          <w:tcPr>
            <w:tcW w:w="6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566,500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1,200,150</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200,014</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754,181</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color w:val="auto"/>
              </w:rPr>
              <w:t>46,427</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2,767,272</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38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380" w:type="dxa"/>
            <w:vAlign w:val="bottom"/>
          </w:tcPr>
          <w:p>
            <w:pPr>
              <w:ind w:left="80"/>
              <w:spacing w:after="0" w:line="144" w:lineRule="exact"/>
              <w:rPr>
                <w:sz w:val="20"/>
                <w:szCs w:val="20"/>
                <w:color w:val="auto"/>
              </w:rPr>
            </w:pPr>
            <w:r>
              <w:rPr>
                <w:rFonts w:ascii="Arial" w:cs="Arial" w:eastAsia="Arial" w:hAnsi="Arial"/>
                <w:sz w:val="14"/>
                <w:szCs w:val="14"/>
                <w:b w:val="1"/>
                <w:bCs w:val="1"/>
                <w:color w:val="auto"/>
              </w:rPr>
              <w:t>Richard Buchband</w:t>
            </w:r>
          </w:p>
        </w:tc>
        <w:tc>
          <w:tcPr>
            <w:tcW w:w="640" w:type="dxa"/>
            <w:vAlign w:val="bottom"/>
          </w:tcPr>
          <w:p>
            <w:pPr>
              <w:jc w:val="right"/>
              <w:ind w:right="50"/>
              <w:spacing w:after="0" w:line="144" w:lineRule="exact"/>
              <w:rPr>
                <w:sz w:val="20"/>
                <w:szCs w:val="20"/>
                <w:color w:val="auto"/>
              </w:rPr>
            </w:pPr>
            <w:r>
              <w:rPr>
                <w:rFonts w:ascii="Arial" w:cs="Arial" w:eastAsia="Arial" w:hAnsi="Arial"/>
                <w:sz w:val="14"/>
                <w:szCs w:val="14"/>
                <w:color w:val="auto"/>
              </w:rPr>
              <w:t>2023</w:t>
            </w:r>
          </w:p>
        </w:tc>
        <w:tc>
          <w:tcPr>
            <w:tcW w:w="840" w:type="dxa"/>
            <w:vAlign w:val="bottom"/>
          </w:tcPr>
          <w:p>
            <w:pPr>
              <w:jc w:val="right"/>
              <w:ind w:right="30"/>
              <w:spacing w:after="0" w:line="144" w:lineRule="exact"/>
              <w:rPr>
                <w:sz w:val="20"/>
                <w:szCs w:val="20"/>
                <w:color w:val="auto"/>
              </w:rPr>
            </w:pPr>
            <w:r>
              <w:rPr>
                <w:rFonts w:ascii="Arial" w:cs="Arial" w:eastAsia="Arial" w:hAnsi="Arial"/>
                <w:sz w:val="14"/>
                <w:szCs w:val="14"/>
                <w:color w:val="auto"/>
              </w:rPr>
              <w:t>556,973</w:t>
            </w:r>
          </w:p>
        </w:tc>
        <w:tc>
          <w:tcPr>
            <w:tcW w:w="660" w:type="dxa"/>
            <w:vAlign w:val="bottom"/>
          </w:tcPr>
          <w:p>
            <w:pPr>
              <w:jc w:val="right"/>
              <w:ind w:right="50"/>
              <w:spacing w:after="0" w:line="144"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1"/>
              <w:spacing w:after="0" w:line="144" w:lineRule="exact"/>
              <w:rPr>
                <w:sz w:val="20"/>
                <w:szCs w:val="20"/>
                <w:color w:val="auto"/>
              </w:rPr>
            </w:pPr>
            <w:r>
              <w:rPr>
                <w:rFonts w:ascii="Arial" w:cs="Arial" w:eastAsia="Arial" w:hAnsi="Arial"/>
                <w:sz w:val="14"/>
                <w:szCs w:val="14"/>
                <w:color w:val="auto"/>
              </w:rPr>
              <w:t>1,000,012</w:t>
            </w:r>
          </w:p>
        </w:tc>
        <w:tc>
          <w:tcPr>
            <w:tcW w:w="860" w:type="dxa"/>
            <w:vAlign w:val="bottom"/>
          </w:tcPr>
          <w:p>
            <w:pPr>
              <w:jc w:val="right"/>
              <w:ind w:right="31"/>
              <w:spacing w:after="0" w:line="144"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11"/>
              <w:spacing w:after="0" w:line="144" w:lineRule="exact"/>
              <w:rPr>
                <w:sz w:val="20"/>
                <w:szCs w:val="20"/>
                <w:color w:val="auto"/>
              </w:rPr>
            </w:pPr>
            <w:r>
              <w:rPr>
                <w:rFonts w:ascii="Arial" w:cs="Arial" w:eastAsia="Arial" w:hAnsi="Arial"/>
                <w:sz w:val="14"/>
                <w:szCs w:val="14"/>
                <w:color w:val="auto"/>
              </w:rPr>
              <w:t>148,545</w:t>
            </w:r>
          </w:p>
        </w:tc>
        <w:tc>
          <w:tcPr>
            <w:tcW w:w="12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1"/>
              <w:spacing w:after="0" w:line="144" w:lineRule="exact"/>
              <w:rPr>
                <w:sz w:val="20"/>
                <w:szCs w:val="20"/>
                <w:color w:val="auto"/>
              </w:rPr>
            </w:pPr>
            <w:r>
              <w:rPr>
                <w:rFonts w:ascii="Arial" w:cs="Arial" w:eastAsia="Arial" w:hAnsi="Arial"/>
                <w:sz w:val="14"/>
                <w:szCs w:val="14"/>
                <w:color w:val="auto"/>
              </w:rPr>
              <w:t>85,396</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1,790,926</w:t>
            </w:r>
          </w:p>
        </w:tc>
        <w:tc>
          <w:tcPr>
            <w:tcW w:w="0" w:type="dxa"/>
            <w:vAlign w:val="bottom"/>
          </w:tcPr>
          <w:p>
            <w:pPr>
              <w:spacing w:after="0"/>
              <w:rPr>
                <w:sz w:val="1"/>
                <w:szCs w:val="1"/>
                <w:color w:val="auto"/>
              </w:rPr>
            </w:pPr>
          </w:p>
        </w:tc>
      </w:tr>
      <w:tr>
        <w:trPr>
          <w:trHeight w:val="160"/>
        </w:trPr>
        <w:tc>
          <w:tcPr>
            <w:tcW w:w="2380" w:type="dxa"/>
            <w:vAlign w:val="bottom"/>
          </w:tcPr>
          <w:p>
            <w:pPr>
              <w:ind w:left="80"/>
              <w:spacing w:after="0"/>
              <w:rPr>
                <w:sz w:val="20"/>
                <w:szCs w:val="20"/>
                <w:color w:val="auto"/>
              </w:rPr>
            </w:pPr>
            <w:r>
              <w:rPr>
                <w:rFonts w:ascii="Arial" w:cs="Arial" w:eastAsia="Arial" w:hAnsi="Arial"/>
                <w:sz w:val="14"/>
                <w:szCs w:val="14"/>
                <w:color w:val="333333"/>
              </w:rPr>
              <w:t>SVP, General</w:t>
            </w: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540,750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1,000,026</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352,000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color w:val="auto"/>
              </w:rPr>
              <w:t>82,576</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1,975,352</w:t>
            </w:r>
          </w:p>
        </w:tc>
        <w:tc>
          <w:tcPr>
            <w:tcW w:w="0" w:type="dxa"/>
            <w:vAlign w:val="bottom"/>
          </w:tcPr>
          <w:p>
            <w:pPr>
              <w:spacing w:after="0"/>
              <w:rPr>
                <w:sz w:val="1"/>
                <w:szCs w:val="1"/>
                <w:color w:val="auto"/>
              </w:rPr>
            </w:pPr>
          </w:p>
        </w:tc>
      </w:tr>
      <w:tr>
        <w:trPr>
          <w:trHeight w:val="95"/>
        </w:trPr>
        <w:tc>
          <w:tcPr>
            <w:tcW w:w="2380" w:type="dxa"/>
            <w:vAlign w:val="bottom"/>
            <w:vMerge w:val="restart"/>
          </w:tcPr>
          <w:p>
            <w:pPr>
              <w:ind w:left="80"/>
              <w:spacing w:after="0"/>
              <w:rPr>
                <w:sz w:val="20"/>
                <w:szCs w:val="20"/>
                <w:color w:val="auto"/>
              </w:rPr>
            </w:pPr>
            <w:r>
              <w:rPr>
                <w:rFonts w:ascii="Arial" w:cs="Arial" w:eastAsia="Arial" w:hAnsi="Arial"/>
                <w:sz w:val="14"/>
                <w:szCs w:val="14"/>
                <w:color w:val="333333"/>
              </w:rPr>
              <w:t>Counsel and Secretary</w:t>
            </w:r>
          </w:p>
        </w:tc>
        <w:tc>
          <w:tcPr>
            <w:tcW w:w="6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4"/>
                <w:szCs w:val="14"/>
                <w:color w:val="auto"/>
              </w:rPr>
              <w:t>2021</w:t>
            </w: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540,750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1"/>
              <w:spacing w:after="0"/>
              <w:rPr>
                <w:sz w:val="20"/>
                <w:szCs w:val="20"/>
                <w:color w:val="auto"/>
              </w:rPr>
            </w:pPr>
            <w:r>
              <w:rPr>
                <w:rFonts w:ascii="Arial" w:cs="Arial" w:eastAsia="Arial" w:hAnsi="Arial"/>
                <w:sz w:val="14"/>
                <w:szCs w:val="14"/>
                <w:color w:val="auto"/>
              </w:rPr>
              <w:t>960,046</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160,015</w:t>
            </w: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color w:val="auto"/>
              </w:rPr>
              <w:t>719,900</w:t>
            </w:r>
          </w:p>
        </w:tc>
        <w:tc>
          <w:tcPr>
            <w:tcW w:w="12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color w:val="auto"/>
              </w:rPr>
              <w:t>74,218</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2,454,929</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38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8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0" w:hanging="420"/>
        <w:spacing w:after="0" w:line="259"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PSUs and RSUs (including career shares) as computed in accordance with Financial Accounting Standards Board (“FASB”) Accounting Standards Codification (“ASC”) Topic 718, “Stock Compensation.” See page 55 for the breakout in the grant date fair value of PSUs and RSUs.</w:t>
      </w:r>
    </w:p>
    <w:p>
      <w:pPr>
        <w:spacing w:after="0" w:line="79" w:lineRule="exact"/>
        <w:rPr>
          <w:sz w:val="20"/>
          <w:szCs w:val="20"/>
          <w:color w:val="auto"/>
        </w:rPr>
      </w:pPr>
    </w:p>
    <w:p>
      <w:pPr>
        <w:ind w:left="600" w:hanging="420"/>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grant date fair value of the 2023 PSU awards at the outstanding (maximum) level for each executive officer was:</w:t>
      </w:r>
    </w:p>
    <w:p>
      <w:pPr>
        <w:spacing w:after="0" w:line="128"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3800" w:type="dxa"/>
            <w:vAlign w:val="bottom"/>
            <w:shd w:val="clear" w:color="auto" w:fill="EAEAEA"/>
          </w:tcPr>
          <w:p>
            <w:pPr>
              <w:spacing w:after="0"/>
              <w:rPr>
                <w:sz w:val="15"/>
                <w:szCs w:val="15"/>
                <w:color w:val="auto"/>
              </w:rPr>
            </w:pPr>
          </w:p>
        </w:tc>
        <w:tc>
          <w:tcPr>
            <w:tcW w:w="3240" w:type="dxa"/>
            <w:vAlign w:val="bottom"/>
            <w:shd w:val="clear" w:color="auto" w:fill="EAEAEA"/>
          </w:tcPr>
          <w:p>
            <w:pPr>
              <w:jc w:val="right"/>
              <w:spacing w:after="0"/>
              <w:rPr>
                <w:sz w:val="20"/>
                <w:szCs w:val="20"/>
                <w:color w:val="auto"/>
              </w:rPr>
            </w:pPr>
            <w:r>
              <w:rPr>
                <w:rFonts w:ascii="Arial" w:cs="Arial" w:eastAsia="Arial" w:hAnsi="Arial"/>
                <w:sz w:val="12"/>
                <w:szCs w:val="12"/>
                <w:b w:val="1"/>
                <w:bCs w:val="1"/>
                <w:color w:val="5D89B4"/>
              </w:rPr>
              <w:t>2023</w:t>
            </w:r>
          </w:p>
        </w:tc>
      </w:tr>
      <w:tr>
        <w:trPr>
          <w:trHeight w:val="211"/>
        </w:trPr>
        <w:tc>
          <w:tcPr>
            <w:tcW w:w="280" w:type="dxa"/>
            <w:vAlign w:val="bottom"/>
          </w:tcPr>
          <w:p>
            <w:pPr>
              <w:spacing w:after="0"/>
              <w:rPr>
                <w:sz w:val="18"/>
                <w:szCs w:val="18"/>
                <w:color w:val="auto"/>
              </w:rPr>
            </w:pPr>
          </w:p>
        </w:tc>
        <w:tc>
          <w:tcPr>
            <w:tcW w:w="38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2"/>
                <w:szCs w:val="12"/>
                <w:b w:val="1"/>
                <w:bCs w:val="1"/>
                <w:color w:val="5D89B4"/>
              </w:rPr>
              <w:t>NAME</w:t>
            </w:r>
          </w:p>
        </w:tc>
        <w:tc>
          <w:tcPr>
            <w:tcW w:w="32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r>
      <w:tr>
        <w:trPr>
          <w:trHeight w:val="252"/>
        </w:trPr>
        <w:tc>
          <w:tcPr>
            <w:tcW w:w="280" w:type="dxa"/>
            <w:vAlign w:val="bottom"/>
          </w:tcPr>
          <w:p>
            <w:pPr>
              <w:spacing w:after="0"/>
              <w:rPr>
                <w:sz w:val="21"/>
                <w:szCs w:val="21"/>
                <w:color w:val="auto"/>
              </w:rPr>
            </w:pPr>
          </w:p>
        </w:tc>
        <w:tc>
          <w:tcPr>
            <w:tcW w:w="3800" w:type="dxa"/>
            <w:vAlign w:val="bottom"/>
          </w:tcPr>
          <w:p>
            <w:pPr>
              <w:ind w:left="120"/>
              <w:spacing w:after="0"/>
              <w:rPr>
                <w:sz w:val="20"/>
                <w:szCs w:val="20"/>
                <w:color w:val="auto"/>
              </w:rPr>
            </w:pPr>
            <w:r>
              <w:rPr>
                <w:rFonts w:ascii="Arial" w:cs="Arial" w:eastAsia="Arial" w:hAnsi="Arial"/>
                <w:sz w:val="14"/>
                <w:szCs w:val="14"/>
                <w:b w:val="1"/>
                <w:bCs w:val="1"/>
                <w:color w:val="auto"/>
              </w:rPr>
              <w:t>Jonas Prising</w:t>
            </w:r>
          </w:p>
        </w:tc>
        <w:tc>
          <w:tcPr>
            <w:tcW w:w="3240" w:type="dxa"/>
            <w:vAlign w:val="bottom"/>
          </w:tcPr>
          <w:p>
            <w:pPr>
              <w:jc w:val="right"/>
              <w:spacing w:after="0"/>
              <w:rPr>
                <w:sz w:val="20"/>
                <w:szCs w:val="20"/>
                <w:color w:val="auto"/>
              </w:rPr>
            </w:pPr>
            <w:r>
              <w:rPr>
                <w:rFonts w:ascii="Arial" w:cs="Arial" w:eastAsia="Arial" w:hAnsi="Arial"/>
                <w:sz w:val="15"/>
                <w:szCs w:val="15"/>
                <w:color w:val="auto"/>
              </w:rPr>
              <w:t>12,480,018</w:t>
            </w:r>
          </w:p>
        </w:tc>
      </w:tr>
      <w:tr>
        <w:trPr>
          <w:trHeight w:val="41"/>
        </w:trPr>
        <w:tc>
          <w:tcPr>
            <w:tcW w:w="280" w:type="dxa"/>
            <w:vAlign w:val="bottom"/>
          </w:tcPr>
          <w:p>
            <w:pPr>
              <w:spacing w:after="0"/>
              <w:rPr>
                <w:sz w:val="3"/>
                <w:szCs w:val="3"/>
                <w:color w:val="auto"/>
              </w:rPr>
            </w:pPr>
          </w:p>
        </w:tc>
        <w:tc>
          <w:tcPr>
            <w:tcW w:w="3800" w:type="dxa"/>
            <w:vAlign w:val="bottom"/>
            <w:tcBorders>
              <w:bottom w:val="single" w:sz="8" w:color="5D89B4"/>
            </w:tcBorders>
          </w:tcPr>
          <w:p>
            <w:pPr>
              <w:spacing w:after="0"/>
              <w:rPr>
                <w:sz w:val="3"/>
                <w:szCs w:val="3"/>
                <w:color w:val="auto"/>
              </w:rPr>
            </w:pPr>
          </w:p>
        </w:tc>
        <w:tc>
          <w:tcPr>
            <w:tcW w:w="3240" w:type="dxa"/>
            <w:vAlign w:val="bottom"/>
            <w:tcBorders>
              <w:bottom w:val="single" w:sz="8" w:color="5D89B4"/>
            </w:tcBorders>
          </w:tcPr>
          <w:p>
            <w:pPr>
              <w:spacing w:after="0"/>
              <w:rPr>
                <w:sz w:val="3"/>
                <w:szCs w:val="3"/>
                <w:color w:val="auto"/>
              </w:rPr>
            </w:pPr>
          </w:p>
        </w:tc>
      </w:tr>
      <w:tr>
        <w:trPr>
          <w:trHeight w:val="232"/>
        </w:trPr>
        <w:tc>
          <w:tcPr>
            <w:tcW w:w="28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4"/>
                <w:szCs w:val="14"/>
                <w:b w:val="1"/>
                <w:bCs w:val="1"/>
                <w:color w:val="auto"/>
              </w:rPr>
              <w:t>John T. McGinnis</w:t>
            </w:r>
          </w:p>
        </w:tc>
        <w:tc>
          <w:tcPr>
            <w:tcW w:w="3240" w:type="dxa"/>
            <w:vAlign w:val="bottom"/>
          </w:tcPr>
          <w:p>
            <w:pPr>
              <w:jc w:val="right"/>
              <w:spacing w:after="0"/>
              <w:rPr>
                <w:sz w:val="20"/>
                <w:szCs w:val="20"/>
                <w:color w:val="auto"/>
              </w:rPr>
            </w:pPr>
            <w:r>
              <w:rPr>
                <w:rFonts w:ascii="Arial" w:cs="Arial" w:eastAsia="Arial" w:hAnsi="Arial"/>
                <w:sz w:val="15"/>
                <w:szCs w:val="15"/>
                <w:color w:val="auto"/>
              </w:rPr>
              <w:t>3,600,042</w:t>
            </w:r>
          </w:p>
        </w:tc>
      </w:tr>
      <w:tr>
        <w:trPr>
          <w:trHeight w:val="41"/>
        </w:trPr>
        <w:tc>
          <w:tcPr>
            <w:tcW w:w="280" w:type="dxa"/>
            <w:vAlign w:val="bottom"/>
          </w:tcPr>
          <w:p>
            <w:pPr>
              <w:spacing w:after="0"/>
              <w:rPr>
                <w:sz w:val="3"/>
                <w:szCs w:val="3"/>
                <w:color w:val="auto"/>
              </w:rPr>
            </w:pPr>
          </w:p>
        </w:tc>
        <w:tc>
          <w:tcPr>
            <w:tcW w:w="3800" w:type="dxa"/>
            <w:vAlign w:val="bottom"/>
            <w:tcBorders>
              <w:bottom w:val="single" w:sz="8" w:color="5D89B4"/>
            </w:tcBorders>
          </w:tcPr>
          <w:p>
            <w:pPr>
              <w:spacing w:after="0"/>
              <w:rPr>
                <w:sz w:val="3"/>
                <w:szCs w:val="3"/>
                <w:color w:val="auto"/>
              </w:rPr>
            </w:pPr>
          </w:p>
        </w:tc>
        <w:tc>
          <w:tcPr>
            <w:tcW w:w="3240" w:type="dxa"/>
            <w:vAlign w:val="bottom"/>
            <w:tcBorders>
              <w:bottom w:val="single" w:sz="8" w:color="5D89B4"/>
            </w:tcBorders>
          </w:tcPr>
          <w:p>
            <w:pPr>
              <w:spacing w:after="0"/>
              <w:rPr>
                <w:sz w:val="3"/>
                <w:szCs w:val="3"/>
                <w:color w:val="auto"/>
              </w:rPr>
            </w:pPr>
          </w:p>
        </w:tc>
      </w:tr>
      <w:tr>
        <w:trPr>
          <w:trHeight w:val="232"/>
        </w:trPr>
        <w:tc>
          <w:tcPr>
            <w:tcW w:w="28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4"/>
                <w:szCs w:val="14"/>
                <w:b w:val="1"/>
                <w:bCs w:val="1"/>
                <w:color w:val="auto"/>
              </w:rPr>
              <w:t>Michelle S. Nettles</w:t>
            </w:r>
          </w:p>
        </w:tc>
        <w:tc>
          <w:tcPr>
            <w:tcW w:w="3240" w:type="dxa"/>
            <w:vAlign w:val="bottom"/>
          </w:tcPr>
          <w:p>
            <w:pPr>
              <w:jc w:val="right"/>
              <w:spacing w:after="0"/>
              <w:rPr>
                <w:sz w:val="20"/>
                <w:szCs w:val="20"/>
                <w:color w:val="auto"/>
              </w:rPr>
            </w:pPr>
            <w:r>
              <w:rPr>
                <w:rFonts w:ascii="Arial" w:cs="Arial" w:eastAsia="Arial" w:hAnsi="Arial"/>
                <w:sz w:val="15"/>
                <w:szCs w:val="15"/>
                <w:color w:val="auto"/>
              </w:rPr>
              <w:t>1,499,964</w:t>
            </w:r>
          </w:p>
        </w:tc>
      </w:tr>
      <w:tr>
        <w:trPr>
          <w:trHeight w:val="41"/>
        </w:trPr>
        <w:tc>
          <w:tcPr>
            <w:tcW w:w="280" w:type="dxa"/>
            <w:vAlign w:val="bottom"/>
          </w:tcPr>
          <w:p>
            <w:pPr>
              <w:spacing w:after="0"/>
              <w:rPr>
                <w:sz w:val="3"/>
                <w:szCs w:val="3"/>
                <w:color w:val="auto"/>
              </w:rPr>
            </w:pPr>
          </w:p>
        </w:tc>
        <w:tc>
          <w:tcPr>
            <w:tcW w:w="3800" w:type="dxa"/>
            <w:vAlign w:val="bottom"/>
            <w:tcBorders>
              <w:bottom w:val="single" w:sz="8" w:color="5D89B4"/>
            </w:tcBorders>
          </w:tcPr>
          <w:p>
            <w:pPr>
              <w:spacing w:after="0"/>
              <w:rPr>
                <w:sz w:val="3"/>
                <w:szCs w:val="3"/>
                <w:color w:val="auto"/>
              </w:rPr>
            </w:pPr>
          </w:p>
        </w:tc>
        <w:tc>
          <w:tcPr>
            <w:tcW w:w="3240" w:type="dxa"/>
            <w:vAlign w:val="bottom"/>
            <w:tcBorders>
              <w:bottom w:val="single" w:sz="8" w:color="5D89B4"/>
            </w:tcBorders>
          </w:tcPr>
          <w:p>
            <w:pPr>
              <w:spacing w:after="0"/>
              <w:rPr>
                <w:sz w:val="3"/>
                <w:szCs w:val="3"/>
                <w:color w:val="auto"/>
              </w:rPr>
            </w:pPr>
          </w:p>
        </w:tc>
      </w:tr>
      <w:tr>
        <w:trPr>
          <w:trHeight w:val="232"/>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       Richard Buchband</w:t>
            </w:r>
          </w:p>
        </w:tc>
        <w:tc>
          <w:tcPr>
            <w:tcW w:w="3240" w:type="dxa"/>
            <w:vAlign w:val="bottom"/>
          </w:tcPr>
          <w:p>
            <w:pPr>
              <w:jc w:val="right"/>
              <w:spacing w:after="0"/>
              <w:rPr>
                <w:sz w:val="20"/>
                <w:szCs w:val="20"/>
                <w:color w:val="auto"/>
              </w:rPr>
            </w:pPr>
            <w:r>
              <w:rPr>
                <w:rFonts w:ascii="Arial" w:cs="Arial" w:eastAsia="Arial" w:hAnsi="Arial"/>
                <w:sz w:val="15"/>
                <w:szCs w:val="15"/>
                <w:color w:val="auto"/>
              </w:rPr>
              <w:t>1,200,014</w:t>
            </w:r>
          </w:p>
        </w:tc>
      </w:tr>
    </w:tbl>
    <w:p>
      <w:pPr>
        <w:spacing w:after="0" w:line="152" w:lineRule="exact"/>
        <w:rPr>
          <w:sz w:val="20"/>
          <w:szCs w:val="20"/>
          <w:color w:val="auto"/>
        </w:rPr>
      </w:pPr>
    </w:p>
    <w:p>
      <w:pPr>
        <w:ind w:left="600" w:hanging="420"/>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for the stock options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115570</wp:posOffset>
            </wp:positionV>
            <wp:extent cx="69138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TABLES</w:t>
      </w:r>
    </w:p>
    <w:p>
      <w:pPr>
        <w:spacing w:after="0" w:line="154" w:lineRule="exact"/>
        <w:rPr>
          <w:sz w:val="20"/>
          <w:szCs w:val="20"/>
          <w:color w:val="auto"/>
        </w:rPr>
      </w:pPr>
    </w:p>
    <w:p>
      <w:pPr>
        <w:ind w:left="600" w:hanging="420"/>
        <w:spacing w:after="0"/>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Details about the amounts in the “All Other Compensation” column for fiscal year 2023 are set forth in the table below.</w:t>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2580" w:type="dxa"/>
            <w:vAlign w:val="bottom"/>
            <w:shd w:val="clear" w:color="auto" w:fill="EAEAEA"/>
          </w:tcPr>
          <w:p>
            <w:pPr>
              <w:spacing w:after="0"/>
              <w:rPr>
                <w:sz w:val="15"/>
                <w:szCs w:val="15"/>
                <w:color w:val="auto"/>
              </w:rPr>
            </w:pPr>
          </w:p>
        </w:tc>
        <w:tc>
          <w:tcPr>
            <w:tcW w:w="2140" w:type="dxa"/>
            <w:vAlign w:val="bottom"/>
            <w:shd w:val="clear" w:color="auto" w:fill="EAEAEA"/>
          </w:tcPr>
          <w:p>
            <w:pPr>
              <w:spacing w:after="0"/>
              <w:rPr>
                <w:sz w:val="15"/>
                <w:szCs w:val="15"/>
                <w:color w:val="auto"/>
              </w:rPr>
            </w:pPr>
          </w:p>
        </w:tc>
        <w:tc>
          <w:tcPr>
            <w:tcW w:w="1740" w:type="dxa"/>
            <w:vAlign w:val="bottom"/>
            <w:shd w:val="clear" w:color="auto" w:fill="EAEAEA"/>
          </w:tcPr>
          <w:p>
            <w:pPr>
              <w:spacing w:after="0"/>
              <w:rPr>
                <w:sz w:val="15"/>
                <w:szCs w:val="15"/>
                <w:color w:val="auto"/>
              </w:rPr>
            </w:pPr>
          </w:p>
        </w:tc>
        <w:tc>
          <w:tcPr>
            <w:tcW w:w="1480" w:type="dxa"/>
            <w:vAlign w:val="bottom"/>
            <w:vMerge w:val="restart"/>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PAYMENTS/</w:t>
            </w:r>
          </w:p>
        </w:tc>
        <w:tc>
          <w:tcPr>
            <w:tcW w:w="1600" w:type="dxa"/>
            <w:vAlign w:val="bottom"/>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COMPANY</w:t>
            </w:r>
          </w:p>
        </w:tc>
        <w:tc>
          <w:tcPr>
            <w:tcW w:w="134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580" w:type="dxa"/>
            <w:vAlign w:val="bottom"/>
            <w:shd w:val="clear" w:color="auto" w:fill="EAEAEA"/>
          </w:tcPr>
          <w:p>
            <w:pPr>
              <w:spacing w:after="0"/>
              <w:rPr>
                <w:sz w:val="11"/>
                <w:szCs w:val="11"/>
                <w:color w:val="auto"/>
              </w:rPr>
            </w:pPr>
          </w:p>
        </w:tc>
        <w:tc>
          <w:tcPr>
            <w:tcW w:w="2140" w:type="dxa"/>
            <w:vAlign w:val="bottom"/>
            <w:shd w:val="clear" w:color="auto" w:fill="EAEAEA"/>
          </w:tcPr>
          <w:p>
            <w:pPr>
              <w:spacing w:after="0"/>
              <w:rPr>
                <w:sz w:val="11"/>
                <w:szCs w:val="11"/>
                <w:color w:val="auto"/>
              </w:rPr>
            </w:pPr>
          </w:p>
        </w:tc>
        <w:tc>
          <w:tcPr>
            <w:tcW w:w="1740" w:type="dxa"/>
            <w:vAlign w:val="bottom"/>
            <w:shd w:val="clear" w:color="auto" w:fill="EAEAEA"/>
          </w:tcPr>
          <w:p>
            <w:pPr>
              <w:spacing w:after="0"/>
              <w:rPr>
                <w:sz w:val="11"/>
                <w:szCs w:val="11"/>
                <w:color w:val="auto"/>
              </w:rPr>
            </w:pPr>
          </w:p>
        </w:tc>
        <w:tc>
          <w:tcPr>
            <w:tcW w:w="1480" w:type="dxa"/>
            <w:vAlign w:val="bottom"/>
            <w:vMerge w:val="continue"/>
            <w:shd w:val="clear" w:color="auto" w:fill="EAEAEA"/>
          </w:tcPr>
          <w:p>
            <w:pPr>
              <w:spacing w:after="0"/>
              <w:rPr>
                <w:sz w:val="11"/>
                <w:szCs w:val="11"/>
                <w:color w:val="auto"/>
              </w:rPr>
            </w:pPr>
          </w:p>
        </w:tc>
        <w:tc>
          <w:tcPr>
            <w:tcW w:w="160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CONTRIBUTIONS</w:t>
            </w:r>
          </w:p>
        </w:tc>
        <w:tc>
          <w:tcPr>
            <w:tcW w:w="134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EAEAEA"/>
          </w:tcPr>
          <w:p>
            <w:pPr>
              <w:spacing w:after="0"/>
              <w:rPr>
                <w:sz w:val="12"/>
                <w:szCs w:val="12"/>
                <w:color w:val="auto"/>
              </w:rPr>
            </w:pPr>
          </w:p>
        </w:tc>
        <w:tc>
          <w:tcPr>
            <w:tcW w:w="2140" w:type="dxa"/>
            <w:vAlign w:val="bottom"/>
            <w:shd w:val="clear" w:color="auto" w:fill="EAEAEA"/>
          </w:tcPr>
          <w:p>
            <w:pPr>
              <w:jc w:val="right"/>
              <w:ind w:right="211"/>
              <w:spacing w:after="0"/>
              <w:rPr>
                <w:sz w:val="20"/>
                <w:szCs w:val="20"/>
                <w:color w:val="auto"/>
              </w:rPr>
            </w:pPr>
            <w:r>
              <w:rPr>
                <w:rFonts w:ascii="Arial" w:cs="Arial" w:eastAsia="Arial" w:hAnsi="Arial"/>
                <w:sz w:val="12"/>
                <w:szCs w:val="12"/>
                <w:b w:val="1"/>
                <w:bCs w:val="1"/>
                <w:color w:val="5D89B4"/>
              </w:rPr>
              <w:t>PERQUISITES &amp;</w:t>
            </w:r>
          </w:p>
        </w:tc>
        <w:tc>
          <w:tcPr>
            <w:tcW w:w="1740" w:type="dxa"/>
            <w:vAlign w:val="bottom"/>
            <w:vMerge w:val="restart"/>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TAX</w:t>
            </w:r>
          </w:p>
        </w:tc>
        <w:tc>
          <w:tcPr>
            <w:tcW w:w="1480" w:type="dxa"/>
            <w:vAlign w:val="bottom"/>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ACCRUALS ON</w:t>
            </w:r>
          </w:p>
        </w:tc>
        <w:tc>
          <w:tcPr>
            <w:tcW w:w="1600" w:type="dxa"/>
            <w:vAlign w:val="bottom"/>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TO DEFINED</w:t>
            </w:r>
          </w:p>
        </w:tc>
        <w:tc>
          <w:tcPr>
            <w:tcW w:w="1340" w:type="dxa"/>
            <w:vAlign w:val="bottom"/>
            <w:vMerge w:val="restart"/>
            <w:shd w:val="clear" w:color="auto" w:fill="EAEAEA"/>
          </w:tcPr>
          <w:p>
            <w:pPr>
              <w:jc w:val="right"/>
              <w:spacing w:after="0"/>
              <w:rPr>
                <w:sz w:val="20"/>
                <w:szCs w:val="20"/>
                <w:color w:val="auto"/>
              </w:rPr>
            </w:pPr>
            <w:r>
              <w:rPr>
                <w:rFonts w:ascii="Arial" w:cs="Arial" w:eastAsia="Arial" w:hAnsi="Arial"/>
                <w:sz w:val="12"/>
                <w:szCs w:val="12"/>
                <w:b w:val="1"/>
                <w:bCs w:val="1"/>
                <w:color w:val="5D89B4"/>
              </w:rPr>
              <w:t>TOTAL OTHER</w:t>
            </w:r>
          </w:p>
        </w:tc>
        <w:tc>
          <w:tcPr>
            <w:tcW w:w="0" w:type="dxa"/>
            <w:vAlign w:val="bottom"/>
          </w:tcPr>
          <w:p>
            <w:pPr>
              <w:spacing w:after="0"/>
              <w:rPr>
                <w:sz w:val="1"/>
                <w:szCs w:val="1"/>
                <w:color w:val="auto"/>
              </w:rPr>
            </w:pPr>
          </w:p>
        </w:tc>
      </w:tr>
      <w:tr>
        <w:trPr>
          <w:trHeight w:val="133"/>
        </w:trPr>
        <w:tc>
          <w:tcPr>
            <w:tcW w:w="2580" w:type="dxa"/>
            <w:vAlign w:val="bottom"/>
            <w:shd w:val="clear" w:color="auto" w:fill="EAEAEA"/>
          </w:tcPr>
          <w:p>
            <w:pPr>
              <w:spacing w:after="0"/>
              <w:rPr>
                <w:sz w:val="11"/>
                <w:szCs w:val="11"/>
                <w:color w:val="auto"/>
              </w:rPr>
            </w:pPr>
          </w:p>
        </w:tc>
        <w:tc>
          <w:tcPr>
            <w:tcW w:w="2140" w:type="dxa"/>
            <w:vAlign w:val="bottom"/>
            <w:shd w:val="clear" w:color="auto" w:fill="EAEAEA"/>
          </w:tcPr>
          <w:p>
            <w:pPr>
              <w:jc w:val="right"/>
              <w:ind w:right="211"/>
              <w:spacing w:after="0" w:line="134" w:lineRule="exact"/>
              <w:rPr>
                <w:sz w:val="20"/>
                <w:szCs w:val="20"/>
                <w:color w:val="auto"/>
              </w:rPr>
            </w:pPr>
            <w:r>
              <w:rPr>
                <w:rFonts w:ascii="Arial" w:cs="Arial" w:eastAsia="Arial" w:hAnsi="Arial"/>
                <w:sz w:val="12"/>
                <w:szCs w:val="12"/>
                <w:b w:val="1"/>
                <w:bCs w:val="1"/>
                <w:color w:val="5D89B4"/>
              </w:rPr>
              <w:t>OTHER</w:t>
            </w:r>
          </w:p>
        </w:tc>
        <w:tc>
          <w:tcPr>
            <w:tcW w:w="1740" w:type="dxa"/>
            <w:vAlign w:val="bottom"/>
            <w:vMerge w:val="continue"/>
            <w:shd w:val="clear" w:color="auto" w:fill="EAEAEA"/>
          </w:tcPr>
          <w:p>
            <w:pPr>
              <w:spacing w:after="0"/>
              <w:rPr>
                <w:sz w:val="11"/>
                <w:szCs w:val="11"/>
                <w:color w:val="auto"/>
              </w:rPr>
            </w:pPr>
          </w:p>
        </w:tc>
        <w:tc>
          <w:tcPr>
            <w:tcW w:w="148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TERMINATION</w:t>
            </w:r>
          </w:p>
        </w:tc>
        <w:tc>
          <w:tcPr>
            <w:tcW w:w="160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CONTRIBUTION</w:t>
            </w:r>
          </w:p>
        </w:tc>
        <w:tc>
          <w:tcPr>
            <w:tcW w:w="134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80" w:type="dxa"/>
            <w:vAlign w:val="bottom"/>
            <w:vMerge w:val="restart"/>
            <w:shd w:val="clear" w:color="auto" w:fill="EAEAEA"/>
          </w:tcPr>
          <w:p>
            <w:pPr>
              <w:ind w:left="80"/>
              <w:spacing w:after="0"/>
              <w:rPr>
                <w:sz w:val="20"/>
                <w:szCs w:val="20"/>
                <w:color w:val="auto"/>
              </w:rPr>
            </w:pPr>
            <w:r>
              <w:rPr>
                <w:rFonts w:ascii="Arial" w:cs="Arial" w:eastAsia="Arial" w:hAnsi="Arial"/>
                <w:sz w:val="12"/>
                <w:szCs w:val="12"/>
                <w:b w:val="1"/>
                <w:bCs w:val="1"/>
                <w:color w:val="5D89B4"/>
              </w:rPr>
              <w:t>NAME</w:t>
            </w:r>
          </w:p>
        </w:tc>
        <w:tc>
          <w:tcPr>
            <w:tcW w:w="2140" w:type="dxa"/>
            <w:vAlign w:val="bottom"/>
            <w:shd w:val="clear" w:color="auto" w:fill="EAEAEA"/>
          </w:tcPr>
          <w:p>
            <w:pPr>
              <w:jc w:val="right"/>
              <w:ind w:right="211"/>
              <w:spacing w:after="0" w:line="134" w:lineRule="exact"/>
              <w:rPr>
                <w:sz w:val="20"/>
                <w:szCs w:val="20"/>
                <w:color w:val="auto"/>
              </w:rPr>
            </w:pPr>
            <w:r>
              <w:rPr>
                <w:rFonts w:ascii="Arial" w:cs="Arial" w:eastAsia="Arial" w:hAnsi="Arial"/>
                <w:sz w:val="12"/>
                <w:szCs w:val="12"/>
                <w:b w:val="1"/>
                <w:bCs w:val="1"/>
                <w:color w:val="5D89B4"/>
              </w:rPr>
              <w:t>PERSONAL BENEFITS</w:t>
            </w:r>
          </w:p>
        </w:tc>
        <w:tc>
          <w:tcPr>
            <w:tcW w:w="1740" w:type="dxa"/>
            <w:vAlign w:val="bottom"/>
            <w:shd w:val="clear" w:color="auto" w:fill="EAEAEA"/>
          </w:tcPr>
          <w:p>
            <w:pPr>
              <w:jc w:val="right"/>
              <w:ind w:right="210"/>
              <w:spacing w:after="0" w:line="134" w:lineRule="exact"/>
              <w:rPr>
                <w:sz w:val="20"/>
                <w:szCs w:val="20"/>
                <w:color w:val="auto"/>
              </w:rPr>
            </w:pPr>
            <w:r>
              <w:rPr>
                <w:rFonts w:ascii="Arial" w:cs="Arial" w:eastAsia="Arial" w:hAnsi="Arial"/>
                <w:sz w:val="12"/>
                <w:szCs w:val="12"/>
                <w:b w:val="1"/>
                <w:bCs w:val="1"/>
                <w:color w:val="5D89B4"/>
              </w:rPr>
              <w:t>REIMBURSEMENTS</w:t>
            </w:r>
          </w:p>
        </w:tc>
        <w:tc>
          <w:tcPr>
            <w:tcW w:w="148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PLANS</w:t>
            </w:r>
          </w:p>
        </w:tc>
        <w:tc>
          <w:tcPr>
            <w:tcW w:w="160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PLANS</w:t>
            </w:r>
          </w:p>
        </w:tc>
        <w:tc>
          <w:tcPr>
            <w:tcW w:w="134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COMPENSATION</w:t>
            </w:r>
          </w:p>
        </w:tc>
        <w:tc>
          <w:tcPr>
            <w:tcW w:w="0" w:type="dxa"/>
            <w:vAlign w:val="bottom"/>
          </w:tcPr>
          <w:p>
            <w:pPr>
              <w:spacing w:after="0"/>
              <w:rPr>
                <w:sz w:val="1"/>
                <w:szCs w:val="1"/>
                <w:color w:val="auto"/>
              </w:rPr>
            </w:pPr>
          </w:p>
        </w:tc>
      </w:tr>
      <w:tr>
        <w:trPr>
          <w:trHeight w:val="207"/>
        </w:trPr>
        <w:tc>
          <w:tcPr>
            <w:tcW w:w="2580" w:type="dxa"/>
            <w:vAlign w:val="bottom"/>
            <w:tcBorders>
              <w:bottom w:val="single" w:sz="8" w:color="EAEAEA"/>
            </w:tcBorders>
            <w:vMerge w:val="continue"/>
            <w:shd w:val="clear" w:color="auto" w:fill="EAEAEA"/>
          </w:tcPr>
          <w:p>
            <w:pPr>
              <w:spacing w:after="0"/>
              <w:rPr>
                <w:sz w:val="17"/>
                <w:szCs w:val="17"/>
                <w:color w:val="auto"/>
              </w:rPr>
            </w:pPr>
          </w:p>
        </w:tc>
        <w:tc>
          <w:tcPr>
            <w:tcW w:w="2140" w:type="dxa"/>
            <w:vAlign w:val="bottom"/>
            <w:tcBorders>
              <w:bottom w:val="single" w:sz="8" w:color="EAEAEA"/>
            </w:tcBorders>
            <w:shd w:val="clear" w:color="auto" w:fill="EAEAEA"/>
          </w:tcPr>
          <w:p>
            <w:pPr>
              <w:jc w:val="right"/>
              <w:ind w:right="211"/>
              <w:spacing w:after="0"/>
              <w:rPr>
                <w:sz w:val="20"/>
                <w:szCs w:val="20"/>
                <w:color w:val="auto"/>
              </w:rPr>
            </w:pPr>
            <w:r>
              <w:rPr>
                <w:rFonts w:ascii="Arial" w:cs="Arial" w:eastAsia="Arial" w:hAnsi="Arial"/>
                <w:sz w:val="12"/>
                <w:szCs w:val="12"/>
                <w:b w:val="1"/>
                <w:bCs w:val="1"/>
                <w:color w:val="5D89B4"/>
              </w:rPr>
              <w:t>($)(A)</w:t>
            </w:r>
          </w:p>
        </w:tc>
        <w:tc>
          <w:tcPr>
            <w:tcW w:w="1740" w:type="dxa"/>
            <w:vAlign w:val="bottom"/>
            <w:tcBorders>
              <w:bottom w:val="single" w:sz="8" w:color="EAEAEA"/>
            </w:tcBorders>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w:t>
            </w:r>
          </w:p>
        </w:tc>
        <w:tc>
          <w:tcPr>
            <w:tcW w:w="1480" w:type="dxa"/>
            <w:vAlign w:val="bottom"/>
            <w:tcBorders>
              <w:bottom w:val="single" w:sz="8" w:color="EAEAEA"/>
            </w:tcBorders>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w:t>
            </w:r>
          </w:p>
        </w:tc>
        <w:tc>
          <w:tcPr>
            <w:tcW w:w="1600" w:type="dxa"/>
            <w:vAlign w:val="bottom"/>
            <w:tcBorders>
              <w:bottom w:val="single" w:sz="8" w:color="EAEAEA"/>
            </w:tcBorders>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($)(B)</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c>
          <w:tcPr>
            <w:tcW w:w="0" w:type="dxa"/>
            <w:vAlign w:val="bottom"/>
          </w:tcPr>
          <w:p>
            <w:pPr>
              <w:spacing w:after="0"/>
              <w:rPr>
                <w:sz w:val="1"/>
                <w:szCs w:val="1"/>
                <w:color w:val="auto"/>
              </w:rPr>
            </w:pPr>
          </w:p>
        </w:tc>
      </w:tr>
      <w:tr>
        <w:trPr>
          <w:trHeight w:val="252"/>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140" w:type="dxa"/>
            <w:vAlign w:val="bottom"/>
          </w:tcPr>
          <w:p>
            <w:pPr>
              <w:jc w:val="right"/>
              <w:ind w:right="211"/>
              <w:spacing w:after="0"/>
              <w:rPr>
                <w:sz w:val="20"/>
                <w:szCs w:val="20"/>
                <w:color w:val="auto"/>
              </w:rPr>
            </w:pPr>
            <w:r>
              <w:rPr>
                <w:rFonts w:ascii="Arial" w:cs="Arial" w:eastAsia="Arial" w:hAnsi="Arial"/>
                <w:sz w:val="15"/>
                <w:szCs w:val="15"/>
                <w:color w:val="auto"/>
              </w:rPr>
              <w:t>36,237</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12"/>
              <w:spacing w:after="0"/>
              <w:rPr>
                <w:sz w:val="20"/>
                <w:szCs w:val="20"/>
                <w:color w:val="auto"/>
              </w:rPr>
            </w:pPr>
            <w:r>
              <w:rPr>
                <w:rFonts w:ascii="Arial" w:cs="Arial" w:eastAsia="Arial" w:hAnsi="Arial"/>
                <w:sz w:val="15"/>
                <w:szCs w:val="15"/>
                <w:color w:val="auto"/>
              </w:rPr>
              <w:t>249,054</w:t>
            </w:r>
          </w:p>
        </w:tc>
        <w:tc>
          <w:tcPr>
            <w:tcW w:w="1340" w:type="dxa"/>
            <w:vAlign w:val="bottom"/>
          </w:tcPr>
          <w:p>
            <w:pPr>
              <w:jc w:val="right"/>
              <w:spacing w:after="0"/>
              <w:rPr>
                <w:sz w:val="20"/>
                <w:szCs w:val="20"/>
                <w:color w:val="auto"/>
              </w:rPr>
            </w:pPr>
            <w:r>
              <w:rPr>
                <w:rFonts w:ascii="Arial" w:cs="Arial" w:eastAsia="Arial" w:hAnsi="Arial"/>
                <w:sz w:val="15"/>
                <w:szCs w:val="15"/>
                <w:color w:val="auto"/>
              </w:rPr>
              <w:t>285,291</w:t>
            </w:r>
          </w:p>
        </w:tc>
        <w:tc>
          <w:tcPr>
            <w:tcW w:w="0" w:type="dxa"/>
            <w:vAlign w:val="bottom"/>
          </w:tcPr>
          <w:p>
            <w:pPr>
              <w:spacing w:after="0"/>
              <w:rPr>
                <w:sz w:val="1"/>
                <w:szCs w:val="1"/>
                <w:color w:val="auto"/>
              </w:rPr>
            </w:pPr>
          </w:p>
        </w:tc>
      </w:tr>
      <w:tr>
        <w:trPr>
          <w:trHeight w:val="41"/>
        </w:trPr>
        <w:tc>
          <w:tcPr>
            <w:tcW w:w="25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740" w:type="dxa"/>
            <w:vAlign w:val="bottom"/>
            <w:tcBorders>
              <w:bottom w:val="single" w:sz="8" w:color="5D89B4"/>
            </w:tcBorders>
          </w:tcPr>
          <w:p>
            <w:pPr>
              <w:spacing w:after="0"/>
              <w:rPr>
                <w:sz w:val="3"/>
                <w:szCs w:val="3"/>
                <w:color w:val="auto"/>
              </w:rPr>
            </w:pPr>
          </w:p>
        </w:tc>
        <w:tc>
          <w:tcPr>
            <w:tcW w:w="1480" w:type="dxa"/>
            <w:vAlign w:val="bottom"/>
            <w:tcBorders>
              <w:bottom w:val="single" w:sz="8" w:color="5D89B4"/>
            </w:tcBorders>
          </w:tcPr>
          <w:p>
            <w:pPr>
              <w:spacing w:after="0"/>
              <w:rPr>
                <w:sz w:val="3"/>
                <w:szCs w:val="3"/>
                <w:color w:val="auto"/>
              </w:rPr>
            </w:pPr>
          </w:p>
        </w:tc>
        <w:tc>
          <w:tcPr>
            <w:tcW w:w="1600" w:type="dxa"/>
            <w:vAlign w:val="bottom"/>
            <w:tcBorders>
              <w:bottom w:val="single" w:sz="8" w:color="5D89B4"/>
            </w:tcBorders>
          </w:tcPr>
          <w:p>
            <w:pPr>
              <w:spacing w:after="0"/>
              <w:rPr>
                <w:sz w:val="3"/>
                <w:szCs w:val="3"/>
                <w:color w:val="auto"/>
              </w:rPr>
            </w:pPr>
          </w:p>
        </w:tc>
        <w:tc>
          <w:tcPr>
            <w:tcW w:w="134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140" w:type="dxa"/>
            <w:vAlign w:val="bottom"/>
          </w:tcPr>
          <w:p>
            <w:pPr>
              <w:jc w:val="right"/>
              <w:ind w:right="211"/>
              <w:spacing w:after="0"/>
              <w:rPr>
                <w:sz w:val="20"/>
                <w:szCs w:val="20"/>
                <w:color w:val="auto"/>
              </w:rPr>
            </w:pPr>
            <w:r>
              <w:rPr>
                <w:rFonts w:ascii="Arial" w:cs="Arial" w:eastAsia="Arial" w:hAnsi="Arial"/>
                <w:sz w:val="15"/>
                <w:szCs w:val="15"/>
                <w:color w:val="auto"/>
              </w:rPr>
              <w:t>31,090</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12"/>
              <w:spacing w:after="0"/>
              <w:rPr>
                <w:sz w:val="20"/>
                <w:szCs w:val="20"/>
                <w:color w:val="auto"/>
              </w:rPr>
            </w:pPr>
            <w:r>
              <w:rPr>
                <w:rFonts w:ascii="Arial" w:cs="Arial" w:eastAsia="Arial" w:hAnsi="Arial"/>
                <w:sz w:val="15"/>
                <w:szCs w:val="15"/>
                <w:color w:val="auto"/>
              </w:rPr>
              <w:t>101,203</w:t>
            </w:r>
          </w:p>
        </w:tc>
        <w:tc>
          <w:tcPr>
            <w:tcW w:w="1340" w:type="dxa"/>
            <w:vAlign w:val="bottom"/>
          </w:tcPr>
          <w:p>
            <w:pPr>
              <w:jc w:val="right"/>
              <w:spacing w:after="0"/>
              <w:rPr>
                <w:sz w:val="20"/>
                <w:szCs w:val="20"/>
                <w:color w:val="auto"/>
              </w:rPr>
            </w:pPr>
            <w:r>
              <w:rPr>
                <w:rFonts w:ascii="Arial" w:cs="Arial" w:eastAsia="Arial" w:hAnsi="Arial"/>
                <w:sz w:val="15"/>
                <w:szCs w:val="15"/>
                <w:color w:val="auto"/>
              </w:rPr>
              <w:t>132,293</w:t>
            </w:r>
          </w:p>
        </w:tc>
        <w:tc>
          <w:tcPr>
            <w:tcW w:w="0" w:type="dxa"/>
            <w:vAlign w:val="bottom"/>
          </w:tcPr>
          <w:p>
            <w:pPr>
              <w:spacing w:after="0"/>
              <w:rPr>
                <w:sz w:val="1"/>
                <w:szCs w:val="1"/>
                <w:color w:val="auto"/>
              </w:rPr>
            </w:pPr>
          </w:p>
        </w:tc>
      </w:tr>
      <w:tr>
        <w:trPr>
          <w:trHeight w:val="41"/>
        </w:trPr>
        <w:tc>
          <w:tcPr>
            <w:tcW w:w="25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740" w:type="dxa"/>
            <w:vAlign w:val="bottom"/>
            <w:tcBorders>
              <w:bottom w:val="single" w:sz="8" w:color="5D89B4"/>
            </w:tcBorders>
          </w:tcPr>
          <w:p>
            <w:pPr>
              <w:spacing w:after="0"/>
              <w:rPr>
                <w:sz w:val="3"/>
                <w:szCs w:val="3"/>
                <w:color w:val="auto"/>
              </w:rPr>
            </w:pPr>
          </w:p>
        </w:tc>
        <w:tc>
          <w:tcPr>
            <w:tcW w:w="1480" w:type="dxa"/>
            <w:vAlign w:val="bottom"/>
            <w:tcBorders>
              <w:bottom w:val="single" w:sz="8" w:color="5D89B4"/>
            </w:tcBorders>
          </w:tcPr>
          <w:p>
            <w:pPr>
              <w:spacing w:after="0"/>
              <w:rPr>
                <w:sz w:val="3"/>
                <w:szCs w:val="3"/>
                <w:color w:val="auto"/>
              </w:rPr>
            </w:pPr>
          </w:p>
        </w:tc>
        <w:tc>
          <w:tcPr>
            <w:tcW w:w="1600" w:type="dxa"/>
            <w:vAlign w:val="bottom"/>
            <w:tcBorders>
              <w:bottom w:val="single" w:sz="8" w:color="5D89B4"/>
            </w:tcBorders>
          </w:tcPr>
          <w:p>
            <w:pPr>
              <w:spacing w:after="0"/>
              <w:rPr>
                <w:sz w:val="3"/>
                <w:szCs w:val="3"/>
                <w:color w:val="auto"/>
              </w:rPr>
            </w:pPr>
          </w:p>
        </w:tc>
        <w:tc>
          <w:tcPr>
            <w:tcW w:w="134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140" w:type="dxa"/>
            <w:vAlign w:val="bottom"/>
          </w:tcPr>
          <w:p>
            <w:pPr>
              <w:jc w:val="right"/>
              <w:ind w:right="211"/>
              <w:spacing w:after="0"/>
              <w:rPr>
                <w:sz w:val="20"/>
                <w:szCs w:val="20"/>
                <w:color w:val="auto"/>
              </w:rPr>
            </w:pPr>
            <w:r>
              <w:rPr>
                <w:rFonts w:ascii="Arial" w:cs="Arial" w:eastAsia="Arial" w:hAnsi="Arial"/>
                <w:sz w:val="15"/>
                <w:szCs w:val="15"/>
                <w:color w:val="auto"/>
              </w:rPr>
              <w:t>31,290</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12"/>
              <w:spacing w:after="0"/>
              <w:rPr>
                <w:sz w:val="20"/>
                <w:szCs w:val="20"/>
                <w:color w:val="auto"/>
              </w:rPr>
            </w:pPr>
            <w:r>
              <w:rPr>
                <w:rFonts w:ascii="Arial" w:cs="Arial" w:eastAsia="Arial" w:hAnsi="Arial"/>
                <w:sz w:val="15"/>
                <w:szCs w:val="15"/>
                <w:color w:val="auto"/>
              </w:rPr>
              <w:t>49,064</w:t>
            </w:r>
          </w:p>
        </w:tc>
        <w:tc>
          <w:tcPr>
            <w:tcW w:w="1340" w:type="dxa"/>
            <w:vAlign w:val="bottom"/>
          </w:tcPr>
          <w:p>
            <w:pPr>
              <w:jc w:val="right"/>
              <w:spacing w:after="0"/>
              <w:rPr>
                <w:sz w:val="20"/>
                <w:szCs w:val="20"/>
                <w:color w:val="auto"/>
              </w:rPr>
            </w:pPr>
            <w:r>
              <w:rPr>
                <w:rFonts w:ascii="Arial" w:cs="Arial" w:eastAsia="Arial" w:hAnsi="Arial"/>
                <w:sz w:val="15"/>
                <w:szCs w:val="15"/>
                <w:color w:val="auto"/>
              </w:rPr>
              <w:t>80,354</w:t>
            </w:r>
          </w:p>
        </w:tc>
        <w:tc>
          <w:tcPr>
            <w:tcW w:w="0" w:type="dxa"/>
            <w:vAlign w:val="bottom"/>
          </w:tcPr>
          <w:p>
            <w:pPr>
              <w:spacing w:after="0"/>
              <w:rPr>
                <w:sz w:val="1"/>
                <w:szCs w:val="1"/>
                <w:color w:val="auto"/>
              </w:rPr>
            </w:pPr>
          </w:p>
        </w:tc>
      </w:tr>
      <w:tr>
        <w:trPr>
          <w:trHeight w:val="41"/>
        </w:trPr>
        <w:tc>
          <w:tcPr>
            <w:tcW w:w="25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740" w:type="dxa"/>
            <w:vAlign w:val="bottom"/>
            <w:tcBorders>
              <w:bottom w:val="single" w:sz="8" w:color="5D89B4"/>
            </w:tcBorders>
          </w:tcPr>
          <w:p>
            <w:pPr>
              <w:spacing w:after="0"/>
              <w:rPr>
                <w:sz w:val="3"/>
                <w:szCs w:val="3"/>
                <w:color w:val="auto"/>
              </w:rPr>
            </w:pPr>
          </w:p>
        </w:tc>
        <w:tc>
          <w:tcPr>
            <w:tcW w:w="1480" w:type="dxa"/>
            <w:vAlign w:val="bottom"/>
            <w:tcBorders>
              <w:bottom w:val="single" w:sz="8" w:color="5D89B4"/>
            </w:tcBorders>
          </w:tcPr>
          <w:p>
            <w:pPr>
              <w:spacing w:after="0"/>
              <w:rPr>
                <w:sz w:val="3"/>
                <w:szCs w:val="3"/>
                <w:color w:val="auto"/>
              </w:rPr>
            </w:pPr>
          </w:p>
        </w:tc>
        <w:tc>
          <w:tcPr>
            <w:tcW w:w="1600" w:type="dxa"/>
            <w:vAlign w:val="bottom"/>
            <w:tcBorders>
              <w:bottom w:val="single" w:sz="8" w:color="5D89B4"/>
            </w:tcBorders>
          </w:tcPr>
          <w:p>
            <w:pPr>
              <w:spacing w:after="0"/>
              <w:rPr>
                <w:sz w:val="3"/>
                <w:szCs w:val="3"/>
                <w:color w:val="auto"/>
              </w:rPr>
            </w:pPr>
          </w:p>
        </w:tc>
        <w:tc>
          <w:tcPr>
            <w:tcW w:w="134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140" w:type="dxa"/>
            <w:vAlign w:val="bottom"/>
          </w:tcPr>
          <w:p>
            <w:pPr>
              <w:jc w:val="right"/>
              <w:ind w:right="211"/>
              <w:spacing w:after="0"/>
              <w:rPr>
                <w:sz w:val="20"/>
                <w:szCs w:val="20"/>
                <w:color w:val="auto"/>
              </w:rPr>
            </w:pPr>
            <w:r>
              <w:rPr>
                <w:rFonts w:ascii="Arial" w:cs="Arial" w:eastAsia="Arial" w:hAnsi="Arial"/>
                <w:sz w:val="15"/>
                <w:szCs w:val="15"/>
                <w:color w:val="auto"/>
              </w:rPr>
              <w:t>32,517</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12"/>
              <w:spacing w:after="0"/>
              <w:rPr>
                <w:sz w:val="20"/>
                <w:szCs w:val="20"/>
                <w:color w:val="auto"/>
              </w:rPr>
            </w:pPr>
            <w:r>
              <w:rPr>
                <w:rFonts w:ascii="Arial" w:cs="Arial" w:eastAsia="Arial" w:hAnsi="Arial"/>
                <w:sz w:val="15"/>
                <w:szCs w:val="15"/>
                <w:color w:val="auto"/>
              </w:rPr>
              <w:t>52,879</w:t>
            </w:r>
          </w:p>
        </w:tc>
        <w:tc>
          <w:tcPr>
            <w:tcW w:w="1340" w:type="dxa"/>
            <w:vAlign w:val="bottom"/>
          </w:tcPr>
          <w:p>
            <w:pPr>
              <w:jc w:val="right"/>
              <w:spacing w:after="0"/>
              <w:rPr>
                <w:sz w:val="20"/>
                <w:szCs w:val="20"/>
                <w:color w:val="auto"/>
              </w:rPr>
            </w:pPr>
            <w:r>
              <w:rPr>
                <w:rFonts w:ascii="Arial" w:cs="Arial" w:eastAsia="Arial" w:hAnsi="Arial"/>
                <w:sz w:val="15"/>
                <w:szCs w:val="15"/>
                <w:color w:val="auto"/>
              </w:rPr>
              <w:t>85,396</w:t>
            </w:r>
          </w:p>
        </w:tc>
        <w:tc>
          <w:tcPr>
            <w:tcW w:w="0" w:type="dxa"/>
            <w:vAlign w:val="bottom"/>
          </w:tcPr>
          <w:p>
            <w:pPr>
              <w:spacing w:after="0"/>
              <w:rPr>
                <w:sz w:val="1"/>
                <w:szCs w:val="1"/>
                <w:color w:val="auto"/>
              </w:rPr>
            </w:pPr>
          </w:p>
        </w:tc>
      </w:tr>
      <w:tr>
        <w:trPr>
          <w:trHeight w:val="41"/>
        </w:trPr>
        <w:tc>
          <w:tcPr>
            <w:tcW w:w="2580" w:type="dxa"/>
            <w:vAlign w:val="bottom"/>
            <w:tcBorders>
              <w:bottom w:val="single" w:sz="8" w:color="5D89B4"/>
            </w:tcBorders>
          </w:tcPr>
          <w:p>
            <w:pPr>
              <w:spacing w:after="0"/>
              <w:rPr>
                <w:sz w:val="3"/>
                <w:szCs w:val="3"/>
                <w:color w:val="auto"/>
              </w:rPr>
            </w:pPr>
          </w:p>
        </w:tc>
        <w:tc>
          <w:tcPr>
            <w:tcW w:w="2140" w:type="dxa"/>
            <w:vAlign w:val="bottom"/>
            <w:tcBorders>
              <w:bottom w:val="single" w:sz="8" w:color="5D89B4"/>
            </w:tcBorders>
          </w:tcPr>
          <w:p>
            <w:pPr>
              <w:spacing w:after="0"/>
              <w:rPr>
                <w:sz w:val="3"/>
                <w:szCs w:val="3"/>
                <w:color w:val="auto"/>
              </w:rPr>
            </w:pPr>
          </w:p>
        </w:tc>
        <w:tc>
          <w:tcPr>
            <w:tcW w:w="1740" w:type="dxa"/>
            <w:vAlign w:val="bottom"/>
            <w:tcBorders>
              <w:bottom w:val="single" w:sz="8" w:color="5D89B4"/>
            </w:tcBorders>
          </w:tcPr>
          <w:p>
            <w:pPr>
              <w:spacing w:after="0"/>
              <w:rPr>
                <w:sz w:val="3"/>
                <w:szCs w:val="3"/>
                <w:color w:val="auto"/>
              </w:rPr>
            </w:pPr>
          </w:p>
        </w:tc>
        <w:tc>
          <w:tcPr>
            <w:tcW w:w="1480" w:type="dxa"/>
            <w:vAlign w:val="bottom"/>
            <w:tcBorders>
              <w:bottom w:val="single" w:sz="8" w:color="5D89B4"/>
            </w:tcBorders>
          </w:tcPr>
          <w:p>
            <w:pPr>
              <w:spacing w:after="0"/>
              <w:rPr>
                <w:sz w:val="3"/>
                <w:szCs w:val="3"/>
                <w:color w:val="auto"/>
              </w:rPr>
            </w:pPr>
          </w:p>
        </w:tc>
        <w:tc>
          <w:tcPr>
            <w:tcW w:w="1600" w:type="dxa"/>
            <w:vAlign w:val="bottom"/>
            <w:tcBorders>
              <w:bottom w:val="single" w:sz="8" w:color="5D89B4"/>
            </w:tcBorders>
          </w:tcPr>
          <w:p>
            <w:pPr>
              <w:spacing w:after="0"/>
              <w:rPr>
                <w:sz w:val="3"/>
                <w:szCs w:val="3"/>
                <w:color w:val="auto"/>
              </w:rPr>
            </w:pPr>
          </w:p>
        </w:tc>
        <w:tc>
          <w:tcPr>
            <w:tcW w:w="134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0" w:right="160" w:hanging="420"/>
        <w:spacing w:after="0" w:line="259" w:lineRule="auto"/>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the cost of an annual physical, life insurance premiums paid and/or the value of financial services paid for by ManpowerGroup. None of these items individually had a value greater than $25,000.</w:t>
      </w:r>
    </w:p>
    <w:p>
      <w:pPr>
        <w:spacing w:after="0" w:line="79" w:lineRule="exact"/>
        <w:rPr>
          <w:rFonts w:ascii="Arial" w:cs="Arial" w:eastAsia="Arial" w:hAnsi="Arial"/>
          <w:sz w:val="14"/>
          <w:szCs w:val="14"/>
          <w:color w:val="auto"/>
        </w:rPr>
      </w:pPr>
    </w:p>
    <w:p>
      <w:pPr>
        <w:ind w:left="600" w:right="200" w:hanging="420"/>
        <w:spacing w:after="0" w:line="280" w:lineRule="auto"/>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contributions were made by ManpowerGroup on behalf of the executive officers under the terms of the Nonqualified Savings Plan and the Company’s 401(k) Plan to the extent the NEO has made a “catch-up contribution during the year.”</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Grants of Plan-Based Awards in 2023</w:t>
      </w: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2380" w:type="dxa"/>
            <w:vAlign w:val="bottom"/>
            <w:shd w:val="clear" w:color="auto" w:fill="EAEAEA"/>
          </w:tcPr>
          <w:p>
            <w:pPr>
              <w:spacing w:after="0"/>
              <w:rPr>
                <w:sz w:val="15"/>
                <w:szCs w:val="15"/>
                <w:color w:val="auto"/>
              </w:rPr>
            </w:pPr>
          </w:p>
        </w:tc>
        <w:tc>
          <w:tcPr>
            <w:tcW w:w="140" w:type="dxa"/>
            <w:vAlign w:val="bottom"/>
            <w:shd w:val="clear" w:color="auto" w:fill="EAEAEA"/>
          </w:tcPr>
          <w:p>
            <w:pPr>
              <w:spacing w:after="0"/>
              <w:rPr>
                <w:sz w:val="15"/>
                <w:szCs w:val="15"/>
                <w:color w:val="auto"/>
              </w:rPr>
            </w:pPr>
          </w:p>
        </w:tc>
        <w:tc>
          <w:tcPr>
            <w:tcW w:w="780" w:type="dxa"/>
            <w:vAlign w:val="bottom"/>
            <w:shd w:val="clear" w:color="auto" w:fill="EAEAEA"/>
          </w:tcPr>
          <w:p>
            <w:pPr>
              <w:spacing w:after="0"/>
              <w:rPr>
                <w:sz w:val="15"/>
                <w:szCs w:val="15"/>
                <w:color w:val="auto"/>
              </w:rPr>
            </w:pPr>
          </w:p>
        </w:tc>
        <w:tc>
          <w:tcPr>
            <w:tcW w:w="780" w:type="dxa"/>
            <w:vAlign w:val="bottom"/>
            <w:shd w:val="clear" w:color="auto" w:fill="EAEAEA"/>
          </w:tcPr>
          <w:p>
            <w:pPr>
              <w:spacing w:after="0"/>
              <w:rPr>
                <w:sz w:val="15"/>
                <w:szCs w:val="15"/>
                <w:color w:val="auto"/>
              </w:rPr>
            </w:pPr>
          </w:p>
        </w:tc>
        <w:tc>
          <w:tcPr>
            <w:tcW w:w="82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760" w:type="dxa"/>
            <w:vAlign w:val="bottom"/>
            <w:shd w:val="clear" w:color="auto" w:fill="EAEAEA"/>
          </w:tcPr>
          <w:p>
            <w:pPr>
              <w:spacing w:after="0"/>
              <w:rPr>
                <w:sz w:val="15"/>
                <w:szCs w:val="15"/>
                <w:color w:val="auto"/>
              </w:rPr>
            </w:pPr>
          </w:p>
        </w:tc>
        <w:tc>
          <w:tcPr>
            <w:tcW w:w="700" w:type="dxa"/>
            <w:vAlign w:val="bottom"/>
            <w:shd w:val="clear" w:color="auto" w:fill="EAEAEA"/>
          </w:tcPr>
          <w:p>
            <w:pPr>
              <w:spacing w:after="0"/>
              <w:rPr>
                <w:sz w:val="15"/>
                <w:szCs w:val="15"/>
                <w:color w:val="auto"/>
              </w:rPr>
            </w:pPr>
          </w:p>
        </w:tc>
        <w:tc>
          <w:tcPr>
            <w:tcW w:w="54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800" w:type="dxa"/>
            <w:vAlign w:val="bottom"/>
            <w:shd w:val="clear" w:color="auto" w:fill="EAEAEA"/>
          </w:tcPr>
          <w:p>
            <w:pPr>
              <w:jc w:val="right"/>
              <w:ind w:right="22"/>
              <w:spacing w:after="0"/>
              <w:rPr>
                <w:sz w:val="20"/>
                <w:szCs w:val="20"/>
                <w:color w:val="auto"/>
              </w:rPr>
            </w:pPr>
            <w:r>
              <w:rPr>
                <w:rFonts w:ascii="Arial" w:cs="Arial" w:eastAsia="Arial" w:hAnsi="Arial"/>
                <w:sz w:val="11"/>
                <w:szCs w:val="11"/>
                <w:b w:val="1"/>
                <w:bCs w:val="1"/>
                <w:color w:val="5D89B4"/>
              </w:rPr>
              <w:t>ALL</w:t>
            </w:r>
          </w:p>
        </w:tc>
        <w:tc>
          <w:tcPr>
            <w:tcW w:w="88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GRANT</w:t>
            </w:r>
          </w:p>
        </w:tc>
        <w:tc>
          <w:tcPr>
            <w:tcW w:w="0" w:type="dxa"/>
            <w:vAlign w:val="bottom"/>
          </w:tcPr>
          <w:p>
            <w:pPr>
              <w:spacing w:after="0"/>
              <w:rPr>
                <w:sz w:val="1"/>
                <w:szCs w:val="1"/>
                <w:color w:val="auto"/>
              </w:rPr>
            </w:pPr>
          </w:p>
        </w:tc>
      </w:tr>
      <w:tr>
        <w:trPr>
          <w:trHeight w:val="120"/>
        </w:trPr>
        <w:tc>
          <w:tcPr>
            <w:tcW w:w="23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820" w:type="dxa"/>
            <w:vAlign w:val="bottom"/>
            <w:shd w:val="clear" w:color="auto" w:fill="EAEAEA"/>
          </w:tcPr>
          <w:p>
            <w:pPr>
              <w:spacing w:after="0"/>
              <w:rPr>
                <w:sz w:val="10"/>
                <w:szCs w:val="10"/>
                <w:color w:val="auto"/>
              </w:rPr>
            </w:pPr>
          </w:p>
        </w:tc>
        <w:tc>
          <w:tcPr>
            <w:tcW w:w="62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OTHER</w:t>
            </w:r>
          </w:p>
        </w:tc>
        <w:tc>
          <w:tcPr>
            <w:tcW w:w="88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ALL OTHER</w:t>
            </w:r>
          </w:p>
        </w:tc>
        <w:tc>
          <w:tcPr>
            <w:tcW w:w="740" w:type="dxa"/>
            <w:vAlign w:val="bottom"/>
            <w:shd w:val="clear" w:color="auto" w:fill="EAEAEA"/>
          </w:tcPr>
          <w:p>
            <w:pPr>
              <w:spacing w:after="0"/>
              <w:rPr>
                <w:sz w:val="10"/>
                <w:szCs w:val="10"/>
                <w:color w:val="auto"/>
              </w:rPr>
            </w:pPr>
          </w:p>
        </w:tc>
        <w:tc>
          <w:tcPr>
            <w:tcW w:w="70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DATE</w:t>
            </w:r>
          </w:p>
        </w:tc>
        <w:tc>
          <w:tcPr>
            <w:tcW w:w="0" w:type="dxa"/>
            <w:vAlign w:val="bottom"/>
          </w:tcPr>
          <w:p>
            <w:pPr>
              <w:spacing w:after="0"/>
              <w:rPr>
                <w:sz w:val="1"/>
                <w:szCs w:val="1"/>
                <w:color w:val="auto"/>
              </w:rPr>
            </w:pPr>
          </w:p>
        </w:tc>
      </w:tr>
      <w:tr>
        <w:trPr>
          <w:trHeight w:val="120"/>
        </w:trPr>
        <w:tc>
          <w:tcPr>
            <w:tcW w:w="23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820" w:type="dxa"/>
            <w:vAlign w:val="bottom"/>
            <w:shd w:val="clear" w:color="auto" w:fill="EAEAEA"/>
          </w:tcPr>
          <w:p>
            <w:pPr>
              <w:spacing w:after="0"/>
              <w:rPr>
                <w:sz w:val="10"/>
                <w:szCs w:val="10"/>
                <w:color w:val="auto"/>
              </w:rPr>
            </w:pPr>
          </w:p>
        </w:tc>
        <w:tc>
          <w:tcPr>
            <w:tcW w:w="62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STOCK</w:t>
            </w:r>
          </w:p>
        </w:tc>
        <w:tc>
          <w:tcPr>
            <w:tcW w:w="88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OPTION</w:t>
            </w:r>
          </w:p>
        </w:tc>
        <w:tc>
          <w:tcPr>
            <w:tcW w:w="740" w:type="dxa"/>
            <w:vAlign w:val="bottom"/>
            <w:shd w:val="clear" w:color="auto" w:fill="EAEAEA"/>
          </w:tcPr>
          <w:p>
            <w:pPr>
              <w:spacing w:after="0"/>
              <w:rPr>
                <w:sz w:val="10"/>
                <w:szCs w:val="10"/>
                <w:color w:val="auto"/>
              </w:rPr>
            </w:pPr>
          </w:p>
        </w:tc>
        <w:tc>
          <w:tcPr>
            <w:tcW w:w="70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FAIR</w:t>
            </w:r>
          </w:p>
        </w:tc>
        <w:tc>
          <w:tcPr>
            <w:tcW w:w="0" w:type="dxa"/>
            <w:vAlign w:val="bottom"/>
          </w:tcPr>
          <w:p>
            <w:pPr>
              <w:spacing w:after="0"/>
              <w:rPr>
                <w:sz w:val="1"/>
                <w:szCs w:val="1"/>
                <w:color w:val="auto"/>
              </w:rPr>
            </w:pPr>
          </w:p>
        </w:tc>
      </w:tr>
      <w:tr>
        <w:trPr>
          <w:trHeight w:val="120"/>
        </w:trPr>
        <w:tc>
          <w:tcPr>
            <w:tcW w:w="23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820" w:type="dxa"/>
            <w:vAlign w:val="bottom"/>
            <w:shd w:val="clear" w:color="auto" w:fill="EAEAEA"/>
          </w:tcPr>
          <w:p>
            <w:pPr>
              <w:spacing w:after="0"/>
              <w:rPr>
                <w:sz w:val="10"/>
                <w:szCs w:val="10"/>
                <w:color w:val="auto"/>
              </w:rPr>
            </w:pPr>
          </w:p>
        </w:tc>
        <w:tc>
          <w:tcPr>
            <w:tcW w:w="62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AWARDS:</w:t>
            </w:r>
          </w:p>
        </w:tc>
        <w:tc>
          <w:tcPr>
            <w:tcW w:w="88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AWARDS:</w:t>
            </w:r>
          </w:p>
        </w:tc>
        <w:tc>
          <w:tcPr>
            <w:tcW w:w="740" w:type="dxa"/>
            <w:vAlign w:val="bottom"/>
            <w:shd w:val="clear" w:color="auto" w:fill="EAEAEA"/>
          </w:tcPr>
          <w:p>
            <w:pPr>
              <w:jc w:val="right"/>
              <w:ind w:right="41"/>
              <w:spacing w:after="0" w:line="120" w:lineRule="exact"/>
              <w:rPr>
                <w:sz w:val="20"/>
                <w:szCs w:val="20"/>
                <w:color w:val="auto"/>
              </w:rPr>
            </w:pPr>
            <w:r>
              <w:rPr>
                <w:rFonts w:ascii="Arial" w:cs="Arial" w:eastAsia="Arial" w:hAnsi="Arial"/>
                <w:sz w:val="11"/>
                <w:szCs w:val="11"/>
                <w:b w:val="1"/>
                <w:bCs w:val="1"/>
                <w:color w:val="5D89B4"/>
              </w:rPr>
              <w:t>EXERCISE</w:t>
            </w:r>
          </w:p>
        </w:tc>
        <w:tc>
          <w:tcPr>
            <w:tcW w:w="70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VALUE OF</w:t>
            </w:r>
          </w:p>
        </w:tc>
        <w:tc>
          <w:tcPr>
            <w:tcW w:w="0" w:type="dxa"/>
            <w:vAlign w:val="bottom"/>
          </w:tcPr>
          <w:p>
            <w:pPr>
              <w:spacing w:after="0"/>
              <w:rPr>
                <w:sz w:val="1"/>
                <w:szCs w:val="1"/>
                <w:color w:val="auto"/>
              </w:rPr>
            </w:pPr>
          </w:p>
        </w:tc>
      </w:tr>
      <w:tr>
        <w:trPr>
          <w:trHeight w:val="120"/>
        </w:trPr>
        <w:tc>
          <w:tcPr>
            <w:tcW w:w="23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2380" w:type="dxa"/>
            <w:vAlign w:val="bottom"/>
            <w:gridSpan w:val="4"/>
            <w:shd w:val="clear" w:color="auto" w:fill="EAEAEA"/>
          </w:tcPr>
          <w:p>
            <w:pPr>
              <w:jc w:val="center"/>
              <w:ind w:right="180"/>
              <w:spacing w:after="0" w:line="120" w:lineRule="exact"/>
              <w:rPr>
                <w:sz w:val="20"/>
                <w:szCs w:val="20"/>
                <w:color w:val="auto"/>
              </w:rPr>
            </w:pPr>
            <w:r>
              <w:rPr>
                <w:rFonts w:ascii="Arial" w:cs="Arial" w:eastAsia="Arial" w:hAnsi="Arial"/>
                <w:sz w:val="11"/>
                <w:szCs w:val="11"/>
                <w:b w:val="1"/>
                <w:bCs w:val="1"/>
                <w:color w:val="5D89B4"/>
                <w:w w:val="95"/>
              </w:rPr>
              <w:t>ESTIMATED FUTURE PAYOUTS</w:t>
            </w:r>
          </w:p>
        </w:tc>
        <w:tc>
          <w:tcPr>
            <w:tcW w:w="2080" w:type="dxa"/>
            <w:vAlign w:val="bottom"/>
            <w:gridSpan w:val="4"/>
            <w:shd w:val="clear" w:color="auto" w:fill="EAEAEA"/>
          </w:tcPr>
          <w:p>
            <w:pPr>
              <w:jc w:val="center"/>
              <w:ind w:right="80"/>
              <w:spacing w:after="0" w:line="120" w:lineRule="exact"/>
              <w:rPr>
                <w:sz w:val="20"/>
                <w:szCs w:val="20"/>
                <w:color w:val="auto"/>
              </w:rPr>
            </w:pPr>
            <w:r>
              <w:rPr>
                <w:rFonts w:ascii="Arial" w:cs="Arial" w:eastAsia="Arial" w:hAnsi="Arial"/>
                <w:sz w:val="11"/>
                <w:szCs w:val="11"/>
                <w:b w:val="1"/>
                <w:bCs w:val="1"/>
                <w:color w:val="5D89B4"/>
                <w:w w:val="95"/>
              </w:rPr>
              <w:t>ESTIMATED FUTURE PAYOUTS</w:t>
            </w:r>
          </w:p>
        </w:tc>
        <w:tc>
          <w:tcPr>
            <w:tcW w:w="80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NUMBER</w:t>
            </w:r>
          </w:p>
        </w:tc>
        <w:tc>
          <w:tcPr>
            <w:tcW w:w="88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NUMBER OF</w:t>
            </w:r>
          </w:p>
        </w:tc>
        <w:tc>
          <w:tcPr>
            <w:tcW w:w="740" w:type="dxa"/>
            <w:vAlign w:val="bottom"/>
            <w:shd w:val="clear" w:color="auto" w:fill="EAEAEA"/>
          </w:tcPr>
          <w:p>
            <w:pPr>
              <w:jc w:val="right"/>
              <w:ind w:right="41"/>
              <w:spacing w:after="0" w:line="120" w:lineRule="exact"/>
              <w:rPr>
                <w:sz w:val="20"/>
                <w:szCs w:val="20"/>
                <w:color w:val="auto"/>
              </w:rPr>
            </w:pPr>
            <w:r>
              <w:rPr>
                <w:rFonts w:ascii="Arial" w:cs="Arial" w:eastAsia="Arial" w:hAnsi="Arial"/>
                <w:sz w:val="11"/>
                <w:szCs w:val="11"/>
                <w:b w:val="1"/>
                <w:bCs w:val="1"/>
                <w:color w:val="5D89B4"/>
              </w:rPr>
              <w:t>OR BASE</w:t>
            </w:r>
          </w:p>
        </w:tc>
        <w:tc>
          <w:tcPr>
            <w:tcW w:w="70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STOCK</w:t>
            </w:r>
          </w:p>
        </w:tc>
        <w:tc>
          <w:tcPr>
            <w:tcW w:w="0" w:type="dxa"/>
            <w:vAlign w:val="bottom"/>
          </w:tcPr>
          <w:p>
            <w:pPr>
              <w:spacing w:after="0"/>
              <w:rPr>
                <w:sz w:val="1"/>
                <w:szCs w:val="1"/>
                <w:color w:val="auto"/>
              </w:rPr>
            </w:pPr>
          </w:p>
        </w:tc>
      </w:tr>
      <w:tr>
        <w:trPr>
          <w:trHeight w:val="120"/>
        </w:trPr>
        <w:tc>
          <w:tcPr>
            <w:tcW w:w="23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2380" w:type="dxa"/>
            <w:vAlign w:val="bottom"/>
            <w:gridSpan w:val="4"/>
            <w:shd w:val="clear" w:color="auto" w:fill="EAEAEA"/>
          </w:tcPr>
          <w:p>
            <w:pPr>
              <w:jc w:val="center"/>
              <w:ind w:right="180"/>
              <w:spacing w:after="0" w:line="120" w:lineRule="exact"/>
              <w:rPr>
                <w:sz w:val="20"/>
                <w:szCs w:val="20"/>
                <w:color w:val="auto"/>
              </w:rPr>
            </w:pPr>
            <w:r>
              <w:rPr>
                <w:rFonts w:ascii="Arial" w:cs="Arial" w:eastAsia="Arial" w:hAnsi="Arial"/>
                <w:sz w:val="11"/>
                <w:szCs w:val="11"/>
                <w:b w:val="1"/>
                <w:bCs w:val="1"/>
                <w:color w:val="5D89B4"/>
                <w:w w:val="97"/>
              </w:rPr>
              <w:t>UNDER NON-EQUITY INCENTIVE</w:t>
            </w:r>
          </w:p>
        </w:tc>
        <w:tc>
          <w:tcPr>
            <w:tcW w:w="2080" w:type="dxa"/>
            <w:vAlign w:val="bottom"/>
            <w:gridSpan w:val="4"/>
            <w:shd w:val="clear" w:color="auto" w:fill="EAEAEA"/>
          </w:tcPr>
          <w:p>
            <w:pPr>
              <w:jc w:val="center"/>
              <w:ind w:right="80"/>
              <w:spacing w:after="0" w:line="120" w:lineRule="exact"/>
              <w:rPr>
                <w:sz w:val="20"/>
                <w:szCs w:val="20"/>
                <w:color w:val="auto"/>
              </w:rPr>
            </w:pPr>
            <w:r>
              <w:rPr>
                <w:rFonts w:ascii="Arial" w:cs="Arial" w:eastAsia="Arial" w:hAnsi="Arial"/>
                <w:sz w:val="11"/>
                <w:szCs w:val="11"/>
                <w:b w:val="1"/>
                <w:bCs w:val="1"/>
                <w:color w:val="5D89B4"/>
                <w:w w:val="96"/>
              </w:rPr>
              <w:t>UNDER EQUITY INCENTIVE</w:t>
            </w:r>
          </w:p>
        </w:tc>
        <w:tc>
          <w:tcPr>
            <w:tcW w:w="80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OF SHARES</w:t>
            </w:r>
          </w:p>
        </w:tc>
        <w:tc>
          <w:tcPr>
            <w:tcW w:w="880" w:type="dxa"/>
            <w:vAlign w:val="bottom"/>
            <w:shd w:val="clear" w:color="auto" w:fill="EAEAEA"/>
          </w:tcPr>
          <w:p>
            <w:pPr>
              <w:jc w:val="right"/>
              <w:ind w:right="22"/>
              <w:spacing w:after="0" w:line="120" w:lineRule="exact"/>
              <w:rPr>
                <w:sz w:val="20"/>
                <w:szCs w:val="20"/>
                <w:color w:val="auto"/>
              </w:rPr>
            </w:pPr>
            <w:r>
              <w:rPr>
                <w:rFonts w:ascii="Arial" w:cs="Arial" w:eastAsia="Arial" w:hAnsi="Arial"/>
                <w:sz w:val="11"/>
                <w:szCs w:val="11"/>
                <w:b w:val="1"/>
                <w:bCs w:val="1"/>
                <w:color w:val="5D89B4"/>
              </w:rPr>
              <w:t>SECURITIES</w:t>
            </w:r>
          </w:p>
        </w:tc>
        <w:tc>
          <w:tcPr>
            <w:tcW w:w="740" w:type="dxa"/>
            <w:vAlign w:val="bottom"/>
            <w:shd w:val="clear" w:color="auto" w:fill="EAEAEA"/>
          </w:tcPr>
          <w:p>
            <w:pPr>
              <w:jc w:val="right"/>
              <w:ind w:right="41"/>
              <w:spacing w:after="0" w:line="120" w:lineRule="exact"/>
              <w:rPr>
                <w:sz w:val="20"/>
                <w:szCs w:val="20"/>
                <w:color w:val="auto"/>
              </w:rPr>
            </w:pPr>
            <w:r>
              <w:rPr>
                <w:rFonts w:ascii="Arial" w:cs="Arial" w:eastAsia="Arial" w:hAnsi="Arial"/>
                <w:sz w:val="11"/>
                <w:szCs w:val="11"/>
                <w:b w:val="1"/>
                <w:bCs w:val="1"/>
                <w:color w:val="5D89B4"/>
              </w:rPr>
              <w:t>PRICE OF</w:t>
            </w:r>
          </w:p>
        </w:tc>
        <w:tc>
          <w:tcPr>
            <w:tcW w:w="70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AND</w:t>
            </w:r>
          </w:p>
        </w:tc>
        <w:tc>
          <w:tcPr>
            <w:tcW w:w="0" w:type="dxa"/>
            <w:vAlign w:val="bottom"/>
          </w:tcPr>
          <w:p>
            <w:pPr>
              <w:spacing w:after="0"/>
              <w:rPr>
                <w:sz w:val="1"/>
                <w:szCs w:val="1"/>
                <w:color w:val="auto"/>
              </w:rPr>
            </w:pPr>
          </w:p>
        </w:tc>
      </w:tr>
      <w:tr>
        <w:trPr>
          <w:trHeight w:val="218"/>
        </w:trPr>
        <w:tc>
          <w:tcPr>
            <w:tcW w:w="2380" w:type="dxa"/>
            <w:vAlign w:val="bottom"/>
            <w:tcBorders>
              <w:bottom w:val="single" w:sz="8" w:color="EAEAEA"/>
            </w:tcBorders>
            <w:shd w:val="clear" w:color="auto" w:fill="EAEAEA"/>
          </w:tcPr>
          <w:p>
            <w:pPr>
              <w:spacing w:after="0"/>
              <w:rPr>
                <w:sz w:val="18"/>
                <w:szCs w:val="18"/>
                <w:color w:val="auto"/>
              </w:rPr>
            </w:pPr>
          </w:p>
        </w:tc>
        <w:tc>
          <w:tcPr>
            <w:tcW w:w="140" w:type="dxa"/>
            <w:vAlign w:val="bottom"/>
            <w:tcBorders>
              <w:bottom w:val="single" w:sz="8" w:color="EAEAEA"/>
            </w:tcBorders>
            <w:shd w:val="clear" w:color="auto" w:fill="EAEAEA"/>
          </w:tcPr>
          <w:p>
            <w:pPr>
              <w:spacing w:after="0"/>
              <w:rPr>
                <w:sz w:val="18"/>
                <w:szCs w:val="18"/>
                <w:color w:val="auto"/>
              </w:rPr>
            </w:pPr>
          </w:p>
        </w:tc>
        <w:tc>
          <w:tcPr>
            <w:tcW w:w="780" w:type="dxa"/>
            <w:vAlign w:val="bottom"/>
            <w:tcBorders>
              <w:bottom w:val="single" w:sz="8" w:color="EAEAEA"/>
            </w:tcBorders>
            <w:shd w:val="clear" w:color="auto" w:fill="EAEAEA"/>
          </w:tcPr>
          <w:p>
            <w:pPr>
              <w:spacing w:after="0"/>
              <w:rPr>
                <w:sz w:val="18"/>
                <w:szCs w:val="18"/>
                <w:color w:val="auto"/>
              </w:rPr>
            </w:pPr>
          </w:p>
        </w:tc>
        <w:tc>
          <w:tcPr>
            <w:tcW w:w="1600" w:type="dxa"/>
            <w:vAlign w:val="bottom"/>
            <w:tcBorders>
              <w:bottom w:val="single" w:sz="8" w:color="EAEAEA"/>
            </w:tcBorders>
            <w:gridSpan w:val="2"/>
            <w:shd w:val="clear" w:color="auto" w:fill="EAEAEA"/>
          </w:tcPr>
          <w:p>
            <w:pPr>
              <w:jc w:val="center"/>
              <w:ind w:left="541"/>
              <w:spacing w:after="0"/>
              <w:rPr>
                <w:sz w:val="20"/>
                <w:szCs w:val="20"/>
                <w:color w:val="auto"/>
              </w:rPr>
            </w:pPr>
            <w:r>
              <w:rPr>
                <w:rFonts w:ascii="Arial" w:cs="Arial" w:eastAsia="Arial" w:hAnsi="Arial"/>
                <w:sz w:val="11"/>
                <w:szCs w:val="11"/>
                <w:b w:val="1"/>
                <w:bCs w:val="1"/>
                <w:color w:val="5D89B4"/>
                <w:w w:val="95"/>
              </w:rPr>
              <w:t>PLAN AWARDS(1)</w:t>
            </w:r>
          </w:p>
        </w:tc>
        <w:tc>
          <w:tcPr>
            <w:tcW w:w="620" w:type="dxa"/>
            <w:vAlign w:val="bottom"/>
            <w:tcBorders>
              <w:bottom w:val="single" w:sz="8" w:color="EAEAEA"/>
            </w:tcBorders>
            <w:shd w:val="clear" w:color="auto" w:fill="EAEAEA"/>
          </w:tcPr>
          <w:p>
            <w:pPr>
              <w:spacing w:after="0"/>
              <w:rPr>
                <w:sz w:val="18"/>
                <w:szCs w:val="18"/>
                <w:color w:val="auto"/>
              </w:rPr>
            </w:pPr>
          </w:p>
        </w:tc>
        <w:tc>
          <w:tcPr>
            <w:tcW w:w="160" w:type="dxa"/>
            <w:vAlign w:val="bottom"/>
            <w:tcBorders>
              <w:bottom w:val="single" w:sz="8" w:color="EAEAEA"/>
            </w:tcBorders>
            <w:shd w:val="clear" w:color="auto" w:fill="EAEAEA"/>
          </w:tcPr>
          <w:p>
            <w:pPr>
              <w:spacing w:after="0"/>
              <w:rPr>
                <w:sz w:val="18"/>
                <w:szCs w:val="18"/>
                <w:color w:val="auto"/>
              </w:rPr>
            </w:pPr>
          </w:p>
        </w:tc>
        <w:tc>
          <w:tcPr>
            <w:tcW w:w="1460" w:type="dxa"/>
            <w:vAlign w:val="bottom"/>
            <w:tcBorders>
              <w:bottom w:val="single" w:sz="8" w:color="EAEAEA"/>
            </w:tcBorders>
            <w:gridSpan w:val="2"/>
            <w:shd w:val="clear" w:color="auto" w:fill="EAEAEA"/>
          </w:tcPr>
          <w:p>
            <w:pPr>
              <w:jc w:val="center"/>
              <w:ind w:left="481"/>
              <w:spacing w:after="0"/>
              <w:rPr>
                <w:sz w:val="20"/>
                <w:szCs w:val="20"/>
                <w:color w:val="auto"/>
              </w:rPr>
            </w:pPr>
            <w:r>
              <w:rPr>
                <w:rFonts w:ascii="Arial" w:cs="Arial" w:eastAsia="Arial" w:hAnsi="Arial"/>
                <w:sz w:val="11"/>
                <w:szCs w:val="11"/>
                <w:b w:val="1"/>
                <w:bCs w:val="1"/>
                <w:color w:val="5D89B4"/>
                <w:w w:val="95"/>
              </w:rPr>
              <w:t>PLAN AWARDS(2)</w:t>
            </w:r>
          </w:p>
        </w:tc>
        <w:tc>
          <w:tcPr>
            <w:tcW w:w="540" w:type="dxa"/>
            <w:vAlign w:val="bottom"/>
            <w:tcBorders>
              <w:bottom w:val="single" w:sz="8" w:color="EAEAEA"/>
            </w:tcBorders>
            <w:shd w:val="clear" w:color="auto" w:fill="EAEAEA"/>
          </w:tcPr>
          <w:p>
            <w:pPr>
              <w:spacing w:after="0"/>
              <w:rPr>
                <w:sz w:val="18"/>
                <w:szCs w:val="18"/>
                <w:color w:val="auto"/>
              </w:rPr>
            </w:pPr>
          </w:p>
        </w:tc>
        <w:tc>
          <w:tcPr>
            <w:tcW w:w="80" w:type="dxa"/>
            <w:vAlign w:val="bottom"/>
            <w:tcBorders>
              <w:bottom w:val="single" w:sz="8" w:color="EAEAEA"/>
            </w:tcBorders>
            <w:shd w:val="clear" w:color="auto" w:fill="EAEAEA"/>
          </w:tcPr>
          <w:p>
            <w:pPr>
              <w:spacing w:after="0"/>
              <w:rPr>
                <w:sz w:val="18"/>
                <w:szCs w:val="18"/>
                <w:color w:val="auto"/>
              </w:rPr>
            </w:pPr>
          </w:p>
        </w:tc>
        <w:tc>
          <w:tcPr>
            <w:tcW w:w="800" w:type="dxa"/>
            <w:vAlign w:val="bottom"/>
            <w:tcBorders>
              <w:bottom w:val="single" w:sz="8" w:color="EAEAEA"/>
            </w:tcBorders>
            <w:shd w:val="clear" w:color="auto" w:fill="EAEAEA"/>
          </w:tcPr>
          <w:p>
            <w:pPr>
              <w:jc w:val="right"/>
              <w:ind w:right="22"/>
              <w:spacing w:after="0"/>
              <w:rPr>
                <w:sz w:val="20"/>
                <w:szCs w:val="20"/>
                <w:color w:val="auto"/>
              </w:rPr>
            </w:pPr>
            <w:r>
              <w:rPr>
                <w:rFonts w:ascii="Arial" w:cs="Arial" w:eastAsia="Arial" w:hAnsi="Arial"/>
                <w:sz w:val="11"/>
                <w:szCs w:val="11"/>
                <w:b w:val="1"/>
                <w:bCs w:val="1"/>
                <w:color w:val="5D89B4"/>
              </w:rPr>
              <w:t>OF STOCK</w:t>
            </w:r>
          </w:p>
        </w:tc>
        <w:tc>
          <w:tcPr>
            <w:tcW w:w="880" w:type="dxa"/>
            <w:vAlign w:val="bottom"/>
            <w:tcBorders>
              <w:bottom w:val="single" w:sz="8" w:color="EAEAEA"/>
            </w:tcBorders>
            <w:shd w:val="clear" w:color="auto" w:fill="EAEAEA"/>
          </w:tcPr>
          <w:p>
            <w:pPr>
              <w:jc w:val="right"/>
              <w:ind w:right="22"/>
              <w:spacing w:after="0"/>
              <w:rPr>
                <w:sz w:val="20"/>
                <w:szCs w:val="20"/>
                <w:color w:val="auto"/>
              </w:rPr>
            </w:pPr>
            <w:r>
              <w:rPr>
                <w:rFonts w:ascii="Arial" w:cs="Arial" w:eastAsia="Arial" w:hAnsi="Arial"/>
                <w:sz w:val="11"/>
                <w:szCs w:val="11"/>
                <w:b w:val="1"/>
                <w:bCs w:val="1"/>
                <w:color w:val="5D89B4"/>
              </w:rPr>
              <w:t>UNDERLYING</w:t>
            </w:r>
          </w:p>
        </w:tc>
        <w:tc>
          <w:tcPr>
            <w:tcW w:w="740" w:type="dxa"/>
            <w:vAlign w:val="bottom"/>
            <w:tcBorders>
              <w:bottom w:val="single" w:sz="8" w:color="EAEAEA"/>
            </w:tcBorders>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OPTION</w:t>
            </w:r>
          </w:p>
        </w:tc>
        <w:tc>
          <w:tcPr>
            <w:tcW w:w="7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1"/>
                <w:szCs w:val="11"/>
                <w:b w:val="1"/>
                <w:bCs w:val="1"/>
                <w:color w:val="5D89B4"/>
              </w:rPr>
              <w:t>OPTION</w:t>
            </w:r>
          </w:p>
        </w:tc>
        <w:tc>
          <w:tcPr>
            <w:tcW w:w="0" w:type="dxa"/>
            <w:vAlign w:val="bottom"/>
          </w:tcPr>
          <w:p>
            <w:pPr>
              <w:spacing w:after="0"/>
              <w:rPr>
                <w:sz w:val="1"/>
                <w:szCs w:val="1"/>
                <w:color w:val="auto"/>
              </w:rPr>
            </w:pPr>
          </w:p>
        </w:tc>
      </w:tr>
      <w:tr>
        <w:trPr>
          <w:trHeight w:val="87"/>
        </w:trPr>
        <w:tc>
          <w:tcPr>
            <w:tcW w:w="2380" w:type="dxa"/>
            <w:vAlign w:val="bottom"/>
            <w:tcBorders>
              <w:top w:val="single" w:sz="8" w:color="EAEAEA"/>
            </w:tcBorders>
            <w:shd w:val="clear" w:color="auto" w:fill="EAEAEA"/>
          </w:tcPr>
          <w:p>
            <w:pPr>
              <w:ind w:left="80"/>
              <w:spacing w:after="0" w:line="87" w:lineRule="exact"/>
              <w:rPr>
                <w:sz w:val="20"/>
                <w:szCs w:val="20"/>
                <w:color w:val="auto"/>
              </w:rPr>
            </w:pPr>
            <w:r>
              <w:rPr>
                <w:rFonts w:ascii="Arial" w:cs="Arial" w:eastAsia="Arial" w:hAnsi="Arial"/>
                <w:sz w:val="10"/>
                <w:szCs w:val="10"/>
                <w:b w:val="1"/>
                <w:bCs w:val="1"/>
                <w:color w:val="5D89B4"/>
              </w:rPr>
              <w:t>NAME &amp;</w:t>
            </w:r>
          </w:p>
        </w:tc>
        <w:tc>
          <w:tcPr>
            <w:tcW w:w="140" w:type="dxa"/>
            <w:vAlign w:val="bottom"/>
            <w:tcBorders>
              <w:top w:val="single" w:sz="8" w:color="EAEAEA"/>
            </w:tcBorders>
            <w:shd w:val="clear" w:color="auto" w:fill="EAEAEA"/>
          </w:tcPr>
          <w:p>
            <w:pPr>
              <w:spacing w:after="0"/>
              <w:rPr>
                <w:sz w:val="7"/>
                <w:szCs w:val="7"/>
                <w:color w:val="auto"/>
              </w:rPr>
            </w:pPr>
          </w:p>
        </w:tc>
        <w:tc>
          <w:tcPr>
            <w:tcW w:w="780" w:type="dxa"/>
            <w:vAlign w:val="bottom"/>
            <w:tcBorders>
              <w:top w:val="single" w:sz="8" w:color="EAEAEA"/>
            </w:tcBorders>
            <w:shd w:val="clear" w:color="auto" w:fill="EAEAEA"/>
          </w:tcPr>
          <w:p>
            <w:pPr>
              <w:jc w:val="right"/>
              <w:ind w:right="125"/>
              <w:spacing w:after="0" w:line="87" w:lineRule="exact"/>
              <w:rPr>
                <w:sz w:val="20"/>
                <w:szCs w:val="20"/>
                <w:color w:val="auto"/>
              </w:rPr>
            </w:pPr>
            <w:r>
              <w:rPr>
                <w:rFonts w:ascii="Arial" w:cs="Arial" w:eastAsia="Arial" w:hAnsi="Arial"/>
                <w:sz w:val="10"/>
                <w:szCs w:val="10"/>
                <w:b w:val="1"/>
                <w:bCs w:val="1"/>
                <w:color w:val="5D89B4"/>
              </w:rPr>
              <w:t>GRANT</w:t>
            </w:r>
          </w:p>
        </w:tc>
        <w:tc>
          <w:tcPr>
            <w:tcW w:w="780" w:type="dxa"/>
            <w:vAlign w:val="bottom"/>
            <w:tcBorders>
              <w:top w:val="single" w:sz="8" w:color="5D89B4"/>
            </w:tcBorders>
            <w:shd w:val="clear" w:color="auto" w:fill="EAEAEA"/>
          </w:tcPr>
          <w:p>
            <w:pPr>
              <w:jc w:val="right"/>
              <w:ind w:right="61"/>
              <w:spacing w:after="0" w:line="87" w:lineRule="exact"/>
              <w:rPr>
                <w:sz w:val="20"/>
                <w:szCs w:val="20"/>
                <w:color w:val="auto"/>
              </w:rPr>
            </w:pPr>
            <w:r>
              <w:rPr>
                <w:rFonts w:ascii="Arial" w:cs="Arial" w:eastAsia="Arial" w:hAnsi="Arial"/>
                <w:sz w:val="10"/>
                <w:szCs w:val="10"/>
                <w:b w:val="1"/>
                <w:bCs w:val="1"/>
                <w:color w:val="5D89B4"/>
              </w:rPr>
              <w:t>THRESHOLD</w:t>
            </w:r>
          </w:p>
        </w:tc>
        <w:tc>
          <w:tcPr>
            <w:tcW w:w="820" w:type="dxa"/>
            <w:vAlign w:val="bottom"/>
            <w:tcBorders>
              <w:top w:val="single" w:sz="8" w:color="5D89B4"/>
            </w:tcBorders>
            <w:shd w:val="clear" w:color="auto" w:fill="EAEAEA"/>
          </w:tcPr>
          <w:p>
            <w:pPr>
              <w:jc w:val="right"/>
              <w:ind w:right="99"/>
              <w:spacing w:after="0" w:line="87" w:lineRule="exact"/>
              <w:rPr>
                <w:sz w:val="20"/>
                <w:szCs w:val="20"/>
                <w:color w:val="auto"/>
              </w:rPr>
            </w:pPr>
            <w:r>
              <w:rPr>
                <w:rFonts w:ascii="Arial" w:cs="Arial" w:eastAsia="Arial" w:hAnsi="Arial"/>
                <w:sz w:val="10"/>
                <w:szCs w:val="10"/>
                <w:b w:val="1"/>
                <w:bCs w:val="1"/>
                <w:color w:val="5D89B4"/>
              </w:rPr>
              <w:t>TARGET</w:t>
            </w:r>
          </w:p>
        </w:tc>
        <w:tc>
          <w:tcPr>
            <w:tcW w:w="620" w:type="dxa"/>
            <w:vAlign w:val="bottom"/>
            <w:tcBorders>
              <w:top w:val="single" w:sz="8" w:color="5D89B4"/>
            </w:tcBorders>
            <w:shd w:val="clear" w:color="auto" w:fill="EAEAEA"/>
          </w:tcPr>
          <w:p>
            <w:pPr>
              <w:jc w:val="right"/>
              <w:spacing w:after="0" w:line="87" w:lineRule="exact"/>
              <w:rPr>
                <w:sz w:val="20"/>
                <w:szCs w:val="20"/>
                <w:color w:val="auto"/>
              </w:rPr>
            </w:pPr>
            <w:r>
              <w:rPr>
                <w:rFonts w:ascii="Arial" w:cs="Arial" w:eastAsia="Arial" w:hAnsi="Arial"/>
                <w:sz w:val="10"/>
                <w:szCs w:val="10"/>
                <w:b w:val="1"/>
                <w:bCs w:val="1"/>
                <w:color w:val="5D89B4"/>
              </w:rPr>
              <w:t>MAXIMUM</w:t>
            </w:r>
          </w:p>
        </w:tc>
        <w:tc>
          <w:tcPr>
            <w:tcW w:w="160" w:type="dxa"/>
            <w:vAlign w:val="bottom"/>
            <w:tcBorders>
              <w:top w:val="single" w:sz="8" w:color="EAEAEA"/>
            </w:tcBorders>
            <w:shd w:val="clear" w:color="auto" w:fill="EAEAEA"/>
          </w:tcPr>
          <w:p>
            <w:pPr>
              <w:spacing w:after="0"/>
              <w:rPr>
                <w:sz w:val="7"/>
                <w:szCs w:val="7"/>
                <w:color w:val="auto"/>
              </w:rPr>
            </w:pPr>
          </w:p>
        </w:tc>
        <w:tc>
          <w:tcPr>
            <w:tcW w:w="760" w:type="dxa"/>
            <w:vAlign w:val="bottom"/>
            <w:tcBorders>
              <w:top w:val="single" w:sz="8" w:color="5D89B4"/>
            </w:tcBorders>
            <w:shd w:val="clear" w:color="auto" w:fill="EAEAEA"/>
          </w:tcPr>
          <w:p>
            <w:pPr>
              <w:jc w:val="right"/>
              <w:ind w:right="21"/>
              <w:spacing w:after="0" w:line="87" w:lineRule="exact"/>
              <w:rPr>
                <w:sz w:val="20"/>
                <w:szCs w:val="20"/>
                <w:color w:val="auto"/>
              </w:rPr>
            </w:pPr>
            <w:r>
              <w:rPr>
                <w:rFonts w:ascii="Arial" w:cs="Arial" w:eastAsia="Arial" w:hAnsi="Arial"/>
                <w:sz w:val="10"/>
                <w:szCs w:val="10"/>
                <w:b w:val="1"/>
                <w:bCs w:val="1"/>
                <w:color w:val="5D89B4"/>
              </w:rPr>
              <w:t>THRESHOLD</w:t>
            </w:r>
          </w:p>
        </w:tc>
        <w:tc>
          <w:tcPr>
            <w:tcW w:w="700" w:type="dxa"/>
            <w:vAlign w:val="bottom"/>
            <w:tcBorders>
              <w:top w:val="single" w:sz="8" w:color="5D89B4"/>
            </w:tcBorders>
            <w:shd w:val="clear" w:color="auto" w:fill="EAEAEA"/>
          </w:tcPr>
          <w:p>
            <w:pPr>
              <w:jc w:val="right"/>
              <w:ind w:right="119"/>
              <w:spacing w:after="0" w:line="87" w:lineRule="exact"/>
              <w:rPr>
                <w:sz w:val="20"/>
                <w:szCs w:val="20"/>
                <w:color w:val="auto"/>
              </w:rPr>
            </w:pPr>
            <w:r>
              <w:rPr>
                <w:rFonts w:ascii="Arial" w:cs="Arial" w:eastAsia="Arial" w:hAnsi="Arial"/>
                <w:sz w:val="10"/>
                <w:szCs w:val="10"/>
                <w:b w:val="1"/>
                <w:bCs w:val="1"/>
                <w:color w:val="5D89B4"/>
              </w:rPr>
              <w:t>TARGET</w:t>
            </w:r>
          </w:p>
        </w:tc>
        <w:tc>
          <w:tcPr>
            <w:tcW w:w="540" w:type="dxa"/>
            <w:vAlign w:val="bottom"/>
            <w:tcBorders>
              <w:top w:val="single" w:sz="8" w:color="5D89B4"/>
            </w:tcBorders>
            <w:shd w:val="clear" w:color="auto" w:fill="EAEAEA"/>
          </w:tcPr>
          <w:p>
            <w:pPr>
              <w:jc w:val="right"/>
              <w:spacing w:after="0" w:line="87" w:lineRule="exact"/>
              <w:rPr>
                <w:sz w:val="20"/>
                <w:szCs w:val="20"/>
                <w:color w:val="auto"/>
              </w:rPr>
            </w:pPr>
            <w:r>
              <w:rPr>
                <w:rFonts w:ascii="Arial" w:cs="Arial" w:eastAsia="Arial" w:hAnsi="Arial"/>
                <w:sz w:val="10"/>
                <w:szCs w:val="10"/>
                <w:b w:val="1"/>
                <w:bCs w:val="1"/>
                <w:color w:val="5D89B4"/>
              </w:rPr>
              <w:t>MAXIMUM</w:t>
            </w:r>
          </w:p>
        </w:tc>
        <w:tc>
          <w:tcPr>
            <w:tcW w:w="80" w:type="dxa"/>
            <w:vAlign w:val="bottom"/>
            <w:tcBorders>
              <w:top w:val="single" w:sz="8" w:color="EAEAEA"/>
            </w:tcBorders>
            <w:shd w:val="clear" w:color="auto" w:fill="EAEAEA"/>
          </w:tcPr>
          <w:p>
            <w:pPr>
              <w:spacing w:after="0"/>
              <w:rPr>
                <w:sz w:val="7"/>
                <w:szCs w:val="7"/>
                <w:color w:val="auto"/>
              </w:rPr>
            </w:pPr>
          </w:p>
        </w:tc>
        <w:tc>
          <w:tcPr>
            <w:tcW w:w="800" w:type="dxa"/>
            <w:vAlign w:val="bottom"/>
            <w:tcBorders>
              <w:top w:val="single" w:sz="8" w:color="EAEAEA"/>
            </w:tcBorders>
            <w:shd w:val="clear" w:color="auto" w:fill="EAEAEA"/>
          </w:tcPr>
          <w:p>
            <w:pPr>
              <w:jc w:val="right"/>
              <w:ind w:right="22"/>
              <w:spacing w:after="0" w:line="87" w:lineRule="exact"/>
              <w:rPr>
                <w:sz w:val="20"/>
                <w:szCs w:val="20"/>
                <w:color w:val="auto"/>
              </w:rPr>
            </w:pPr>
            <w:r>
              <w:rPr>
                <w:rFonts w:ascii="Arial" w:cs="Arial" w:eastAsia="Arial" w:hAnsi="Arial"/>
                <w:sz w:val="10"/>
                <w:szCs w:val="10"/>
                <w:b w:val="1"/>
                <w:bCs w:val="1"/>
                <w:color w:val="5D89B4"/>
              </w:rPr>
              <w:t>OR UNITS</w:t>
            </w:r>
          </w:p>
        </w:tc>
        <w:tc>
          <w:tcPr>
            <w:tcW w:w="880" w:type="dxa"/>
            <w:vAlign w:val="bottom"/>
            <w:tcBorders>
              <w:top w:val="single" w:sz="8" w:color="EAEAEA"/>
            </w:tcBorders>
            <w:shd w:val="clear" w:color="auto" w:fill="EAEAEA"/>
          </w:tcPr>
          <w:p>
            <w:pPr>
              <w:jc w:val="right"/>
              <w:ind w:right="22"/>
              <w:spacing w:after="0" w:line="87" w:lineRule="exact"/>
              <w:rPr>
                <w:sz w:val="20"/>
                <w:szCs w:val="20"/>
                <w:color w:val="auto"/>
              </w:rPr>
            </w:pPr>
            <w:r>
              <w:rPr>
                <w:rFonts w:ascii="Arial" w:cs="Arial" w:eastAsia="Arial" w:hAnsi="Arial"/>
                <w:sz w:val="10"/>
                <w:szCs w:val="10"/>
                <w:b w:val="1"/>
                <w:bCs w:val="1"/>
                <w:color w:val="5D89B4"/>
              </w:rPr>
              <w:t>OPTIONS</w:t>
            </w:r>
          </w:p>
        </w:tc>
        <w:tc>
          <w:tcPr>
            <w:tcW w:w="740" w:type="dxa"/>
            <w:vAlign w:val="bottom"/>
            <w:tcBorders>
              <w:top w:val="single" w:sz="8" w:color="EAEAEA"/>
            </w:tcBorders>
            <w:shd w:val="clear" w:color="auto" w:fill="EAEAEA"/>
          </w:tcPr>
          <w:p>
            <w:pPr>
              <w:jc w:val="right"/>
              <w:ind w:right="41"/>
              <w:spacing w:after="0" w:line="87" w:lineRule="exact"/>
              <w:rPr>
                <w:sz w:val="20"/>
                <w:szCs w:val="20"/>
                <w:color w:val="auto"/>
              </w:rPr>
            </w:pPr>
            <w:r>
              <w:rPr>
                <w:rFonts w:ascii="Arial" w:cs="Arial" w:eastAsia="Arial" w:hAnsi="Arial"/>
                <w:sz w:val="10"/>
                <w:szCs w:val="10"/>
                <w:b w:val="1"/>
                <w:bCs w:val="1"/>
                <w:color w:val="5D89B4"/>
              </w:rPr>
              <w:t>AWARDS</w:t>
            </w:r>
          </w:p>
        </w:tc>
        <w:tc>
          <w:tcPr>
            <w:tcW w:w="700" w:type="dxa"/>
            <w:vAlign w:val="bottom"/>
            <w:tcBorders>
              <w:top w:val="single" w:sz="8" w:color="EAEAEA"/>
            </w:tcBorders>
            <w:shd w:val="clear" w:color="auto" w:fill="EAEAEA"/>
          </w:tcPr>
          <w:p>
            <w:pPr>
              <w:jc w:val="right"/>
              <w:spacing w:after="0" w:line="87" w:lineRule="exact"/>
              <w:rPr>
                <w:sz w:val="20"/>
                <w:szCs w:val="20"/>
                <w:color w:val="auto"/>
              </w:rPr>
            </w:pPr>
            <w:r>
              <w:rPr>
                <w:rFonts w:ascii="Arial" w:cs="Arial" w:eastAsia="Arial" w:hAnsi="Arial"/>
                <w:sz w:val="10"/>
                <w:szCs w:val="10"/>
                <w:b w:val="1"/>
                <w:bCs w:val="1"/>
                <w:color w:val="5D89B4"/>
              </w:rPr>
              <w:t>AWARDS</w:t>
            </w:r>
          </w:p>
        </w:tc>
        <w:tc>
          <w:tcPr>
            <w:tcW w:w="0" w:type="dxa"/>
            <w:vAlign w:val="bottom"/>
          </w:tcPr>
          <w:p>
            <w:pPr>
              <w:spacing w:after="0"/>
              <w:rPr>
                <w:sz w:val="1"/>
                <w:szCs w:val="1"/>
                <w:color w:val="auto"/>
              </w:rPr>
            </w:pPr>
          </w:p>
        </w:tc>
      </w:tr>
      <w:tr>
        <w:trPr>
          <w:trHeight w:val="193"/>
        </w:trPr>
        <w:tc>
          <w:tcPr>
            <w:tcW w:w="23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1"/>
                <w:szCs w:val="11"/>
                <w:b w:val="1"/>
                <w:bCs w:val="1"/>
                <w:color w:val="5D89B4"/>
              </w:rPr>
              <w:t>PRINCIPAL POSITION</w:t>
            </w:r>
          </w:p>
        </w:tc>
        <w:tc>
          <w:tcPr>
            <w:tcW w:w="140" w:type="dxa"/>
            <w:vAlign w:val="bottom"/>
            <w:tcBorders>
              <w:bottom w:val="single" w:sz="8" w:color="EAEAEA"/>
            </w:tcBorders>
            <w:shd w:val="clear" w:color="auto" w:fill="EAEAEA"/>
          </w:tcPr>
          <w:p>
            <w:pPr>
              <w:spacing w:after="0"/>
              <w:rPr>
                <w:sz w:val="16"/>
                <w:szCs w:val="16"/>
                <w:color w:val="auto"/>
              </w:rPr>
            </w:pPr>
          </w:p>
        </w:tc>
        <w:tc>
          <w:tcPr>
            <w:tcW w:w="78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1"/>
                <w:szCs w:val="11"/>
                <w:b w:val="1"/>
                <w:bCs w:val="1"/>
                <w:color w:val="5D89B4"/>
              </w:rPr>
              <w:t>DATE</w:t>
            </w:r>
          </w:p>
        </w:tc>
        <w:tc>
          <w:tcPr>
            <w:tcW w:w="780" w:type="dxa"/>
            <w:vAlign w:val="bottom"/>
            <w:tcBorders>
              <w:bottom w:val="single" w:sz="8" w:color="EAEAEA"/>
            </w:tcBorders>
            <w:shd w:val="clear" w:color="auto" w:fill="EAEAEA"/>
          </w:tcPr>
          <w:p>
            <w:pPr>
              <w:jc w:val="right"/>
              <w:ind w:right="61"/>
              <w:spacing w:after="0"/>
              <w:rPr>
                <w:sz w:val="20"/>
                <w:szCs w:val="20"/>
                <w:color w:val="auto"/>
              </w:rPr>
            </w:pPr>
            <w:r>
              <w:rPr>
                <w:rFonts w:ascii="Arial" w:cs="Arial" w:eastAsia="Arial" w:hAnsi="Arial"/>
                <w:sz w:val="11"/>
                <w:szCs w:val="11"/>
                <w:b w:val="1"/>
                <w:bCs w:val="1"/>
                <w:color w:val="5D89B4"/>
              </w:rPr>
              <w:t>($)</w:t>
            </w:r>
          </w:p>
        </w:tc>
        <w:tc>
          <w:tcPr>
            <w:tcW w:w="820" w:type="dxa"/>
            <w:vAlign w:val="bottom"/>
            <w:tcBorders>
              <w:bottom w:val="single" w:sz="8" w:color="EAEAEA"/>
            </w:tcBorders>
            <w:shd w:val="clear" w:color="auto" w:fill="EAEAEA"/>
          </w:tcPr>
          <w:p>
            <w:pPr>
              <w:jc w:val="right"/>
              <w:ind w:right="99"/>
              <w:spacing w:after="0"/>
              <w:rPr>
                <w:sz w:val="20"/>
                <w:szCs w:val="20"/>
                <w:color w:val="auto"/>
              </w:rPr>
            </w:pPr>
            <w:r>
              <w:rPr>
                <w:rFonts w:ascii="Arial" w:cs="Arial" w:eastAsia="Arial" w:hAnsi="Arial"/>
                <w:sz w:val="11"/>
                <w:szCs w:val="11"/>
                <w:b w:val="1"/>
                <w:bCs w:val="1"/>
                <w:color w:val="5D89B4"/>
              </w:rPr>
              <w:t>($)</w:t>
            </w:r>
          </w:p>
        </w:tc>
        <w:tc>
          <w:tcPr>
            <w:tcW w:w="780" w:type="dxa"/>
            <w:vAlign w:val="bottom"/>
            <w:tcBorders>
              <w:bottom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1"/>
                <w:szCs w:val="11"/>
                <w:b w:val="1"/>
                <w:bCs w:val="1"/>
                <w:color w:val="5D89B4"/>
              </w:rPr>
              <w:t>($)</w:t>
            </w:r>
          </w:p>
        </w:tc>
        <w:tc>
          <w:tcPr>
            <w:tcW w:w="760" w:type="dxa"/>
            <w:vAlign w:val="bottom"/>
            <w:tcBorders>
              <w:bottom w:val="single" w:sz="8" w:color="EAEAEA"/>
            </w:tcBorders>
            <w:shd w:val="clear" w:color="auto" w:fill="EAEAEA"/>
          </w:tcPr>
          <w:p>
            <w:pPr>
              <w:jc w:val="right"/>
              <w:ind w:right="21"/>
              <w:spacing w:after="0"/>
              <w:rPr>
                <w:sz w:val="20"/>
                <w:szCs w:val="20"/>
                <w:color w:val="auto"/>
              </w:rPr>
            </w:pPr>
            <w:r>
              <w:rPr>
                <w:rFonts w:ascii="Arial" w:cs="Arial" w:eastAsia="Arial" w:hAnsi="Arial"/>
                <w:sz w:val="11"/>
                <w:szCs w:val="11"/>
                <w:b w:val="1"/>
                <w:bCs w:val="1"/>
                <w:color w:val="5D89B4"/>
              </w:rPr>
              <w:t>(#)</w:t>
            </w:r>
          </w:p>
        </w:tc>
        <w:tc>
          <w:tcPr>
            <w:tcW w:w="700" w:type="dxa"/>
            <w:vAlign w:val="bottom"/>
            <w:tcBorders>
              <w:bottom w:val="single" w:sz="8" w:color="EAEAEA"/>
            </w:tcBorders>
            <w:shd w:val="clear" w:color="auto" w:fill="EAEAEA"/>
          </w:tcPr>
          <w:p>
            <w:pPr>
              <w:jc w:val="right"/>
              <w:ind w:right="119"/>
              <w:spacing w:after="0"/>
              <w:rPr>
                <w:sz w:val="20"/>
                <w:szCs w:val="20"/>
                <w:color w:val="auto"/>
              </w:rPr>
            </w:pPr>
            <w:r>
              <w:rPr>
                <w:rFonts w:ascii="Arial" w:cs="Arial" w:eastAsia="Arial" w:hAnsi="Arial"/>
                <w:sz w:val="11"/>
                <w:szCs w:val="11"/>
                <w:b w:val="1"/>
                <w:bCs w:val="1"/>
                <w:color w:val="5D89B4"/>
              </w:rPr>
              <w:t>(#)</w:t>
            </w:r>
          </w:p>
        </w:tc>
        <w:tc>
          <w:tcPr>
            <w:tcW w:w="620" w:type="dxa"/>
            <w:vAlign w:val="bottom"/>
            <w:tcBorders>
              <w:bottom w:val="single" w:sz="8" w:color="EAEAEA"/>
            </w:tcBorders>
            <w:gridSpan w:val="2"/>
            <w:shd w:val="clear" w:color="auto" w:fill="EAEAEA"/>
          </w:tcPr>
          <w:p>
            <w:pPr>
              <w:jc w:val="right"/>
              <w:ind w:right="80"/>
              <w:spacing w:after="0"/>
              <w:rPr>
                <w:sz w:val="20"/>
                <w:szCs w:val="20"/>
                <w:color w:val="auto"/>
              </w:rPr>
            </w:pPr>
            <w:r>
              <w:rPr>
                <w:rFonts w:ascii="Arial" w:cs="Arial" w:eastAsia="Arial" w:hAnsi="Arial"/>
                <w:sz w:val="11"/>
                <w:szCs w:val="11"/>
                <w:b w:val="1"/>
                <w:bCs w:val="1"/>
                <w:color w:val="5D89B4"/>
              </w:rPr>
              <w:t>(#)</w:t>
            </w:r>
          </w:p>
        </w:tc>
        <w:tc>
          <w:tcPr>
            <w:tcW w:w="800" w:type="dxa"/>
            <w:vAlign w:val="bottom"/>
            <w:tcBorders>
              <w:bottom w:val="single" w:sz="8" w:color="EAEAEA"/>
            </w:tcBorders>
            <w:shd w:val="clear" w:color="auto" w:fill="EAEAEA"/>
          </w:tcPr>
          <w:p>
            <w:pPr>
              <w:jc w:val="right"/>
              <w:ind w:right="22"/>
              <w:spacing w:after="0"/>
              <w:rPr>
                <w:sz w:val="20"/>
                <w:szCs w:val="20"/>
                <w:color w:val="auto"/>
              </w:rPr>
            </w:pPr>
            <w:r>
              <w:rPr>
                <w:rFonts w:ascii="Arial" w:cs="Arial" w:eastAsia="Arial" w:hAnsi="Arial"/>
                <w:sz w:val="11"/>
                <w:szCs w:val="11"/>
                <w:b w:val="1"/>
                <w:bCs w:val="1"/>
                <w:color w:val="5D89B4"/>
              </w:rPr>
              <w:t>(#)(3)</w:t>
            </w:r>
          </w:p>
        </w:tc>
        <w:tc>
          <w:tcPr>
            <w:tcW w:w="880" w:type="dxa"/>
            <w:vAlign w:val="bottom"/>
            <w:tcBorders>
              <w:bottom w:val="single" w:sz="8" w:color="EAEAEA"/>
            </w:tcBorders>
            <w:shd w:val="clear" w:color="auto" w:fill="EAEAEA"/>
          </w:tcPr>
          <w:p>
            <w:pPr>
              <w:jc w:val="right"/>
              <w:ind w:right="22"/>
              <w:spacing w:after="0"/>
              <w:rPr>
                <w:sz w:val="20"/>
                <w:szCs w:val="20"/>
                <w:color w:val="auto"/>
              </w:rPr>
            </w:pPr>
            <w:r>
              <w:rPr>
                <w:rFonts w:ascii="Arial" w:cs="Arial" w:eastAsia="Arial" w:hAnsi="Arial"/>
                <w:sz w:val="11"/>
                <w:szCs w:val="11"/>
                <w:b w:val="1"/>
                <w:bCs w:val="1"/>
                <w:color w:val="5D89B4"/>
              </w:rPr>
              <w:t>(#)</w:t>
            </w:r>
          </w:p>
        </w:tc>
        <w:tc>
          <w:tcPr>
            <w:tcW w:w="740" w:type="dxa"/>
            <w:vAlign w:val="bottom"/>
            <w:tcBorders>
              <w:bottom w:val="single" w:sz="8" w:color="EAEAEA"/>
            </w:tcBorders>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($/SH)</w:t>
            </w:r>
          </w:p>
        </w:tc>
        <w:tc>
          <w:tcPr>
            <w:tcW w:w="7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1"/>
                <w:szCs w:val="11"/>
                <w:b w:val="1"/>
                <w:bCs w:val="1"/>
                <w:color w:val="5D89B4"/>
              </w:rPr>
              <w:t>($)(4)</w:t>
            </w:r>
          </w:p>
        </w:tc>
        <w:tc>
          <w:tcPr>
            <w:tcW w:w="0" w:type="dxa"/>
            <w:vAlign w:val="bottom"/>
          </w:tcPr>
          <w:p>
            <w:pPr>
              <w:spacing w:after="0"/>
              <w:rPr>
                <w:sz w:val="1"/>
                <w:szCs w:val="1"/>
                <w:color w:val="auto"/>
              </w:rPr>
            </w:pPr>
          </w:p>
        </w:tc>
      </w:tr>
      <w:tr>
        <w:trPr>
          <w:trHeight w:val="116"/>
        </w:trPr>
        <w:tc>
          <w:tcPr>
            <w:tcW w:w="238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Jonas Prising</w:t>
            </w:r>
          </w:p>
        </w:tc>
        <w:tc>
          <w:tcPr>
            <w:tcW w:w="140" w:type="dxa"/>
            <w:vAlign w:val="bottom"/>
          </w:tcPr>
          <w:p>
            <w:pPr>
              <w:spacing w:after="0"/>
              <w:rPr>
                <w:sz w:val="10"/>
                <w:szCs w:val="10"/>
                <w:color w:val="auto"/>
              </w:rPr>
            </w:pPr>
          </w:p>
        </w:tc>
        <w:tc>
          <w:tcPr>
            <w:tcW w:w="780" w:type="dxa"/>
            <w:vAlign w:val="bottom"/>
          </w:tcPr>
          <w:p>
            <w:pPr>
              <w:jc w:val="right"/>
              <w:ind w:right="125"/>
              <w:spacing w:after="0" w:line="115" w:lineRule="exact"/>
              <w:rPr>
                <w:sz w:val="20"/>
                <w:szCs w:val="20"/>
                <w:color w:val="auto"/>
              </w:rPr>
            </w:pPr>
            <w:r>
              <w:rPr>
                <w:rFonts w:ascii="Arial" w:cs="Arial" w:eastAsia="Arial" w:hAnsi="Arial"/>
                <w:sz w:val="12"/>
                <w:szCs w:val="12"/>
                <w:color w:val="auto"/>
              </w:rPr>
              <w:t>2/17/2023</w:t>
            </w:r>
          </w:p>
        </w:tc>
        <w:tc>
          <w:tcPr>
            <w:tcW w:w="780" w:type="dxa"/>
            <w:vAlign w:val="bottom"/>
          </w:tcPr>
          <w:p>
            <w:pPr>
              <w:jc w:val="right"/>
              <w:ind w:right="61"/>
              <w:spacing w:after="0" w:line="115" w:lineRule="exact"/>
              <w:rPr>
                <w:sz w:val="20"/>
                <w:szCs w:val="20"/>
                <w:color w:val="auto"/>
              </w:rPr>
            </w:pPr>
            <w:r>
              <w:rPr>
                <w:rFonts w:ascii="Arial" w:cs="Arial" w:eastAsia="Arial" w:hAnsi="Arial"/>
                <w:sz w:val="12"/>
                <w:szCs w:val="12"/>
                <w:color w:val="auto"/>
              </w:rPr>
              <w:t>689,000</w:t>
            </w:r>
          </w:p>
        </w:tc>
        <w:tc>
          <w:tcPr>
            <w:tcW w:w="820" w:type="dxa"/>
            <w:vAlign w:val="bottom"/>
          </w:tcPr>
          <w:p>
            <w:pPr>
              <w:jc w:val="right"/>
              <w:ind w:right="99"/>
              <w:spacing w:after="0" w:line="115" w:lineRule="exact"/>
              <w:rPr>
                <w:sz w:val="20"/>
                <w:szCs w:val="20"/>
                <w:color w:val="auto"/>
              </w:rPr>
            </w:pPr>
            <w:r>
              <w:rPr>
                <w:rFonts w:ascii="Arial" w:cs="Arial" w:eastAsia="Arial" w:hAnsi="Arial"/>
                <w:sz w:val="12"/>
                <w:szCs w:val="12"/>
                <w:color w:val="auto"/>
              </w:rPr>
              <w:t>2,080,000</w:t>
            </w:r>
          </w:p>
        </w:tc>
        <w:tc>
          <w:tcPr>
            <w:tcW w:w="780" w:type="dxa"/>
            <w:vAlign w:val="bottom"/>
            <w:gridSpan w:val="2"/>
          </w:tcPr>
          <w:p>
            <w:pPr>
              <w:jc w:val="right"/>
              <w:ind w:right="160"/>
              <w:spacing w:after="0" w:line="115" w:lineRule="exact"/>
              <w:rPr>
                <w:sz w:val="20"/>
                <w:szCs w:val="20"/>
                <w:color w:val="auto"/>
              </w:rPr>
            </w:pPr>
            <w:r>
              <w:rPr>
                <w:rFonts w:ascii="Arial" w:cs="Arial" w:eastAsia="Arial" w:hAnsi="Arial"/>
                <w:sz w:val="12"/>
                <w:szCs w:val="12"/>
                <w:color w:val="auto"/>
              </w:rPr>
              <w:t>4,160,000</w:t>
            </w:r>
          </w:p>
        </w:tc>
        <w:tc>
          <w:tcPr>
            <w:tcW w:w="760" w:type="dxa"/>
            <w:vAlign w:val="bottom"/>
          </w:tcPr>
          <w:p>
            <w:pPr>
              <w:jc w:val="right"/>
              <w:ind w:right="21"/>
              <w:spacing w:after="0" w:line="115"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15"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1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line="115"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22"/>
              <w:spacing w:after="0" w:line="11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1"/>
              <w:spacing w:after="0" w:line="115"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380" w:type="dxa"/>
            <w:vAlign w:val="bottom"/>
          </w:tcPr>
          <w:p>
            <w:pPr>
              <w:ind w:left="80"/>
              <w:spacing w:after="0"/>
              <w:rPr>
                <w:sz w:val="20"/>
                <w:szCs w:val="20"/>
                <w:color w:val="auto"/>
              </w:rPr>
            </w:pPr>
            <w:r>
              <w:rPr>
                <w:rFonts w:ascii="Arial" w:cs="Arial" w:eastAsia="Arial" w:hAnsi="Arial"/>
                <w:sz w:val="12"/>
                <w:szCs w:val="12"/>
                <w:color w:val="auto"/>
              </w:rPr>
              <w:t>CEO</w:t>
            </w:r>
          </w:p>
        </w:tc>
        <w:tc>
          <w:tcPr>
            <w:tcW w:w="920" w:type="dxa"/>
            <w:vAlign w:val="bottom"/>
            <w:gridSpan w:val="2"/>
            <w:vMerge w:val="restart"/>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70,748</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141,496</w:t>
            </w:r>
          </w:p>
        </w:tc>
        <w:tc>
          <w:tcPr>
            <w:tcW w:w="80" w:type="dxa"/>
            <w:vAlign w:val="bottom"/>
          </w:tcPr>
          <w:p>
            <w:pPr>
              <w:spacing w:after="0"/>
              <w:rPr>
                <w:sz w:val="14"/>
                <w:szCs w:val="14"/>
                <w:color w:val="auto"/>
              </w:rPr>
            </w:pPr>
          </w:p>
        </w:tc>
        <w:tc>
          <w:tcPr>
            <w:tcW w:w="80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6,240,009</w:t>
            </w:r>
          </w:p>
        </w:tc>
        <w:tc>
          <w:tcPr>
            <w:tcW w:w="0" w:type="dxa"/>
            <w:vAlign w:val="bottom"/>
          </w:tcPr>
          <w:p>
            <w:pPr>
              <w:spacing w:after="0"/>
              <w:rPr>
                <w:sz w:val="1"/>
                <w:szCs w:val="1"/>
                <w:color w:val="auto"/>
              </w:rPr>
            </w:pPr>
          </w:p>
        </w:tc>
      </w:tr>
      <w:tr>
        <w:trPr>
          <w:trHeight w:val="53"/>
        </w:trPr>
        <w:tc>
          <w:tcPr>
            <w:tcW w:w="23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920" w:type="dxa"/>
            <w:vAlign w:val="bottom"/>
            <w:gridSpan w:val="2"/>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47,166</w:t>
            </w: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4,160,006</w:t>
            </w:r>
          </w:p>
        </w:tc>
        <w:tc>
          <w:tcPr>
            <w:tcW w:w="0" w:type="dxa"/>
            <w:vAlign w:val="bottom"/>
          </w:tcPr>
          <w:p>
            <w:pPr>
              <w:spacing w:after="0"/>
              <w:rPr>
                <w:sz w:val="1"/>
                <w:szCs w:val="1"/>
                <w:color w:val="auto"/>
              </w:rPr>
            </w:pPr>
          </w:p>
        </w:tc>
      </w:tr>
      <w:tr>
        <w:trPr>
          <w:trHeight w:val="40"/>
        </w:trPr>
        <w:tc>
          <w:tcPr>
            <w:tcW w:w="238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gridSpan w:val="2"/>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380" w:type="dxa"/>
            <w:vAlign w:val="bottom"/>
          </w:tcPr>
          <w:p>
            <w:pPr>
              <w:ind w:left="80"/>
              <w:spacing w:after="0" w:line="109" w:lineRule="exact"/>
              <w:rPr>
                <w:sz w:val="20"/>
                <w:szCs w:val="20"/>
                <w:color w:val="auto"/>
              </w:rPr>
            </w:pPr>
            <w:r>
              <w:rPr>
                <w:rFonts w:ascii="Arial" w:cs="Arial" w:eastAsia="Arial" w:hAnsi="Arial"/>
                <w:sz w:val="12"/>
                <w:szCs w:val="12"/>
                <w:b w:val="1"/>
                <w:bCs w:val="1"/>
                <w:color w:val="auto"/>
              </w:rPr>
              <w:t>John T. McGinnis</w:t>
            </w:r>
          </w:p>
        </w:tc>
        <w:tc>
          <w:tcPr>
            <w:tcW w:w="920" w:type="dxa"/>
            <w:vAlign w:val="bottom"/>
            <w:gridSpan w:val="2"/>
          </w:tcPr>
          <w:p>
            <w:pPr>
              <w:jc w:val="right"/>
              <w:ind w:right="125"/>
              <w:spacing w:after="0" w:line="109" w:lineRule="exact"/>
              <w:rPr>
                <w:sz w:val="20"/>
                <w:szCs w:val="20"/>
                <w:color w:val="auto"/>
              </w:rPr>
            </w:pPr>
            <w:r>
              <w:rPr>
                <w:rFonts w:ascii="Arial" w:cs="Arial" w:eastAsia="Arial" w:hAnsi="Arial"/>
                <w:sz w:val="12"/>
                <w:szCs w:val="12"/>
                <w:color w:val="auto"/>
              </w:rPr>
              <w:t>2/17/2023</w:t>
            </w:r>
          </w:p>
        </w:tc>
        <w:tc>
          <w:tcPr>
            <w:tcW w:w="780" w:type="dxa"/>
            <w:vAlign w:val="bottom"/>
          </w:tcPr>
          <w:p>
            <w:pPr>
              <w:jc w:val="right"/>
              <w:ind w:right="61"/>
              <w:spacing w:after="0" w:line="109" w:lineRule="exact"/>
              <w:rPr>
                <w:sz w:val="20"/>
                <w:szCs w:val="20"/>
                <w:color w:val="auto"/>
              </w:rPr>
            </w:pPr>
            <w:r>
              <w:rPr>
                <w:rFonts w:ascii="Arial" w:cs="Arial" w:eastAsia="Arial" w:hAnsi="Arial"/>
                <w:sz w:val="12"/>
                <w:szCs w:val="12"/>
                <w:color w:val="auto"/>
              </w:rPr>
              <w:t>284,587</w:t>
            </w:r>
          </w:p>
        </w:tc>
        <w:tc>
          <w:tcPr>
            <w:tcW w:w="820" w:type="dxa"/>
            <w:vAlign w:val="bottom"/>
          </w:tcPr>
          <w:p>
            <w:pPr>
              <w:jc w:val="right"/>
              <w:ind w:right="99"/>
              <w:spacing w:after="0" w:line="109" w:lineRule="exact"/>
              <w:rPr>
                <w:sz w:val="20"/>
                <w:szCs w:val="20"/>
                <w:color w:val="auto"/>
              </w:rPr>
            </w:pPr>
            <w:r>
              <w:rPr>
                <w:rFonts w:ascii="Arial" w:cs="Arial" w:eastAsia="Arial" w:hAnsi="Arial"/>
                <w:sz w:val="12"/>
                <w:szCs w:val="12"/>
                <w:color w:val="auto"/>
              </w:rPr>
              <w:t>846,068</w:t>
            </w:r>
          </w:p>
        </w:tc>
        <w:tc>
          <w:tcPr>
            <w:tcW w:w="780" w:type="dxa"/>
            <w:vAlign w:val="bottom"/>
            <w:gridSpan w:val="2"/>
          </w:tcPr>
          <w:p>
            <w:pPr>
              <w:jc w:val="right"/>
              <w:ind w:right="160"/>
              <w:spacing w:after="0" w:line="109" w:lineRule="exact"/>
              <w:rPr>
                <w:sz w:val="20"/>
                <w:szCs w:val="20"/>
                <w:color w:val="auto"/>
              </w:rPr>
            </w:pPr>
            <w:r>
              <w:rPr>
                <w:rFonts w:ascii="Arial" w:cs="Arial" w:eastAsia="Arial" w:hAnsi="Arial"/>
                <w:sz w:val="12"/>
                <w:szCs w:val="12"/>
                <w:color w:val="auto"/>
              </w:rPr>
              <w:t>1,692,137</w:t>
            </w:r>
          </w:p>
        </w:tc>
        <w:tc>
          <w:tcPr>
            <w:tcW w:w="760" w:type="dxa"/>
            <w:vAlign w:val="bottom"/>
          </w:tcPr>
          <w:p>
            <w:pPr>
              <w:jc w:val="right"/>
              <w:ind w:right="21"/>
              <w:spacing w:after="0" w:line="109"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0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0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line="10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22"/>
              <w:spacing w:after="0" w:line="10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1"/>
              <w:spacing w:after="0" w:line="109"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0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380" w:type="dxa"/>
            <w:vAlign w:val="bottom"/>
          </w:tcPr>
          <w:p>
            <w:pPr>
              <w:ind w:left="80"/>
              <w:spacing w:after="0"/>
              <w:rPr>
                <w:sz w:val="20"/>
                <w:szCs w:val="20"/>
                <w:color w:val="auto"/>
              </w:rPr>
            </w:pPr>
            <w:r>
              <w:rPr>
                <w:rFonts w:ascii="Arial" w:cs="Arial" w:eastAsia="Arial" w:hAnsi="Arial"/>
                <w:sz w:val="12"/>
                <w:szCs w:val="12"/>
                <w:color w:val="auto"/>
              </w:rPr>
              <w:t>CFO</w:t>
            </w:r>
          </w:p>
        </w:tc>
        <w:tc>
          <w:tcPr>
            <w:tcW w:w="920" w:type="dxa"/>
            <w:vAlign w:val="bottom"/>
            <w:gridSpan w:val="2"/>
            <w:vMerge w:val="restart"/>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20,408</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40,816</w:t>
            </w:r>
          </w:p>
        </w:tc>
        <w:tc>
          <w:tcPr>
            <w:tcW w:w="80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1,800,021</w:t>
            </w:r>
          </w:p>
        </w:tc>
        <w:tc>
          <w:tcPr>
            <w:tcW w:w="0" w:type="dxa"/>
            <w:vAlign w:val="bottom"/>
          </w:tcPr>
          <w:p>
            <w:pPr>
              <w:spacing w:after="0"/>
              <w:rPr>
                <w:sz w:val="1"/>
                <w:szCs w:val="1"/>
                <w:color w:val="auto"/>
              </w:rPr>
            </w:pPr>
          </w:p>
        </w:tc>
      </w:tr>
      <w:tr>
        <w:trPr>
          <w:trHeight w:val="53"/>
        </w:trPr>
        <w:tc>
          <w:tcPr>
            <w:tcW w:w="23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920" w:type="dxa"/>
            <w:vAlign w:val="bottom"/>
            <w:gridSpan w:val="2"/>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13,606</w:t>
            </w:r>
          </w:p>
        </w:tc>
        <w:tc>
          <w:tcPr>
            <w:tcW w:w="8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1,200,014</w:t>
            </w:r>
          </w:p>
        </w:tc>
        <w:tc>
          <w:tcPr>
            <w:tcW w:w="0" w:type="dxa"/>
            <w:vAlign w:val="bottom"/>
          </w:tcPr>
          <w:p>
            <w:pPr>
              <w:spacing w:after="0"/>
              <w:rPr>
                <w:sz w:val="1"/>
                <w:szCs w:val="1"/>
                <w:color w:val="auto"/>
              </w:rPr>
            </w:pPr>
          </w:p>
        </w:tc>
      </w:tr>
      <w:tr>
        <w:trPr>
          <w:trHeight w:val="40"/>
        </w:trPr>
        <w:tc>
          <w:tcPr>
            <w:tcW w:w="238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gridSpan w:val="2"/>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380" w:type="dxa"/>
            <w:vAlign w:val="bottom"/>
          </w:tcPr>
          <w:p>
            <w:pPr>
              <w:ind w:left="80"/>
              <w:spacing w:after="0" w:line="109" w:lineRule="exact"/>
              <w:rPr>
                <w:sz w:val="20"/>
                <w:szCs w:val="20"/>
                <w:color w:val="auto"/>
              </w:rPr>
            </w:pPr>
            <w:r>
              <w:rPr>
                <w:rFonts w:ascii="Arial" w:cs="Arial" w:eastAsia="Arial" w:hAnsi="Arial"/>
                <w:sz w:val="12"/>
                <w:szCs w:val="12"/>
                <w:b w:val="1"/>
                <w:bCs w:val="1"/>
                <w:color w:val="auto"/>
              </w:rPr>
              <w:t>Michelle S. Nettles</w:t>
            </w:r>
          </w:p>
        </w:tc>
        <w:tc>
          <w:tcPr>
            <w:tcW w:w="920" w:type="dxa"/>
            <w:vAlign w:val="bottom"/>
            <w:gridSpan w:val="2"/>
          </w:tcPr>
          <w:p>
            <w:pPr>
              <w:jc w:val="right"/>
              <w:ind w:right="125"/>
              <w:spacing w:after="0" w:line="109" w:lineRule="exact"/>
              <w:rPr>
                <w:sz w:val="20"/>
                <w:szCs w:val="20"/>
                <w:color w:val="auto"/>
              </w:rPr>
            </w:pPr>
            <w:r>
              <w:rPr>
                <w:rFonts w:ascii="Arial" w:cs="Arial" w:eastAsia="Arial" w:hAnsi="Arial"/>
                <w:sz w:val="12"/>
                <w:szCs w:val="12"/>
                <w:color w:val="auto"/>
              </w:rPr>
              <w:t>2/17/2023</w:t>
            </w:r>
          </w:p>
        </w:tc>
        <w:tc>
          <w:tcPr>
            <w:tcW w:w="780" w:type="dxa"/>
            <w:vAlign w:val="bottom"/>
          </w:tcPr>
          <w:p>
            <w:pPr>
              <w:jc w:val="right"/>
              <w:ind w:right="61"/>
              <w:spacing w:after="0" w:line="109" w:lineRule="exact"/>
              <w:rPr>
                <w:sz w:val="20"/>
                <w:szCs w:val="20"/>
                <w:color w:val="auto"/>
              </w:rPr>
            </w:pPr>
            <w:r>
              <w:rPr>
                <w:rFonts w:ascii="Arial" w:cs="Arial" w:eastAsia="Arial" w:hAnsi="Arial"/>
                <w:sz w:val="12"/>
                <w:szCs w:val="12"/>
                <w:color w:val="auto"/>
              </w:rPr>
              <w:t>150,000</w:t>
            </w:r>
          </w:p>
        </w:tc>
        <w:tc>
          <w:tcPr>
            <w:tcW w:w="820" w:type="dxa"/>
            <w:vAlign w:val="bottom"/>
          </w:tcPr>
          <w:p>
            <w:pPr>
              <w:jc w:val="right"/>
              <w:ind w:right="99"/>
              <w:spacing w:after="0" w:line="109" w:lineRule="exact"/>
              <w:rPr>
                <w:sz w:val="20"/>
                <w:szCs w:val="20"/>
                <w:color w:val="auto"/>
              </w:rPr>
            </w:pPr>
            <w:r>
              <w:rPr>
                <w:rFonts w:ascii="Arial" w:cs="Arial" w:eastAsia="Arial" w:hAnsi="Arial"/>
                <w:sz w:val="12"/>
                <w:szCs w:val="12"/>
                <w:color w:val="auto"/>
              </w:rPr>
              <w:t>450,000</w:t>
            </w:r>
          </w:p>
        </w:tc>
        <w:tc>
          <w:tcPr>
            <w:tcW w:w="780" w:type="dxa"/>
            <w:vAlign w:val="bottom"/>
            <w:gridSpan w:val="2"/>
          </w:tcPr>
          <w:p>
            <w:pPr>
              <w:jc w:val="right"/>
              <w:ind w:right="160"/>
              <w:spacing w:after="0" w:line="109" w:lineRule="exact"/>
              <w:rPr>
                <w:sz w:val="20"/>
                <w:szCs w:val="20"/>
                <w:color w:val="auto"/>
              </w:rPr>
            </w:pPr>
            <w:r>
              <w:rPr>
                <w:rFonts w:ascii="Arial" w:cs="Arial" w:eastAsia="Arial" w:hAnsi="Arial"/>
                <w:sz w:val="12"/>
                <w:szCs w:val="12"/>
                <w:color w:val="auto"/>
              </w:rPr>
              <w:t>900,000</w:t>
            </w:r>
          </w:p>
        </w:tc>
        <w:tc>
          <w:tcPr>
            <w:tcW w:w="760" w:type="dxa"/>
            <w:vAlign w:val="bottom"/>
          </w:tcPr>
          <w:p>
            <w:pPr>
              <w:jc w:val="right"/>
              <w:ind w:right="21"/>
              <w:spacing w:after="0" w:line="109"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0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0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line="10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22"/>
              <w:spacing w:after="0" w:line="10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1"/>
              <w:spacing w:after="0" w:line="109"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0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380" w:type="dxa"/>
            <w:vAlign w:val="bottom"/>
          </w:tcPr>
          <w:p>
            <w:pPr>
              <w:ind w:left="80"/>
              <w:spacing w:after="0" w:line="134" w:lineRule="exact"/>
              <w:rPr>
                <w:sz w:val="20"/>
                <w:szCs w:val="20"/>
                <w:color w:val="auto"/>
              </w:rPr>
            </w:pPr>
            <w:r>
              <w:rPr>
                <w:rFonts w:ascii="Arial" w:cs="Arial" w:eastAsia="Arial" w:hAnsi="Arial"/>
                <w:sz w:val="12"/>
                <w:szCs w:val="12"/>
                <w:color w:val="auto"/>
              </w:rPr>
              <w:t>Chief People</w:t>
            </w:r>
          </w:p>
        </w:tc>
        <w:tc>
          <w:tcPr>
            <w:tcW w:w="920" w:type="dxa"/>
            <w:vAlign w:val="bottom"/>
            <w:gridSpan w:val="2"/>
            <w:vMerge w:val="restart"/>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8,503</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17,006</w:t>
            </w:r>
          </w:p>
        </w:tc>
        <w:tc>
          <w:tcPr>
            <w:tcW w:w="80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749,982</w:t>
            </w:r>
          </w:p>
        </w:tc>
        <w:tc>
          <w:tcPr>
            <w:tcW w:w="0" w:type="dxa"/>
            <w:vAlign w:val="bottom"/>
          </w:tcPr>
          <w:p>
            <w:pPr>
              <w:spacing w:after="0"/>
              <w:rPr>
                <w:sz w:val="1"/>
                <w:szCs w:val="1"/>
                <w:color w:val="auto"/>
              </w:rPr>
            </w:pPr>
          </w:p>
        </w:tc>
      </w:tr>
      <w:tr>
        <w:trPr>
          <w:trHeight w:val="85"/>
        </w:trPr>
        <w:tc>
          <w:tcPr>
            <w:tcW w:w="2380" w:type="dxa"/>
            <w:vAlign w:val="bottom"/>
            <w:vMerge w:val="restart"/>
          </w:tcPr>
          <w:p>
            <w:pPr>
              <w:ind w:left="80"/>
              <w:spacing w:after="0"/>
              <w:rPr>
                <w:sz w:val="20"/>
                <w:szCs w:val="20"/>
                <w:color w:val="auto"/>
              </w:rPr>
            </w:pPr>
            <w:r>
              <w:rPr>
                <w:rFonts w:ascii="Arial" w:cs="Arial" w:eastAsia="Arial" w:hAnsi="Arial"/>
                <w:sz w:val="12"/>
                <w:szCs w:val="12"/>
                <w:color w:val="auto"/>
              </w:rPr>
              <w:t>and Culture Officer</w:t>
            </w:r>
          </w:p>
        </w:tc>
        <w:tc>
          <w:tcPr>
            <w:tcW w:w="9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380" w:type="dxa"/>
            <w:vAlign w:val="bottom"/>
            <w:vMerge w:val="continue"/>
          </w:tcPr>
          <w:p>
            <w:pPr>
              <w:spacing w:after="0"/>
              <w:rPr>
                <w:sz w:val="6"/>
                <w:szCs w:val="6"/>
                <w:color w:val="auto"/>
              </w:rPr>
            </w:pPr>
          </w:p>
        </w:tc>
        <w:tc>
          <w:tcPr>
            <w:tcW w:w="920" w:type="dxa"/>
            <w:vAlign w:val="bottom"/>
            <w:gridSpan w:val="2"/>
            <w:vMerge w:val="restart"/>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ind w:right="22"/>
              <w:spacing w:after="0"/>
              <w:rPr>
                <w:sz w:val="20"/>
                <w:szCs w:val="20"/>
                <w:color w:val="auto"/>
              </w:rPr>
            </w:pPr>
            <w:r>
              <w:rPr>
                <w:rFonts w:ascii="Arial" w:cs="Arial" w:eastAsia="Arial" w:hAnsi="Arial"/>
                <w:sz w:val="12"/>
                <w:szCs w:val="12"/>
                <w:color w:val="auto"/>
              </w:rPr>
              <w:t>5,669</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499,988</w:t>
            </w: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38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gridSpan w:val="2"/>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380" w:type="dxa"/>
            <w:vAlign w:val="bottom"/>
          </w:tcPr>
          <w:p>
            <w:pPr>
              <w:ind w:left="80"/>
              <w:spacing w:after="0" w:line="109" w:lineRule="exact"/>
              <w:rPr>
                <w:sz w:val="20"/>
                <w:szCs w:val="20"/>
                <w:color w:val="auto"/>
              </w:rPr>
            </w:pPr>
            <w:r>
              <w:rPr>
                <w:rFonts w:ascii="Arial" w:cs="Arial" w:eastAsia="Arial" w:hAnsi="Arial"/>
                <w:sz w:val="12"/>
                <w:szCs w:val="12"/>
                <w:b w:val="1"/>
                <w:bCs w:val="1"/>
                <w:color w:val="auto"/>
              </w:rPr>
              <w:t>Richard Buchband</w:t>
            </w:r>
          </w:p>
        </w:tc>
        <w:tc>
          <w:tcPr>
            <w:tcW w:w="920" w:type="dxa"/>
            <w:vAlign w:val="bottom"/>
            <w:gridSpan w:val="2"/>
          </w:tcPr>
          <w:p>
            <w:pPr>
              <w:jc w:val="right"/>
              <w:ind w:right="125"/>
              <w:spacing w:after="0" w:line="109" w:lineRule="exact"/>
              <w:rPr>
                <w:sz w:val="20"/>
                <w:szCs w:val="20"/>
                <w:color w:val="auto"/>
              </w:rPr>
            </w:pPr>
            <w:r>
              <w:rPr>
                <w:rFonts w:ascii="Arial" w:cs="Arial" w:eastAsia="Arial" w:hAnsi="Arial"/>
                <w:sz w:val="12"/>
                <w:szCs w:val="12"/>
                <w:color w:val="auto"/>
              </w:rPr>
              <w:t>2/17/2023</w:t>
            </w:r>
          </w:p>
        </w:tc>
        <w:tc>
          <w:tcPr>
            <w:tcW w:w="780" w:type="dxa"/>
            <w:vAlign w:val="bottom"/>
          </w:tcPr>
          <w:p>
            <w:pPr>
              <w:jc w:val="right"/>
              <w:ind w:right="61"/>
              <w:spacing w:after="0" w:line="109" w:lineRule="exact"/>
              <w:rPr>
                <w:sz w:val="20"/>
                <w:szCs w:val="20"/>
                <w:color w:val="auto"/>
              </w:rPr>
            </w:pPr>
            <w:r>
              <w:rPr>
                <w:rFonts w:ascii="Arial" w:cs="Arial" w:eastAsia="Arial" w:hAnsi="Arial"/>
                <w:sz w:val="12"/>
                <w:szCs w:val="12"/>
                <w:color w:val="auto"/>
              </w:rPr>
              <w:t>139,243</w:t>
            </w:r>
          </w:p>
        </w:tc>
        <w:tc>
          <w:tcPr>
            <w:tcW w:w="820" w:type="dxa"/>
            <w:vAlign w:val="bottom"/>
          </w:tcPr>
          <w:p>
            <w:pPr>
              <w:jc w:val="right"/>
              <w:ind w:right="99"/>
              <w:spacing w:after="0" w:line="109" w:lineRule="exact"/>
              <w:rPr>
                <w:sz w:val="20"/>
                <w:szCs w:val="20"/>
                <w:color w:val="auto"/>
              </w:rPr>
            </w:pPr>
            <w:r>
              <w:rPr>
                <w:rFonts w:ascii="Arial" w:cs="Arial" w:eastAsia="Arial" w:hAnsi="Arial"/>
                <w:sz w:val="12"/>
                <w:szCs w:val="12"/>
                <w:color w:val="auto"/>
              </w:rPr>
              <w:t>417,730</w:t>
            </w:r>
          </w:p>
        </w:tc>
        <w:tc>
          <w:tcPr>
            <w:tcW w:w="780" w:type="dxa"/>
            <w:vAlign w:val="bottom"/>
            <w:gridSpan w:val="2"/>
          </w:tcPr>
          <w:p>
            <w:pPr>
              <w:jc w:val="right"/>
              <w:ind w:right="160"/>
              <w:spacing w:after="0" w:line="109" w:lineRule="exact"/>
              <w:rPr>
                <w:sz w:val="20"/>
                <w:szCs w:val="20"/>
                <w:color w:val="auto"/>
              </w:rPr>
            </w:pPr>
            <w:r>
              <w:rPr>
                <w:rFonts w:ascii="Arial" w:cs="Arial" w:eastAsia="Arial" w:hAnsi="Arial"/>
                <w:sz w:val="12"/>
                <w:szCs w:val="12"/>
                <w:color w:val="auto"/>
              </w:rPr>
              <w:t>835,460</w:t>
            </w:r>
          </w:p>
        </w:tc>
        <w:tc>
          <w:tcPr>
            <w:tcW w:w="760" w:type="dxa"/>
            <w:vAlign w:val="bottom"/>
          </w:tcPr>
          <w:p>
            <w:pPr>
              <w:jc w:val="right"/>
              <w:ind w:right="21"/>
              <w:spacing w:after="0" w:line="109"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09"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09"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2"/>
              <w:spacing w:after="0" w:line="109"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22"/>
              <w:spacing w:after="0" w:line="109"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41"/>
              <w:spacing w:after="0" w:line="109"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0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380" w:type="dxa"/>
            <w:vAlign w:val="bottom"/>
          </w:tcPr>
          <w:p>
            <w:pPr>
              <w:ind w:left="80"/>
              <w:spacing w:after="0" w:line="134" w:lineRule="exact"/>
              <w:rPr>
                <w:sz w:val="20"/>
                <w:szCs w:val="20"/>
                <w:color w:val="auto"/>
              </w:rPr>
            </w:pPr>
            <w:r>
              <w:rPr>
                <w:rFonts w:ascii="Arial" w:cs="Arial" w:eastAsia="Arial" w:hAnsi="Arial"/>
                <w:sz w:val="12"/>
                <w:szCs w:val="12"/>
                <w:color w:val="auto"/>
              </w:rPr>
              <w:t>SVP, General</w:t>
            </w:r>
          </w:p>
        </w:tc>
        <w:tc>
          <w:tcPr>
            <w:tcW w:w="920" w:type="dxa"/>
            <w:vAlign w:val="bottom"/>
            <w:gridSpan w:val="2"/>
            <w:vMerge w:val="restart"/>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6,803</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13,606</w:t>
            </w:r>
          </w:p>
        </w:tc>
        <w:tc>
          <w:tcPr>
            <w:tcW w:w="80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600,007</w:t>
            </w:r>
          </w:p>
        </w:tc>
        <w:tc>
          <w:tcPr>
            <w:tcW w:w="0" w:type="dxa"/>
            <w:vAlign w:val="bottom"/>
          </w:tcPr>
          <w:p>
            <w:pPr>
              <w:spacing w:after="0"/>
              <w:rPr>
                <w:sz w:val="1"/>
                <w:szCs w:val="1"/>
                <w:color w:val="auto"/>
              </w:rPr>
            </w:pPr>
          </w:p>
        </w:tc>
      </w:tr>
      <w:tr>
        <w:trPr>
          <w:trHeight w:val="85"/>
        </w:trPr>
        <w:tc>
          <w:tcPr>
            <w:tcW w:w="2380" w:type="dxa"/>
            <w:vAlign w:val="bottom"/>
            <w:vMerge w:val="restart"/>
          </w:tcPr>
          <w:p>
            <w:pPr>
              <w:ind w:left="80"/>
              <w:spacing w:after="0"/>
              <w:rPr>
                <w:sz w:val="20"/>
                <w:szCs w:val="20"/>
                <w:color w:val="auto"/>
              </w:rPr>
            </w:pPr>
            <w:r>
              <w:rPr>
                <w:rFonts w:ascii="Arial" w:cs="Arial" w:eastAsia="Arial" w:hAnsi="Arial"/>
                <w:sz w:val="12"/>
                <w:szCs w:val="12"/>
                <w:color w:val="auto"/>
              </w:rPr>
              <w:t>Counsel and Secretary</w:t>
            </w:r>
          </w:p>
        </w:tc>
        <w:tc>
          <w:tcPr>
            <w:tcW w:w="9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380" w:type="dxa"/>
            <w:vAlign w:val="bottom"/>
            <w:vMerge w:val="continue"/>
          </w:tcPr>
          <w:p>
            <w:pPr>
              <w:spacing w:after="0"/>
              <w:rPr>
                <w:sz w:val="6"/>
                <w:szCs w:val="6"/>
                <w:color w:val="auto"/>
              </w:rPr>
            </w:pPr>
          </w:p>
        </w:tc>
        <w:tc>
          <w:tcPr>
            <w:tcW w:w="920" w:type="dxa"/>
            <w:vAlign w:val="bottom"/>
            <w:gridSpan w:val="2"/>
            <w:vMerge w:val="restart"/>
          </w:tcPr>
          <w:p>
            <w:pPr>
              <w:jc w:val="right"/>
              <w:ind w:right="125"/>
              <w:spacing w:after="0"/>
              <w:rPr>
                <w:sz w:val="20"/>
                <w:szCs w:val="20"/>
                <w:color w:val="auto"/>
              </w:rPr>
            </w:pPr>
            <w:r>
              <w:rPr>
                <w:rFonts w:ascii="Arial" w:cs="Arial" w:eastAsia="Arial" w:hAnsi="Arial"/>
                <w:sz w:val="12"/>
                <w:szCs w:val="12"/>
                <w:color w:val="auto"/>
              </w:rPr>
              <w:t>2/17/2023</w:t>
            </w:r>
          </w:p>
        </w:tc>
        <w:tc>
          <w:tcPr>
            <w:tcW w:w="7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ind w:right="22"/>
              <w:spacing w:after="0"/>
              <w:rPr>
                <w:sz w:val="20"/>
                <w:szCs w:val="20"/>
                <w:color w:val="auto"/>
              </w:rPr>
            </w:pPr>
            <w:r>
              <w:rPr>
                <w:rFonts w:ascii="Arial" w:cs="Arial" w:eastAsia="Arial" w:hAnsi="Arial"/>
                <w:sz w:val="12"/>
                <w:szCs w:val="12"/>
                <w:color w:val="auto"/>
              </w:rPr>
              <w:t>4,535</w:t>
            </w:r>
          </w:p>
        </w:tc>
        <w:tc>
          <w:tcPr>
            <w:tcW w:w="88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400,005</w:t>
            </w: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380" w:type="dxa"/>
            <w:vAlign w:val="bottom"/>
            <w:tcBorders>
              <w:bottom w:val="single" w:sz="8" w:color="5D89B4"/>
            </w:tcBorders>
          </w:tcPr>
          <w:p>
            <w:pPr>
              <w:spacing w:after="0"/>
              <w:rPr>
                <w:sz w:val="3"/>
                <w:szCs w:val="3"/>
                <w:color w:val="auto"/>
              </w:rPr>
            </w:pPr>
          </w:p>
        </w:tc>
        <w:tc>
          <w:tcPr>
            <w:tcW w:w="14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0" w:hanging="420"/>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established under the Annual Incentive Plan.</w:t>
      </w:r>
    </w:p>
    <w:p>
      <w:pPr>
        <w:spacing w:after="0" w:line="39" w:lineRule="exact"/>
        <w:rPr>
          <w:rFonts w:ascii="Arial" w:cs="Arial" w:eastAsia="Arial" w:hAnsi="Arial"/>
          <w:sz w:val="14"/>
          <w:szCs w:val="14"/>
          <w:color w:val="auto"/>
        </w:rPr>
      </w:pPr>
    </w:p>
    <w:p>
      <w:pPr>
        <w:ind w:left="600" w:hanging="420"/>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These amounts represent the number of PSUs that could be earned related to the PSUs granted in 2023 under the 2011 Equity Incentive Plan.</w:t>
      </w:r>
    </w:p>
    <w:p>
      <w:pPr>
        <w:spacing w:after="0" w:line="39" w:lineRule="exact"/>
        <w:rPr>
          <w:rFonts w:ascii="Arial" w:cs="Arial" w:eastAsia="Arial" w:hAnsi="Arial"/>
          <w:sz w:val="14"/>
          <w:szCs w:val="14"/>
          <w:color w:val="auto"/>
        </w:rPr>
      </w:pPr>
    </w:p>
    <w:p>
      <w:pPr>
        <w:ind w:left="600" w:hanging="420"/>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represent the number of RSUs granted in 2023 under the 2011 Equity Incentive Plan.</w:t>
      </w:r>
    </w:p>
    <w:p>
      <w:pPr>
        <w:spacing w:after="0" w:line="39" w:lineRule="exact"/>
        <w:rPr>
          <w:rFonts w:ascii="Arial" w:cs="Arial" w:eastAsia="Arial" w:hAnsi="Arial"/>
          <w:sz w:val="14"/>
          <w:szCs w:val="14"/>
          <w:color w:val="auto"/>
        </w:rPr>
      </w:pPr>
    </w:p>
    <w:p>
      <w:pPr>
        <w:ind w:left="600" w:hanging="420"/>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grant date fair value of stock awards granted in 2023 that are reported in this column have been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107315</wp:posOffset>
            </wp:positionV>
            <wp:extent cx="69138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TABLES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120" w:lineRule="exact"/>
        <w:rPr>
          <w:sz w:val="20"/>
          <w:szCs w:val="20"/>
          <w:color w:val="auto"/>
        </w:rPr>
      </w:pPr>
    </w:p>
    <w:p>
      <w:pPr>
        <w:ind w:left="180" w:right="100"/>
        <w:spacing w:after="0" w:line="236" w:lineRule="auto"/>
        <w:rPr>
          <w:sz w:val="20"/>
          <w:szCs w:val="20"/>
          <w:color w:val="auto"/>
        </w:rPr>
      </w:pPr>
      <w:r>
        <w:rPr>
          <w:rFonts w:ascii="Arial" w:cs="Arial" w:eastAsia="Arial" w:hAnsi="Arial"/>
          <w:sz w:val="15"/>
          <w:szCs w:val="15"/>
          <w:color w:val="auto"/>
        </w:rPr>
        <w:t>Messrs. Prising, McGinnis, Buchband and Ms. Nettles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20" w:lineRule="exact"/>
        <w:rPr>
          <w:sz w:val="20"/>
          <w:szCs w:val="20"/>
          <w:color w:val="auto"/>
        </w:rPr>
      </w:pPr>
    </w:p>
    <w:p>
      <w:pPr>
        <w:ind w:left="180"/>
        <w:spacing w:after="0" w:line="229" w:lineRule="auto"/>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ManpowerGroup made grants of PSUs to all of the executive officers under the 2011 Equity Incentive Plan in February 2023. Each executive officer</w:t>
      </w:r>
      <w:r>
        <w:rPr>
          <w:rFonts w:ascii="Arial" w:cs="Arial" w:eastAsia="Arial" w:hAnsi="Arial"/>
          <w:sz w:val="15"/>
          <w:szCs w:val="15"/>
          <w:b w:val="1"/>
          <w:bCs w:val="1"/>
          <w:color w:val="5D89B4"/>
        </w:rPr>
        <w:t xml:space="preserve"> </w:t>
      </w:r>
      <w:r>
        <w:rPr>
          <w:rFonts w:ascii="Arial" w:cs="Arial" w:eastAsia="Arial" w:hAnsi="Arial"/>
          <w:sz w:val="15"/>
          <w:szCs w:val="15"/>
          <w:color w:val="000000"/>
        </w:rPr>
        <w:t>received a PSU grant that will vest if the relevant performance goal of average EBITA Margin Percent is met for the three-year performance period. The Committee included a modifier to the final PSU payout that can increase or decrease the final PSU payout (that was determined based on the EBITA Margin Percent for the three-year performance period and a dollar gate) by up to 30% but the modifier cannot be used to adjust the payout below threshold or above outstanding. The modifier is based on an evaluation of pre-established strategic growth initiatives over three years. Dividend equivalents are accumulated on the PSUs under these awards and vest on the same basis as the underlying award. See page 48 for descriptions of the goals and initiatives established by the Committee for the 2023 PSU grants. Additional vesting terms applicable to these grants are described in further detail in the section entitled “Termination of Employment and Change of Control Arrangements” following the Nonqualified Deferred Compensation Table.</w:t>
      </w:r>
    </w:p>
    <w:p>
      <w:pPr>
        <w:spacing w:after="0" w:line="98" w:lineRule="exact"/>
        <w:rPr>
          <w:sz w:val="20"/>
          <w:szCs w:val="20"/>
          <w:color w:val="auto"/>
        </w:rPr>
      </w:pPr>
    </w:p>
    <w:p>
      <w:pPr>
        <w:ind w:left="180" w:right="40"/>
        <w:spacing w:after="0" w:line="236" w:lineRule="auto"/>
        <w:rPr>
          <w:sz w:val="20"/>
          <w:szCs w:val="20"/>
          <w:color w:val="auto"/>
        </w:rPr>
      </w:pPr>
      <w:r>
        <w:rPr>
          <w:rFonts w:ascii="Arial" w:cs="Arial" w:eastAsia="Arial" w:hAnsi="Arial"/>
          <w:sz w:val="15"/>
          <w:szCs w:val="15"/>
          <w:b w:val="1"/>
          <w:bCs w:val="1"/>
          <w:color w:val="5D89B4"/>
        </w:rPr>
        <w:t xml:space="preserve">RSUs. </w:t>
      </w:r>
      <w:r>
        <w:rPr>
          <w:rFonts w:ascii="Arial" w:cs="Arial" w:eastAsia="Arial" w:hAnsi="Arial"/>
          <w:sz w:val="15"/>
          <w:szCs w:val="15"/>
          <w:color w:val="000000"/>
        </w:rPr>
        <w:t>The RSUs granted to the executive officers under the 2011 Equity Incentive Plan in February 2023 have a three-year cliff vest and are earned as long as</w:t>
      </w:r>
      <w:r>
        <w:rPr>
          <w:rFonts w:ascii="Arial" w:cs="Arial" w:eastAsia="Arial" w:hAnsi="Arial"/>
          <w:sz w:val="15"/>
          <w:szCs w:val="15"/>
          <w:b w:val="1"/>
          <w:bCs w:val="1"/>
          <w:color w:val="5D89B4"/>
        </w:rPr>
        <w:t xml:space="preserve"> </w:t>
      </w:r>
      <w:r>
        <w:rPr>
          <w:rFonts w:ascii="Arial" w:cs="Arial" w:eastAsia="Arial" w:hAnsi="Arial"/>
          <w:sz w:val="15"/>
          <w:szCs w:val="15"/>
          <w:color w:val="000000"/>
        </w:rPr>
        <w:t>the executive officer continues to be employed by the Company. Dividend equivalents are accumulated on the RSUs under these awards and vest on the same basis as the underlying award. Additional vesting terms applicable to these grants are described in further detail in the section entitled “Termination of Employment and Change of Control Arrangements” following the Nonqualified Deferred Compensation Table.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5D89B4"/>
        </w:rPr>
        <w:t xml:space="preserve">Career shares. </w:t>
      </w:r>
      <w:r>
        <w:rPr>
          <w:rFonts w:ascii="Arial" w:cs="Arial" w:eastAsia="Arial" w:hAnsi="Arial"/>
          <w:sz w:val="15"/>
          <w:szCs w:val="15"/>
          <w:color w:val="000000"/>
        </w:rPr>
        <w:t>ManpowerGroup did not make any career share grants to any of the NEOs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113030</wp:posOffset>
            </wp:positionV>
            <wp:extent cx="69138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TABLES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Outstanding Equity Awards at December 31, 2023</w:t>
      </w: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1680" w:type="dxa"/>
            <w:vAlign w:val="bottom"/>
            <w:tcBorders>
              <w:bottom w:val="single" w:sz="8" w:color="EAEAEA"/>
            </w:tcBorders>
            <w:shd w:val="clear" w:color="auto" w:fill="EAEAEA"/>
          </w:tcPr>
          <w:p>
            <w:pPr>
              <w:spacing w:after="0"/>
              <w:rPr>
                <w:sz w:val="22"/>
                <w:szCs w:val="22"/>
                <w:color w:val="auto"/>
              </w:rPr>
            </w:pPr>
          </w:p>
        </w:tc>
        <w:tc>
          <w:tcPr>
            <w:tcW w:w="140" w:type="dxa"/>
            <w:vAlign w:val="bottom"/>
            <w:tcBorders>
              <w:bottom w:val="single" w:sz="8" w:color="EAEAEA"/>
            </w:tcBorders>
            <w:shd w:val="clear" w:color="auto" w:fill="EAEAEA"/>
          </w:tcPr>
          <w:p>
            <w:pPr>
              <w:spacing w:after="0"/>
              <w:rPr>
                <w:sz w:val="22"/>
                <w:szCs w:val="22"/>
                <w:color w:val="auto"/>
              </w:rPr>
            </w:pPr>
          </w:p>
        </w:tc>
        <w:tc>
          <w:tcPr>
            <w:tcW w:w="880" w:type="dxa"/>
            <w:vAlign w:val="bottom"/>
            <w:tcBorders>
              <w:bottom w:val="single" w:sz="8" w:color="EAEAEA"/>
            </w:tcBorders>
            <w:shd w:val="clear" w:color="auto" w:fill="EAEAEA"/>
          </w:tcPr>
          <w:p>
            <w:pPr>
              <w:spacing w:after="0"/>
              <w:rPr>
                <w:sz w:val="22"/>
                <w:szCs w:val="22"/>
                <w:color w:val="auto"/>
              </w:rPr>
            </w:pPr>
          </w:p>
        </w:tc>
        <w:tc>
          <w:tcPr>
            <w:tcW w:w="2280" w:type="dxa"/>
            <w:vAlign w:val="bottom"/>
            <w:tcBorders>
              <w:bottom w:val="single" w:sz="8" w:color="EAEAEA"/>
            </w:tcBorders>
            <w:gridSpan w:val="2"/>
            <w:shd w:val="clear" w:color="auto" w:fill="EAEAEA"/>
          </w:tcPr>
          <w:p>
            <w:pPr>
              <w:jc w:val="right"/>
              <w:ind w:right="316"/>
              <w:spacing w:after="0"/>
              <w:rPr>
                <w:sz w:val="20"/>
                <w:szCs w:val="20"/>
                <w:color w:val="auto"/>
              </w:rPr>
            </w:pPr>
            <w:r>
              <w:rPr>
                <w:rFonts w:ascii="Arial" w:cs="Arial" w:eastAsia="Arial" w:hAnsi="Arial"/>
                <w:sz w:val="11"/>
                <w:szCs w:val="11"/>
                <w:b w:val="1"/>
                <w:bCs w:val="1"/>
                <w:color w:val="5D89B4"/>
              </w:rPr>
              <w:t>OPTION AWARDS</w:t>
            </w:r>
          </w:p>
        </w:tc>
        <w:tc>
          <w:tcPr>
            <w:tcW w:w="200" w:type="dxa"/>
            <w:vAlign w:val="bottom"/>
            <w:tcBorders>
              <w:bottom w:val="single" w:sz="8" w:color="EAEAEA"/>
            </w:tcBorders>
            <w:shd w:val="clear" w:color="auto" w:fill="EAEAEA"/>
          </w:tcPr>
          <w:p>
            <w:pPr>
              <w:spacing w:after="0"/>
              <w:rPr>
                <w:sz w:val="22"/>
                <w:szCs w:val="22"/>
                <w:color w:val="auto"/>
              </w:rPr>
            </w:pPr>
          </w:p>
        </w:tc>
        <w:tc>
          <w:tcPr>
            <w:tcW w:w="540" w:type="dxa"/>
            <w:vAlign w:val="bottom"/>
            <w:tcBorders>
              <w:bottom w:val="single" w:sz="8" w:color="EAEAEA"/>
            </w:tcBorders>
            <w:shd w:val="clear" w:color="auto" w:fill="EAEAEA"/>
          </w:tcPr>
          <w:p>
            <w:pPr>
              <w:spacing w:after="0"/>
              <w:rPr>
                <w:sz w:val="22"/>
                <w:szCs w:val="22"/>
                <w:color w:val="auto"/>
              </w:rPr>
            </w:pPr>
          </w:p>
        </w:tc>
        <w:tc>
          <w:tcPr>
            <w:tcW w:w="800" w:type="dxa"/>
            <w:vAlign w:val="bottom"/>
            <w:tcBorders>
              <w:bottom w:val="single" w:sz="8" w:color="EAEAEA"/>
            </w:tcBorders>
            <w:shd w:val="clear" w:color="auto" w:fill="EAEAEA"/>
          </w:tcPr>
          <w:p>
            <w:pPr>
              <w:spacing w:after="0"/>
              <w:rPr>
                <w:sz w:val="22"/>
                <w:szCs w:val="22"/>
                <w:color w:val="auto"/>
              </w:rPr>
            </w:pPr>
          </w:p>
        </w:tc>
        <w:tc>
          <w:tcPr>
            <w:tcW w:w="60" w:type="dxa"/>
            <w:vAlign w:val="bottom"/>
            <w:tcBorders>
              <w:bottom w:val="single" w:sz="8" w:color="EAEAEA"/>
            </w:tcBorders>
            <w:shd w:val="clear" w:color="auto" w:fill="EAEAEA"/>
          </w:tcPr>
          <w:p>
            <w:pPr>
              <w:spacing w:after="0"/>
              <w:rPr>
                <w:sz w:val="22"/>
                <w:szCs w:val="22"/>
                <w:color w:val="auto"/>
              </w:rPr>
            </w:pPr>
          </w:p>
        </w:tc>
        <w:tc>
          <w:tcPr>
            <w:tcW w:w="1040" w:type="dxa"/>
            <w:vAlign w:val="bottom"/>
            <w:tcBorders>
              <w:bottom w:val="single" w:sz="8" w:color="EAEAEA"/>
            </w:tcBorders>
            <w:shd w:val="clear" w:color="auto" w:fill="EAEAEA"/>
          </w:tcPr>
          <w:p>
            <w:pPr>
              <w:spacing w:after="0"/>
              <w:rPr>
                <w:sz w:val="22"/>
                <w:szCs w:val="22"/>
                <w:color w:val="auto"/>
              </w:rPr>
            </w:pPr>
          </w:p>
        </w:tc>
        <w:tc>
          <w:tcPr>
            <w:tcW w:w="160" w:type="dxa"/>
            <w:vAlign w:val="bottom"/>
            <w:tcBorders>
              <w:bottom w:val="single" w:sz="8" w:color="EAEAEA"/>
            </w:tcBorders>
            <w:shd w:val="clear" w:color="auto" w:fill="EAEAEA"/>
          </w:tcPr>
          <w:p>
            <w:pPr>
              <w:spacing w:after="0"/>
              <w:rPr>
                <w:sz w:val="22"/>
                <w:szCs w:val="22"/>
                <w:color w:val="auto"/>
              </w:rPr>
            </w:pPr>
          </w:p>
        </w:tc>
        <w:tc>
          <w:tcPr>
            <w:tcW w:w="2100" w:type="dxa"/>
            <w:vAlign w:val="bottom"/>
            <w:tcBorders>
              <w:bottom w:val="single" w:sz="8" w:color="EAEAEA"/>
            </w:tcBorders>
            <w:gridSpan w:val="2"/>
            <w:shd w:val="clear" w:color="auto" w:fill="EAEAEA"/>
          </w:tcPr>
          <w:p>
            <w:pPr>
              <w:jc w:val="right"/>
              <w:ind w:right="676"/>
              <w:spacing w:after="0"/>
              <w:rPr>
                <w:sz w:val="20"/>
                <w:szCs w:val="20"/>
                <w:color w:val="auto"/>
              </w:rPr>
            </w:pPr>
            <w:r>
              <w:rPr>
                <w:rFonts w:ascii="Arial" w:cs="Arial" w:eastAsia="Arial" w:hAnsi="Arial"/>
                <w:sz w:val="11"/>
                <w:szCs w:val="11"/>
                <w:b w:val="1"/>
                <w:bCs w:val="1"/>
                <w:color w:val="5D89B4"/>
              </w:rPr>
              <w:t>STOCK AWARDS</w:t>
            </w:r>
          </w:p>
        </w:tc>
        <w:tc>
          <w:tcPr>
            <w:tcW w:w="180" w:type="dxa"/>
            <w:vAlign w:val="bottom"/>
            <w:tcBorders>
              <w:bottom w:val="single" w:sz="8" w:color="EAEAEA"/>
            </w:tcBorders>
            <w:shd w:val="clear" w:color="auto" w:fill="EAEAEA"/>
          </w:tcPr>
          <w:p>
            <w:pPr>
              <w:spacing w:after="0"/>
              <w:rPr>
                <w:sz w:val="22"/>
                <w:szCs w:val="22"/>
                <w:color w:val="auto"/>
              </w:rPr>
            </w:pPr>
          </w:p>
        </w:tc>
        <w:tc>
          <w:tcPr>
            <w:tcW w:w="82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680" w:type="dxa"/>
            <w:vAlign w:val="bottom"/>
            <w:tcBorders>
              <w:top w:val="single" w:sz="8" w:color="EAEAEA"/>
            </w:tcBorders>
            <w:shd w:val="clear" w:color="auto" w:fill="EAEAEA"/>
          </w:tcPr>
          <w:p>
            <w:pPr>
              <w:spacing w:after="0"/>
              <w:rPr>
                <w:sz w:val="13"/>
                <w:szCs w:val="13"/>
                <w:color w:val="auto"/>
              </w:rPr>
            </w:pPr>
          </w:p>
        </w:tc>
        <w:tc>
          <w:tcPr>
            <w:tcW w:w="140" w:type="dxa"/>
            <w:vAlign w:val="bottom"/>
            <w:tcBorders>
              <w:top w:val="single" w:sz="8" w:color="EAEAEA"/>
            </w:tcBorders>
            <w:shd w:val="clear" w:color="auto" w:fill="EAEAEA"/>
          </w:tcPr>
          <w:p>
            <w:pPr>
              <w:spacing w:after="0"/>
              <w:rPr>
                <w:sz w:val="13"/>
                <w:szCs w:val="13"/>
                <w:color w:val="auto"/>
              </w:rPr>
            </w:pPr>
          </w:p>
        </w:tc>
        <w:tc>
          <w:tcPr>
            <w:tcW w:w="880" w:type="dxa"/>
            <w:vAlign w:val="bottom"/>
            <w:tcBorders>
              <w:top w:val="single" w:sz="8" w:color="5D89B4"/>
            </w:tcBorders>
            <w:shd w:val="clear" w:color="auto" w:fill="EAEAEA"/>
          </w:tcPr>
          <w:p>
            <w:pPr>
              <w:spacing w:after="0"/>
              <w:rPr>
                <w:sz w:val="13"/>
                <w:szCs w:val="13"/>
                <w:color w:val="auto"/>
              </w:rPr>
            </w:pPr>
          </w:p>
        </w:tc>
        <w:tc>
          <w:tcPr>
            <w:tcW w:w="1260" w:type="dxa"/>
            <w:vAlign w:val="bottom"/>
            <w:tcBorders>
              <w:top w:val="single" w:sz="8" w:color="5D89B4"/>
            </w:tcBorders>
            <w:shd w:val="clear" w:color="auto" w:fill="EAEAEA"/>
          </w:tcPr>
          <w:p>
            <w:pPr>
              <w:spacing w:after="0"/>
              <w:rPr>
                <w:sz w:val="13"/>
                <w:szCs w:val="13"/>
                <w:color w:val="auto"/>
              </w:rPr>
            </w:pPr>
          </w:p>
        </w:tc>
        <w:tc>
          <w:tcPr>
            <w:tcW w:w="1020" w:type="dxa"/>
            <w:vAlign w:val="bottom"/>
            <w:tcBorders>
              <w:top w:val="single" w:sz="8" w:color="5D89B4"/>
            </w:tcBorders>
            <w:shd w:val="clear" w:color="auto" w:fill="EAEAEA"/>
          </w:tcPr>
          <w:p>
            <w:pPr>
              <w:spacing w:after="0"/>
              <w:rPr>
                <w:sz w:val="13"/>
                <w:szCs w:val="13"/>
                <w:color w:val="auto"/>
              </w:rPr>
            </w:pPr>
          </w:p>
        </w:tc>
        <w:tc>
          <w:tcPr>
            <w:tcW w:w="200" w:type="dxa"/>
            <w:vAlign w:val="bottom"/>
            <w:tcBorders>
              <w:top w:val="single" w:sz="8" w:color="5D89B4"/>
            </w:tcBorders>
            <w:shd w:val="clear" w:color="auto" w:fill="EAEAEA"/>
          </w:tcPr>
          <w:p>
            <w:pPr>
              <w:spacing w:after="0"/>
              <w:rPr>
                <w:sz w:val="13"/>
                <w:szCs w:val="13"/>
                <w:color w:val="auto"/>
              </w:rPr>
            </w:pPr>
          </w:p>
        </w:tc>
        <w:tc>
          <w:tcPr>
            <w:tcW w:w="540" w:type="dxa"/>
            <w:vAlign w:val="bottom"/>
            <w:tcBorders>
              <w:top w:val="single" w:sz="8" w:color="5D89B4"/>
            </w:tcBorders>
            <w:shd w:val="clear" w:color="auto" w:fill="EAEAEA"/>
          </w:tcPr>
          <w:p>
            <w:pPr>
              <w:spacing w:after="0"/>
              <w:rPr>
                <w:sz w:val="13"/>
                <w:szCs w:val="13"/>
                <w:color w:val="auto"/>
              </w:rPr>
            </w:pPr>
          </w:p>
        </w:tc>
        <w:tc>
          <w:tcPr>
            <w:tcW w:w="800" w:type="dxa"/>
            <w:vAlign w:val="bottom"/>
            <w:tcBorders>
              <w:top w:val="single" w:sz="8" w:color="5D89B4"/>
            </w:tcBorders>
            <w:shd w:val="clear" w:color="auto" w:fill="EAEAEA"/>
          </w:tcPr>
          <w:p>
            <w:pPr>
              <w:spacing w:after="0"/>
              <w:rPr>
                <w:sz w:val="13"/>
                <w:szCs w:val="13"/>
                <w:color w:val="auto"/>
              </w:rPr>
            </w:pPr>
          </w:p>
        </w:tc>
        <w:tc>
          <w:tcPr>
            <w:tcW w:w="60" w:type="dxa"/>
            <w:vAlign w:val="bottom"/>
            <w:tcBorders>
              <w:top w:val="single" w:sz="8" w:color="EAEAEA"/>
            </w:tcBorders>
            <w:shd w:val="clear" w:color="auto" w:fill="EAEAEA"/>
          </w:tcPr>
          <w:p>
            <w:pPr>
              <w:spacing w:after="0"/>
              <w:rPr>
                <w:sz w:val="13"/>
                <w:szCs w:val="13"/>
                <w:color w:val="auto"/>
              </w:rPr>
            </w:pPr>
          </w:p>
        </w:tc>
        <w:tc>
          <w:tcPr>
            <w:tcW w:w="1040" w:type="dxa"/>
            <w:vAlign w:val="bottom"/>
            <w:tcBorders>
              <w:top w:val="single" w:sz="8" w:color="5D89B4"/>
            </w:tcBorders>
            <w:shd w:val="clear" w:color="auto" w:fill="EAEAEA"/>
          </w:tcPr>
          <w:p>
            <w:pPr>
              <w:spacing w:after="0"/>
              <w:rPr>
                <w:sz w:val="13"/>
                <w:szCs w:val="13"/>
                <w:color w:val="auto"/>
              </w:rPr>
            </w:pPr>
          </w:p>
        </w:tc>
        <w:tc>
          <w:tcPr>
            <w:tcW w:w="160" w:type="dxa"/>
            <w:vAlign w:val="bottom"/>
            <w:tcBorders>
              <w:top w:val="single" w:sz="8" w:color="5D89B4"/>
            </w:tcBorders>
            <w:shd w:val="clear" w:color="auto" w:fill="EAEAEA"/>
          </w:tcPr>
          <w:p>
            <w:pPr>
              <w:spacing w:after="0"/>
              <w:rPr>
                <w:sz w:val="13"/>
                <w:szCs w:val="13"/>
                <w:color w:val="auto"/>
              </w:rPr>
            </w:pPr>
          </w:p>
        </w:tc>
        <w:tc>
          <w:tcPr>
            <w:tcW w:w="800" w:type="dxa"/>
            <w:vAlign w:val="bottom"/>
            <w:tcBorders>
              <w:top w:val="single" w:sz="8" w:color="5D89B4"/>
            </w:tcBorders>
            <w:shd w:val="clear" w:color="auto" w:fill="EAEAEA"/>
          </w:tcPr>
          <w:p>
            <w:pPr>
              <w:spacing w:after="0"/>
              <w:rPr>
                <w:sz w:val="13"/>
                <w:szCs w:val="13"/>
                <w:color w:val="auto"/>
              </w:rPr>
            </w:pPr>
          </w:p>
        </w:tc>
        <w:tc>
          <w:tcPr>
            <w:tcW w:w="1300" w:type="dxa"/>
            <w:vAlign w:val="bottom"/>
            <w:tcBorders>
              <w:top w:val="single" w:sz="8" w:color="5D89B4"/>
            </w:tcBorders>
            <w:shd w:val="clear" w:color="auto" w:fill="EAEAEA"/>
          </w:tcPr>
          <w:p>
            <w:pPr>
              <w:spacing w:after="0"/>
              <w:rPr>
                <w:sz w:val="13"/>
                <w:szCs w:val="13"/>
                <w:color w:val="auto"/>
              </w:rPr>
            </w:pPr>
          </w:p>
        </w:tc>
        <w:tc>
          <w:tcPr>
            <w:tcW w:w="180" w:type="dxa"/>
            <w:vAlign w:val="bottom"/>
            <w:tcBorders>
              <w:top w:val="single" w:sz="8" w:color="5D89B4"/>
            </w:tcBorders>
            <w:shd w:val="clear" w:color="auto" w:fill="EAEAEA"/>
          </w:tcPr>
          <w:p>
            <w:pPr>
              <w:spacing w:after="0"/>
              <w:rPr>
                <w:sz w:val="13"/>
                <w:szCs w:val="13"/>
                <w:color w:val="auto"/>
              </w:rPr>
            </w:pPr>
          </w:p>
        </w:tc>
        <w:tc>
          <w:tcPr>
            <w:tcW w:w="820" w:type="dxa"/>
            <w:vAlign w:val="bottom"/>
            <w:tcBorders>
              <w:top w:val="single" w:sz="8" w:color="5D89B4"/>
            </w:tcBorders>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EQUITY</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INCENTIVE</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INCENTIVE</w:t>
            </w:r>
          </w:p>
        </w:tc>
        <w:tc>
          <w:tcPr>
            <w:tcW w:w="100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PLAN AWARDS:</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PLAN AWARDS: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MARKET OR</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INCENTIVE</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MARKET</w:t>
            </w: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NUMBER OF</w:t>
            </w:r>
          </w:p>
        </w:tc>
        <w:tc>
          <w:tcPr>
            <w:tcW w:w="100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PAYOUT VALUE</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NUMBER OF</w:t>
            </w:r>
          </w:p>
        </w:tc>
        <w:tc>
          <w:tcPr>
            <w:tcW w:w="1260" w:type="dxa"/>
            <w:vAlign w:val="bottom"/>
            <w:shd w:val="clear" w:color="auto" w:fill="EAEAEA"/>
          </w:tcPr>
          <w:p>
            <w:pPr>
              <w:jc w:val="right"/>
              <w:ind w:right="196"/>
              <w:spacing w:after="0" w:line="120" w:lineRule="exact"/>
              <w:rPr>
                <w:sz w:val="20"/>
                <w:szCs w:val="20"/>
                <w:color w:val="auto"/>
              </w:rPr>
            </w:pPr>
            <w:r>
              <w:rPr>
                <w:rFonts w:ascii="Arial" w:cs="Arial" w:eastAsia="Arial" w:hAnsi="Arial"/>
                <w:sz w:val="11"/>
                <w:szCs w:val="11"/>
                <w:b w:val="1"/>
                <w:bCs w:val="1"/>
                <w:color w:val="5D89B4"/>
              </w:rPr>
              <w:t>NUMBER OF</w:t>
            </w:r>
          </w:p>
        </w:tc>
        <w:tc>
          <w:tcPr>
            <w:tcW w:w="102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NUMBER</w:t>
            </w: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VALUE</w:t>
            </w: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UNEARNED</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w w:val="94"/>
              </w:rPr>
              <w:t>OF UNEARNED</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SECURITIES</w:t>
            </w:r>
          </w:p>
        </w:tc>
        <w:tc>
          <w:tcPr>
            <w:tcW w:w="1260" w:type="dxa"/>
            <w:vAlign w:val="bottom"/>
            <w:shd w:val="clear" w:color="auto" w:fill="EAEAEA"/>
          </w:tcPr>
          <w:p>
            <w:pPr>
              <w:jc w:val="right"/>
              <w:ind w:right="196"/>
              <w:spacing w:after="0" w:line="120" w:lineRule="exact"/>
              <w:rPr>
                <w:sz w:val="20"/>
                <w:szCs w:val="20"/>
                <w:color w:val="auto"/>
              </w:rPr>
            </w:pPr>
            <w:r>
              <w:rPr>
                <w:rFonts w:ascii="Arial" w:cs="Arial" w:eastAsia="Arial" w:hAnsi="Arial"/>
                <w:sz w:val="11"/>
                <w:szCs w:val="11"/>
                <w:b w:val="1"/>
                <w:bCs w:val="1"/>
                <w:color w:val="5D89B4"/>
              </w:rPr>
              <w:t>SECURITIES</w:t>
            </w:r>
          </w:p>
        </w:tc>
        <w:tc>
          <w:tcPr>
            <w:tcW w:w="102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NUMBER OF</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OF SHARES</w:t>
            </w: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OF SHARES</w:t>
            </w: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SHARES, UNITS,</w:t>
            </w:r>
          </w:p>
        </w:tc>
        <w:tc>
          <w:tcPr>
            <w:tcW w:w="100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SHARES, UNITS,</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UNDERLYING</w:t>
            </w:r>
          </w:p>
        </w:tc>
        <w:tc>
          <w:tcPr>
            <w:tcW w:w="1260" w:type="dxa"/>
            <w:vAlign w:val="bottom"/>
            <w:shd w:val="clear" w:color="auto" w:fill="EAEAEA"/>
          </w:tcPr>
          <w:p>
            <w:pPr>
              <w:jc w:val="right"/>
              <w:ind w:right="196"/>
              <w:spacing w:after="0" w:line="120" w:lineRule="exact"/>
              <w:rPr>
                <w:sz w:val="20"/>
                <w:szCs w:val="20"/>
                <w:color w:val="auto"/>
              </w:rPr>
            </w:pPr>
            <w:r>
              <w:rPr>
                <w:rFonts w:ascii="Arial" w:cs="Arial" w:eastAsia="Arial" w:hAnsi="Arial"/>
                <w:sz w:val="11"/>
                <w:szCs w:val="11"/>
                <w:b w:val="1"/>
                <w:bCs w:val="1"/>
                <w:color w:val="5D89B4"/>
              </w:rPr>
              <w:t>UNDERLYING</w:t>
            </w:r>
          </w:p>
        </w:tc>
        <w:tc>
          <w:tcPr>
            <w:tcW w:w="102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SECURITIES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OR UNITS</w:t>
            </w: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OR UNITS</w:t>
            </w: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OR OTHER</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OR OTHER</w:t>
            </w:r>
          </w:p>
        </w:tc>
        <w:tc>
          <w:tcPr>
            <w:tcW w:w="0" w:type="dxa"/>
            <w:vAlign w:val="bottom"/>
          </w:tcPr>
          <w:p>
            <w:pPr>
              <w:spacing w:after="0"/>
              <w:rPr>
                <w:sz w:val="1"/>
                <w:szCs w:val="1"/>
                <w:color w:val="auto"/>
              </w:rPr>
            </w:pPr>
          </w:p>
        </w:tc>
      </w:tr>
      <w:tr>
        <w:trPr>
          <w:trHeight w:val="120"/>
        </w:trPr>
        <w:tc>
          <w:tcPr>
            <w:tcW w:w="168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w w:val="95"/>
              </w:rPr>
              <w:t>UNEXERCISED</w:t>
            </w:r>
          </w:p>
        </w:tc>
        <w:tc>
          <w:tcPr>
            <w:tcW w:w="1260" w:type="dxa"/>
            <w:vAlign w:val="bottom"/>
            <w:shd w:val="clear" w:color="auto" w:fill="EAEAEA"/>
          </w:tcPr>
          <w:p>
            <w:pPr>
              <w:jc w:val="right"/>
              <w:ind w:right="196"/>
              <w:spacing w:after="0" w:line="120" w:lineRule="exact"/>
              <w:rPr>
                <w:sz w:val="20"/>
                <w:szCs w:val="20"/>
                <w:color w:val="auto"/>
              </w:rPr>
            </w:pPr>
            <w:r>
              <w:rPr>
                <w:rFonts w:ascii="Arial" w:cs="Arial" w:eastAsia="Arial" w:hAnsi="Arial"/>
                <w:sz w:val="11"/>
                <w:szCs w:val="11"/>
                <w:b w:val="1"/>
                <w:bCs w:val="1"/>
                <w:color w:val="5D89B4"/>
              </w:rPr>
              <w:t>UNEXERCISED</w:t>
            </w:r>
          </w:p>
        </w:tc>
        <w:tc>
          <w:tcPr>
            <w:tcW w:w="102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UNDERLYING</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4"/>
              <w:spacing w:after="0" w:line="120" w:lineRule="exact"/>
              <w:rPr>
                <w:sz w:val="20"/>
                <w:szCs w:val="20"/>
                <w:color w:val="auto"/>
              </w:rPr>
            </w:pPr>
            <w:r>
              <w:rPr>
                <w:rFonts w:ascii="Arial" w:cs="Arial" w:eastAsia="Arial" w:hAnsi="Arial"/>
                <w:sz w:val="11"/>
                <w:szCs w:val="11"/>
                <w:b w:val="1"/>
                <w:bCs w:val="1"/>
                <w:color w:val="5D89B4"/>
                <w:w w:val="99"/>
              </w:rPr>
              <w:t>OPTION</w:t>
            </w:r>
          </w:p>
        </w:tc>
        <w:tc>
          <w:tcPr>
            <w:tcW w:w="80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OF STOCK</w:t>
            </w: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OF STOCK</w:t>
            </w: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RIGHTS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RIGHTS</w:t>
            </w:r>
          </w:p>
        </w:tc>
        <w:tc>
          <w:tcPr>
            <w:tcW w:w="0" w:type="dxa"/>
            <w:vAlign w:val="bottom"/>
          </w:tcPr>
          <w:p>
            <w:pPr>
              <w:spacing w:after="0"/>
              <w:rPr>
                <w:sz w:val="1"/>
                <w:szCs w:val="1"/>
                <w:color w:val="auto"/>
              </w:rPr>
            </w:pPr>
          </w:p>
        </w:tc>
      </w:tr>
      <w:tr>
        <w:trPr>
          <w:trHeight w:val="120"/>
        </w:trPr>
        <w:tc>
          <w:tcPr>
            <w:tcW w:w="1680" w:type="dxa"/>
            <w:vAlign w:val="bottom"/>
            <w:vMerge w:val="restart"/>
            <w:shd w:val="clear" w:color="auto" w:fill="EAEAEA"/>
          </w:tcPr>
          <w:p>
            <w:pPr>
              <w:ind w:left="80"/>
              <w:spacing w:after="0"/>
              <w:rPr>
                <w:sz w:val="20"/>
                <w:szCs w:val="20"/>
                <w:color w:val="auto"/>
              </w:rPr>
            </w:pPr>
            <w:r>
              <w:rPr>
                <w:rFonts w:ascii="Arial" w:cs="Arial" w:eastAsia="Arial" w:hAnsi="Arial"/>
                <w:sz w:val="11"/>
                <w:szCs w:val="11"/>
                <w:b w:val="1"/>
                <w:bCs w:val="1"/>
                <w:color w:val="5D89B4"/>
              </w:rPr>
              <w:t>NAME &amp; PRINCIPAL</w:t>
            </w: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OPTIONS</w:t>
            </w:r>
          </w:p>
        </w:tc>
        <w:tc>
          <w:tcPr>
            <w:tcW w:w="1260" w:type="dxa"/>
            <w:vAlign w:val="bottom"/>
            <w:shd w:val="clear" w:color="auto" w:fill="EAEAEA"/>
          </w:tcPr>
          <w:p>
            <w:pPr>
              <w:jc w:val="right"/>
              <w:ind w:right="196"/>
              <w:spacing w:after="0" w:line="120" w:lineRule="exact"/>
              <w:rPr>
                <w:sz w:val="20"/>
                <w:szCs w:val="20"/>
                <w:color w:val="auto"/>
              </w:rPr>
            </w:pPr>
            <w:r>
              <w:rPr>
                <w:rFonts w:ascii="Arial" w:cs="Arial" w:eastAsia="Arial" w:hAnsi="Arial"/>
                <w:sz w:val="11"/>
                <w:szCs w:val="11"/>
                <w:b w:val="1"/>
                <w:bCs w:val="1"/>
                <w:color w:val="5D89B4"/>
              </w:rPr>
              <w:t>OPTIONS</w:t>
            </w:r>
          </w:p>
        </w:tc>
        <w:tc>
          <w:tcPr>
            <w:tcW w:w="102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UNEXERCISED</w:t>
            </w:r>
          </w:p>
        </w:tc>
        <w:tc>
          <w:tcPr>
            <w:tcW w:w="740" w:type="dxa"/>
            <w:vAlign w:val="bottom"/>
            <w:gridSpan w:val="2"/>
            <w:shd w:val="clear" w:color="auto" w:fill="EAEAEA"/>
          </w:tcPr>
          <w:p>
            <w:pPr>
              <w:ind w:left="100"/>
              <w:spacing w:after="0" w:line="120" w:lineRule="exact"/>
              <w:rPr>
                <w:sz w:val="20"/>
                <w:szCs w:val="20"/>
                <w:color w:val="auto"/>
              </w:rPr>
            </w:pPr>
            <w:r>
              <w:rPr>
                <w:rFonts w:ascii="Arial" w:cs="Arial" w:eastAsia="Arial" w:hAnsi="Arial"/>
                <w:sz w:val="11"/>
                <w:szCs w:val="11"/>
                <w:b w:val="1"/>
                <w:bCs w:val="1"/>
                <w:color w:val="5D89B4"/>
              </w:rPr>
              <w:t>EXERCISE</w:t>
            </w:r>
          </w:p>
        </w:tc>
        <w:tc>
          <w:tcPr>
            <w:tcW w:w="860" w:type="dxa"/>
            <w:vAlign w:val="bottom"/>
            <w:gridSpan w:val="2"/>
            <w:shd w:val="clear" w:color="auto" w:fill="EAEAEA"/>
          </w:tcPr>
          <w:p>
            <w:pPr>
              <w:jc w:val="right"/>
              <w:ind w:right="100"/>
              <w:spacing w:after="0" w:line="120" w:lineRule="exact"/>
              <w:rPr>
                <w:sz w:val="20"/>
                <w:szCs w:val="20"/>
                <w:color w:val="auto"/>
              </w:rPr>
            </w:pPr>
            <w:r>
              <w:rPr>
                <w:rFonts w:ascii="Arial" w:cs="Arial" w:eastAsia="Arial" w:hAnsi="Arial"/>
                <w:sz w:val="11"/>
                <w:szCs w:val="11"/>
                <w:b w:val="1"/>
                <w:bCs w:val="1"/>
                <w:color w:val="5D89B4"/>
              </w:rPr>
              <w:t>OPTION</w:t>
            </w:r>
          </w:p>
        </w:tc>
        <w:tc>
          <w:tcPr>
            <w:tcW w:w="104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THAT HAVE</w:t>
            </w:r>
          </w:p>
        </w:tc>
        <w:tc>
          <w:tcPr>
            <w:tcW w:w="160" w:type="dxa"/>
            <w:vAlign w:val="bottom"/>
            <w:shd w:val="clear" w:color="auto" w:fill="EAEAEA"/>
          </w:tcPr>
          <w:p>
            <w:pPr>
              <w:spacing w:after="0"/>
              <w:rPr>
                <w:sz w:val="10"/>
                <w:szCs w:val="10"/>
                <w:color w:val="auto"/>
              </w:rPr>
            </w:pPr>
          </w:p>
        </w:tc>
        <w:tc>
          <w:tcPr>
            <w:tcW w:w="80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rPr>
              <w:t>THAT HAVE</w:t>
            </w:r>
          </w:p>
        </w:tc>
        <w:tc>
          <w:tcPr>
            <w:tcW w:w="1300" w:type="dxa"/>
            <w:vAlign w:val="bottom"/>
            <w:shd w:val="clear" w:color="auto" w:fill="EAEAEA"/>
          </w:tcPr>
          <w:p>
            <w:pPr>
              <w:jc w:val="right"/>
              <w:ind w:right="276"/>
              <w:spacing w:after="0" w:line="120"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THAT HAVE</w:t>
            </w:r>
          </w:p>
        </w:tc>
        <w:tc>
          <w:tcPr>
            <w:tcW w:w="0" w:type="dxa"/>
            <w:vAlign w:val="bottom"/>
          </w:tcPr>
          <w:p>
            <w:pPr>
              <w:spacing w:after="0"/>
              <w:rPr>
                <w:sz w:val="1"/>
                <w:szCs w:val="1"/>
                <w:color w:val="auto"/>
              </w:rPr>
            </w:pPr>
          </w:p>
        </w:tc>
      </w:tr>
      <w:tr>
        <w:trPr>
          <w:trHeight w:val="107"/>
        </w:trPr>
        <w:tc>
          <w:tcPr>
            <w:tcW w:w="1680" w:type="dxa"/>
            <w:vAlign w:val="bottom"/>
            <w:vMerge w:val="continue"/>
            <w:shd w:val="clear" w:color="auto" w:fill="EAEAEA"/>
          </w:tcPr>
          <w:p>
            <w:pPr>
              <w:spacing w:after="0"/>
              <w:rPr>
                <w:sz w:val="9"/>
                <w:szCs w:val="9"/>
                <w:color w:val="auto"/>
              </w:rPr>
            </w:pPr>
          </w:p>
        </w:tc>
        <w:tc>
          <w:tcPr>
            <w:tcW w:w="1020" w:type="dxa"/>
            <w:vAlign w:val="bottom"/>
            <w:gridSpan w:val="2"/>
            <w:shd w:val="clear" w:color="auto" w:fill="EAEAEA"/>
          </w:tcPr>
          <w:p>
            <w:pPr>
              <w:jc w:val="right"/>
              <w:ind w:right="36"/>
              <w:spacing w:after="0" w:line="107" w:lineRule="exact"/>
              <w:rPr>
                <w:sz w:val="20"/>
                <w:szCs w:val="20"/>
                <w:color w:val="auto"/>
              </w:rPr>
            </w:pPr>
            <w:r>
              <w:rPr>
                <w:rFonts w:ascii="Arial" w:cs="Arial" w:eastAsia="Arial" w:hAnsi="Arial"/>
                <w:sz w:val="11"/>
                <w:szCs w:val="11"/>
                <w:b w:val="1"/>
                <w:bCs w:val="1"/>
                <w:color w:val="5D89B4"/>
              </w:rPr>
              <w:t>(#)</w:t>
            </w:r>
          </w:p>
        </w:tc>
        <w:tc>
          <w:tcPr>
            <w:tcW w:w="1260" w:type="dxa"/>
            <w:vAlign w:val="bottom"/>
            <w:shd w:val="clear" w:color="auto" w:fill="EAEAEA"/>
          </w:tcPr>
          <w:p>
            <w:pPr>
              <w:jc w:val="right"/>
              <w:ind w:right="196"/>
              <w:spacing w:after="0" w:line="107" w:lineRule="exact"/>
              <w:rPr>
                <w:sz w:val="20"/>
                <w:szCs w:val="20"/>
                <w:color w:val="auto"/>
              </w:rPr>
            </w:pPr>
            <w:r>
              <w:rPr>
                <w:rFonts w:ascii="Arial" w:cs="Arial" w:eastAsia="Arial" w:hAnsi="Arial"/>
                <w:sz w:val="11"/>
                <w:szCs w:val="11"/>
                <w:b w:val="1"/>
                <w:bCs w:val="1"/>
                <w:color w:val="5D89B4"/>
              </w:rPr>
              <w:t>(#)</w:t>
            </w:r>
          </w:p>
        </w:tc>
        <w:tc>
          <w:tcPr>
            <w:tcW w:w="1020" w:type="dxa"/>
            <w:vAlign w:val="bottom"/>
            <w:shd w:val="clear" w:color="auto" w:fill="EAEAEA"/>
          </w:tcPr>
          <w:p>
            <w:pPr>
              <w:jc w:val="right"/>
              <w:ind w:right="36"/>
              <w:spacing w:after="0" w:line="107"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9"/>
                <w:szCs w:val="9"/>
                <w:color w:val="auto"/>
              </w:rPr>
            </w:pPr>
          </w:p>
        </w:tc>
        <w:tc>
          <w:tcPr>
            <w:tcW w:w="540" w:type="dxa"/>
            <w:vAlign w:val="bottom"/>
            <w:shd w:val="clear" w:color="auto" w:fill="EAEAEA"/>
          </w:tcPr>
          <w:p>
            <w:pPr>
              <w:jc w:val="right"/>
              <w:ind w:right="34"/>
              <w:spacing w:after="0" w:line="107" w:lineRule="exact"/>
              <w:rPr>
                <w:sz w:val="20"/>
                <w:szCs w:val="20"/>
                <w:color w:val="auto"/>
              </w:rPr>
            </w:pPr>
            <w:r>
              <w:rPr>
                <w:rFonts w:ascii="Arial" w:cs="Arial" w:eastAsia="Arial" w:hAnsi="Arial"/>
                <w:sz w:val="11"/>
                <w:szCs w:val="11"/>
                <w:b w:val="1"/>
                <w:bCs w:val="1"/>
                <w:color w:val="5D89B4"/>
              </w:rPr>
              <w:t>PRICE</w:t>
            </w:r>
          </w:p>
        </w:tc>
        <w:tc>
          <w:tcPr>
            <w:tcW w:w="860" w:type="dxa"/>
            <w:vAlign w:val="bottom"/>
            <w:gridSpan w:val="2"/>
            <w:shd w:val="clear" w:color="auto" w:fill="EAEAEA"/>
          </w:tcPr>
          <w:p>
            <w:pPr>
              <w:jc w:val="right"/>
              <w:ind w:right="100"/>
              <w:spacing w:after="0" w:line="107" w:lineRule="exact"/>
              <w:rPr>
                <w:sz w:val="20"/>
                <w:szCs w:val="20"/>
                <w:color w:val="auto"/>
              </w:rPr>
            </w:pPr>
            <w:r>
              <w:rPr>
                <w:rFonts w:ascii="Arial" w:cs="Arial" w:eastAsia="Arial" w:hAnsi="Arial"/>
                <w:sz w:val="11"/>
                <w:szCs w:val="11"/>
                <w:b w:val="1"/>
                <w:bCs w:val="1"/>
                <w:color w:val="5D89B4"/>
              </w:rPr>
              <w:t>EXPIRATION</w:t>
            </w:r>
          </w:p>
        </w:tc>
        <w:tc>
          <w:tcPr>
            <w:tcW w:w="1040" w:type="dxa"/>
            <w:vAlign w:val="bottom"/>
            <w:shd w:val="clear" w:color="auto" w:fill="EAEAEA"/>
          </w:tcPr>
          <w:p>
            <w:pPr>
              <w:jc w:val="right"/>
              <w:ind w:right="276"/>
              <w:spacing w:after="0" w:line="107" w:lineRule="exact"/>
              <w:rPr>
                <w:sz w:val="20"/>
                <w:szCs w:val="20"/>
                <w:color w:val="auto"/>
              </w:rPr>
            </w:pPr>
            <w:r>
              <w:rPr>
                <w:rFonts w:ascii="Arial" w:cs="Arial" w:eastAsia="Arial" w:hAnsi="Arial"/>
                <w:sz w:val="11"/>
                <w:szCs w:val="11"/>
                <w:b w:val="1"/>
                <w:bCs w:val="1"/>
                <w:color w:val="5D89B4"/>
                <w:w w:val="96"/>
              </w:rPr>
              <w:t>NOT VESTED</w:t>
            </w:r>
          </w:p>
        </w:tc>
        <w:tc>
          <w:tcPr>
            <w:tcW w:w="160" w:type="dxa"/>
            <w:vAlign w:val="bottom"/>
            <w:shd w:val="clear" w:color="auto" w:fill="EAEAEA"/>
          </w:tcPr>
          <w:p>
            <w:pPr>
              <w:spacing w:after="0"/>
              <w:rPr>
                <w:sz w:val="9"/>
                <w:szCs w:val="9"/>
                <w:color w:val="auto"/>
              </w:rPr>
            </w:pPr>
          </w:p>
        </w:tc>
        <w:tc>
          <w:tcPr>
            <w:tcW w:w="800" w:type="dxa"/>
            <w:vAlign w:val="bottom"/>
            <w:shd w:val="clear" w:color="auto" w:fill="EAEAEA"/>
          </w:tcPr>
          <w:p>
            <w:pPr>
              <w:jc w:val="right"/>
              <w:ind w:right="36"/>
              <w:spacing w:after="0" w:line="107" w:lineRule="exact"/>
              <w:rPr>
                <w:sz w:val="20"/>
                <w:szCs w:val="20"/>
                <w:color w:val="auto"/>
              </w:rPr>
            </w:pPr>
            <w:r>
              <w:rPr>
                <w:rFonts w:ascii="Arial" w:cs="Arial" w:eastAsia="Arial" w:hAnsi="Arial"/>
                <w:sz w:val="11"/>
                <w:szCs w:val="11"/>
                <w:b w:val="1"/>
                <w:bCs w:val="1"/>
                <w:color w:val="5D89B4"/>
                <w:w w:val="96"/>
              </w:rPr>
              <w:t>NOT VESTED</w:t>
            </w:r>
          </w:p>
        </w:tc>
        <w:tc>
          <w:tcPr>
            <w:tcW w:w="1300" w:type="dxa"/>
            <w:vAlign w:val="bottom"/>
            <w:shd w:val="clear" w:color="auto" w:fill="EAEAEA"/>
          </w:tcPr>
          <w:p>
            <w:pPr>
              <w:jc w:val="right"/>
              <w:ind w:right="276"/>
              <w:spacing w:after="0" w:line="107" w:lineRule="exact"/>
              <w:rPr>
                <w:sz w:val="20"/>
                <w:szCs w:val="20"/>
                <w:color w:val="auto"/>
              </w:rPr>
            </w:pPr>
            <w:r>
              <w:rPr>
                <w:rFonts w:ascii="Arial" w:cs="Arial" w:eastAsia="Arial" w:hAnsi="Arial"/>
                <w:sz w:val="11"/>
                <w:szCs w:val="11"/>
                <w:b w:val="1"/>
                <w:bCs w:val="1"/>
                <w:color w:val="5D89B4"/>
              </w:rPr>
              <w:t>NOT VESTED</w:t>
            </w:r>
          </w:p>
        </w:tc>
        <w:tc>
          <w:tcPr>
            <w:tcW w:w="180" w:type="dxa"/>
            <w:vAlign w:val="bottom"/>
            <w:shd w:val="clear" w:color="auto" w:fill="EAEAEA"/>
          </w:tcPr>
          <w:p>
            <w:pPr>
              <w:spacing w:after="0"/>
              <w:rPr>
                <w:sz w:val="9"/>
                <w:szCs w:val="9"/>
                <w:color w:val="auto"/>
              </w:rPr>
            </w:pPr>
          </w:p>
        </w:tc>
        <w:tc>
          <w:tcPr>
            <w:tcW w:w="820" w:type="dxa"/>
            <w:vAlign w:val="bottom"/>
            <w:shd w:val="clear" w:color="auto" w:fill="EAEAEA"/>
          </w:tcPr>
          <w:p>
            <w:pPr>
              <w:jc w:val="right"/>
              <w:spacing w:after="0" w:line="107" w:lineRule="exact"/>
              <w:rPr>
                <w:sz w:val="20"/>
                <w:szCs w:val="20"/>
                <w:color w:val="auto"/>
              </w:rPr>
            </w:pPr>
            <w:r>
              <w:rPr>
                <w:rFonts w:ascii="Arial" w:cs="Arial" w:eastAsia="Arial" w:hAnsi="Arial"/>
                <w:sz w:val="11"/>
                <w:szCs w:val="11"/>
                <w:b w:val="1"/>
                <w:bCs w:val="1"/>
                <w:color w:val="5D89B4"/>
              </w:rPr>
              <w:t>NOT VESTED</w:t>
            </w:r>
          </w:p>
        </w:tc>
        <w:tc>
          <w:tcPr>
            <w:tcW w:w="0" w:type="dxa"/>
            <w:vAlign w:val="bottom"/>
          </w:tcPr>
          <w:p>
            <w:pPr>
              <w:spacing w:after="0"/>
              <w:rPr>
                <w:sz w:val="1"/>
                <w:szCs w:val="1"/>
                <w:color w:val="auto"/>
              </w:rPr>
            </w:pPr>
          </w:p>
        </w:tc>
      </w:tr>
      <w:tr>
        <w:trPr>
          <w:trHeight w:val="193"/>
        </w:trPr>
        <w:tc>
          <w:tcPr>
            <w:tcW w:w="1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40" w:type="dxa"/>
            <w:vAlign w:val="bottom"/>
            <w:tcBorders>
              <w:bottom w:val="single" w:sz="8" w:color="EAEAEA"/>
            </w:tcBorders>
            <w:shd w:val="clear" w:color="auto" w:fill="EAEAEA"/>
          </w:tcPr>
          <w:p>
            <w:pPr>
              <w:spacing w:after="0"/>
              <w:rPr>
                <w:sz w:val="16"/>
                <w:szCs w:val="16"/>
                <w:color w:val="auto"/>
              </w:rPr>
            </w:pPr>
          </w:p>
        </w:tc>
        <w:tc>
          <w:tcPr>
            <w:tcW w:w="880" w:type="dxa"/>
            <w:vAlign w:val="bottom"/>
            <w:tcBorders>
              <w:bottom w:val="single" w:sz="8" w:color="EAEAEA"/>
            </w:tcBorders>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w w:val="97"/>
              </w:rPr>
              <w:t>EXERCISABLE</w:t>
            </w:r>
          </w:p>
        </w:tc>
        <w:tc>
          <w:tcPr>
            <w:tcW w:w="1260" w:type="dxa"/>
            <w:vAlign w:val="bottom"/>
            <w:tcBorders>
              <w:bottom w:val="single" w:sz="8" w:color="EAEAEA"/>
            </w:tcBorders>
            <w:shd w:val="clear" w:color="auto" w:fill="EAEAEA"/>
          </w:tcPr>
          <w:p>
            <w:pPr>
              <w:jc w:val="right"/>
              <w:ind w:right="196"/>
              <w:spacing w:after="0"/>
              <w:rPr>
                <w:sz w:val="20"/>
                <w:szCs w:val="20"/>
                <w:color w:val="auto"/>
              </w:rPr>
            </w:pPr>
            <w:r>
              <w:rPr>
                <w:rFonts w:ascii="Arial" w:cs="Arial" w:eastAsia="Arial" w:hAnsi="Arial"/>
                <w:sz w:val="11"/>
                <w:szCs w:val="11"/>
                <w:b w:val="1"/>
                <w:bCs w:val="1"/>
                <w:color w:val="5D89B4"/>
              </w:rPr>
              <w:t>UNEXERCISABLE</w:t>
            </w:r>
          </w:p>
        </w:tc>
        <w:tc>
          <w:tcPr>
            <w:tcW w:w="1020" w:type="dxa"/>
            <w:vAlign w:val="bottom"/>
            <w:tcBorders>
              <w:bottom w:val="single" w:sz="8" w:color="EAEAEA"/>
            </w:tcBorders>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rPr>
              <w:t>OPTIONS (#)</w:t>
            </w:r>
          </w:p>
        </w:tc>
        <w:tc>
          <w:tcPr>
            <w:tcW w:w="200" w:type="dxa"/>
            <w:vAlign w:val="bottom"/>
            <w:tcBorders>
              <w:bottom w:val="single" w:sz="8" w:color="EAEAEA"/>
            </w:tcBorders>
            <w:shd w:val="clear" w:color="auto" w:fill="EAEAEA"/>
          </w:tcPr>
          <w:p>
            <w:pPr>
              <w:spacing w:after="0"/>
              <w:rPr>
                <w:sz w:val="16"/>
                <w:szCs w:val="16"/>
                <w:color w:val="auto"/>
              </w:rPr>
            </w:pPr>
          </w:p>
        </w:tc>
        <w:tc>
          <w:tcPr>
            <w:tcW w:w="540" w:type="dxa"/>
            <w:vAlign w:val="bottom"/>
            <w:tcBorders>
              <w:bottom w:val="single" w:sz="8" w:color="EAEAEA"/>
            </w:tcBorders>
            <w:shd w:val="clear" w:color="auto" w:fill="EAEAEA"/>
          </w:tcPr>
          <w:p>
            <w:pPr>
              <w:jc w:val="right"/>
              <w:ind w:right="34"/>
              <w:spacing w:after="0"/>
              <w:rPr>
                <w:sz w:val="20"/>
                <w:szCs w:val="20"/>
                <w:color w:val="auto"/>
              </w:rPr>
            </w:pPr>
            <w:r>
              <w:rPr>
                <w:rFonts w:ascii="Arial" w:cs="Arial" w:eastAsia="Arial" w:hAnsi="Arial"/>
                <w:sz w:val="11"/>
                <w:szCs w:val="11"/>
                <w:b w:val="1"/>
                <w:bCs w:val="1"/>
                <w:color w:val="5D89B4"/>
              </w:rPr>
              <w:t>($)</w:t>
            </w:r>
          </w:p>
        </w:tc>
        <w:tc>
          <w:tcPr>
            <w:tcW w:w="86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Arial" w:cs="Arial" w:eastAsia="Arial" w:hAnsi="Arial"/>
                <w:sz w:val="11"/>
                <w:szCs w:val="11"/>
                <w:b w:val="1"/>
                <w:bCs w:val="1"/>
                <w:color w:val="5D89B4"/>
              </w:rPr>
              <w:t>DATE</w:t>
            </w:r>
          </w:p>
        </w:tc>
        <w:tc>
          <w:tcPr>
            <w:tcW w:w="1040" w:type="dxa"/>
            <w:vAlign w:val="bottom"/>
            <w:tcBorders>
              <w:bottom w:val="single" w:sz="8" w:color="EAEAEA"/>
            </w:tcBorders>
            <w:shd w:val="clear" w:color="auto" w:fill="EAEAEA"/>
          </w:tcPr>
          <w:p>
            <w:pPr>
              <w:jc w:val="right"/>
              <w:ind w:right="276"/>
              <w:spacing w:after="0"/>
              <w:rPr>
                <w:sz w:val="20"/>
                <w:szCs w:val="20"/>
                <w:color w:val="auto"/>
              </w:rPr>
            </w:pPr>
            <w:r>
              <w:rPr>
                <w:rFonts w:ascii="Arial" w:cs="Arial" w:eastAsia="Arial" w:hAnsi="Arial"/>
                <w:sz w:val="11"/>
                <w:szCs w:val="11"/>
                <w:b w:val="1"/>
                <w:bCs w:val="1"/>
                <w:color w:val="5D89B4"/>
              </w:rPr>
              <w:t>(#)(1)</w:t>
            </w:r>
          </w:p>
        </w:tc>
        <w:tc>
          <w:tcPr>
            <w:tcW w:w="160" w:type="dxa"/>
            <w:vAlign w:val="bottom"/>
            <w:tcBorders>
              <w:bottom w:val="single" w:sz="8" w:color="EAEAEA"/>
            </w:tcBorders>
            <w:shd w:val="clear" w:color="auto" w:fill="EAEAEA"/>
          </w:tcPr>
          <w:p>
            <w:pPr>
              <w:spacing w:after="0"/>
              <w:rPr>
                <w:sz w:val="16"/>
                <w:szCs w:val="16"/>
                <w:color w:val="auto"/>
              </w:rPr>
            </w:pPr>
          </w:p>
        </w:tc>
        <w:tc>
          <w:tcPr>
            <w:tcW w:w="800" w:type="dxa"/>
            <w:vAlign w:val="bottom"/>
            <w:tcBorders>
              <w:bottom w:val="single" w:sz="8" w:color="EAEAEA"/>
            </w:tcBorders>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rPr>
              <w:t>($)(2)</w:t>
            </w:r>
          </w:p>
        </w:tc>
        <w:tc>
          <w:tcPr>
            <w:tcW w:w="1300" w:type="dxa"/>
            <w:vAlign w:val="bottom"/>
            <w:tcBorders>
              <w:bottom w:val="single" w:sz="8" w:color="EAEAEA"/>
            </w:tcBorders>
            <w:shd w:val="clear" w:color="auto" w:fill="EAEAEA"/>
          </w:tcPr>
          <w:p>
            <w:pPr>
              <w:jc w:val="right"/>
              <w:ind w:right="276"/>
              <w:spacing w:after="0"/>
              <w:rPr>
                <w:sz w:val="20"/>
                <w:szCs w:val="20"/>
                <w:color w:val="auto"/>
              </w:rPr>
            </w:pPr>
            <w:r>
              <w:rPr>
                <w:rFonts w:ascii="Arial" w:cs="Arial" w:eastAsia="Arial" w:hAnsi="Arial"/>
                <w:sz w:val="11"/>
                <w:szCs w:val="11"/>
                <w:b w:val="1"/>
                <w:bCs w:val="1"/>
                <w:color w:val="5D89B4"/>
              </w:rPr>
              <w:t>(#)(3)</w:t>
            </w:r>
          </w:p>
        </w:tc>
        <w:tc>
          <w:tcPr>
            <w:tcW w:w="180" w:type="dxa"/>
            <w:vAlign w:val="bottom"/>
            <w:tcBorders>
              <w:bottom w:val="single" w:sz="8" w:color="EAEAEA"/>
            </w:tcBorders>
            <w:shd w:val="clear" w:color="auto" w:fill="EAEAEA"/>
          </w:tcPr>
          <w:p>
            <w:pPr>
              <w:spacing w:after="0"/>
              <w:rPr>
                <w:sz w:val="16"/>
                <w:szCs w:val="16"/>
                <w:color w:val="auto"/>
              </w:rPr>
            </w:pPr>
          </w:p>
        </w:tc>
        <w:tc>
          <w:tcPr>
            <w:tcW w:w="8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c>
          <w:tcPr>
            <w:tcW w:w="0" w:type="dxa"/>
            <w:vAlign w:val="bottom"/>
          </w:tcPr>
          <w:p>
            <w:pPr>
              <w:spacing w:after="0"/>
              <w:rPr>
                <w:sz w:val="1"/>
                <w:szCs w:val="1"/>
                <w:color w:val="auto"/>
              </w:rPr>
            </w:pPr>
          </w:p>
        </w:tc>
      </w:tr>
      <w:tr>
        <w:trPr>
          <w:trHeight w:val="161"/>
        </w:trPr>
        <w:tc>
          <w:tcPr>
            <w:tcW w:w="1680" w:type="dxa"/>
            <w:vAlign w:val="bottom"/>
          </w:tcPr>
          <w:p>
            <w:pPr>
              <w:ind w:left="80"/>
              <w:spacing w:after="0"/>
              <w:rPr>
                <w:sz w:val="20"/>
                <w:szCs w:val="20"/>
                <w:color w:val="auto"/>
              </w:rPr>
            </w:pPr>
            <w:r>
              <w:rPr>
                <w:rFonts w:ascii="Arial" w:cs="Arial" w:eastAsia="Arial" w:hAnsi="Arial"/>
                <w:sz w:val="13"/>
                <w:szCs w:val="13"/>
                <w:b w:val="1"/>
                <w:bCs w:val="1"/>
                <w:color w:val="auto"/>
              </w:rPr>
              <w:t>Jonas Prising</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15,681</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76.13</w:t>
            </w:r>
          </w:p>
        </w:tc>
        <w:tc>
          <w:tcPr>
            <w:tcW w:w="800" w:type="dxa"/>
            <w:vAlign w:val="bottom"/>
          </w:tcPr>
          <w:p>
            <w:pPr>
              <w:jc w:val="right"/>
              <w:spacing w:after="0"/>
              <w:rPr>
                <w:sz w:val="20"/>
                <w:szCs w:val="20"/>
                <w:color w:val="auto"/>
              </w:rPr>
            </w:pPr>
            <w:r>
              <w:rPr>
                <w:rFonts w:ascii="Arial" w:cs="Arial" w:eastAsia="Arial" w:hAnsi="Arial"/>
                <w:sz w:val="13"/>
                <w:szCs w:val="13"/>
                <w:color w:val="auto"/>
              </w:rPr>
              <w:t>2/11/2024</w:t>
            </w: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ind w:left="80"/>
              <w:spacing w:after="0"/>
              <w:rPr>
                <w:sz w:val="20"/>
                <w:szCs w:val="20"/>
                <w:color w:val="auto"/>
              </w:rPr>
            </w:pPr>
            <w:r>
              <w:rPr>
                <w:rFonts w:ascii="Arial" w:cs="Arial" w:eastAsia="Arial" w:hAnsi="Arial"/>
                <w:sz w:val="13"/>
                <w:szCs w:val="13"/>
                <w:color w:val="auto"/>
              </w:rPr>
              <w:t>CEO</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26,510</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82.24</w:t>
            </w:r>
          </w:p>
        </w:tc>
        <w:tc>
          <w:tcPr>
            <w:tcW w:w="800" w:type="dxa"/>
            <w:vAlign w:val="bottom"/>
          </w:tcPr>
          <w:p>
            <w:pPr>
              <w:jc w:val="right"/>
              <w:spacing w:after="0"/>
              <w:rPr>
                <w:sz w:val="20"/>
                <w:szCs w:val="20"/>
                <w:color w:val="auto"/>
              </w:rPr>
            </w:pPr>
            <w:r>
              <w:rPr>
                <w:rFonts w:ascii="Arial" w:cs="Arial" w:eastAsia="Arial" w:hAnsi="Arial"/>
                <w:sz w:val="13"/>
                <w:szCs w:val="13"/>
                <w:color w:val="auto"/>
              </w:rPr>
              <w:t>5/1/2024</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52,078</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76.97</w:t>
            </w:r>
          </w:p>
        </w:tc>
        <w:tc>
          <w:tcPr>
            <w:tcW w:w="800" w:type="dxa"/>
            <w:vAlign w:val="bottom"/>
          </w:tcPr>
          <w:p>
            <w:pPr>
              <w:jc w:val="right"/>
              <w:spacing w:after="0"/>
              <w:rPr>
                <w:sz w:val="20"/>
                <w:szCs w:val="20"/>
                <w:color w:val="auto"/>
              </w:rPr>
            </w:pPr>
            <w:r>
              <w:rPr>
                <w:rFonts w:ascii="Arial" w:cs="Arial" w:eastAsia="Arial" w:hAnsi="Arial"/>
                <w:sz w:val="13"/>
                <w:szCs w:val="13"/>
                <w:color w:val="auto"/>
              </w:rPr>
              <w:t>2/10/2025</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76,220</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75.07</w:t>
            </w:r>
          </w:p>
        </w:tc>
        <w:tc>
          <w:tcPr>
            <w:tcW w:w="800" w:type="dxa"/>
            <w:vAlign w:val="bottom"/>
          </w:tcPr>
          <w:p>
            <w:pPr>
              <w:jc w:val="right"/>
              <w:spacing w:after="0"/>
              <w:rPr>
                <w:sz w:val="20"/>
                <w:szCs w:val="20"/>
                <w:color w:val="auto"/>
              </w:rPr>
            </w:pPr>
            <w:r>
              <w:rPr>
                <w:rFonts w:ascii="Arial" w:cs="Arial" w:eastAsia="Arial" w:hAnsi="Arial"/>
                <w:sz w:val="13"/>
                <w:szCs w:val="13"/>
                <w:color w:val="auto"/>
              </w:rPr>
              <w:t>2/16/2026</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66,068</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800" w:type="dxa"/>
            <w:vAlign w:val="bottom"/>
          </w:tcPr>
          <w:p>
            <w:pPr>
              <w:jc w:val="right"/>
              <w:spacing w:after="0"/>
              <w:rPr>
                <w:sz w:val="20"/>
                <w:szCs w:val="20"/>
                <w:color w:val="auto"/>
              </w:rPr>
            </w:pPr>
            <w:r>
              <w:rPr>
                <w:rFonts w:ascii="Arial" w:cs="Arial" w:eastAsia="Arial" w:hAnsi="Arial"/>
                <w:sz w:val="13"/>
                <w:szCs w:val="13"/>
                <w:color w:val="auto"/>
              </w:rPr>
              <w:t>2/9/2027</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57,216</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800" w:type="dxa"/>
            <w:vAlign w:val="bottom"/>
          </w:tcPr>
          <w:p>
            <w:pPr>
              <w:jc w:val="right"/>
              <w:spacing w:after="0"/>
              <w:rPr>
                <w:sz w:val="20"/>
                <w:szCs w:val="20"/>
                <w:color w:val="auto"/>
              </w:rPr>
            </w:pPr>
            <w:r>
              <w:rPr>
                <w:rFonts w:ascii="Arial" w:cs="Arial" w:eastAsia="Arial" w:hAnsi="Arial"/>
                <w:sz w:val="13"/>
                <w:szCs w:val="13"/>
                <w:color w:val="auto"/>
              </w:rPr>
              <w:t>2/15/2028</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104,050</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800" w:type="dxa"/>
            <w:vAlign w:val="bottom"/>
          </w:tcPr>
          <w:p>
            <w:pPr>
              <w:jc w:val="right"/>
              <w:spacing w:after="0"/>
              <w:rPr>
                <w:sz w:val="20"/>
                <w:szCs w:val="20"/>
                <w:color w:val="auto"/>
              </w:rPr>
            </w:pPr>
            <w:r>
              <w:rPr>
                <w:rFonts w:ascii="Arial" w:cs="Arial" w:eastAsia="Arial" w:hAnsi="Arial"/>
                <w:sz w:val="13"/>
                <w:szCs w:val="13"/>
                <w:color w:val="auto"/>
              </w:rPr>
              <w:t>2/15/2029</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79,155</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26,386(4)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43,803</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43,802(5)</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800" w:type="dxa"/>
            <w:vAlign w:val="bottom"/>
          </w:tcPr>
          <w:p>
            <w:pPr>
              <w:jc w:val="right"/>
              <w:spacing w:after="0"/>
              <w:rPr>
                <w:sz w:val="20"/>
                <w:szCs w:val="20"/>
                <w:color w:val="auto"/>
              </w:rPr>
            </w:pPr>
            <w:r>
              <w:rPr>
                <w:rFonts w:ascii="Arial" w:cs="Arial" w:eastAsia="Arial" w:hAnsi="Arial"/>
                <w:sz w:val="13"/>
                <w:szCs w:val="13"/>
                <w:color w:val="auto"/>
              </w:rPr>
              <w:t>2/12/2031</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23,752(6)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1,887,571</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39,140(7)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3,110,456</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48,928(8)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3,888,308</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126,500(10)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10,052,955</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58,711(11)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4,665,763</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73,392(12)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5,832,462</w:t>
            </w:r>
          </w:p>
        </w:tc>
        <w:tc>
          <w:tcPr>
            <w:tcW w:w="0" w:type="dxa"/>
            <w:vAlign w:val="bottom"/>
          </w:tcPr>
          <w:p>
            <w:pPr>
              <w:spacing w:after="0"/>
              <w:rPr>
                <w:sz w:val="1"/>
                <w:szCs w:val="1"/>
                <w:color w:val="auto"/>
              </w:rPr>
            </w:pPr>
          </w:p>
        </w:tc>
      </w:tr>
      <w:tr>
        <w:trPr>
          <w:trHeight w:val="51"/>
        </w:trPr>
        <w:tc>
          <w:tcPr>
            <w:tcW w:w="168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80" w:type="dxa"/>
            <w:vAlign w:val="bottom"/>
          </w:tcPr>
          <w:p>
            <w:pPr>
              <w:ind w:left="80"/>
              <w:spacing w:after="0"/>
              <w:rPr>
                <w:sz w:val="20"/>
                <w:szCs w:val="20"/>
                <w:color w:val="auto"/>
              </w:rPr>
            </w:pPr>
            <w:r>
              <w:rPr>
                <w:rFonts w:ascii="Arial" w:cs="Arial" w:eastAsia="Arial" w:hAnsi="Arial"/>
                <w:sz w:val="13"/>
                <w:szCs w:val="13"/>
                <w:b w:val="1"/>
                <w:bCs w:val="1"/>
                <w:color w:val="auto"/>
              </w:rPr>
              <w:t>John T. McGinnis</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20,326</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75.07</w:t>
            </w:r>
          </w:p>
        </w:tc>
        <w:tc>
          <w:tcPr>
            <w:tcW w:w="800" w:type="dxa"/>
            <w:vAlign w:val="bottom"/>
          </w:tcPr>
          <w:p>
            <w:pPr>
              <w:jc w:val="right"/>
              <w:spacing w:after="0"/>
              <w:rPr>
                <w:sz w:val="20"/>
                <w:szCs w:val="20"/>
                <w:color w:val="auto"/>
              </w:rPr>
            </w:pPr>
            <w:r>
              <w:rPr>
                <w:rFonts w:ascii="Arial" w:cs="Arial" w:eastAsia="Arial" w:hAnsi="Arial"/>
                <w:sz w:val="13"/>
                <w:szCs w:val="13"/>
                <w:color w:val="auto"/>
              </w:rPr>
              <w:t>2/16/2026</w:t>
            </w:r>
          </w:p>
        </w:tc>
        <w:tc>
          <w:tcPr>
            <w:tcW w:w="60" w:type="dxa"/>
            <w:vAlign w:val="bottom"/>
          </w:tcPr>
          <w:p>
            <w:pPr>
              <w:spacing w:after="0"/>
              <w:rPr>
                <w:sz w:val="13"/>
                <w:szCs w:val="13"/>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ind w:left="80"/>
              <w:spacing w:after="0"/>
              <w:rPr>
                <w:sz w:val="20"/>
                <w:szCs w:val="20"/>
                <w:color w:val="auto"/>
              </w:rPr>
            </w:pPr>
            <w:r>
              <w:rPr>
                <w:rFonts w:ascii="Arial" w:cs="Arial" w:eastAsia="Arial" w:hAnsi="Arial"/>
                <w:sz w:val="13"/>
                <w:szCs w:val="13"/>
                <w:color w:val="auto"/>
              </w:rPr>
              <w:t>CFO</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17,983</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800" w:type="dxa"/>
            <w:vAlign w:val="bottom"/>
          </w:tcPr>
          <w:p>
            <w:pPr>
              <w:jc w:val="right"/>
              <w:spacing w:after="0"/>
              <w:rPr>
                <w:sz w:val="20"/>
                <w:szCs w:val="20"/>
                <w:color w:val="auto"/>
              </w:rPr>
            </w:pPr>
            <w:r>
              <w:rPr>
                <w:rFonts w:ascii="Arial" w:cs="Arial" w:eastAsia="Arial" w:hAnsi="Arial"/>
                <w:sz w:val="13"/>
                <w:szCs w:val="13"/>
                <w:color w:val="auto"/>
              </w:rPr>
              <w:t>2/9/2027</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15,258</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800" w:type="dxa"/>
            <w:vAlign w:val="bottom"/>
          </w:tcPr>
          <w:p>
            <w:pPr>
              <w:jc w:val="right"/>
              <w:spacing w:after="0"/>
              <w:rPr>
                <w:sz w:val="20"/>
                <w:szCs w:val="20"/>
                <w:color w:val="auto"/>
              </w:rPr>
            </w:pPr>
            <w:r>
              <w:rPr>
                <w:rFonts w:ascii="Arial" w:cs="Arial" w:eastAsia="Arial" w:hAnsi="Arial"/>
                <w:sz w:val="13"/>
                <w:szCs w:val="13"/>
                <w:color w:val="auto"/>
              </w:rPr>
              <w:t>2/15/2028</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28,684</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800" w:type="dxa"/>
            <w:vAlign w:val="bottom"/>
          </w:tcPr>
          <w:p>
            <w:pPr>
              <w:jc w:val="right"/>
              <w:spacing w:after="0"/>
              <w:rPr>
                <w:sz w:val="20"/>
                <w:szCs w:val="20"/>
                <w:color w:val="auto"/>
              </w:rPr>
            </w:pPr>
            <w:r>
              <w:rPr>
                <w:rFonts w:ascii="Arial" w:cs="Arial" w:eastAsia="Arial" w:hAnsi="Arial"/>
                <w:sz w:val="13"/>
                <w:szCs w:val="13"/>
                <w:color w:val="auto"/>
              </w:rPr>
              <w:t>2/15/2029</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23,747</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7,916(4)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13,141</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13,141(5)</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800" w:type="dxa"/>
            <w:vAlign w:val="bottom"/>
          </w:tcPr>
          <w:p>
            <w:pPr>
              <w:jc w:val="right"/>
              <w:spacing w:after="0"/>
              <w:rPr>
                <w:sz w:val="20"/>
                <w:szCs w:val="20"/>
                <w:color w:val="auto"/>
              </w:rPr>
            </w:pPr>
            <w:r>
              <w:rPr>
                <w:rFonts w:ascii="Arial" w:cs="Arial" w:eastAsia="Arial" w:hAnsi="Arial"/>
                <w:sz w:val="13"/>
                <w:szCs w:val="13"/>
                <w:color w:val="auto"/>
              </w:rPr>
              <w:t>2/12/2031</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7,126(6)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566,303</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11,742(7)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933,137</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24,463(9)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1,944,075</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14,114(8)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1,121,640</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37,951(10)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3,015,966</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17,612(11)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1,399,626</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21,171(12)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1,682,459</w:t>
            </w:r>
          </w:p>
        </w:tc>
        <w:tc>
          <w:tcPr>
            <w:tcW w:w="0" w:type="dxa"/>
            <w:vAlign w:val="bottom"/>
          </w:tcPr>
          <w:p>
            <w:pPr>
              <w:spacing w:after="0"/>
              <w:rPr>
                <w:sz w:val="1"/>
                <w:szCs w:val="1"/>
                <w:color w:val="auto"/>
              </w:rPr>
            </w:pPr>
          </w:p>
        </w:tc>
      </w:tr>
      <w:tr>
        <w:trPr>
          <w:trHeight w:val="51"/>
        </w:trPr>
        <w:tc>
          <w:tcPr>
            <w:tcW w:w="168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80" w:type="dxa"/>
            <w:vAlign w:val="bottom"/>
          </w:tcPr>
          <w:p>
            <w:pPr>
              <w:ind w:left="80"/>
              <w:spacing w:after="0"/>
              <w:rPr>
                <w:sz w:val="20"/>
                <w:szCs w:val="20"/>
                <w:color w:val="auto"/>
              </w:rPr>
            </w:pPr>
            <w:r>
              <w:rPr>
                <w:rFonts w:ascii="Arial" w:cs="Arial" w:eastAsia="Arial" w:hAnsi="Arial"/>
                <w:sz w:val="13"/>
                <w:szCs w:val="13"/>
                <w:b w:val="1"/>
                <w:bCs w:val="1"/>
                <w:color w:val="auto"/>
              </w:rPr>
              <w:t>Michelle S. Nettles</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11,254</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83.84</w:t>
            </w:r>
          </w:p>
        </w:tc>
        <w:tc>
          <w:tcPr>
            <w:tcW w:w="800" w:type="dxa"/>
            <w:vAlign w:val="bottom"/>
          </w:tcPr>
          <w:p>
            <w:pPr>
              <w:jc w:val="right"/>
              <w:spacing w:after="0"/>
              <w:rPr>
                <w:sz w:val="20"/>
                <w:szCs w:val="20"/>
                <w:color w:val="auto"/>
              </w:rPr>
            </w:pPr>
            <w:r>
              <w:rPr>
                <w:rFonts w:ascii="Arial" w:cs="Arial" w:eastAsia="Arial" w:hAnsi="Arial"/>
                <w:sz w:val="13"/>
                <w:szCs w:val="13"/>
                <w:color w:val="auto"/>
              </w:rPr>
              <w:t>8/14/2029</w:t>
            </w:r>
          </w:p>
        </w:tc>
        <w:tc>
          <w:tcPr>
            <w:tcW w:w="60" w:type="dxa"/>
            <w:vAlign w:val="bottom"/>
          </w:tcPr>
          <w:p>
            <w:pPr>
              <w:spacing w:after="0"/>
              <w:rPr>
                <w:sz w:val="13"/>
                <w:szCs w:val="13"/>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ind w:left="80"/>
              <w:spacing w:after="0"/>
              <w:rPr>
                <w:sz w:val="20"/>
                <w:szCs w:val="20"/>
                <w:color w:val="auto"/>
              </w:rPr>
            </w:pPr>
            <w:r>
              <w:rPr>
                <w:rFonts w:ascii="Arial" w:cs="Arial" w:eastAsia="Arial" w:hAnsi="Arial"/>
                <w:sz w:val="13"/>
                <w:szCs w:val="13"/>
                <w:color w:val="auto"/>
              </w:rPr>
              <w:t>Chief People</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7,916</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2,639(4)</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ind w:left="80"/>
              <w:spacing w:after="0"/>
              <w:rPr>
                <w:sz w:val="20"/>
                <w:szCs w:val="20"/>
                <w:color w:val="auto"/>
              </w:rPr>
            </w:pPr>
            <w:r>
              <w:rPr>
                <w:rFonts w:ascii="Arial" w:cs="Arial" w:eastAsia="Arial" w:hAnsi="Arial"/>
                <w:sz w:val="13"/>
                <w:szCs w:val="13"/>
                <w:color w:val="auto"/>
              </w:rPr>
              <w:t>and Culture Officer</w:t>
            </w:r>
          </w:p>
        </w:tc>
        <w:tc>
          <w:tcPr>
            <w:tcW w:w="1020" w:type="dxa"/>
            <w:vAlign w:val="bottom"/>
            <w:gridSpan w:val="2"/>
          </w:tcPr>
          <w:p>
            <w:pPr>
              <w:jc w:val="right"/>
              <w:ind w:right="36"/>
              <w:spacing w:after="0"/>
              <w:rPr>
                <w:sz w:val="20"/>
                <w:szCs w:val="20"/>
                <w:color w:val="auto"/>
              </w:rPr>
            </w:pPr>
            <w:r>
              <w:rPr>
                <w:rFonts w:ascii="Arial" w:cs="Arial" w:eastAsia="Arial" w:hAnsi="Arial"/>
                <w:sz w:val="13"/>
                <w:szCs w:val="13"/>
                <w:color w:val="auto"/>
              </w:rPr>
              <w:t>4,381</w:t>
            </w:r>
          </w:p>
        </w:tc>
        <w:tc>
          <w:tcPr>
            <w:tcW w:w="1260" w:type="dxa"/>
            <w:vAlign w:val="bottom"/>
          </w:tcPr>
          <w:p>
            <w:pPr>
              <w:jc w:val="right"/>
              <w:ind w:right="16"/>
              <w:spacing w:after="0"/>
              <w:rPr>
                <w:sz w:val="20"/>
                <w:szCs w:val="20"/>
                <w:color w:val="auto"/>
              </w:rPr>
            </w:pPr>
            <w:r>
              <w:rPr>
                <w:rFonts w:ascii="Arial" w:cs="Arial" w:eastAsia="Arial" w:hAnsi="Arial"/>
                <w:sz w:val="13"/>
                <w:szCs w:val="13"/>
                <w:color w:val="auto"/>
              </w:rPr>
              <w:t>4,380(5)</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800" w:type="dxa"/>
            <w:vAlign w:val="bottom"/>
          </w:tcPr>
          <w:p>
            <w:pPr>
              <w:jc w:val="right"/>
              <w:spacing w:after="0"/>
              <w:rPr>
                <w:sz w:val="20"/>
                <w:szCs w:val="20"/>
                <w:color w:val="auto"/>
              </w:rPr>
            </w:pPr>
            <w:r>
              <w:rPr>
                <w:rFonts w:ascii="Arial" w:cs="Arial" w:eastAsia="Arial" w:hAnsi="Arial"/>
                <w:sz w:val="13"/>
                <w:szCs w:val="13"/>
                <w:color w:val="auto"/>
              </w:rPr>
              <w:t>2/12/2031</w:t>
            </w:r>
          </w:p>
        </w:tc>
        <w:tc>
          <w:tcPr>
            <w:tcW w:w="6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2,376(6)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188,821</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4,892(7)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388,767</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12,232(9)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972,077</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6"/>
              <w:spacing w:after="0"/>
              <w:rPr>
                <w:sz w:val="20"/>
                <w:szCs w:val="20"/>
                <w:color w:val="auto"/>
              </w:rPr>
            </w:pPr>
            <w:r>
              <w:rPr>
                <w:rFonts w:ascii="Arial" w:cs="Arial" w:eastAsia="Arial" w:hAnsi="Arial"/>
                <w:sz w:val="13"/>
                <w:szCs w:val="13"/>
                <w:color w:val="auto"/>
              </w:rPr>
              <w:t>5,881(8)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467,363</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6"/>
              <w:spacing w:after="0"/>
              <w:rPr>
                <w:sz w:val="20"/>
                <w:szCs w:val="20"/>
                <w:color w:val="auto"/>
              </w:rPr>
            </w:pPr>
            <w:r>
              <w:rPr>
                <w:rFonts w:ascii="Arial" w:cs="Arial" w:eastAsia="Arial" w:hAnsi="Arial"/>
                <w:sz w:val="13"/>
                <w:szCs w:val="13"/>
                <w:color w:val="auto"/>
              </w:rPr>
              <w:t>12,652(10)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1,005,454</w:t>
            </w:r>
          </w:p>
        </w:tc>
        <w:tc>
          <w:tcPr>
            <w:tcW w:w="130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56"/>
              <w:spacing w:after="0"/>
              <w:rPr>
                <w:sz w:val="20"/>
                <w:szCs w:val="20"/>
                <w:color w:val="auto"/>
              </w:rPr>
            </w:pPr>
            <w:r>
              <w:rPr>
                <w:rFonts w:ascii="Arial" w:cs="Arial" w:eastAsia="Arial" w:hAnsi="Arial"/>
                <w:sz w:val="13"/>
                <w:szCs w:val="13"/>
                <w:color w:val="auto"/>
              </w:rPr>
              <w:t>7,339(11)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583,230</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36"/>
              <w:spacing w:after="0"/>
              <w:rPr>
                <w:sz w:val="20"/>
                <w:szCs w:val="20"/>
                <w:color w:val="auto"/>
              </w:rPr>
            </w:pPr>
            <w:r>
              <w:rPr>
                <w:rFonts w:ascii="Arial" w:cs="Arial" w:eastAsia="Arial" w:hAnsi="Arial"/>
                <w:sz w:val="13"/>
                <w:szCs w:val="13"/>
                <w:color w:val="auto"/>
              </w:rPr>
              <w:t>8,821(12)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701,005</w:t>
            </w:r>
          </w:p>
        </w:tc>
        <w:tc>
          <w:tcPr>
            <w:tcW w:w="0" w:type="dxa"/>
            <w:vAlign w:val="bottom"/>
          </w:tcPr>
          <w:p>
            <w:pPr>
              <w:spacing w:after="0"/>
              <w:rPr>
                <w:sz w:val="1"/>
                <w:szCs w:val="1"/>
                <w:color w:val="auto"/>
              </w:rPr>
            </w:pPr>
          </w:p>
        </w:tc>
      </w:tr>
      <w:tr>
        <w:trPr>
          <w:trHeight w:val="51"/>
        </w:trPr>
        <w:tc>
          <w:tcPr>
            <w:tcW w:w="168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6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680" w:type="dxa"/>
            <w:vAlign w:val="bottom"/>
            <w:tcBorders>
              <w:bottom w:val="single" w:sz="8" w:color="5D89B4"/>
            </w:tcBorders>
          </w:tcPr>
          <w:p>
            <w:pPr>
              <w:spacing w:after="0"/>
              <w:rPr>
                <w:sz w:val="13"/>
                <w:szCs w:val="13"/>
                <w:color w:val="auto"/>
              </w:rPr>
            </w:pPr>
          </w:p>
        </w:tc>
        <w:tc>
          <w:tcPr>
            <w:tcW w:w="140" w:type="dxa"/>
            <w:vAlign w:val="bottom"/>
            <w:tcBorders>
              <w:bottom w:val="single" w:sz="8" w:color="5D89B4"/>
            </w:tcBorders>
          </w:tcPr>
          <w:p>
            <w:pPr>
              <w:spacing w:after="0"/>
              <w:rPr>
                <w:sz w:val="13"/>
                <w:szCs w:val="13"/>
                <w:color w:val="auto"/>
              </w:rPr>
            </w:pPr>
          </w:p>
        </w:tc>
        <w:tc>
          <w:tcPr>
            <w:tcW w:w="880" w:type="dxa"/>
            <w:vAlign w:val="bottom"/>
            <w:tcBorders>
              <w:bottom w:val="single" w:sz="8" w:color="5D89B4"/>
            </w:tcBorders>
          </w:tcPr>
          <w:p>
            <w:pPr>
              <w:spacing w:after="0"/>
              <w:rPr>
                <w:sz w:val="13"/>
                <w:szCs w:val="13"/>
                <w:color w:val="auto"/>
              </w:rPr>
            </w:pPr>
          </w:p>
        </w:tc>
        <w:tc>
          <w:tcPr>
            <w:tcW w:w="1260" w:type="dxa"/>
            <w:vAlign w:val="bottom"/>
            <w:tcBorders>
              <w:bottom w:val="single" w:sz="8" w:color="5D89B4"/>
            </w:tcBorders>
          </w:tcPr>
          <w:p>
            <w:pPr>
              <w:spacing w:after="0"/>
              <w:rPr>
                <w:sz w:val="13"/>
                <w:szCs w:val="13"/>
                <w:color w:val="auto"/>
              </w:rPr>
            </w:pPr>
          </w:p>
        </w:tc>
        <w:tc>
          <w:tcPr>
            <w:tcW w:w="1020" w:type="dxa"/>
            <w:vAlign w:val="bottom"/>
            <w:tcBorders>
              <w:bottom w:val="single" w:sz="8" w:color="5D89B4"/>
            </w:tcBorders>
          </w:tcPr>
          <w:p>
            <w:pPr>
              <w:spacing w:after="0"/>
              <w:rPr>
                <w:sz w:val="13"/>
                <w:szCs w:val="13"/>
                <w:color w:val="auto"/>
              </w:rPr>
            </w:pPr>
          </w:p>
        </w:tc>
        <w:tc>
          <w:tcPr>
            <w:tcW w:w="200" w:type="dxa"/>
            <w:vAlign w:val="bottom"/>
            <w:tcBorders>
              <w:bottom w:val="single" w:sz="8" w:color="5D89B4"/>
            </w:tcBorders>
          </w:tcPr>
          <w:p>
            <w:pPr>
              <w:spacing w:after="0"/>
              <w:rPr>
                <w:sz w:val="13"/>
                <w:szCs w:val="13"/>
                <w:color w:val="auto"/>
              </w:rPr>
            </w:pPr>
          </w:p>
        </w:tc>
        <w:tc>
          <w:tcPr>
            <w:tcW w:w="540" w:type="dxa"/>
            <w:vAlign w:val="bottom"/>
            <w:tcBorders>
              <w:bottom w:val="single" w:sz="8" w:color="5D89B4"/>
            </w:tcBorders>
          </w:tcPr>
          <w:p>
            <w:pPr>
              <w:spacing w:after="0"/>
              <w:rPr>
                <w:sz w:val="13"/>
                <w:szCs w:val="13"/>
                <w:color w:val="auto"/>
              </w:rPr>
            </w:pPr>
          </w:p>
        </w:tc>
        <w:tc>
          <w:tcPr>
            <w:tcW w:w="800" w:type="dxa"/>
            <w:vAlign w:val="bottom"/>
            <w:tcBorders>
              <w:bottom w:val="single" w:sz="8" w:color="5D89B4"/>
            </w:tcBorders>
          </w:tcPr>
          <w:p>
            <w:pPr>
              <w:spacing w:after="0"/>
              <w:rPr>
                <w:sz w:val="13"/>
                <w:szCs w:val="13"/>
                <w:color w:val="auto"/>
              </w:rPr>
            </w:pPr>
          </w:p>
        </w:tc>
        <w:tc>
          <w:tcPr>
            <w:tcW w:w="60" w:type="dxa"/>
            <w:vAlign w:val="bottom"/>
            <w:tcBorders>
              <w:bottom w:val="single" w:sz="8" w:color="5D89B4"/>
            </w:tcBorders>
          </w:tcPr>
          <w:p>
            <w:pPr>
              <w:spacing w:after="0"/>
              <w:rPr>
                <w:sz w:val="13"/>
                <w:szCs w:val="13"/>
                <w:color w:val="auto"/>
              </w:rPr>
            </w:pPr>
          </w:p>
        </w:tc>
        <w:tc>
          <w:tcPr>
            <w:tcW w:w="1040" w:type="dxa"/>
            <w:vAlign w:val="bottom"/>
            <w:tcBorders>
              <w:bottom w:val="single" w:sz="8" w:color="5D89B4"/>
            </w:tcBorders>
          </w:tcPr>
          <w:p>
            <w:pPr>
              <w:spacing w:after="0"/>
              <w:rPr>
                <w:sz w:val="13"/>
                <w:szCs w:val="13"/>
                <w:color w:val="auto"/>
              </w:rPr>
            </w:pPr>
          </w:p>
        </w:tc>
        <w:tc>
          <w:tcPr>
            <w:tcW w:w="160" w:type="dxa"/>
            <w:vAlign w:val="bottom"/>
            <w:tcBorders>
              <w:bottom w:val="single" w:sz="8" w:color="5D89B4"/>
            </w:tcBorders>
          </w:tcPr>
          <w:p>
            <w:pPr>
              <w:spacing w:after="0"/>
              <w:rPr>
                <w:sz w:val="13"/>
                <w:szCs w:val="13"/>
                <w:color w:val="auto"/>
              </w:rPr>
            </w:pPr>
          </w:p>
        </w:tc>
        <w:tc>
          <w:tcPr>
            <w:tcW w:w="800" w:type="dxa"/>
            <w:vAlign w:val="bottom"/>
            <w:tcBorders>
              <w:bottom w:val="single" w:sz="8" w:color="5D89B4"/>
            </w:tcBorders>
          </w:tcPr>
          <w:p>
            <w:pPr>
              <w:spacing w:after="0"/>
              <w:rPr>
                <w:sz w:val="13"/>
                <w:szCs w:val="13"/>
                <w:color w:val="auto"/>
              </w:rPr>
            </w:pPr>
          </w:p>
        </w:tc>
        <w:tc>
          <w:tcPr>
            <w:tcW w:w="1300" w:type="dxa"/>
            <w:vAlign w:val="bottom"/>
            <w:tcBorders>
              <w:bottom w:val="single" w:sz="8" w:color="5D89B4"/>
            </w:tcBorders>
          </w:tcPr>
          <w:p>
            <w:pPr>
              <w:spacing w:after="0"/>
              <w:rPr>
                <w:sz w:val="13"/>
                <w:szCs w:val="13"/>
                <w:color w:val="auto"/>
              </w:rPr>
            </w:pPr>
          </w:p>
        </w:tc>
        <w:tc>
          <w:tcPr>
            <w:tcW w:w="180" w:type="dxa"/>
            <w:vAlign w:val="bottom"/>
            <w:tcBorders>
              <w:bottom w:val="single" w:sz="8" w:color="5D89B4"/>
            </w:tcBorders>
          </w:tcPr>
          <w:p>
            <w:pPr>
              <w:spacing w:after="0"/>
              <w:rPr>
                <w:sz w:val="13"/>
                <w:szCs w:val="13"/>
                <w:color w:val="auto"/>
              </w:rPr>
            </w:pPr>
          </w:p>
        </w:tc>
        <w:tc>
          <w:tcPr>
            <w:tcW w:w="820" w:type="dxa"/>
            <w:vAlign w:val="bottom"/>
            <w:tcBorders>
              <w:bottom w:val="single" w:sz="8" w:color="5D89B4"/>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TABLES</w:t>
      </w:r>
    </w:p>
    <w:p>
      <w:pPr>
        <w:spacing w:after="0" w:line="164" w:lineRule="exact"/>
        <w:rPr>
          <w:sz w:val="20"/>
          <w:szCs w:val="20"/>
          <w:color w:val="auto"/>
        </w:rPr>
      </w:pPr>
    </w:p>
    <w:tbl>
      <w:tblPr>
        <w:tblLayout w:type="fixed"/>
        <w:tblInd w:w="180" w:type="dxa"/>
        <w:tblCellMar>
          <w:top w:w="0" w:type="dxa"/>
          <w:left w:w="0" w:type="dxa"/>
          <w:bottom w:w="0" w:type="dxa"/>
          <w:right w:w="0" w:type="dxa"/>
        </w:tblCellMar>
      </w:tblPr>
      <w:tr>
        <w:trPr>
          <w:trHeight w:val="259"/>
        </w:trPr>
        <w:tc>
          <w:tcPr>
            <w:tcW w:w="1800" w:type="dxa"/>
            <w:vAlign w:val="bottom"/>
            <w:tcBorders>
              <w:bottom w:val="single" w:sz="8" w:color="EAEAEA"/>
            </w:tcBorders>
            <w:shd w:val="clear" w:color="auto" w:fill="EAEAEA"/>
          </w:tcPr>
          <w:p>
            <w:pPr>
              <w:spacing w:after="0"/>
              <w:rPr>
                <w:sz w:val="22"/>
                <w:szCs w:val="22"/>
                <w:color w:val="auto"/>
              </w:rPr>
            </w:pPr>
          </w:p>
        </w:tc>
        <w:tc>
          <w:tcPr>
            <w:tcW w:w="140" w:type="dxa"/>
            <w:vAlign w:val="bottom"/>
            <w:tcBorders>
              <w:bottom w:val="single" w:sz="8" w:color="EAEAEA"/>
            </w:tcBorders>
            <w:shd w:val="clear" w:color="auto" w:fill="EAEAEA"/>
          </w:tcPr>
          <w:p>
            <w:pPr>
              <w:spacing w:after="0"/>
              <w:rPr>
                <w:sz w:val="22"/>
                <w:szCs w:val="22"/>
                <w:color w:val="auto"/>
              </w:rPr>
            </w:pPr>
          </w:p>
        </w:tc>
        <w:tc>
          <w:tcPr>
            <w:tcW w:w="880" w:type="dxa"/>
            <w:vAlign w:val="bottom"/>
            <w:tcBorders>
              <w:bottom w:val="single" w:sz="8" w:color="EAEAEA"/>
            </w:tcBorders>
            <w:shd w:val="clear" w:color="auto" w:fill="EAEAEA"/>
          </w:tcPr>
          <w:p>
            <w:pPr>
              <w:spacing w:after="0"/>
              <w:rPr>
                <w:sz w:val="22"/>
                <w:szCs w:val="22"/>
                <w:color w:val="auto"/>
              </w:rPr>
            </w:pPr>
          </w:p>
        </w:tc>
        <w:tc>
          <w:tcPr>
            <w:tcW w:w="2280" w:type="dxa"/>
            <w:vAlign w:val="bottom"/>
            <w:tcBorders>
              <w:bottom w:val="single" w:sz="8" w:color="EAEAEA"/>
            </w:tcBorders>
            <w:gridSpan w:val="2"/>
            <w:shd w:val="clear" w:color="auto" w:fill="EAEAEA"/>
          </w:tcPr>
          <w:p>
            <w:pPr>
              <w:jc w:val="right"/>
              <w:ind w:right="319"/>
              <w:spacing w:after="0"/>
              <w:rPr>
                <w:sz w:val="20"/>
                <w:szCs w:val="20"/>
                <w:color w:val="auto"/>
              </w:rPr>
            </w:pPr>
            <w:r>
              <w:rPr>
                <w:rFonts w:ascii="Arial" w:cs="Arial" w:eastAsia="Arial" w:hAnsi="Arial"/>
                <w:sz w:val="11"/>
                <w:szCs w:val="11"/>
                <w:b w:val="1"/>
                <w:bCs w:val="1"/>
                <w:color w:val="5D89B4"/>
              </w:rPr>
              <w:t>OPTION AWARDS</w:t>
            </w:r>
          </w:p>
        </w:tc>
        <w:tc>
          <w:tcPr>
            <w:tcW w:w="200" w:type="dxa"/>
            <w:vAlign w:val="bottom"/>
            <w:tcBorders>
              <w:bottom w:val="single" w:sz="8" w:color="EAEAEA"/>
            </w:tcBorders>
            <w:shd w:val="clear" w:color="auto" w:fill="EAEAEA"/>
          </w:tcPr>
          <w:p>
            <w:pPr>
              <w:spacing w:after="0"/>
              <w:rPr>
                <w:sz w:val="22"/>
                <w:szCs w:val="22"/>
                <w:color w:val="auto"/>
              </w:rPr>
            </w:pPr>
          </w:p>
        </w:tc>
        <w:tc>
          <w:tcPr>
            <w:tcW w:w="540" w:type="dxa"/>
            <w:vAlign w:val="bottom"/>
            <w:tcBorders>
              <w:bottom w:val="single" w:sz="8" w:color="EAEAEA"/>
            </w:tcBorders>
            <w:shd w:val="clear" w:color="auto" w:fill="EAEAEA"/>
          </w:tcPr>
          <w:p>
            <w:pPr>
              <w:spacing w:after="0"/>
              <w:rPr>
                <w:sz w:val="22"/>
                <w:szCs w:val="22"/>
                <w:color w:val="auto"/>
              </w:rPr>
            </w:pPr>
          </w:p>
        </w:tc>
        <w:tc>
          <w:tcPr>
            <w:tcW w:w="780" w:type="dxa"/>
            <w:vAlign w:val="bottom"/>
            <w:tcBorders>
              <w:bottom w:val="single" w:sz="8" w:color="EAEAEA"/>
            </w:tcBorders>
            <w:shd w:val="clear" w:color="auto" w:fill="EAEAEA"/>
          </w:tcPr>
          <w:p>
            <w:pPr>
              <w:spacing w:after="0"/>
              <w:rPr>
                <w:sz w:val="22"/>
                <w:szCs w:val="22"/>
                <w:color w:val="auto"/>
              </w:rPr>
            </w:pPr>
          </w:p>
        </w:tc>
        <w:tc>
          <w:tcPr>
            <w:tcW w:w="60" w:type="dxa"/>
            <w:vAlign w:val="bottom"/>
            <w:tcBorders>
              <w:bottom w:val="single" w:sz="8" w:color="EAEAEA"/>
            </w:tcBorders>
            <w:shd w:val="clear" w:color="auto" w:fill="EAEAEA"/>
          </w:tcPr>
          <w:p>
            <w:pPr>
              <w:spacing w:after="0"/>
              <w:rPr>
                <w:sz w:val="22"/>
                <w:szCs w:val="22"/>
                <w:color w:val="auto"/>
              </w:rPr>
            </w:pPr>
          </w:p>
        </w:tc>
        <w:tc>
          <w:tcPr>
            <w:tcW w:w="1040" w:type="dxa"/>
            <w:vAlign w:val="bottom"/>
            <w:tcBorders>
              <w:bottom w:val="single" w:sz="8" w:color="EAEAEA"/>
            </w:tcBorders>
            <w:shd w:val="clear" w:color="auto" w:fill="EAEAEA"/>
          </w:tcPr>
          <w:p>
            <w:pPr>
              <w:spacing w:after="0"/>
              <w:rPr>
                <w:sz w:val="22"/>
                <w:szCs w:val="22"/>
                <w:color w:val="auto"/>
              </w:rPr>
            </w:pPr>
          </w:p>
        </w:tc>
        <w:tc>
          <w:tcPr>
            <w:tcW w:w="180" w:type="dxa"/>
            <w:vAlign w:val="bottom"/>
            <w:tcBorders>
              <w:bottom w:val="single" w:sz="8" w:color="EAEAEA"/>
            </w:tcBorders>
            <w:shd w:val="clear" w:color="auto" w:fill="EAEAEA"/>
          </w:tcPr>
          <w:p>
            <w:pPr>
              <w:spacing w:after="0"/>
              <w:rPr>
                <w:sz w:val="22"/>
                <w:szCs w:val="22"/>
                <w:color w:val="auto"/>
              </w:rPr>
            </w:pPr>
          </w:p>
        </w:tc>
        <w:tc>
          <w:tcPr>
            <w:tcW w:w="1980" w:type="dxa"/>
            <w:vAlign w:val="bottom"/>
            <w:tcBorders>
              <w:bottom w:val="single" w:sz="8" w:color="EAEAEA"/>
            </w:tcBorders>
            <w:gridSpan w:val="2"/>
            <w:shd w:val="clear" w:color="auto" w:fill="EAEAEA"/>
          </w:tcPr>
          <w:p>
            <w:pPr>
              <w:jc w:val="right"/>
              <w:ind w:right="620"/>
              <w:spacing w:after="0"/>
              <w:rPr>
                <w:sz w:val="20"/>
                <w:szCs w:val="20"/>
                <w:color w:val="auto"/>
              </w:rPr>
            </w:pPr>
            <w:r>
              <w:rPr>
                <w:rFonts w:ascii="Arial" w:cs="Arial" w:eastAsia="Arial" w:hAnsi="Arial"/>
                <w:sz w:val="11"/>
                <w:szCs w:val="11"/>
                <w:b w:val="1"/>
                <w:bCs w:val="1"/>
                <w:color w:val="5D89B4"/>
              </w:rPr>
              <w:t>STOCK AWARDS</w:t>
            </w:r>
          </w:p>
        </w:tc>
        <w:tc>
          <w:tcPr>
            <w:tcW w:w="180" w:type="dxa"/>
            <w:vAlign w:val="bottom"/>
            <w:tcBorders>
              <w:bottom w:val="single" w:sz="8" w:color="EAEAEA"/>
            </w:tcBorders>
            <w:shd w:val="clear" w:color="auto" w:fill="EAEAEA"/>
          </w:tcPr>
          <w:p>
            <w:pPr>
              <w:spacing w:after="0"/>
              <w:rPr>
                <w:sz w:val="22"/>
                <w:szCs w:val="22"/>
                <w:color w:val="auto"/>
              </w:rPr>
            </w:pPr>
          </w:p>
        </w:tc>
        <w:tc>
          <w:tcPr>
            <w:tcW w:w="820" w:type="dxa"/>
            <w:vAlign w:val="bottom"/>
            <w:tcBorders>
              <w:bottom w:val="single" w:sz="8" w:color="EAEAEA"/>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800" w:type="dxa"/>
            <w:vAlign w:val="bottom"/>
            <w:tcBorders>
              <w:top w:val="single" w:sz="8" w:color="EAEAEA"/>
            </w:tcBorders>
            <w:shd w:val="clear" w:color="auto" w:fill="EAEAEA"/>
          </w:tcPr>
          <w:p>
            <w:pPr>
              <w:spacing w:after="0"/>
              <w:rPr>
                <w:sz w:val="13"/>
                <w:szCs w:val="13"/>
                <w:color w:val="auto"/>
              </w:rPr>
            </w:pPr>
          </w:p>
        </w:tc>
        <w:tc>
          <w:tcPr>
            <w:tcW w:w="140" w:type="dxa"/>
            <w:vAlign w:val="bottom"/>
            <w:tcBorders>
              <w:top w:val="single" w:sz="8" w:color="EAEAEA"/>
            </w:tcBorders>
            <w:shd w:val="clear" w:color="auto" w:fill="EAEAEA"/>
          </w:tcPr>
          <w:p>
            <w:pPr>
              <w:spacing w:after="0"/>
              <w:rPr>
                <w:sz w:val="13"/>
                <w:szCs w:val="13"/>
                <w:color w:val="auto"/>
              </w:rPr>
            </w:pPr>
          </w:p>
        </w:tc>
        <w:tc>
          <w:tcPr>
            <w:tcW w:w="880" w:type="dxa"/>
            <w:vAlign w:val="bottom"/>
            <w:tcBorders>
              <w:top w:val="single" w:sz="8" w:color="5D89B4"/>
            </w:tcBorders>
            <w:shd w:val="clear" w:color="auto" w:fill="EAEAEA"/>
          </w:tcPr>
          <w:p>
            <w:pPr>
              <w:spacing w:after="0"/>
              <w:rPr>
                <w:sz w:val="13"/>
                <w:szCs w:val="13"/>
                <w:color w:val="auto"/>
              </w:rPr>
            </w:pPr>
          </w:p>
        </w:tc>
        <w:tc>
          <w:tcPr>
            <w:tcW w:w="1260" w:type="dxa"/>
            <w:vAlign w:val="bottom"/>
            <w:tcBorders>
              <w:top w:val="single" w:sz="8" w:color="5D89B4"/>
            </w:tcBorders>
            <w:shd w:val="clear" w:color="auto" w:fill="EAEAEA"/>
          </w:tcPr>
          <w:p>
            <w:pPr>
              <w:spacing w:after="0"/>
              <w:rPr>
                <w:sz w:val="13"/>
                <w:szCs w:val="13"/>
                <w:color w:val="auto"/>
              </w:rPr>
            </w:pPr>
          </w:p>
        </w:tc>
        <w:tc>
          <w:tcPr>
            <w:tcW w:w="1020" w:type="dxa"/>
            <w:vAlign w:val="bottom"/>
            <w:tcBorders>
              <w:top w:val="single" w:sz="8" w:color="5D89B4"/>
            </w:tcBorders>
            <w:shd w:val="clear" w:color="auto" w:fill="EAEAEA"/>
          </w:tcPr>
          <w:p>
            <w:pPr>
              <w:spacing w:after="0"/>
              <w:rPr>
                <w:sz w:val="13"/>
                <w:szCs w:val="13"/>
                <w:color w:val="auto"/>
              </w:rPr>
            </w:pPr>
          </w:p>
        </w:tc>
        <w:tc>
          <w:tcPr>
            <w:tcW w:w="200" w:type="dxa"/>
            <w:vAlign w:val="bottom"/>
            <w:tcBorders>
              <w:top w:val="single" w:sz="8" w:color="5D89B4"/>
            </w:tcBorders>
            <w:shd w:val="clear" w:color="auto" w:fill="EAEAEA"/>
          </w:tcPr>
          <w:p>
            <w:pPr>
              <w:spacing w:after="0"/>
              <w:rPr>
                <w:sz w:val="13"/>
                <w:szCs w:val="13"/>
                <w:color w:val="auto"/>
              </w:rPr>
            </w:pPr>
          </w:p>
        </w:tc>
        <w:tc>
          <w:tcPr>
            <w:tcW w:w="540" w:type="dxa"/>
            <w:vAlign w:val="bottom"/>
            <w:tcBorders>
              <w:top w:val="single" w:sz="8" w:color="5D89B4"/>
            </w:tcBorders>
            <w:shd w:val="clear" w:color="auto" w:fill="EAEAEA"/>
          </w:tcPr>
          <w:p>
            <w:pPr>
              <w:spacing w:after="0"/>
              <w:rPr>
                <w:sz w:val="13"/>
                <w:szCs w:val="13"/>
                <w:color w:val="auto"/>
              </w:rPr>
            </w:pPr>
          </w:p>
        </w:tc>
        <w:tc>
          <w:tcPr>
            <w:tcW w:w="780" w:type="dxa"/>
            <w:vAlign w:val="bottom"/>
            <w:tcBorders>
              <w:top w:val="single" w:sz="8" w:color="5D89B4"/>
            </w:tcBorders>
            <w:shd w:val="clear" w:color="auto" w:fill="EAEAEA"/>
          </w:tcPr>
          <w:p>
            <w:pPr>
              <w:spacing w:after="0"/>
              <w:rPr>
                <w:sz w:val="13"/>
                <w:szCs w:val="13"/>
                <w:color w:val="auto"/>
              </w:rPr>
            </w:pPr>
          </w:p>
        </w:tc>
        <w:tc>
          <w:tcPr>
            <w:tcW w:w="60" w:type="dxa"/>
            <w:vAlign w:val="bottom"/>
            <w:tcBorders>
              <w:top w:val="single" w:sz="8" w:color="EAEAEA"/>
            </w:tcBorders>
            <w:shd w:val="clear" w:color="auto" w:fill="EAEAEA"/>
          </w:tcPr>
          <w:p>
            <w:pPr>
              <w:spacing w:after="0"/>
              <w:rPr>
                <w:sz w:val="13"/>
                <w:szCs w:val="13"/>
                <w:color w:val="auto"/>
              </w:rPr>
            </w:pPr>
          </w:p>
        </w:tc>
        <w:tc>
          <w:tcPr>
            <w:tcW w:w="1040" w:type="dxa"/>
            <w:vAlign w:val="bottom"/>
            <w:tcBorders>
              <w:top w:val="single" w:sz="8" w:color="5D89B4"/>
            </w:tcBorders>
            <w:shd w:val="clear" w:color="auto" w:fill="EAEAEA"/>
          </w:tcPr>
          <w:p>
            <w:pPr>
              <w:spacing w:after="0"/>
              <w:rPr>
                <w:sz w:val="13"/>
                <w:szCs w:val="13"/>
                <w:color w:val="auto"/>
              </w:rPr>
            </w:pPr>
          </w:p>
        </w:tc>
        <w:tc>
          <w:tcPr>
            <w:tcW w:w="180" w:type="dxa"/>
            <w:vAlign w:val="bottom"/>
            <w:tcBorders>
              <w:top w:val="single" w:sz="8" w:color="5D89B4"/>
            </w:tcBorders>
            <w:shd w:val="clear" w:color="auto" w:fill="EAEAEA"/>
          </w:tcPr>
          <w:p>
            <w:pPr>
              <w:spacing w:after="0"/>
              <w:rPr>
                <w:sz w:val="13"/>
                <w:szCs w:val="13"/>
                <w:color w:val="auto"/>
              </w:rPr>
            </w:pPr>
          </w:p>
        </w:tc>
        <w:tc>
          <w:tcPr>
            <w:tcW w:w="700" w:type="dxa"/>
            <w:vAlign w:val="bottom"/>
            <w:tcBorders>
              <w:top w:val="single" w:sz="8" w:color="5D89B4"/>
            </w:tcBorders>
            <w:shd w:val="clear" w:color="auto" w:fill="EAEAEA"/>
          </w:tcPr>
          <w:p>
            <w:pPr>
              <w:spacing w:after="0"/>
              <w:rPr>
                <w:sz w:val="13"/>
                <w:szCs w:val="13"/>
                <w:color w:val="auto"/>
              </w:rPr>
            </w:pPr>
          </w:p>
        </w:tc>
        <w:tc>
          <w:tcPr>
            <w:tcW w:w="1280" w:type="dxa"/>
            <w:vAlign w:val="bottom"/>
            <w:tcBorders>
              <w:top w:val="single" w:sz="8" w:color="5D89B4"/>
            </w:tcBorders>
            <w:shd w:val="clear" w:color="auto" w:fill="EAEAEA"/>
          </w:tcPr>
          <w:p>
            <w:pPr>
              <w:spacing w:after="0"/>
              <w:rPr>
                <w:sz w:val="13"/>
                <w:szCs w:val="13"/>
                <w:color w:val="auto"/>
              </w:rPr>
            </w:pPr>
          </w:p>
        </w:tc>
        <w:tc>
          <w:tcPr>
            <w:tcW w:w="180" w:type="dxa"/>
            <w:vAlign w:val="bottom"/>
            <w:tcBorders>
              <w:top w:val="single" w:sz="8" w:color="5D89B4"/>
            </w:tcBorders>
            <w:shd w:val="clear" w:color="auto" w:fill="EAEAEA"/>
          </w:tcPr>
          <w:p>
            <w:pPr>
              <w:spacing w:after="0"/>
              <w:rPr>
                <w:sz w:val="13"/>
                <w:szCs w:val="13"/>
                <w:color w:val="auto"/>
              </w:rPr>
            </w:pPr>
          </w:p>
        </w:tc>
        <w:tc>
          <w:tcPr>
            <w:tcW w:w="820" w:type="dxa"/>
            <w:vAlign w:val="bottom"/>
            <w:tcBorders>
              <w:top w:val="single" w:sz="8" w:color="5D89B4"/>
            </w:tcBorders>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EQUITY</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INCENTIVE</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INCENTIVE</w:t>
            </w:r>
          </w:p>
        </w:tc>
        <w:tc>
          <w:tcPr>
            <w:tcW w:w="100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PLAN AWARDS:</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9"/>
              <w:spacing w:after="0" w:line="120"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PLAN AWARDS: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MARKET OR</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2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9"/>
              <w:spacing w:after="0" w:line="120" w:lineRule="exact"/>
              <w:rPr>
                <w:sz w:val="20"/>
                <w:szCs w:val="20"/>
                <w:color w:val="auto"/>
              </w:rPr>
            </w:pPr>
            <w:r>
              <w:rPr>
                <w:rFonts w:ascii="Arial" w:cs="Arial" w:eastAsia="Arial" w:hAnsi="Arial"/>
                <w:sz w:val="11"/>
                <w:szCs w:val="11"/>
                <w:b w:val="1"/>
                <w:bCs w:val="1"/>
                <w:color w:val="5D89B4"/>
              </w:rPr>
              <w:t>INCENTIVE</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8"/>
              <w:spacing w:after="0" w:line="120" w:lineRule="exact"/>
              <w:rPr>
                <w:sz w:val="20"/>
                <w:szCs w:val="20"/>
                <w:color w:val="auto"/>
              </w:rPr>
            </w:pPr>
            <w:r>
              <w:rPr>
                <w:rFonts w:ascii="Arial" w:cs="Arial" w:eastAsia="Arial" w:hAnsi="Arial"/>
                <w:sz w:val="11"/>
                <w:szCs w:val="11"/>
                <w:b w:val="1"/>
                <w:bCs w:val="1"/>
                <w:color w:val="5D89B4"/>
              </w:rPr>
              <w:t>MARKET</w:t>
            </w: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NUMBER OF</w:t>
            </w:r>
          </w:p>
        </w:tc>
        <w:tc>
          <w:tcPr>
            <w:tcW w:w="100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PAYOUT VALUE</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40"/>
              <w:spacing w:after="0" w:line="120" w:lineRule="exact"/>
              <w:rPr>
                <w:sz w:val="20"/>
                <w:szCs w:val="20"/>
                <w:color w:val="auto"/>
              </w:rPr>
            </w:pPr>
            <w:r>
              <w:rPr>
                <w:rFonts w:ascii="Arial" w:cs="Arial" w:eastAsia="Arial" w:hAnsi="Arial"/>
                <w:sz w:val="11"/>
                <w:szCs w:val="11"/>
                <w:b w:val="1"/>
                <w:bCs w:val="1"/>
                <w:color w:val="5D89B4"/>
              </w:rPr>
              <w:t>NUMBER OF</w:t>
            </w:r>
          </w:p>
        </w:tc>
        <w:tc>
          <w:tcPr>
            <w:tcW w:w="1260" w:type="dxa"/>
            <w:vAlign w:val="bottom"/>
            <w:shd w:val="clear" w:color="auto" w:fill="EAEAEA"/>
          </w:tcPr>
          <w:p>
            <w:pPr>
              <w:jc w:val="right"/>
              <w:ind w:right="199"/>
              <w:spacing w:after="0" w:line="120" w:lineRule="exact"/>
              <w:rPr>
                <w:sz w:val="20"/>
                <w:szCs w:val="20"/>
                <w:color w:val="auto"/>
              </w:rPr>
            </w:pPr>
            <w:r>
              <w:rPr>
                <w:rFonts w:ascii="Arial" w:cs="Arial" w:eastAsia="Arial" w:hAnsi="Arial"/>
                <w:sz w:val="11"/>
                <w:szCs w:val="11"/>
                <w:b w:val="1"/>
                <w:bCs w:val="1"/>
                <w:color w:val="5D89B4"/>
              </w:rPr>
              <w:t>NUMBER OF</w:t>
            </w:r>
          </w:p>
        </w:tc>
        <w:tc>
          <w:tcPr>
            <w:tcW w:w="1020" w:type="dxa"/>
            <w:vAlign w:val="bottom"/>
            <w:shd w:val="clear" w:color="auto" w:fill="EAEAEA"/>
          </w:tcPr>
          <w:p>
            <w:pPr>
              <w:jc w:val="right"/>
              <w:ind w:right="39"/>
              <w:spacing w:after="0" w:line="120"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0" w:lineRule="exact"/>
              <w:rPr>
                <w:sz w:val="20"/>
                <w:szCs w:val="20"/>
                <w:color w:val="auto"/>
              </w:rPr>
            </w:pPr>
            <w:r>
              <w:rPr>
                <w:rFonts w:ascii="Arial" w:cs="Arial" w:eastAsia="Arial" w:hAnsi="Arial"/>
                <w:sz w:val="11"/>
                <w:szCs w:val="11"/>
                <w:b w:val="1"/>
                <w:bCs w:val="1"/>
                <w:color w:val="5D89B4"/>
              </w:rPr>
              <w:t>NUMBER</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8"/>
              <w:spacing w:after="0" w:line="120" w:lineRule="exact"/>
              <w:rPr>
                <w:sz w:val="20"/>
                <w:szCs w:val="20"/>
                <w:color w:val="auto"/>
              </w:rPr>
            </w:pPr>
            <w:r>
              <w:rPr>
                <w:rFonts w:ascii="Arial" w:cs="Arial" w:eastAsia="Arial" w:hAnsi="Arial"/>
                <w:sz w:val="11"/>
                <w:szCs w:val="11"/>
                <w:b w:val="1"/>
                <w:bCs w:val="1"/>
                <w:color w:val="5D89B4"/>
              </w:rPr>
              <w:t>VALUE</w:t>
            </w: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UNEARNED</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w w:val="94"/>
              </w:rPr>
              <w:t>OF UNEARNED</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40"/>
              <w:spacing w:after="0" w:line="120" w:lineRule="exact"/>
              <w:rPr>
                <w:sz w:val="20"/>
                <w:szCs w:val="20"/>
                <w:color w:val="auto"/>
              </w:rPr>
            </w:pPr>
            <w:r>
              <w:rPr>
                <w:rFonts w:ascii="Arial" w:cs="Arial" w:eastAsia="Arial" w:hAnsi="Arial"/>
                <w:sz w:val="11"/>
                <w:szCs w:val="11"/>
                <w:b w:val="1"/>
                <w:bCs w:val="1"/>
                <w:color w:val="5D89B4"/>
              </w:rPr>
              <w:t>SECURITIES</w:t>
            </w:r>
          </w:p>
        </w:tc>
        <w:tc>
          <w:tcPr>
            <w:tcW w:w="1260" w:type="dxa"/>
            <w:vAlign w:val="bottom"/>
            <w:shd w:val="clear" w:color="auto" w:fill="EAEAEA"/>
          </w:tcPr>
          <w:p>
            <w:pPr>
              <w:jc w:val="right"/>
              <w:ind w:right="199"/>
              <w:spacing w:after="0" w:line="120" w:lineRule="exact"/>
              <w:rPr>
                <w:sz w:val="20"/>
                <w:szCs w:val="20"/>
                <w:color w:val="auto"/>
              </w:rPr>
            </w:pPr>
            <w:r>
              <w:rPr>
                <w:rFonts w:ascii="Arial" w:cs="Arial" w:eastAsia="Arial" w:hAnsi="Arial"/>
                <w:sz w:val="11"/>
                <w:szCs w:val="11"/>
                <w:b w:val="1"/>
                <w:bCs w:val="1"/>
                <w:color w:val="5D89B4"/>
              </w:rPr>
              <w:t>SECURITIES</w:t>
            </w:r>
          </w:p>
        </w:tc>
        <w:tc>
          <w:tcPr>
            <w:tcW w:w="1020" w:type="dxa"/>
            <w:vAlign w:val="bottom"/>
            <w:shd w:val="clear" w:color="auto" w:fill="EAEAEA"/>
          </w:tcPr>
          <w:p>
            <w:pPr>
              <w:jc w:val="right"/>
              <w:ind w:right="39"/>
              <w:spacing w:after="0" w:line="120" w:lineRule="exact"/>
              <w:rPr>
                <w:sz w:val="20"/>
                <w:szCs w:val="20"/>
                <w:color w:val="auto"/>
              </w:rPr>
            </w:pPr>
            <w:r>
              <w:rPr>
                <w:rFonts w:ascii="Arial" w:cs="Arial" w:eastAsia="Arial" w:hAnsi="Arial"/>
                <w:sz w:val="11"/>
                <w:szCs w:val="11"/>
                <w:b w:val="1"/>
                <w:bCs w:val="1"/>
                <w:color w:val="5D89B4"/>
              </w:rPr>
              <w:t>NUMBER OF</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0" w:lineRule="exact"/>
              <w:rPr>
                <w:sz w:val="20"/>
                <w:szCs w:val="20"/>
                <w:color w:val="auto"/>
              </w:rPr>
            </w:pPr>
            <w:r>
              <w:rPr>
                <w:rFonts w:ascii="Arial" w:cs="Arial" w:eastAsia="Arial" w:hAnsi="Arial"/>
                <w:sz w:val="11"/>
                <w:szCs w:val="11"/>
                <w:b w:val="1"/>
                <w:bCs w:val="1"/>
                <w:color w:val="5D89B4"/>
              </w:rPr>
              <w:t>OF SHARES</w:t>
            </w:r>
          </w:p>
        </w:tc>
        <w:tc>
          <w:tcPr>
            <w:tcW w:w="880" w:type="dxa"/>
            <w:vAlign w:val="bottom"/>
            <w:gridSpan w:val="2"/>
            <w:shd w:val="clear" w:color="auto" w:fill="EAEAEA"/>
          </w:tcPr>
          <w:p>
            <w:pPr>
              <w:jc w:val="right"/>
              <w:ind w:right="38"/>
              <w:spacing w:after="0" w:line="120" w:lineRule="exact"/>
              <w:rPr>
                <w:sz w:val="20"/>
                <w:szCs w:val="20"/>
                <w:color w:val="auto"/>
              </w:rPr>
            </w:pPr>
            <w:r>
              <w:rPr>
                <w:rFonts w:ascii="Arial" w:cs="Arial" w:eastAsia="Arial" w:hAnsi="Arial"/>
                <w:sz w:val="11"/>
                <w:szCs w:val="11"/>
                <w:b w:val="1"/>
                <w:bCs w:val="1"/>
                <w:color w:val="5D89B4"/>
              </w:rPr>
              <w:t>OF SHARES</w:t>
            </w: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SHARES, UNITS,</w:t>
            </w:r>
          </w:p>
        </w:tc>
        <w:tc>
          <w:tcPr>
            <w:tcW w:w="100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SHARES, UNITS,</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40"/>
              <w:spacing w:after="0" w:line="120" w:lineRule="exact"/>
              <w:rPr>
                <w:sz w:val="20"/>
                <w:szCs w:val="20"/>
                <w:color w:val="auto"/>
              </w:rPr>
            </w:pPr>
            <w:r>
              <w:rPr>
                <w:rFonts w:ascii="Arial" w:cs="Arial" w:eastAsia="Arial" w:hAnsi="Arial"/>
                <w:sz w:val="11"/>
                <w:szCs w:val="11"/>
                <w:b w:val="1"/>
                <w:bCs w:val="1"/>
                <w:color w:val="5D89B4"/>
              </w:rPr>
              <w:t>UNDERLYING</w:t>
            </w:r>
          </w:p>
        </w:tc>
        <w:tc>
          <w:tcPr>
            <w:tcW w:w="1260" w:type="dxa"/>
            <w:vAlign w:val="bottom"/>
            <w:shd w:val="clear" w:color="auto" w:fill="EAEAEA"/>
          </w:tcPr>
          <w:p>
            <w:pPr>
              <w:jc w:val="right"/>
              <w:ind w:right="199"/>
              <w:spacing w:after="0" w:line="120" w:lineRule="exact"/>
              <w:rPr>
                <w:sz w:val="20"/>
                <w:szCs w:val="20"/>
                <w:color w:val="auto"/>
              </w:rPr>
            </w:pPr>
            <w:r>
              <w:rPr>
                <w:rFonts w:ascii="Arial" w:cs="Arial" w:eastAsia="Arial" w:hAnsi="Arial"/>
                <w:sz w:val="11"/>
                <w:szCs w:val="11"/>
                <w:b w:val="1"/>
                <w:bCs w:val="1"/>
                <w:color w:val="5D89B4"/>
              </w:rPr>
              <w:t>UNDERLYING</w:t>
            </w:r>
          </w:p>
        </w:tc>
        <w:tc>
          <w:tcPr>
            <w:tcW w:w="1020" w:type="dxa"/>
            <w:vAlign w:val="bottom"/>
            <w:shd w:val="clear" w:color="auto" w:fill="EAEAEA"/>
          </w:tcPr>
          <w:p>
            <w:pPr>
              <w:jc w:val="right"/>
              <w:ind w:right="39"/>
              <w:spacing w:after="0" w:line="120" w:lineRule="exact"/>
              <w:rPr>
                <w:sz w:val="20"/>
                <w:szCs w:val="20"/>
                <w:color w:val="auto"/>
              </w:rPr>
            </w:pPr>
            <w:r>
              <w:rPr>
                <w:rFonts w:ascii="Arial" w:cs="Arial" w:eastAsia="Arial" w:hAnsi="Arial"/>
                <w:sz w:val="11"/>
                <w:szCs w:val="11"/>
                <w:b w:val="1"/>
                <w:bCs w:val="1"/>
                <w:color w:val="5D89B4"/>
              </w:rPr>
              <w:t>SECURITIES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0" w:lineRule="exact"/>
              <w:rPr>
                <w:sz w:val="20"/>
                <w:szCs w:val="20"/>
                <w:color w:val="auto"/>
              </w:rPr>
            </w:pPr>
            <w:r>
              <w:rPr>
                <w:rFonts w:ascii="Arial" w:cs="Arial" w:eastAsia="Arial" w:hAnsi="Arial"/>
                <w:sz w:val="11"/>
                <w:szCs w:val="11"/>
                <w:b w:val="1"/>
                <w:bCs w:val="1"/>
                <w:color w:val="5D89B4"/>
              </w:rPr>
              <w:t>OR UNITS</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8"/>
              <w:spacing w:after="0" w:line="120" w:lineRule="exact"/>
              <w:rPr>
                <w:sz w:val="20"/>
                <w:szCs w:val="20"/>
                <w:color w:val="auto"/>
              </w:rPr>
            </w:pPr>
            <w:r>
              <w:rPr>
                <w:rFonts w:ascii="Arial" w:cs="Arial" w:eastAsia="Arial" w:hAnsi="Arial"/>
                <w:sz w:val="11"/>
                <w:szCs w:val="11"/>
                <w:b w:val="1"/>
                <w:bCs w:val="1"/>
                <w:color w:val="5D89B4"/>
              </w:rPr>
              <w:t>OR UNITS</w:t>
            </w: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OR OTHER</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OR OTHER</w:t>
            </w:r>
          </w:p>
        </w:tc>
        <w:tc>
          <w:tcPr>
            <w:tcW w:w="0" w:type="dxa"/>
            <w:vAlign w:val="bottom"/>
          </w:tcPr>
          <w:p>
            <w:pPr>
              <w:spacing w:after="0"/>
              <w:rPr>
                <w:sz w:val="1"/>
                <w:szCs w:val="1"/>
                <w:color w:val="auto"/>
              </w:rPr>
            </w:pPr>
          </w:p>
        </w:tc>
      </w:tr>
      <w:tr>
        <w:trPr>
          <w:trHeight w:val="120"/>
        </w:trPr>
        <w:tc>
          <w:tcPr>
            <w:tcW w:w="18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40"/>
              <w:spacing w:after="0" w:line="120" w:lineRule="exact"/>
              <w:rPr>
                <w:sz w:val="20"/>
                <w:szCs w:val="20"/>
                <w:color w:val="auto"/>
              </w:rPr>
            </w:pPr>
            <w:r>
              <w:rPr>
                <w:rFonts w:ascii="Arial" w:cs="Arial" w:eastAsia="Arial" w:hAnsi="Arial"/>
                <w:sz w:val="11"/>
                <w:szCs w:val="11"/>
                <w:b w:val="1"/>
                <w:bCs w:val="1"/>
                <w:color w:val="5D89B4"/>
                <w:w w:val="95"/>
              </w:rPr>
              <w:t>UNEXERCISED</w:t>
            </w:r>
          </w:p>
        </w:tc>
        <w:tc>
          <w:tcPr>
            <w:tcW w:w="1260" w:type="dxa"/>
            <w:vAlign w:val="bottom"/>
            <w:shd w:val="clear" w:color="auto" w:fill="EAEAEA"/>
          </w:tcPr>
          <w:p>
            <w:pPr>
              <w:jc w:val="right"/>
              <w:ind w:right="199"/>
              <w:spacing w:after="0" w:line="120" w:lineRule="exact"/>
              <w:rPr>
                <w:sz w:val="20"/>
                <w:szCs w:val="20"/>
                <w:color w:val="auto"/>
              </w:rPr>
            </w:pPr>
            <w:r>
              <w:rPr>
                <w:rFonts w:ascii="Arial" w:cs="Arial" w:eastAsia="Arial" w:hAnsi="Arial"/>
                <w:sz w:val="11"/>
                <w:szCs w:val="11"/>
                <w:b w:val="1"/>
                <w:bCs w:val="1"/>
                <w:color w:val="5D89B4"/>
              </w:rPr>
              <w:t>UNEXERCISED</w:t>
            </w:r>
          </w:p>
        </w:tc>
        <w:tc>
          <w:tcPr>
            <w:tcW w:w="1020" w:type="dxa"/>
            <w:vAlign w:val="bottom"/>
            <w:shd w:val="clear" w:color="auto" w:fill="EAEAEA"/>
          </w:tcPr>
          <w:p>
            <w:pPr>
              <w:jc w:val="right"/>
              <w:ind w:right="39"/>
              <w:spacing w:after="0" w:line="120" w:lineRule="exact"/>
              <w:rPr>
                <w:sz w:val="20"/>
                <w:szCs w:val="20"/>
                <w:color w:val="auto"/>
              </w:rPr>
            </w:pPr>
            <w:r>
              <w:rPr>
                <w:rFonts w:ascii="Arial" w:cs="Arial" w:eastAsia="Arial" w:hAnsi="Arial"/>
                <w:sz w:val="11"/>
                <w:szCs w:val="11"/>
                <w:b w:val="1"/>
                <w:bCs w:val="1"/>
                <w:color w:val="5D89B4"/>
              </w:rPr>
              <w:t>UNDERLYING</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6"/>
              <w:spacing w:after="0" w:line="120" w:lineRule="exact"/>
              <w:rPr>
                <w:sz w:val="20"/>
                <w:szCs w:val="20"/>
                <w:color w:val="auto"/>
              </w:rPr>
            </w:pPr>
            <w:r>
              <w:rPr>
                <w:rFonts w:ascii="Arial" w:cs="Arial" w:eastAsia="Arial" w:hAnsi="Arial"/>
                <w:sz w:val="11"/>
                <w:szCs w:val="11"/>
                <w:b w:val="1"/>
                <w:bCs w:val="1"/>
                <w:color w:val="5D89B4"/>
                <w:w w:val="99"/>
              </w:rPr>
              <w:t>OPTION</w:t>
            </w:r>
          </w:p>
        </w:tc>
        <w:tc>
          <w:tcPr>
            <w:tcW w:w="780" w:type="dxa"/>
            <w:vAlign w:val="bottom"/>
            <w:shd w:val="clear" w:color="auto" w:fill="EAEAEA"/>
          </w:tcPr>
          <w:p>
            <w:pPr>
              <w:spacing w:after="0"/>
              <w:rPr>
                <w:sz w:val="10"/>
                <w:szCs w:val="10"/>
                <w:color w:val="auto"/>
              </w:rPr>
            </w:pPr>
          </w:p>
        </w:tc>
        <w:tc>
          <w:tcPr>
            <w:tcW w:w="6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0" w:lineRule="exact"/>
              <w:rPr>
                <w:sz w:val="20"/>
                <w:szCs w:val="20"/>
                <w:color w:val="auto"/>
              </w:rPr>
            </w:pPr>
            <w:r>
              <w:rPr>
                <w:rFonts w:ascii="Arial" w:cs="Arial" w:eastAsia="Arial" w:hAnsi="Arial"/>
                <w:sz w:val="11"/>
                <w:szCs w:val="11"/>
                <w:b w:val="1"/>
                <w:bCs w:val="1"/>
                <w:color w:val="5D89B4"/>
              </w:rPr>
              <w:t>OF STOCK</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8"/>
              <w:spacing w:after="0" w:line="120" w:lineRule="exact"/>
              <w:rPr>
                <w:sz w:val="20"/>
                <w:szCs w:val="20"/>
                <w:color w:val="auto"/>
              </w:rPr>
            </w:pPr>
            <w:r>
              <w:rPr>
                <w:rFonts w:ascii="Arial" w:cs="Arial" w:eastAsia="Arial" w:hAnsi="Arial"/>
                <w:sz w:val="11"/>
                <w:szCs w:val="11"/>
                <w:b w:val="1"/>
                <w:bCs w:val="1"/>
                <w:color w:val="5D89B4"/>
              </w:rPr>
              <w:t>OF STOCK</w:t>
            </w: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RIGHTS</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RIGHTS</w:t>
            </w:r>
          </w:p>
        </w:tc>
        <w:tc>
          <w:tcPr>
            <w:tcW w:w="0" w:type="dxa"/>
            <w:vAlign w:val="bottom"/>
          </w:tcPr>
          <w:p>
            <w:pPr>
              <w:spacing w:after="0"/>
              <w:rPr>
                <w:sz w:val="1"/>
                <w:szCs w:val="1"/>
                <w:color w:val="auto"/>
              </w:rPr>
            </w:pPr>
          </w:p>
        </w:tc>
      </w:tr>
      <w:tr>
        <w:trPr>
          <w:trHeight w:val="120"/>
        </w:trPr>
        <w:tc>
          <w:tcPr>
            <w:tcW w:w="1800" w:type="dxa"/>
            <w:vAlign w:val="bottom"/>
            <w:vMerge w:val="restart"/>
            <w:shd w:val="clear" w:color="auto" w:fill="EAEAEA"/>
          </w:tcPr>
          <w:p>
            <w:pPr>
              <w:ind w:left="80"/>
              <w:spacing w:after="0"/>
              <w:rPr>
                <w:sz w:val="20"/>
                <w:szCs w:val="20"/>
                <w:color w:val="auto"/>
              </w:rPr>
            </w:pPr>
            <w:r>
              <w:rPr>
                <w:rFonts w:ascii="Arial" w:cs="Arial" w:eastAsia="Arial" w:hAnsi="Arial"/>
                <w:sz w:val="11"/>
                <w:szCs w:val="11"/>
                <w:b w:val="1"/>
                <w:bCs w:val="1"/>
                <w:color w:val="5D89B4"/>
              </w:rPr>
              <w:t>NAME &amp; PRINCIPAL</w:t>
            </w:r>
          </w:p>
        </w:tc>
        <w:tc>
          <w:tcPr>
            <w:tcW w:w="14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40"/>
              <w:spacing w:after="0" w:line="120" w:lineRule="exact"/>
              <w:rPr>
                <w:sz w:val="20"/>
                <w:szCs w:val="20"/>
                <w:color w:val="auto"/>
              </w:rPr>
            </w:pPr>
            <w:r>
              <w:rPr>
                <w:rFonts w:ascii="Arial" w:cs="Arial" w:eastAsia="Arial" w:hAnsi="Arial"/>
                <w:sz w:val="11"/>
                <w:szCs w:val="11"/>
                <w:b w:val="1"/>
                <w:bCs w:val="1"/>
                <w:color w:val="5D89B4"/>
              </w:rPr>
              <w:t>OPTIONS</w:t>
            </w:r>
          </w:p>
        </w:tc>
        <w:tc>
          <w:tcPr>
            <w:tcW w:w="1260" w:type="dxa"/>
            <w:vAlign w:val="bottom"/>
            <w:shd w:val="clear" w:color="auto" w:fill="EAEAEA"/>
          </w:tcPr>
          <w:p>
            <w:pPr>
              <w:jc w:val="right"/>
              <w:ind w:right="199"/>
              <w:spacing w:after="0" w:line="120" w:lineRule="exact"/>
              <w:rPr>
                <w:sz w:val="20"/>
                <w:szCs w:val="20"/>
                <w:color w:val="auto"/>
              </w:rPr>
            </w:pPr>
            <w:r>
              <w:rPr>
                <w:rFonts w:ascii="Arial" w:cs="Arial" w:eastAsia="Arial" w:hAnsi="Arial"/>
                <w:sz w:val="11"/>
                <w:szCs w:val="11"/>
                <w:b w:val="1"/>
                <w:bCs w:val="1"/>
                <w:color w:val="5D89B4"/>
              </w:rPr>
              <w:t>OPTIONS</w:t>
            </w:r>
          </w:p>
        </w:tc>
        <w:tc>
          <w:tcPr>
            <w:tcW w:w="1020" w:type="dxa"/>
            <w:vAlign w:val="bottom"/>
            <w:shd w:val="clear" w:color="auto" w:fill="EAEAEA"/>
          </w:tcPr>
          <w:p>
            <w:pPr>
              <w:jc w:val="right"/>
              <w:ind w:right="39"/>
              <w:spacing w:after="0" w:line="120" w:lineRule="exact"/>
              <w:rPr>
                <w:sz w:val="20"/>
                <w:szCs w:val="20"/>
                <w:color w:val="auto"/>
              </w:rPr>
            </w:pPr>
            <w:r>
              <w:rPr>
                <w:rFonts w:ascii="Arial" w:cs="Arial" w:eastAsia="Arial" w:hAnsi="Arial"/>
                <w:sz w:val="11"/>
                <w:szCs w:val="11"/>
                <w:b w:val="1"/>
                <w:bCs w:val="1"/>
                <w:color w:val="5D89B4"/>
              </w:rPr>
              <w:t>UNEXERCISED</w:t>
            </w:r>
          </w:p>
        </w:tc>
        <w:tc>
          <w:tcPr>
            <w:tcW w:w="740" w:type="dxa"/>
            <w:vAlign w:val="bottom"/>
            <w:gridSpan w:val="2"/>
            <w:shd w:val="clear" w:color="auto" w:fill="EAEAEA"/>
          </w:tcPr>
          <w:p>
            <w:pPr>
              <w:ind w:left="100"/>
              <w:spacing w:after="0" w:line="120" w:lineRule="exact"/>
              <w:rPr>
                <w:sz w:val="20"/>
                <w:szCs w:val="20"/>
                <w:color w:val="auto"/>
              </w:rPr>
            </w:pPr>
            <w:r>
              <w:rPr>
                <w:rFonts w:ascii="Arial" w:cs="Arial" w:eastAsia="Arial" w:hAnsi="Arial"/>
                <w:sz w:val="11"/>
                <w:szCs w:val="11"/>
                <w:b w:val="1"/>
                <w:bCs w:val="1"/>
                <w:color w:val="5D89B4"/>
              </w:rPr>
              <w:t>EXERCISE</w:t>
            </w:r>
          </w:p>
        </w:tc>
        <w:tc>
          <w:tcPr>
            <w:tcW w:w="840" w:type="dxa"/>
            <w:vAlign w:val="bottom"/>
            <w:gridSpan w:val="2"/>
            <w:shd w:val="clear" w:color="auto" w:fill="EAEAEA"/>
          </w:tcPr>
          <w:p>
            <w:pPr>
              <w:jc w:val="right"/>
              <w:ind w:right="100"/>
              <w:spacing w:after="0" w:line="120" w:lineRule="exact"/>
              <w:rPr>
                <w:sz w:val="20"/>
                <w:szCs w:val="20"/>
                <w:color w:val="auto"/>
              </w:rPr>
            </w:pPr>
            <w:r>
              <w:rPr>
                <w:rFonts w:ascii="Arial" w:cs="Arial" w:eastAsia="Arial" w:hAnsi="Arial"/>
                <w:sz w:val="11"/>
                <w:szCs w:val="11"/>
                <w:b w:val="1"/>
                <w:bCs w:val="1"/>
                <w:color w:val="5D89B4"/>
              </w:rPr>
              <w:t>OPTION</w:t>
            </w:r>
          </w:p>
        </w:tc>
        <w:tc>
          <w:tcPr>
            <w:tcW w:w="1040" w:type="dxa"/>
            <w:vAlign w:val="bottom"/>
            <w:shd w:val="clear" w:color="auto" w:fill="EAEAEA"/>
          </w:tcPr>
          <w:p>
            <w:pPr>
              <w:jc w:val="right"/>
              <w:ind w:right="278"/>
              <w:spacing w:after="0" w:line="120"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38"/>
              <w:spacing w:after="0" w:line="120" w:lineRule="exact"/>
              <w:rPr>
                <w:sz w:val="20"/>
                <w:szCs w:val="20"/>
                <w:color w:val="auto"/>
              </w:rPr>
            </w:pPr>
            <w:r>
              <w:rPr>
                <w:rFonts w:ascii="Arial" w:cs="Arial" w:eastAsia="Arial" w:hAnsi="Arial"/>
                <w:sz w:val="11"/>
                <w:szCs w:val="11"/>
                <w:b w:val="1"/>
                <w:bCs w:val="1"/>
                <w:color w:val="5D89B4"/>
                <w:w w:val="92"/>
              </w:rPr>
              <w:t>THAT HAVE</w:t>
            </w:r>
          </w:p>
        </w:tc>
        <w:tc>
          <w:tcPr>
            <w:tcW w:w="1280" w:type="dxa"/>
            <w:vAlign w:val="bottom"/>
            <w:shd w:val="clear" w:color="auto" w:fill="EAEAEA"/>
          </w:tcPr>
          <w:p>
            <w:pPr>
              <w:jc w:val="right"/>
              <w:ind w:right="260"/>
              <w:spacing w:after="0" w:line="120"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THAT HAVE</w:t>
            </w:r>
          </w:p>
        </w:tc>
        <w:tc>
          <w:tcPr>
            <w:tcW w:w="0" w:type="dxa"/>
            <w:vAlign w:val="bottom"/>
          </w:tcPr>
          <w:p>
            <w:pPr>
              <w:spacing w:after="0"/>
              <w:rPr>
                <w:sz w:val="1"/>
                <w:szCs w:val="1"/>
                <w:color w:val="auto"/>
              </w:rPr>
            </w:pPr>
          </w:p>
        </w:tc>
      </w:tr>
      <w:tr>
        <w:trPr>
          <w:trHeight w:val="107"/>
        </w:trPr>
        <w:tc>
          <w:tcPr>
            <w:tcW w:w="1800" w:type="dxa"/>
            <w:vAlign w:val="bottom"/>
            <w:vMerge w:val="continue"/>
            <w:shd w:val="clear" w:color="auto" w:fill="EAEAEA"/>
          </w:tcPr>
          <w:p>
            <w:pPr>
              <w:spacing w:after="0"/>
              <w:rPr>
                <w:sz w:val="9"/>
                <w:szCs w:val="9"/>
                <w:color w:val="auto"/>
              </w:rPr>
            </w:pPr>
          </w:p>
        </w:tc>
        <w:tc>
          <w:tcPr>
            <w:tcW w:w="1020" w:type="dxa"/>
            <w:vAlign w:val="bottom"/>
            <w:gridSpan w:val="2"/>
            <w:shd w:val="clear" w:color="auto" w:fill="EAEAEA"/>
          </w:tcPr>
          <w:p>
            <w:pPr>
              <w:jc w:val="right"/>
              <w:ind w:right="40"/>
              <w:spacing w:after="0" w:line="107" w:lineRule="exact"/>
              <w:rPr>
                <w:sz w:val="20"/>
                <w:szCs w:val="20"/>
                <w:color w:val="auto"/>
              </w:rPr>
            </w:pPr>
            <w:r>
              <w:rPr>
                <w:rFonts w:ascii="Arial" w:cs="Arial" w:eastAsia="Arial" w:hAnsi="Arial"/>
                <w:sz w:val="11"/>
                <w:szCs w:val="11"/>
                <w:b w:val="1"/>
                <w:bCs w:val="1"/>
                <w:color w:val="5D89B4"/>
              </w:rPr>
              <w:t>(#)</w:t>
            </w:r>
          </w:p>
        </w:tc>
        <w:tc>
          <w:tcPr>
            <w:tcW w:w="1260" w:type="dxa"/>
            <w:vAlign w:val="bottom"/>
            <w:shd w:val="clear" w:color="auto" w:fill="EAEAEA"/>
          </w:tcPr>
          <w:p>
            <w:pPr>
              <w:jc w:val="right"/>
              <w:ind w:right="199"/>
              <w:spacing w:after="0" w:line="107" w:lineRule="exact"/>
              <w:rPr>
                <w:sz w:val="20"/>
                <w:szCs w:val="20"/>
                <w:color w:val="auto"/>
              </w:rPr>
            </w:pPr>
            <w:r>
              <w:rPr>
                <w:rFonts w:ascii="Arial" w:cs="Arial" w:eastAsia="Arial" w:hAnsi="Arial"/>
                <w:sz w:val="11"/>
                <w:szCs w:val="11"/>
                <w:b w:val="1"/>
                <w:bCs w:val="1"/>
                <w:color w:val="5D89B4"/>
              </w:rPr>
              <w:t>(#)</w:t>
            </w:r>
          </w:p>
        </w:tc>
        <w:tc>
          <w:tcPr>
            <w:tcW w:w="1020" w:type="dxa"/>
            <w:vAlign w:val="bottom"/>
            <w:shd w:val="clear" w:color="auto" w:fill="EAEAEA"/>
          </w:tcPr>
          <w:p>
            <w:pPr>
              <w:jc w:val="right"/>
              <w:ind w:right="39"/>
              <w:spacing w:after="0" w:line="107"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9"/>
                <w:szCs w:val="9"/>
                <w:color w:val="auto"/>
              </w:rPr>
            </w:pPr>
          </w:p>
        </w:tc>
        <w:tc>
          <w:tcPr>
            <w:tcW w:w="540" w:type="dxa"/>
            <w:vAlign w:val="bottom"/>
            <w:shd w:val="clear" w:color="auto" w:fill="EAEAEA"/>
          </w:tcPr>
          <w:p>
            <w:pPr>
              <w:jc w:val="right"/>
              <w:ind w:right="36"/>
              <w:spacing w:after="0" w:line="107" w:lineRule="exact"/>
              <w:rPr>
                <w:sz w:val="20"/>
                <w:szCs w:val="20"/>
                <w:color w:val="auto"/>
              </w:rPr>
            </w:pPr>
            <w:r>
              <w:rPr>
                <w:rFonts w:ascii="Arial" w:cs="Arial" w:eastAsia="Arial" w:hAnsi="Arial"/>
                <w:sz w:val="11"/>
                <w:szCs w:val="11"/>
                <w:b w:val="1"/>
                <w:bCs w:val="1"/>
                <w:color w:val="5D89B4"/>
              </w:rPr>
              <w:t>PRICE</w:t>
            </w:r>
          </w:p>
        </w:tc>
        <w:tc>
          <w:tcPr>
            <w:tcW w:w="840" w:type="dxa"/>
            <w:vAlign w:val="bottom"/>
            <w:gridSpan w:val="2"/>
            <w:shd w:val="clear" w:color="auto" w:fill="EAEAEA"/>
          </w:tcPr>
          <w:p>
            <w:pPr>
              <w:jc w:val="right"/>
              <w:ind w:right="100"/>
              <w:spacing w:after="0" w:line="107" w:lineRule="exact"/>
              <w:rPr>
                <w:sz w:val="20"/>
                <w:szCs w:val="20"/>
                <w:color w:val="auto"/>
              </w:rPr>
            </w:pPr>
            <w:r>
              <w:rPr>
                <w:rFonts w:ascii="Arial" w:cs="Arial" w:eastAsia="Arial" w:hAnsi="Arial"/>
                <w:sz w:val="11"/>
                <w:szCs w:val="11"/>
                <w:b w:val="1"/>
                <w:bCs w:val="1"/>
                <w:color w:val="5D89B4"/>
              </w:rPr>
              <w:t>EXPIRATION</w:t>
            </w:r>
          </w:p>
        </w:tc>
        <w:tc>
          <w:tcPr>
            <w:tcW w:w="1040" w:type="dxa"/>
            <w:vAlign w:val="bottom"/>
            <w:shd w:val="clear" w:color="auto" w:fill="EAEAEA"/>
          </w:tcPr>
          <w:p>
            <w:pPr>
              <w:jc w:val="right"/>
              <w:ind w:right="278"/>
              <w:spacing w:after="0" w:line="107" w:lineRule="exact"/>
              <w:rPr>
                <w:sz w:val="20"/>
                <w:szCs w:val="20"/>
                <w:color w:val="auto"/>
              </w:rPr>
            </w:pPr>
            <w:r>
              <w:rPr>
                <w:rFonts w:ascii="Arial" w:cs="Arial" w:eastAsia="Arial" w:hAnsi="Arial"/>
                <w:sz w:val="11"/>
                <w:szCs w:val="11"/>
                <w:b w:val="1"/>
                <w:bCs w:val="1"/>
                <w:color w:val="5D89B4"/>
                <w:w w:val="96"/>
              </w:rPr>
              <w:t>NOT VESTED</w:t>
            </w:r>
          </w:p>
        </w:tc>
        <w:tc>
          <w:tcPr>
            <w:tcW w:w="880" w:type="dxa"/>
            <w:vAlign w:val="bottom"/>
            <w:gridSpan w:val="2"/>
            <w:shd w:val="clear" w:color="auto" w:fill="EAEAEA"/>
          </w:tcPr>
          <w:p>
            <w:pPr>
              <w:jc w:val="right"/>
              <w:ind w:right="38"/>
              <w:spacing w:after="0" w:line="107" w:lineRule="exact"/>
              <w:rPr>
                <w:sz w:val="20"/>
                <w:szCs w:val="20"/>
                <w:color w:val="auto"/>
              </w:rPr>
            </w:pPr>
            <w:r>
              <w:rPr>
                <w:rFonts w:ascii="Arial" w:cs="Arial" w:eastAsia="Arial" w:hAnsi="Arial"/>
                <w:sz w:val="11"/>
                <w:szCs w:val="11"/>
                <w:b w:val="1"/>
                <w:bCs w:val="1"/>
                <w:color w:val="5D89B4"/>
              </w:rPr>
              <w:t>NOT VESTED</w:t>
            </w:r>
          </w:p>
        </w:tc>
        <w:tc>
          <w:tcPr>
            <w:tcW w:w="1280" w:type="dxa"/>
            <w:vAlign w:val="bottom"/>
            <w:shd w:val="clear" w:color="auto" w:fill="EAEAEA"/>
          </w:tcPr>
          <w:p>
            <w:pPr>
              <w:jc w:val="right"/>
              <w:ind w:right="260"/>
              <w:spacing w:after="0" w:line="107" w:lineRule="exact"/>
              <w:rPr>
                <w:sz w:val="20"/>
                <w:szCs w:val="20"/>
                <w:color w:val="auto"/>
              </w:rPr>
            </w:pPr>
            <w:r>
              <w:rPr>
                <w:rFonts w:ascii="Arial" w:cs="Arial" w:eastAsia="Arial" w:hAnsi="Arial"/>
                <w:sz w:val="11"/>
                <w:szCs w:val="11"/>
                <w:b w:val="1"/>
                <w:bCs w:val="1"/>
                <w:color w:val="5D89B4"/>
              </w:rPr>
              <w:t>NOT VESTED</w:t>
            </w:r>
          </w:p>
        </w:tc>
        <w:tc>
          <w:tcPr>
            <w:tcW w:w="180" w:type="dxa"/>
            <w:vAlign w:val="bottom"/>
            <w:shd w:val="clear" w:color="auto" w:fill="EAEAEA"/>
          </w:tcPr>
          <w:p>
            <w:pPr>
              <w:spacing w:after="0"/>
              <w:rPr>
                <w:sz w:val="9"/>
                <w:szCs w:val="9"/>
                <w:color w:val="auto"/>
              </w:rPr>
            </w:pPr>
          </w:p>
        </w:tc>
        <w:tc>
          <w:tcPr>
            <w:tcW w:w="820" w:type="dxa"/>
            <w:vAlign w:val="bottom"/>
            <w:shd w:val="clear" w:color="auto" w:fill="EAEAEA"/>
          </w:tcPr>
          <w:p>
            <w:pPr>
              <w:jc w:val="right"/>
              <w:spacing w:after="0" w:line="107" w:lineRule="exact"/>
              <w:rPr>
                <w:sz w:val="20"/>
                <w:szCs w:val="20"/>
                <w:color w:val="auto"/>
              </w:rPr>
            </w:pPr>
            <w:r>
              <w:rPr>
                <w:rFonts w:ascii="Arial" w:cs="Arial" w:eastAsia="Arial" w:hAnsi="Arial"/>
                <w:sz w:val="11"/>
                <w:szCs w:val="11"/>
                <w:b w:val="1"/>
                <w:bCs w:val="1"/>
                <w:color w:val="5D89B4"/>
              </w:rPr>
              <w:t>NOT VESTED</w:t>
            </w:r>
          </w:p>
        </w:tc>
        <w:tc>
          <w:tcPr>
            <w:tcW w:w="0" w:type="dxa"/>
            <w:vAlign w:val="bottom"/>
          </w:tcPr>
          <w:p>
            <w:pPr>
              <w:spacing w:after="0"/>
              <w:rPr>
                <w:sz w:val="1"/>
                <w:szCs w:val="1"/>
                <w:color w:val="auto"/>
              </w:rPr>
            </w:pPr>
          </w:p>
        </w:tc>
      </w:tr>
      <w:tr>
        <w:trPr>
          <w:trHeight w:val="193"/>
        </w:trPr>
        <w:tc>
          <w:tcPr>
            <w:tcW w:w="18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40" w:type="dxa"/>
            <w:vAlign w:val="bottom"/>
            <w:tcBorders>
              <w:bottom w:val="single" w:sz="8" w:color="EAEAEA"/>
            </w:tcBorders>
            <w:shd w:val="clear" w:color="auto" w:fill="EAEAEA"/>
          </w:tcPr>
          <w:p>
            <w:pPr>
              <w:spacing w:after="0"/>
              <w:rPr>
                <w:sz w:val="16"/>
                <w:szCs w:val="16"/>
                <w:color w:val="auto"/>
              </w:rPr>
            </w:pPr>
          </w:p>
        </w:tc>
        <w:tc>
          <w:tcPr>
            <w:tcW w:w="880" w:type="dxa"/>
            <w:vAlign w:val="bottom"/>
            <w:tcBorders>
              <w:bottom w:val="single" w:sz="8" w:color="EAEAEA"/>
            </w:tcBorders>
            <w:shd w:val="clear" w:color="auto" w:fill="EAEAEA"/>
          </w:tcPr>
          <w:p>
            <w:pPr>
              <w:jc w:val="right"/>
              <w:ind w:right="40"/>
              <w:spacing w:after="0"/>
              <w:rPr>
                <w:sz w:val="20"/>
                <w:szCs w:val="20"/>
                <w:color w:val="auto"/>
              </w:rPr>
            </w:pPr>
            <w:r>
              <w:rPr>
                <w:rFonts w:ascii="Arial" w:cs="Arial" w:eastAsia="Arial" w:hAnsi="Arial"/>
                <w:sz w:val="11"/>
                <w:szCs w:val="11"/>
                <w:b w:val="1"/>
                <w:bCs w:val="1"/>
                <w:color w:val="5D89B4"/>
                <w:w w:val="97"/>
              </w:rPr>
              <w:t>EXERCISABLE</w:t>
            </w:r>
          </w:p>
        </w:tc>
        <w:tc>
          <w:tcPr>
            <w:tcW w:w="1260" w:type="dxa"/>
            <w:vAlign w:val="bottom"/>
            <w:tcBorders>
              <w:bottom w:val="single" w:sz="8" w:color="EAEAEA"/>
            </w:tcBorders>
            <w:shd w:val="clear" w:color="auto" w:fill="EAEAEA"/>
          </w:tcPr>
          <w:p>
            <w:pPr>
              <w:jc w:val="right"/>
              <w:ind w:right="199"/>
              <w:spacing w:after="0"/>
              <w:rPr>
                <w:sz w:val="20"/>
                <w:szCs w:val="20"/>
                <w:color w:val="auto"/>
              </w:rPr>
            </w:pPr>
            <w:r>
              <w:rPr>
                <w:rFonts w:ascii="Arial" w:cs="Arial" w:eastAsia="Arial" w:hAnsi="Arial"/>
                <w:sz w:val="11"/>
                <w:szCs w:val="11"/>
                <w:b w:val="1"/>
                <w:bCs w:val="1"/>
                <w:color w:val="5D89B4"/>
              </w:rPr>
              <w:t>UNEXERCISABLE</w:t>
            </w:r>
          </w:p>
        </w:tc>
        <w:tc>
          <w:tcPr>
            <w:tcW w:w="1020" w:type="dxa"/>
            <w:vAlign w:val="bottom"/>
            <w:tcBorders>
              <w:bottom w:val="single" w:sz="8" w:color="EAEAEA"/>
            </w:tcBorders>
            <w:shd w:val="clear" w:color="auto" w:fill="EAEAEA"/>
          </w:tcPr>
          <w:p>
            <w:pPr>
              <w:jc w:val="right"/>
              <w:ind w:right="39"/>
              <w:spacing w:after="0"/>
              <w:rPr>
                <w:sz w:val="20"/>
                <w:szCs w:val="20"/>
                <w:color w:val="auto"/>
              </w:rPr>
            </w:pPr>
            <w:r>
              <w:rPr>
                <w:rFonts w:ascii="Arial" w:cs="Arial" w:eastAsia="Arial" w:hAnsi="Arial"/>
                <w:sz w:val="11"/>
                <w:szCs w:val="11"/>
                <w:b w:val="1"/>
                <w:bCs w:val="1"/>
                <w:color w:val="5D89B4"/>
              </w:rPr>
              <w:t>OPTIONS (#)</w:t>
            </w:r>
          </w:p>
        </w:tc>
        <w:tc>
          <w:tcPr>
            <w:tcW w:w="200" w:type="dxa"/>
            <w:vAlign w:val="bottom"/>
            <w:tcBorders>
              <w:bottom w:val="single" w:sz="8" w:color="EAEAEA"/>
            </w:tcBorders>
            <w:shd w:val="clear" w:color="auto" w:fill="EAEAEA"/>
          </w:tcPr>
          <w:p>
            <w:pPr>
              <w:spacing w:after="0"/>
              <w:rPr>
                <w:sz w:val="16"/>
                <w:szCs w:val="16"/>
                <w:color w:val="auto"/>
              </w:rPr>
            </w:pPr>
          </w:p>
        </w:tc>
        <w:tc>
          <w:tcPr>
            <w:tcW w:w="540" w:type="dxa"/>
            <w:vAlign w:val="bottom"/>
            <w:tcBorders>
              <w:bottom w:val="single" w:sz="8" w:color="EAEAEA"/>
            </w:tcBorders>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rPr>
              <w:t>($)</w:t>
            </w:r>
          </w:p>
        </w:tc>
        <w:tc>
          <w:tcPr>
            <w:tcW w:w="840" w:type="dxa"/>
            <w:vAlign w:val="bottom"/>
            <w:tcBorders>
              <w:bottom w:val="single" w:sz="8" w:color="EAEAEA"/>
            </w:tcBorders>
            <w:gridSpan w:val="2"/>
            <w:shd w:val="clear" w:color="auto" w:fill="EAEAEA"/>
          </w:tcPr>
          <w:p>
            <w:pPr>
              <w:jc w:val="right"/>
              <w:ind w:right="100"/>
              <w:spacing w:after="0"/>
              <w:rPr>
                <w:sz w:val="20"/>
                <w:szCs w:val="20"/>
                <w:color w:val="auto"/>
              </w:rPr>
            </w:pPr>
            <w:r>
              <w:rPr>
                <w:rFonts w:ascii="Arial" w:cs="Arial" w:eastAsia="Arial" w:hAnsi="Arial"/>
                <w:sz w:val="11"/>
                <w:szCs w:val="11"/>
                <w:b w:val="1"/>
                <w:bCs w:val="1"/>
                <w:color w:val="5D89B4"/>
              </w:rPr>
              <w:t>DATE</w:t>
            </w:r>
          </w:p>
        </w:tc>
        <w:tc>
          <w:tcPr>
            <w:tcW w:w="1040" w:type="dxa"/>
            <w:vAlign w:val="bottom"/>
            <w:tcBorders>
              <w:bottom w:val="single" w:sz="8" w:color="EAEAEA"/>
            </w:tcBorders>
            <w:shd w:val="clear" w:color="auto" w:fill="EAEAEA"/>
          </w:tcPr>
          <w:p>
            <w:pPr>
              <w:jc w:val="right"/>
              <w:ind w:right="278"/>
              <w:spacing w:after="0"/>
              <w:rPr>
                <w:sz w:val="20"/>
                <w:szCs w:val="20"/>
                <w:color w:val="auto"/>
              </w:rPr>
            </w:pPr>
            <w:r>
              <w:rPr>
                <w:rFonts w:ascii="Arial" w:cs="Arial" w:eastAsia="Arial" w:hAnsi="Arial"/>
                <w:sz w:val="11"/>
                <w:szCs w:val="11"/>
                <w:b w:val="1"/>
                <w:bCs w:val="1"/>
                <w:color w:val="5D89B4"/>
              </w:rPr>
              <w:t>(#)(1)</w:t>
            </w:r>
          </w:p>
        </w:tc>
        <w:tc>
          <w:tcPr>
            <w:tcW w:w="180" w:type="dxa"/>
            <w:vAlign w:val="bottom"/>
            <w:tcBorders>
              <w:bottom w:val="single" w:sz="8" w:color="EAEAEA"/>
            </w:tcBorders>
            <w:shd w:val="clear" w:color="auto" w:fill="EAEAEA"/>
          </w:tcPr>
          <w:p>
            <w:pPr>
              <w:spacing w:after="0"/>
              <w:rPr>
                <w:sz w:val="16"/>
                <w:szCs w:val="16"/>
                <w:color w:val="auto"/>
              </w:rPr>
            </w:pPr>
          </w:p>
        </w:tc>
        <w:tc>
          <w:tcPr>
            <w:tcW w:w="700" w:type="dxa"/>
            <w:vAlign w:val="bottom"/>
            <w:tcBorders>
              <w:bottom w:val="single" w:sz="8" w:color="EAEAEA"/>
            </w:tcBorders>
            <w:shd w:val="clear" w:color="auto" w:fill="EAEAEA"/>
          </w:tcPr>
          <w:p>
            <w:pPr>
              <w:jc w:val="right"/>
              <w:ind w:right="38"/>
              <w:spacing w:after="0"/>
              <w:rPr>
                <w:sz w:val="20"/>
                <w:szCs w:val="20"/>
                <w:color w:val="auto"/>
              </w:rPr>
            </w:pPr>
            <w:r>
              <w:rPr>
                <w:rFonts w:ascii="Arial" w:cs="Arial" w:eastAsia="Arial" w:hAnsi="Arial"/>
                <w:sz w:val="11"/>
                <w:szCs w:val="11"/>
                <w:b w:val="1"/>
                <w:bCs w:val="1"/>
                <w:color w:val="5D89B4"/>
              </w:rPr>
              <w:t>($)(2)</w:t>
            </w:r>
          </w:p>
        </w:tc>
        <w:tc>
          <w:tcPr>
            <w:tcW w:w="1280" w:type="dxa"/>
            <w:vAlign w:val="bottom"/>
            <w:tcBorders>
              <w:bottom w:val="single" w:sz="8" w:color="EAEAEA"/>
            </w:tcBorders>
            <w:shd w:val="clear" w:color="auto" w:fill="EAEAEA"/>
          </w:tcPr>
          <w:p>
            <w:pPr>
              <w:jc w:val="right"/>
              <w:ind w:right="260"/>
              <w:spacing w:after="0"/>
              <w:rPr>
                <w:sz w:val="20"/>
                <w:szCs w:val="20"/>
                <w:color w:val="auto"/>
              </w:rPr>
            </w:pPr>
            <w:r>
              <w:rPr>
                <w:rFonts w:ascii="Arial" w:cs="Arial" w:eastAsia="Arial" w:hAnsi="Arial"/>
                <w:sz w:val="11"/>
                <w:szCs w:val="11"/>
                <w:b w:val="1"/>
                <w:bCs w:val="1"/>
                <w:color w:val="5D89B4"/>
              </w:rPr>
              <w:t>(#)(3)</w:t>
            </w:r>
          </w:p>
        </w:tc>
        <w:tc>
          <w:tcPr>
            <w:tcW w:w="180" w:type="dxa"/>
            <w:vAlign w:val="bottom"/>
            <w:tcBorders>
              <w:bottom w:val="single" w:sz="8" w:color="EAEAEA"/>
            </w:tcBorders>
            <w:shd w:val="clear" w:color="auto" w:fill="EAEAEA"/>
          </w:tcPr>
          <w:p>
            <w:pPr>
              <w:spacing w:after="0"/>
              <w:rPr>
                <w:sz w:val="16"/>
                <w:szCs w:val="16"/>
                <w:color w:val="auto"/>
              </w:rPr>
            </w:pPr>
          </w:p>
        </w:tc>
        <w:tc>
          <w:tcPr>
            <w:tcW w:w="8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c>
          <w:tcPr>
            <w:tcW w:w="0" w:type="dxa"/>
            <w:vAlign w:val="bottom"/>
          </w:tcPr>
          <w:p>
            <w:pPr>
              <w:spacing w:after="0"/>
              <w:rPr>
                <w:sz w:val="1"/>
                <w:szCs w:val="1"/>
                <w:color w:val="auto"/>
              </w:rPr>
            </w:pPr>
          </w:p>
        </w:tc>
      </w:tr>
      <w:tr>
        <w:trPr>
          <w:trHeight w:val="161"/>
        </w:trPr>
        <w:tc>
          <w:tcPr>
            <w:tcW w:w="1800" w:type="dxa"/>
            <w:vAlign w:val="bottom"/>
          </w:tcPr>
          <w:p>
            <w:pPr>
              <w:ind w:left="80"/>
              <w:spacing w:after="0"/>
              <w:rPr>
                <w:sz w:val="20"/>
                <w:szCs w:val="20"/>
                <w:color w:val="auto"/>
              </w:rPr>
            </w:pPr>
            <w:r>
              <w:rPr>
                <w:rFonts w:ascii="Arial" w:cs="Arial" w:eastAsia="Arial" w:hAnsi="Arial"/>
                <w:sz w:val="13"/>
                <w:szCs w:val="13"/>
                <w:b w:val="1"/>
                <w:bCs w:val="1"/>
                <w:color w:val="auto"/>
              </w:rPr>
              <w:t>Richard Buchband</w:t>
            </w: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7,114</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75.07</w:t>
            </w:r>
          </w:p>
        </w:tc>
        <w:tc>
          <w:tcPr>
            <w:tcW w:w="780" w:type="dxa"/>
            <w:vAlign w:val="bottom"/>
          </w:tcPr>
          <w:p>
            <w:pPr>
              <w:jc w:val="right"/>
              <w:spacing w:after="0"/>
              <w:rPr>
                <w:sz w:val="20"/>
                <w:szCs w:val="20"/>
                <w:color w:val="auto"/>
              </w:rPr>
            </w:pPr>
            <w:r>
              <w:rPr>
                <w:rFonts w:ascii="Arial" w:cs="Arial" w:eastAsia="Arial" w:hAnsi="Arial"/>
                <w:sz w:val="13"/>
                <w:szCs w:val="13"/>
                <w:color w:val="auto"/>
              </w:rPr>
              <w:t>2/16/2026</w:t>
            </w:r>
          </w:p>
        </w:tc>
        <w:tc>
          <w:tcPr>
            <w:tcW w:w="60" w:type="dxa"/>
            <w:vAlign w:val="bottom"/>
          </w:tcPr>
          <w:p>
            <w:pPr>
              <w:spacing w:after="0"/>
              <w:rPr>
                <w:sz w:val="13"/>
                <w:szCs w:val="13"/>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ind w:left="80"/>
              <w:spacing w:after="0"/>
              <w:rPr>
                <w:sz w:val="20"/>
                <w:szCs w:val="20"/>
                <w:color w:val="auto"/>
              </w:rPr>
            </w:pPr>
            <w:r>
              <w:rPr>
                <w:rFonts w:ascii="Arial" w:cs="Arial" w:eastAsia="Arial" w:hAnsi="Arial"/>
                <w:sz w:val="13"/>
                <w:szCs w:val="13"/>
                <w:color w:val="auto"/>
              </w:rPr>
              <w:t>SVP, General Counsel</w:t>
            </w: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6,255</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96.94</w:t>
            </w:r>
          </w:p>
        </w:tc>
        <w:tc>
          <w:tcPr>
            <w:tcW w:w="780" w:type="dxa"/>
            <w:vAlign w:val="bottom"/>
          </w:tcPr>
          <w:p>
            <w:pPr>
              <w:jc w:val="right"/>
              <w:spacing w:after="0"/>
              <w:rPr>
                <w:sz w:val="20"/>
                <w:szCs w:val="20"/>
                <w:color w:val="auto"/>
              </w:rPr>
            </w:pPr>
            <w:r>
              <w:rPr>
                <w:rFonts w:ascii="Arial" w:cs="Arial" w:eastAsia="Arial" w:hAnsi="Arial"/>
                <w:sz w:val="13"/>
                <w:szCs w:val="13"/>
                <w:color w:val="auto"/>
              </w:rPr>
              <w:t>2/9/2027</w:t>
            </w:r>
          </w:p>
        </w:tc>
        <w:tc>
          <w:tcPr>
            <w:tcW w:w="6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ind w:left="80"/>
              <w:spacing w:after="0"/>
              <w:rPr>
                <w:sz w:val="20"/>
                <w:szCs w:val="20"/>
                <w:color w:val="auto"/>
              </w:rPr>
            </w:pPr>
            <w:r>
              <w:rPr>
                <w:rFonts w:ascii="Arial" w:cs="Arial" w:eastAsia="Arial" w:hAnsi="Arial"/>
                <w:sz w:val="13"/>
                <w:szCs w:val="13"/>
                <w:color w:val="auto"/>
              </w:rPr>
              <w:t>and Secretary</w:t>
            </w: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5,086</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122.87</w:t>
            </w:r>
          </w:p>
        </w:tc>
        <w:tc>
          <w:tcPr>
            <w:tcW w:w="780" w:type="dxa"/>
            <w:vAlign w:val="bottom"/>
          </w:tcPr>
          <w:p>
            <w:pPr>
              <w:jc w:val="right"/>
              <w:spacing w:after="0"/>
              <w:rPr>
                <w:sz w:val="20"/>
                <w:szCs w:val="20"/>
                <w:color w:val="auto"/>
              </w:rPr>
            </w:pPr>
            <w:r>
              <w:rPr>
                <w:rFonts w:ascii="Arial" w:cs="Arial" w:eastAsia="Arial" w:hAnsi="Arial"/>
                <w:sz w:val="13"/>
                <w:szCs w:val="13"/>
                <w:color w:val="auto"/>
              </w:rPr>
              <w:t>2/15/2028</w:t>
            </w:r>
          </w:p>
        </w:tc>
        <w:tc>
          <w:tcPr>
            <w:tcW w:w="6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8,999</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84.43</w:t>
            </w:r>
          </w:p>
        </w:tc>
        <w:tc>
          <w:tcPr>
            <w:tcW w:w="780" w:type="dxa"/>
            <w:vAlign w:val="bottom"/>
          </w:tcPr>
          <w:p>
            <w:pPr>
              <w:jc w:val="right"/>
              <w:spacing w:after="0"/>
              <w:rPr>
                <w:sz w:val="20"/>
                <w:szCs w:val="20"/>
                <w:color w:val="auto"/>
              </w:rPr>
            </w:pPr>
            <w:r>
              <w:rPr>
                <w:rFonts w:ascii="Arial" w:cs="Arial" w:eastAsia="Arial" w:hAnsi="Arial"/>
                <w:sz w:val="13"/>
                <w:szCs w:val="13"/>
                <w:color w:val="auto"/>
              </w:rPr>
              <w:t>2/15/2029</w:t>
            </w:r>
          </w:p>
        </w:tc>
        <w:tc>
          <w:tcPr>
            <w:tcW w:w="6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6,333</w:t>
            </w:r>
          </w:p>
        </w:tc>
        <w:tc>
          <w:tcPr>
            <w:tcW w:w="1260" w:type="dxa"/>
            <w:vAlign w:val="bottom"/>
          </w:tcPr>
          <w:p>
            <w:pPr>
              <w:jc w:val="right"/>
              <w:ind w:right="19"/>
              <w:spacing w:after="0"/>
              <w:rPr>
                <w:sz w:val="20"/>
                <w:szCs w:val="20"/>
                <w:color w:val="auto"/>
              </w:rPr>
            </w:pPr>
            <w:r>
              <w:rPr>
                <w:rFonts w:ascii="Arial" w:cs="Arial" w:eastAsia="Arial" w:hAnsi="Arial"/>
                <w:sz w:val="13"/>
                <w:szCs w:val="13"/>
                <w:color w:val="auto"/>
              </w:rPr>
              <w:t>2,111(4)</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92.70</w:t>
            </w:r>
          </w:p>
        </w:tc>
        <w:tc>
          <w:tcPr>
            <w:tcW w:w="780" w:type="dxa"/>
            <w:vAlign w:val="bottom"/>
          </w:tcPr>
          <w:p>
            <w:pPr>
              <w:jc w:val="right"/>
              <w:spacing w:after="0"/>
              <w:rPr>
                <w:sz w:val="20"/>
                <w:szCs w:val="20"/>
                <w:color w:val="auto"/>
              </w:rPr>
            </w:pPr>
            <w:r>
              <w:rPr>
                <w:rFonts w:ascii="Arial" w:cs="Arial" w:eastAsia="Arial" w:hAnsi="Arial"/>
                <w:sz w:val="13"/>
                <w:szCs w:val="13"/>
                <w:color w:val="auto"/>
              </w:rPr>
              <w:t>2/14/2030</w:t>
            </w:r>
          </w:p>
        </w:tc>
        <w:tc>
          <w:tcPr>
            <w:tcW w:w="6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3,505</w:t>
            </w:r>
          </w:p>
        </w:tc>
        <w:tc>
          <w:tcPr>
            <w:tcW w:w="1260" w:type="dxa"/>
            <w:vAlign w:val="bottom"/>
          </w:tcPr>
          <w:p>
            <w:pPr>
              <w:jc w:val="right"/>
              <w:ind w:right="19"/>
              <w:spacing w:after="0"/>
              <w:rPr>
                <w:sz w:val="20"/>
                <w:szCs w:val="20"/>
                <w:color w:val="auto"/>
              </w:rPr>
            </w:pPr>
            <w:r>
              <w:rPr>
                <w:rFonts w:ascii="Arial" w:cs="Arial" w:eastAsia="Arial" w:hAnsi="Arial"/>
                <w:sz w:val="13"/>
                <w:szCs w:val="13"/>
                <w:color w:val="auto"/>
              </w:rPr>
              <w:t>3,504(5)</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92.49</w:t>
            </w:r>
          </w:p>
        </w:tc>
        <w:tc>
          <w:tcPr>
            <w:tcW w:w="780" w:type="dxa"/>
            <w:vAlign w:val="bottom"/>
          </w:tcPr>
          <w:p>
            <w:pPr>
              <w:jc w:val="right"/>
              <w:spacing w:after="0"/>
              <w:rPr>
                <w:sz w:val="20"/>
                <w:szCs w:val="20"/>
                <w:color w:val="auto"/>
              </w:rPr>
            </w:pPr>
            <w:r>
              <w:rPr>
                <w:rFonts w:ascii="Arial" w:cs="Arial" w:eastAsia="Arial" w:hAnsi="Arial"/>
                <w:sz w:val="13"/>
                <w:szCs w:val="13"/>
                <w:color w:val="auto"/>
              </w:rPr>
              <w:t>2/12/2031</w:t>
            </w:r>
          </w:p>
        </w:tc>
        <w:tc>
          <w:tcPr>
            <w:tcW w:w="6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8"/>
              <w:spacing w:after="0"/>
              <w:rPr>
                <w:sz w:val="20"/>
                <w:szCs w:val="20"/>
                <w:color w:val="auto"/>
              </w:rPr>
            </w:pPr>
            <w:r>
              <w:rPr>
                <w:rFonts w:ascii="Arial" w:cs="Arial" w:eastAsia="Arial" w:hAnsi="Arial"/>
                <w:sz w:val="13"/>
                <w:szCs w:val="13"/>
                <w:color w:val="auto"/>
              </w:rPr>
              <w:t>1,900(6)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150,993</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8"/>
              <w:spacing w:after="0"/>
              <w:rPr>
                <w:sz w:val="20"/>
                <w:szCs w:val="20"/>
                <w:color w:val="auto"/>
              </w:rPr>
            </w:pPr>
            <w:r>
              <w:rPr>
                <w:rFonts w:ascii="Arial" w:cs="Arial" w:eastAsia="Arial" w:hAnsi="Arial"/>
                <w:sz w:val="13"/>
                <w:szCs w:val="13"/>
                <w:color w:val="auto"/>
              </w:rPr>
              <w:t>3,914(7)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311,046</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8"/>
              <w:spacing w:after="0"/>
              <w:rPr>
                <w:sz w:val="20"/>
                <w:szCs w:val="20"/>
                <w:color w:val="auto"/>
              </w:rPr>
            </w:pPr>
            <w:r>
              <w:rPr>
                <w:rFonts w:ascii="Arial" w:cs="Arial" w:eastAsia="Arial" w:hAnsi="Arial"/>
                <w:sz w:val="13"/>
                <w:szCs w:val="13"/>
                <w:color w:val="auto"/>
              </w:rPr>
              <w:t>4,704(8)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373,827</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10,121(10)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804,316</w:t>
            </w:r>
          </w:p>
        </w:tc>
        <w:tc>
          <w:tcPr>
            <w:tcW w:w="1280" w:type="dxa"/>
            <w:vAlign w:val="bottom"/>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40"/>
              <w:spacing w:after="0"/>
              <w:rPr>
                <w:sz w:val="20"/>
                <w:szCs w:val="20"/>
                <w:color w:val="auto"/>
              </w:rPr>
            </w:pPr>
            <w:r>
              <w:rPr>
                <w:rFonts w:ascii="Arial" w:cs="Arial" w:eastAsia="Arial" w:hAnsi="Arial"/>
                <w:sz w:val="13"/>
                <w:szCs w:val="13"/>
                <w:color w:val="auto"/>
              </w:rPr>
              <w:t>5,871(11)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466,568</w:t>
            </w: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20"/>
              <w:spacing w:after="0"/>
              <w:rPr>
                <w:sz w:val="20"/>
                <w:szCs w:val="20"/>
                <w:color w:val="auto"/>
              </w:rPr>
            </w:pPr>
            <w:r>
              <w:rPr>
                <w:rFonts w:ascii="Arial" w:cs="Arial" w:eastAsia="Arial" w:hAnsi="Arial"/>
                <w:sz w:val="13"/>
                <w:szCs w:val="13"/>
                <w:color w:val="auto"/>
              </w:rPr>
              <w:t>7,057(12)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560,820</w:t>
            </w:r>
          </w:p>
        </w:tc>
        <w:tc>
          <w:tcPr>
            <w:tcW w:w="0" w:type="dxa"/>
            <w:vAlign w:val="bottom"/>
          </w:tcPr>
          <w:p>
            <w:pPr>
              <w:spacing w:after="0"/>
              <w:rPr>
                <w:sz w:val="1"/>
                <w:szCs w:val="1"/>
                <w:color w:val="auto"/>
              </w:rPr>
            </w:pPr>
          </w:p>
        </w:tc>
      </w:tr>
      <w:tr>
        <w:trPr>
          <w:trHeight w:val="51"/>
        </w:trPr>
        <w:tc>
          <w:tcPr>
            <w:tcW w:w="1800" w:type="dxa"/>
            <w:vAlign w:val="bottom"/>
            <w:tcBorders>
              <w:bottom w:val="single" w:sz="8" w:color="5D89B4"/>
            </w:tcBorders>
          </w:tcPr>
          <w:p>
            <w:pPr>
              <w:spacing w:after="0"/>
              <w:rPr>
                <w:sz w:val="4"/>
                <w:szCs w:val="4"/>
                <w:color w:val="auto"/>
              </w:rPr>
            </w:pPr>
          </w:p>
        </w:tc>
        <w:tc>
          <w:tcPr>
            <w:tcW w:w="1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c>
          <w:tcPr>
            <w:tcW w:w="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RSUs, career shares or earned but unvested PSUs.</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Value based on the closing price of $79.47 on December 31, 2023.</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outstanding grants of PSUs.</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14, 2024.</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12, 2024 and the remaining unvested options are scheduled to vest on February 12, 2025.</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RSUs vested on February 12, 2024.</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RSUs scheduled to vest on February 11, 2025.</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RSUs scheduled to vest on February 17, 2026.</w:t>
      </w:r>
    </w:p>
    <w:p>
      <w:pPr>
        <w:spacing w:after="0" w:line="65" w:lineRule="exact"/>
        <w:rPr>
          <w:rFonts w:ascii="Arial" w:cs="Arial" w:eastAsia="Arial" w:hAnsi="Arial"/>
          <w:sz w:val="14"/>
          <w:szCs w:val="14"/>
          <w:color w:val="auto"/>
        </w:rPr>
      </w:pPr>
    </w:p>
    <w:p>
      <w:pPr>
        <w:ind w:left="600" w:hanging="420"/>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Career Shares scheduled to vest on February 11, 2027.</w:t>
      </w:r>
    </w:p>
    <w:p>
      <w:pPr>
        <w:spacing w:after="0" w:line="65" w:lineRule="exact"/>
        <w:rPr>
          <w:rFonts w:ascii="Arial" w:cs="Arial" w:eastAsia="Arial" w:hAnsi="Arial"/>
          <w:sz w:val="14"/>
          <w:szCs w:val="14"/>
          <w:color w:val="auto"/>
        </w:rPr>
      </w:pPr>
    </w:p>
    <w:p>
      <w:pPr>
        <w:ind w:left="600" w:right="180" w:hanging="420"/>
        <w:spacing w:after="0" w:line="280"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PSUs represent the actual shares achieved under the 2021 Annual Grant of PSUs for the 2021 performance period and 3-year holding period. These shares were earned on February 16, 2024 after the Committee certified the performance achieved as of December 31, 2023.</w:t>
      </w:r>
    </w:p>
    <w:p>
      <w:pPr>
        <w:spacing w:after="0" w:line="11" w:lineRule="exact"/>
        <w:rPr>
          <w:rFonts w:ascii="Arial" w:cs="Arial" w:eastAsia="Arial" w:hAnsi="Arial"/>
          <w:sz w:val="14"/>
          <w:szCs w:val="14"/>
          <w:color w:val="auto"/>
        </w:rPr>
      </w:pPr>
    </w:p>
    <w:p>
      <w:pPr>
        <w:ind w:left="600" w:right="100" w:hanging="420"/>
        <w:spacing w:after="0" w:line="280"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PSUs, reported at the target level, scheduled to vest in February 2025 if the Committee certifies that the performance targets are achieved as of December 31, 2024, subject to the discretionary application of the KPI modifier by the Committee.</w:t>
      </w:r>
    </w:p>
    <w:p>
      <w:pPr>
        <w:spacing w:after="0" w:line="11" w:lineRule="exact"/>
        <w:rPr>
          <w:rFonts w:ascii="Arial" w:cs="Arial" w:eastAsia="Arial" w:hAnsi="Arial"/>
          <w:sz w:val="14"/>
          <w:szCs w:val="14"/>
          <w:color w:val="auto"/>
        </w:rPr>
      </w:pPr>
    </w:p>
    <w:p>
      <w:pPr>
        <w:ind w:left="600" w:right="100" w:hanging="420"/>
        <w:spacing w:after="0" w:line="280"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PSUs, reported at the target level, scheduled to vest in February 2026 if the Committee certifies that the performance targets are achieved as of December 31, 2025, subject to the discretionary application of the KPI modifier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72390</wp:posOffset>
            </wp:positionV>
            <wp:extent cx="69138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3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2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b w:val="1"/>
                <w:bCs w:val="1"/>
                <w:color w:val="5D89B4"/>
                <w:w w:val="98"/>
              </w:rPr>
              <w:t>COMPENSATION TABLES</w:t>
            </w:r>
          </w:p>
        </w:tc>
      </w:tr>
      <w:tr>
        <w:trPr>
          <w:trHeight w:val="446"/>
        </w:trPr>
        <w:tc>
          <w:tcPr>
            <w:tcW w:w="5200" w:type="dxa"/>
            <w:vAlign w:val="bottom"/>
            <w:gridSpan w:val="3"/>
          </w:tcPr>
          <w:p>
            <w:pPr>
              <w:spacing w:after="0"/>
              <w:rPr>
                <w:sz w:val="20"/>
                <w:szCs w:val="20"/>
                <w:color w:val="auto"/>
              </w:rPr>
            </w:pPr>
            <w:r>
              <w:rPr>
                <w:rFonts w:ascii="Arial" w:cs="Arial" w:eastAsia="Arial" w:hAnsi="Arial"/>
                <w:sz w:val="25"/>
                <w:szCs w:val="25"/>
                <w:b w:val="1"/>
                <w:bCs w:val="1"/>
                <w:color w:val="5D89B4"/>
              </w:rPr>
              <w:t>Option Exercises and Stock Vested in 2023</w:t>
            </w: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5"/>
        </w:trPr>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3380" w:type="dxa"/>
            <w:vAlign w:val="bottom"/>
            <w:gridSpan w:val="2"/>
          </w:tcPr>
          <w:p>
            <w:pPr>
              <w:spacing w:after="0"/>
              <w:rPr>
                <w:sz w:val="18"/>
                <w:szCs w:val="18"/>
                <w:color w:val="auto"/>
              </w:rPr>
            </w:pPr>
          </w:p>
        </w:tc>
      </w:tr>
      <w:tr>
        <w:trPr>
          <w:trHeight w:val="299"/>
        </w:trPr>
        <w:tc>
          <w:tcPr>
            <w:tcW w:w="2540" w:type="dxa"/>
            <w:vAlign w:val="bottom"/>
            <w:tcBorders>
              <w:bottom w:val="single" w:sz="8" w:color="EAEAEA"/>
            </w:tcBorders>
            <w:shd w:val="clear" w:color="auto" w:fill="EAEAEA"/>
          </w:tcPr>
          <w:p>
            <w:pPr>
              <w:spacing w:after="0"/>
              <w:rPr>
                <w:sz w:val="24"/>
                <w:szCs w:val="24"/>
                <w:color w:val="auto"/>
              </w:rPr>
            </w:pPr>
          </w:p>
        </w:tc>
        <w:tc>
          <w:tcPr>
            <w:tcW w:w="660" w:type="dxa"/>
            <w:vAlign w:val="bottom"/>
            <w:tcBorders>
              <w:bottom w:val="single" w:sz="8" w:color="EAEAEA"/>
            </w:tcBorders>
            <w:shd w:val="clear" w:color="auto" w:fill="EAEAEA"/>
          </w:tcPr>
          <w:p>
            <w:pPr>
              <w:spacing w:after="0"/>
              <w:rPr>
                <w:sz w:val="24"/>
                <w:szCs w:val="24"/>
                <w:color w:val="auto"/>
              </w:rPr>
            </w:pPr>
          </w:p>
        </w:tc>
        <w:tc>
          <w:tcPr>
            <w:tcW w:w="4300" w:type="dxa"/>
            <w:vAlign w:val="bottom"/>
            <w:tcBorders>
              <w:bottom w:val="single" w:sz="8" w:color="EAEAEA"/>
            </w:tcBorders>
            <w:gridSpan w:val="3"/>
            <w:shd w:val="clear" w:color="auto" w:fill="EAEAEA"/>
          </w:tcPr>
          <w:p>
            <w:pPr>
              <w:ind w:left="1180"/>
              <w:spacing w:after="0"/>
              <w:rPr>
                <w:sz w:val="20"/>
                <w:szCs w:val="20"/>
                <w:color w:val="auto"/>
              </w:rPr>
            </w:pPr>
            <w:r>
              <w:rPr>
                <w:rFonts w:ascii="Arial" w:cs="Arial" w:eastAsia="Arial" w:hAnsi="Arial"/>
                <w:sz w:val="14"/>
                <w:szCs w:val="14"/>
                <w:b w:val="1"/>
                <w:bCs w:val="1"/>
                <w:color w:val="5D89B4"/>
              </w:rPr>
              <w:t>OPTION AWARDS</w:t>
            </w:r>
          </w:p>
        </w:tc>
        <w:tc>
          <w:tcPr>
            <w:tcW w:w="3380" w:type="dxa"/>
            <w:vAlign w:val="bottom"/>
            <w:tcBorders>
              <w:bottom w:val="single" w:sz="8" w:color="EAEAEA"/>
            </w:tcBorders>
            <w:gridSpan w:val="2"/>
            <w:shd w:val="clear" w:color="auto" w:fill="EAEAEA"/>
          </w:tcPr>
          <w:p>
            <w:pPr>
              <w:jc w:val="right"/>
              <w:ind w:right="1066"/>
              <w:spacing w:after="0"/>
              <w:rPr>
                <w:sz w:val="20"/>
                <w:szCs w:val="20"/>
                <w:color w:val="auto"/>
              </w:rPr>
            </w:pPr>
            <w:r>
              <w:rPr>
                <w:rFonts w:ascii="Arial" w:cs="Arial" w:eastAsia="Arial" w:hAnsi="Arial"/>
                <w:sz w:val="14"/>
                <w:szCs w:val="14"/>
                <w:b w:val="1"/>
                <w:bCs w:val="1"/>
                <w:color w:val="5D89B4"/>
              </w:rPr>
              <w:t>STOCK AWARDS</w:t>
            </w:r>
          </w:p>
        </w:tc>
      </w:tr>
      <w:tr>
        <w:trPr>
          <w:trHeight w:val="198"/>
        </w:trPr>
        <w:tc>
          <w:tcPr>
            <w:tcW w:w="2540" w:type="dxa"/>
            <w:vAlign w:val="bottom"/>
            <w:tcBorders>
              <w:top w:val="single" w:sz="8" w:color="EAEAEA"/>
            </w:tcBorders>
            <w:shd w:val="clear" w:color="auto" w:fill="EAEAEA"/>
          </w:tcPr>
          <w:p>
            <w:pPr>
              <w:spacing w:after="0"/>
              <w:rPr>
                <w:sz w:val="17"/>
                <w:szCs w:val="17"/>
                <w:color w:val="auto"/>
              </w:rPr>
            </w:pPr>
          </w:p>
        </w:tc>
        <w:tc>
          <w:tcPr>
            <w:tcW w:w="660" w:type="dxa"/>
            <w:vAlign w:val="bottom"/>
            <w:tcBorders>
              <w:top w:val="single" w:sz="8" w:color="EAEAEA"/>
            </w:tcBorders>
            <w:shd w:val="clear" w:color="auto" w:fill="EAEAEA"/>
          </w:tcPr>
          <w:p>
            <w:pPr>
              <w:spacing w:after="0"/>
              <w:rPr>
                <w:sz w:val="17"/>
                <w:szCs w:val="17"/>
                <w:color w:val="auto"/>
              </w:rPr>
            </w:pPr>
          </w:p>
        </w:tc>
        <w:tc>
          <w:tcPr>
            <w:tcW w:w="2000" w:type="dxa"/>
            <w:vAlign w:val="bottom"/>
            <w:tcBorders>
              <w:top w:val="single" w:sz="8" w:color="5D89B4"/>
            </w:tcBorders>
            <w:shd w:val="clear" w:color="auto" w:fill="EAEAEA"/>
          </w:tcPr>
          <w:p>
            <w:pPr>
              <w:jc w:val="right"/>
              <w:ind w:right="527"/>
              <w:spacing w:after="0"/>
              <w:rPr>
                <w:sz w:val="20"/>
                <w:szCs w:val="20"/>
                <w:color w:val="auto"/>
              </w:rPr>
            </w:pPr>
            <w:r>
              <w:rPr>
                <w:rFonts w:ascii="Arial" w:cs="Arial" w:eastAsia="Arial" w:hAnsi="Arial"/>
                <w:sz w:val="14"/>
                <w:szCs w:val="14"/>
                <w:b w:val="1"/>
                <w:bCs w:val="1"/>
                <w:color w:val="5D89B4"/>
              </w:rPr>
              <w:t>NUMBER OF</w:t>
            </w:r>
          </w:p>
        </w:tc>
        <w:tc>
          <w:tcPr>
            <w:tcW w:w="1640" w:type="dxa"/>
            <w:vAlign w:val="bottom"/>
            <w:tcBorders>
              <w:top w:val="single" w:sz="8" w:color="5D89B4"/>
            </w:tcBorders>
            <w:shd w:val="clear" w:color="auto" w:fill="EAEAEA"/>
          </w:tcPr>
          <w:p>
            <w:pPr>
              <w:spacing w:after="0"/>
              <w:rPr>
                <w:sz w:val="17"/>
                <w:szCs w:val="17"/>
                <w:color w:val="auto"/>
              </w:rPr>
            </w:pPr>
          </w:p>
        </w:tc>
        <w:tc>
          <w:tcPr>
            <w:tcW w:w="660" w:type="dxa"/>
            <w:vAlign w:val="bottom"/>
            <w:tcBorders>
              <w:top w:val="single" w:sz="8" w:color="EAEAEA"/>
            </w:tcBorders>
            <w:shd w:val="clear" w:color="auto" w:fill="EAEAEA"/>
          </w:tcPr>
          <w:p>
            <w:pPr>
              <w:spacing w:after="0"/>
              <w:rPr>
                <w:sz w:val="17"/>
                <w:szCs w:val="17"/>
                <w:color w:val="auto"/>
              </w:rPr>
            </w:pPr>
          </w:p>
        </w:tc>
        <w:tc>
          <w:tcPr>
            <w:tcW w:w="1400" w:type="dxa"/>
            <w:vAlign w:val="bottom"/>
            <w:tcBorders>
              <w:top w:val="single" w:sz="8" w:color="5D89B4"/>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NUMBER OF</w:t>
            </w:r>
          </w:p>
        </w:tc>
        <w:tc>
          <w:tcPr>
            <w:tcW w:w="1980" w:type="dxa"/>
            <w:vAlign w:val="bottom"/>
            <w:tcBorders>
              <w:top w:val="single" w:sz="8" w:color="5D89B4"/>
            </w:tcBorders>
            <w:shd w:val="clear" w:color="auto" w:fill="EAEAEA"/>
          </w:tcPr>
          <w:p>
            <w:pPr>
              <w:spacing w:after="0"/>
              <w:rPr>
                <w:sz w:val="17"/>
                <w:szCs w:val="17"/>
                <w:color w:val="auto"/>
              </w:rPr>
            </w:pPr>
          </w:p>
        </w:tc>
      </w:tr>
      <w:tr>
        <w:trPr>
          <w:trHeight w:val="160"/>
        </w:trPr>
        <w:tc>
          <w:tcPr>
            <w:tcW w:w="254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2000" w:type="dxa"/>
            <w:vAlign w:val="bottom"/>
            <w:shd w:val="clear" w:color="auto" w:fill="EAEAEA"/>
          </w:tcPr>
          <w:p>
            <w:pPr>
              <w:jc w:val="right"/>
              <w:ind w:right="527"/>
              <w:spacing w:after="0"/>
              <w:rPr>
                <w:sz w:val="20"/>
                <w:szCs w:val="20"/>
                <w:color w:val="auto"/>
              </w:rPr>
            </w:pPr>
            <w:r>
              <w:rPr>
                <w:rFonts w:ascii="Arial" w:cs="Arial" w:eastAsia="Arial" w:hAnsi="Arial"/>
                <w:sz w:val="14"/>
                <w:szCs w:val="14"/>
                <w:b w:val="1"/>
                <w:bCs w:val="1"/>
                <w:color w:val="5D89B4"/>
              </w:rPr>
              <w:t>SHARES ACQUIRED</w:t>
            </w:r>
          </w:p>
        </w:tc>
        <w:tc>
          <w:tcPr>
            <w:tcW w:w="2300" w:type="dxa"/>
            <w:vAlign w:val="bottom"/>
            <w:gridSpan w:val="2"/>
            <w:shd w:val="clear" w:color="auto" w:fill="EAEAEA"/>
          </w:tcPr>
          <w:p>
            <w:pPr>
              <w:jc w:val="right"/>
              <w:ind w:right="720"/>
              <w:spacing w:after="0"/>
              <w:rPr>
                <w:sz w:val="20"/>
                <w:szCs w:val="20"/>
                <w:color w:val="auto"/>
              </w:rPr>
            </w:pPr>
            <w:r>
              <w:rPr>
                <w:rFonts w:ascii="Arial" w:cs="Arial" w:eastAsia="Arial" w:hAnsi="Arial"/>
                <w:sz w:val="14"/>
                <w:szCs w:val="14"/>
                <w:b w:val="1"/>
                <w:bCs w:val="1"/>
                <w:color w:val="5D89B4"/>
              </w:rPr>
              <w:t>VALUE REALIZED ON</w:t>
            </w:r>
          </w:p>
        </w:tc>
        <w:tc>
          <w:tcPr>
            <w:tcW w:w="140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w w:val="99"/>
              </w:rPr>
              <w:t>SHARES ACQUIRED</w:t>
            </w:r>
          </w:p>
        </w:tc>
        <w:tc>
          <w:tcPr>
            <w:tcW w:w="19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VALUE REALIZED</w:t>
            </w:r>
          </w:p>
        </w:tc>
      </w:tr>
      <w:tr>
        <w:trPr>
          <w:trHeight w:val="160"/>
        </w:trPr>
        <w:tc>
          <w:tcPr>
            <w:tcW w:w="254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2000" w:type="dxa"/>
            <w:vAlign w:val="bottom"/>
            <w:shd w:val="clear" w:color="auto" w:fill="EAEAEA"/>
          </w:tcPr>
          <w:p>
            <w:pPr>
              <w:jc w:val="right"/>
              <w:ind w:right="527"/>
              <w:spacing w:after="0"/>
              <w:rPr>
                <w:sz w:val="20"/>
                <w:szCs w:val="20"/>
                <w:color w:val="auto"/>
              </w:rPr>
            </w:pPr>
            <w:r>
              <w:rPr>
                <w:rFonts w:ascii="Arial" w:cs="Arial" w:eastAsia="Arial" w:hAnsi="Arial"/>
                <w:sz w:val="14"/>
                <w:szCs w:val="14"/>
                <w:b w:val="1"/>
                <w:bCs w:val="1"/>
                <w:color w:val="5D89B4"/>
              </w:rPr>
              <w:t>ON EXERCISE</w:t>
            </w:r>
          </w:p>
        </w:tc>
        <w:tc>
          <w:tcPr>
            <w:tcW w:w="2300" w:type="dxa"/>
            <w:vAlign w:val="bottom"/>
            <w:gridSpan w:val="2"/>
            <w:shd w:val="clear" w:color="auto" w:fill="EAEAEA"/>
          </w:tcPr>
          <w:p>
            <w:pPr>
              <w:jc w:val="right"/>
              <w:ind w:right="720"/>
              <w:spacing w:after="0"/>
              <w:rPr>
                <w:sz w:val="20"/>
                <w:szCs w:val="20"/>
                <w:color w:val="auto"/>
              </w:rPr>
            </w:pPr>
            <w:r>
              <w:rPr>
                <w:rFonts w:ascii="Arial" w:cs="Arial" w:eastAsia="Arial" w:hAnsi="Arial"/>
                <w:sz w:val="14"/>
                <w:szCs w:val="14"/>
                <w:b w:val="1"/>
                <w:bCs w:val="1"/>
                <w:color w:val="5D89B4"/>
              </w:rPr>
              <w:t>EXERCISE</w:t>
            </w:r>
          </w:p>
        </w:tc>
        <w:tc>
          <w:tcPr>
            <w:tcW w:w="140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ON VESTING</w:t>
            </w:r>
          </w:p>
        </w:tc>
        <w:tc>
          <w:tcPr>
            <w:tcW w:w="19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ON VESTING</w:t>
            </w:r>
          </w:p>
        </w:tc>
      </w:tr>
      <w:tr>
        <w:trPr>
          <w:trHeight w:val="216"/>
        </w:trPr>
        <w:tc>
          <w:tcPr>
            <w:tcW w:w="25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 POSITION</w:t>
            </w:r>
          </w:p>
        </w:tc>
        <w:tc>
          <w:tcPr>
            <w:tcW w:w="2660" w:type="dxa"/>
            <w:vAlign w:val="bottom"/>
            <w:tcBorders>
              <w:bottom w:val="single" w:sz="8" w:color="EAEAEA"/>
            </w:tcBorders>
            <w:gridSpan w:val="2"/>
            <w:shd w:val="clear" w:color="auto" w:fill="EAEAEA"/>
          </w:tcPr>
          <w:p>
            <w:pPr>
              <w:jc w:val="right"/>
              <w:ind w:right="527"/>
              <w:spacing w:after="0"/>
              <w:rPr>
                <w:sz w:val="20"/>
                <w:szCs w:val="20"/>
                <w:color w:val="auto"/>
              </w:rPr>
            </w:pPr>
            <w:r>
              <w:rPr>
                <w:rFonts w:ascii="Arial" w:cs="Arial" w:eastAsia="Arial" w:hAnsi="Arial"/>
                <w:sz w:val="14"/>
                <w:szCs w:val="14"/>
                <w:b w:val="1"/>
                <w:bCs w:val="1"/>
                <w:color w:val="5D89B4"/>
              </w:rPr>
              <w:t>(#)</w:t>
            </w:r>
          </w:p>
        </w:tc>
        <w:tc>
          <w:tcPr>
            <w:tcW w:w="16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w:t>
            </w:r>
          </w:p>
        </w:tc>
        <w:tc>
          <w:tcPr>
            <w:tcW w:w="660" w:type="dxa"/>
            <w:vAlign w:val="bottom"/>
            <w:tcBorders>
              <w:bottom w:val="single" w:sz="8" w:color="EAEAEA"/>
            </w:tcBorders>
            <w:shd w:val="clear" w:color="auto" w:fill="EAEAEA"/>
          </w:tcPr>
          <w:p>
            <w:pPr>
              <w:spacing w:after="0"/>
              <w:rPr>
                <w:sz w:val="18"/>
                <w:szCs w:val="18"/>
                <w:color w:val="auto"/>
              </w:rPr>
            </w:pPr>
          </w:p>
        </w:tc>
        <w:tc>
          <w:tcPr>
            <w:tcW w:w="14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(#)(1)</w:t>
            </w:r>
          </w:p>
        </w:tc>
        <w:tc>
          <w:tcPr>
            <w:tcW w:w="19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w:t>
            </w:r>
          </w:p>
        </w:tc>
      </w:tr>
      <w:tr>
        <w:trPr>
          <w:trHeight w:val="218"/>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04"/>
        </w:trPr>
        <w:tc>
          <w:tcPr>
            <w:tcW w:w="2540" w:type="dxa"/>
            <w:vAlign w:val="bottom"/>
          </w:tcPr>
          <w:p>
            <w:pPr>
              <w:ind w:left="80"/>
              <w:spacing w:after="0"/>
              <w:rPr>
                <w:sz w:val="20"/>
                <w:szCs w:val="20"/>
                <w:color w:val="auto"/>
              </w:rPr>
            </w:pPr>
            <w:r>
              <w:rPr>
                <w:rFonts w:ascii="Arial" w:cs="Arial" w:eastAsia="Arial" w:hAnsi="Arial"/>
                <w:sz w:val="14"/>
                <w:szCs w:val="14"/>
                <w:color w:val="333333"/>
              </w:rPr>
              <w:t>CEO</w:t>
            </w:r>
          </w:p>
        </w:tc>
        <w:tc>
          <w:tcPr>
            <w:tcW w:w="660" w:type="dxa"/>
            <w:vAlign w:val="bottom"/>
          </w:tcPr>
          <w:p>
            <w:pPr>
              <w:spacing w:after="0"/>
              <w:rPr>
                <w:sz w:val="17"/>
                <w:szCs w:val="17"/>
                <w:color w:val="auto"/>
              </w:rPr>
            </w:pPr>
          </w:p>
        </w:tc>
        <w:tc>
          <w:tcPr>
            <w:tcW w:w="2000" w:type="dxa"/>
            <w:vAlign w:val="bottom"/>
          </w:tcPr>
          <w:p>
            <w:pPr>
              <w:jc w:val="right"/>
              <w:ind w:right="527"/>
              <w:spacing w:after="0"/>
              <w:rPr>
                <w:sz w:val="20"/>
                <w:szCs w:val="20"/>
                <w:color w:val="auto"/>
              </w:rPr>
            </w:pPr>
            <w:r>
              <w:rPr>
                <w:rFonts w:ascii="Arial" w:cs="Arial" w:eastAsia="Arial" w:hAnsi="Arial"/>
                <w:sz w:val="15"/>
                <w:szCs w:val="15"/>
                <w:color w:val="auto"/>
              </w:rPr>
              <w:t>—</w:t>
            </w:r>
          </w:p>
        </w:tc>
        <w:tc>
          <w:tcPr>
            <w:tcW w:w="23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110,064</w:t>
            </w:r>
          </w:p>
        </w:tc>
        <w:tc>
          <w:tcPr>
            <w:tcW w:w="1980" w:type="dxa"/>
            <w:vAlign w:val="bottom"/>
          </w:tcPr>
          <w:p>
            <w:pPr>
              <w:jc w:val="right"/>
              <w:spacing w:after="0"/>
              <w:rPr>
                <w:sz w:val="20"/>
                <w:szCs w:val="20"/>
                <w:color w:val="auto"/>
              </w:rPr>
            </w:pPr>
            <w:r>
              <w:rPr>
                <w:rFonts w:ascii="Arial" w:cs="Arial" w:eastAsia="Arial" w:hAnsi="Arial"/>
                <w:sz w:val="15"/>
                <w:szCs w:val="15"/>
                <w:color w:val="auto"/>
              </w:rPr>
              <w:t>9,730,034</w:t>
            </w:r>
          </w:p>
        </w:tc>
      </w:tr>
      <w:tr>
        <w:trPr>
          <w:trHeight w:val="45"/>
        </w:trPr>
        <w:tc>
          <w:tcPr>
            <w:tcW w:w="25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140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r>
      <w:tr>
        <w:trPr>
          <w:trHeight w:val="198"/>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6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4"/>
        </w:trPr>
        <w:tc>
          <w:tcPr>
            <w:tcW w:w="2540" w:type="dxa"/>
            <w:vAlign w:val="bottom"/>
          </w:tcPr>
          <w:p>
            <w:pPr>
              <w:ind w:left="80"/>
              <w:spacing w:after="0"/>
              <w:rPr>
                <w:sz w:val="20"/>
                <w:szCs w:val="20"/>
                <w:color w:val="auto"/>
              </w:rPr>
            </w:pPr>
            <w:r>
              <w:rPr>
                <w:rFonts w:ascii="Arial" w:cs="Arial" w:eastAsia="Arial" w:hAnsi="Arial"/>
                <w:sz w:val="14"/>
                <w:szCs w:val="14"/>
                <w:color w:val="333333"/>
              </w:rPr>
              <w:t>CFO</w:t>
            </w:r>
          </w:p>
        </w:tc>
        <w:tc>
          <w:tcPr>
            <w:tcW w:w="660" w:type="dxa"/>
            <w:vAlign w:val="bottom"/>
          </w:tcPr>
          <w:p>
            <w:pPr>
              <w:spacing w:after="0"/>
              <w:rPr>
                <w:sz w:val="17"/>
                <w:szCs w:val="17"/>
                <w:color w:val="auto"/>
              </w:rPr>
            </w:pPr>
          </w:p>
        </w:tc>
        <w:tc>
          <w:tcPr>
            <w:tcW w:w="2000" w:type="dxa"/>
            <w:vAlign w:val="bottom"/>
          </w:tcPr>
          <w:p>
            <w:pPr>
              <w:jc w:val="right"/>
              <w:ind w:right="527"/>
              <w:spacing w:after="0"/>
              <w:rPr>
                <w:sz w:val="20"/>
                <w:szCs w:val="20"/>
                <w:color w:val="auto"/>
              </w:rPr>
            </w:pPr>
            <w:r>
              <w:rPr>
                <w:rFonts w:ascii="Arial" w:cs="Arial" w:eastAsia="Arial" w:hAnsi="Arial"/>
                <w:sz w:val="15"/>
                <w:szCs w:val="15"/>
                <w:color w:val="auto"/>
              </w:rPr>
              <w:t>—</w:t>
            </w:r>
          </w:p>
        </w:tc>
        <w:tc>
          <w:tcPr>
            <w:tcW w:w="23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33,021</w:t>
            </w:r>
          </w:p>
        </w:tc>
        <w:tc>
          <w:tcPr>
            <w:tcW w:w="1980" w:type="dxa"/>
            <w:vAlign w:val="bottom"/>
          </w:tcPr>
          <w:p>
            <w:pPr>
              <w:jc w:val="right"/>
              <w:spacing w:after="0"/>
              <w:rPr>
                <w:sz w:val="20"/>
                <w:szCs w:val="20"/>
                <w:color w:val="auto"/>
              </w:rPr>
            </w:pPr>
            <w:r>
              <w:rPr>
                <w:rFonts w:ascii="Arial" w:cs="Arial" w:eastAsia="Arial" w:hAnsi="Arial"/>
                <w:sz w:val="15"/>
                <w:szCs w:val="15"/>
                <w:color w:val="auto"/>
              </w:rPr>
              <w:t>2,919,170</w:t>
            </w:r>
          </w:p>
        </w:tc>
      </w:tr>
      <w:tr>
        <w:trPr>
          <w:trHeight w:val="45"/>
        </w:trPr>
        <w:tc>
          <w:tcPr>
            <w:tcW w:w="25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140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r>
      <w:tr>
        <w:trPr>
          <w:trHeight w:val="198"/>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6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4"/>
        </w:trPr>
        <w:tc>
          <w:tcPr>
            <w:tcW w:w="2540" w:type="dxa"/>
            <w:vAlign w:val="bottom"/>
          </w:tcPr>
          <w:p>
            <w:pPr>
              <w:ind w:left="80"/>
              <w:spacing w:after="0"/>
              <w:rPr>
                <w:sz w:val="20"/>
                <w:szCs w:val="20"/>
                <w:color w:val="auto"/>
              </w:rPr>
            </w:pPr>
            <w:r>
              <w:rPr>
                <w:rFonts w:ascii="Arial" w:cs="Arial" w:eastAsia="Arial" w:hAnsi="Arial"/>
                <w:sz w:val="14"/>
                <w:szCs w:val="14"/>
                <w:color w:val="333333"/>
              </w:rPr>
              <w:t>Chief People and Culture Officer</w:t>
            </w:r>
          </w:p>
        </w:tc>
        <w:tc>
          <w:tcPr>
            <w:tcW w:w="660" w:type="dxa"/>
            <w:vAlign w:val="bottom"/>
          </w:tcPr>
          <w:p>
            <w:pPr>
              <w:spacing w:after="0"/>
              <w:rPr>
                <w:sz w:val="17"/>
                <w:szCs w:val="17"/>
                <w:color w:val="auto"/>
              </w:rPr>
            </w:pPr>
          </w:p>
        </w:tc>
        <w:tc>
          <w:tcPr>
            <w:tcW w:w="2000" w:type="dxa"/>
            <w:vAlign w:val="bottom"/>
          </w:tcPr>
          <w:p>
            <w:pPr>
              <w:jc w:val="right"/>
              <w:ind w:right="527"/>
              <w:spacing w:after="0"/>
              <w:rPr>
                <w:sz w:val="20"/>
                <w:szCs w:val="20"/>
                <w:color w:val="auto"/>
              </w:rPr>
            </w:pPr>
            <w:r>
              <w:rPr>
                <w:rFonts w:ascii="Arial" w:cs="Arial" w:eastAsia="Arial" w:hAnsi="Arial"/>
                <w:sz w:val="15"/>
                <w:szCs w:val="15"/>
                <w:color w:val="auto"/>
              </w:rPr>
              <w:t>—</w:t>
            </w:r>
          </w:p>
        </w:tc>
        <w:tc>
          <w:tcPr>
            <w:tcW w:w="23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14,405</w:t>
            </w:r>
          </w:p>
        </w:tc>
        <w:tc>
          <w:tcPr>
            <w:tcW w:w="1980" w:type="dxa"/>
            <w:vAlign w:val="bottom"/>
          </w:tcPr>
          <w:p>
            <w:pPr>
              <w:jc w:val="right"/>
              <w:spacing w:after="0"/>
              <w:rPr>
                <w:sz w:val="20"/>
                <w:szCs w:val="20"/>
                <w:color w:val="auto"/>
              </w:rPr>
            </w:pPr>
            <w:r>
              <w:rPr>
                <w:rFonts w:ascii="Arial" w:cs="Arial" w:eastAsia="Arial" w:hAnsi="Arial"/>
                <w:sz w:val="15"/>
                <w:szCs w:val="15"/>
                <w:color w:val="auto"/>
              </w:rPr>
              <w:t>1,227,050</w:t>
            </w:r>
          </w:p>
        </w:tc>
      </w:tr>
      <w:tr>
        <w:trPr>
          <w:trHeight w:val="45"/>
        </w:trPr>
        <w:tc>
          <w:tcPr>
            <w:tcW w:w="25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140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r>
      <w:tr>
        <w:trPr>
          <w:trHeight w:val="198"/>
        </w:trPr>
        <w:tc>
          <w:tcPr>
            <w:tcW w:w="25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6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4"/>
        </w:trPr>
        <w:tc>
          <w:tcPr>
            <w:tcW w:w="2540" w:type="dxa"/>
            <w:vAlign w:val="bottom"/>
          </w:tcPr>
          <w:p>
            <w:pPr>
              <w:ind w:left="80"/>
              <w:spacing w:after="0"/>
              <w:rPr>
                <w:sz w:val="20"/>
                <w:szCs w:val="20"/>
                <w:color w:val="auto"/>
              </w:rPr>
            </w:pPr>
            <w:r>
              <w:rPr>
                <w:rFonts w:ascii="Arial" w:cs="Arial" w:eastAsia="Arial" w:hAnsi="Arial"/>
                <w:sz w:val="14"/>
                <w:szCs w:val="14"/>
                <w:color w:val="333333"/>
              </w:rPr>
              <w:t>SVP, General Counsel and Secretary</w:t>
            </w:r>
          </w:p>
        </w:tc>
        <w:tc>
          <w:tcPr>
            <w:tcW w:w="660" w:type="dxa"/>
            <w:vAlign w:val="bottom"/>
          </w:tcPr>
          <w:p>
            <w:pPr>
              <w:spacing w:after="0"/>
              <w:rPr>
                <w:sz w:val="17"/>
                <w:szCs w:val="17"/>
                <w:color w:val="auto"/>
              </w:rPr>
            </w:pPr>
          </w:p>
        </w:tc>
        <w:tc>
          <w:tcPr>
            <w:tcW w:w="2000" w:type="dxa"/>
            <w:vAlign w:val="bottom"/>
          </w:tcPr>
          <w:p>
            <w:pPr>
              <w:jc w:val="right"/>
              <w:ind w:right="527"/>
              <w:spacing w:after="0"/>
              <w:rPr>
                <w:sz w:val="20"/>
                <w:szCs w:val="20"/>
                <w:color w:val="auto"/>
              </w:rPr>
            </w:pPr>
            <w:r>
              <w:rPr>
                <w:rFonts w:ascii="Arial" w:cs="Arial" w:eastAsia="Arial" w:hAnsi="Arial"/>
                <w:sz w:val="15"/>
                <w:szCs w:val="15"/>
                <w:color w:val="auto"/>
              </w:rPr>
              <w:t>—</w:t>
            </w:r>
          </w:p>
        </w:tc>
        <w:tc>
          <w:tcPr>
            <w:tcW w:w="23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8,805</w:t>
            </w:r>
          </w:p>
        </w:tc>
        <w:tc>
          <w:tcPr>
            <w:tcW w:w="1980" w:type="dxa"/>
            <w:vAlign w:val="bottom"/>
          </w:tcPr>
          <w:p>
            <w:pPr>
              <w:jc w:val="right"/>
              <w:spacing w:after="0"/>
              <w:rPr>
                <w:sz w:val="20"/>
                <w:szCs w:val="20"/>
                <w:color w:val="auto"/>
              </w:rPr>
            </w:pPr>
            <w:r>
              <w:rPr>
                <w:rFonts w:ascii="Arial" w:cs="Arial" w:eastAsia="Arial" w:hAnsi="Arial"/>
                <w:sz w:val="15"/>
                <w:szCs w:val="15"/>
                <w:color w:val="auto"/>
              </w:rPr>
              <w:t>773,548</w:t>
            </w:r>
          </w:p>
        </w:tc>
      </w:tr>
      <w:tr>
        <w:trPr>
          <w:trHeight w:val="45"/>
        </w:trPr>
        <w:tc>
          <w:tcPr>
            <w:tcW w:w="25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200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660" w:type="dxa"/>
            <w:vAlign w:val="bottom"/>
            <w:tcBorders>
              <w:bottom w:val="single" w:sz="8" w:color="5D89B4"/>
            </w:tcBorders>
          </w:tcPr>
          <w:p>
            <w:pPr>
              <w:spacing w:after="0"/>
              <w:rPr>
                <w:sz w:val="3"/>
                <w:szCs w:val="3"/>
                <w:color w:val="auto"/>
              </w:rPr>
            </w:pPr>
          </w:p>
        </w:tc>
        <w:tc>
          <w:tcPr>
            <w:tcW w:w="140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hanging="420"/>
        <w:spacing w:after="0"/>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vesting of RSUs and PSUs as follows:</w:t>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440" w:type="dxa"/>
            <w:vAlign w:val="bottom"/>
          </w:tcPr>
          <w:p>
            <w:pPr>
              <w:spacing w:after="0"/>
              <w:rPr>
                <w:sz w:val="23"/>
                <w:szCs w:val="23"/>
                <w:color w:val="auto"/>
              </w:rPr>
            </w:pPr>
          </w:p>
        </w:tc>
        <w:tc>
          <w:tcPr>
            <w:tcW w:w="53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2620" w:type="dxa"/>
            <w:vAlign w:val="bottom"/>
            <w:tcBorders>
              <w:bottom w:val="single" w:sz="8" w:color="EAEAEA"/>
            </w:tcBorders>
            <w:shd w:val="clear" w:color="auto" w:fill="EAEAEA"/>
          </w:tcPr>
          <w:p>
            <w:pPr>
              <w:jc w:val="right"/>
              <w:ind w:right="644"/>
              <w:spacing w:after="0"/>
              <w:rPr>
                <w:sz w:val="20"/>
                <w:szCs w:val="20"/>
                <w:color w:val="auto"/>
              </w:rPr>
            </w:pPr>
            <w:r>
              <w:rPr>
                <w:rFonts w:ascii="Arial" w:cs="Arial" w:eastAsia="Arial" w:hAnsi="Arial"/>
                <w:sz w:val="14"/>
                <w:szCs w:val="14"/>
                <w:b w:val="1"/>
                <w:bCs w:val="1"/>
                <w:color w:val="5D89B4"/>
              </w:rPr>
              <w:t>NUMBER OF RSUs</w:t>
            </w:r>
          </w:p>
        </w:tc>
        <w:tc>
          <w:tcPr>
            <w:tcW w:w="20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NUMBER OF PSUs</w:t>
            </w:r>
          </w:p>
        </w:tc>
        <w:tc>
          <w:tcPr>
            <w:tcW w:w="440" w:type="dxa"/>
            <w:vAlign w:val="bottom"/>
          </w:tcPr>
          <w:p>
            <w:pPr>
              <w:spacing w:after="0"/>
              <w:rPr>
                <w:sz w:val="23"/>
                <w:szCs w:val="23"/>
                <w:color w:val="auto"/>
              </w:rPr>
            </w:pPr>
          </w:p>
        </w:tc>
      </w:tr>
      <w:tr>
        <w:trPr>
          <w:trHeight w:val="252"/>
        </w:trPr>
        <w:tc>
          <w:tcPr>
            <w:tcW w:w="440" w:type="dxa"/>
            <w:vAlign w:val="bottom"/>
          </w:tcPr>
          <w:p>
            <w:pPr>
              <w:spacing w:after="0"/>
              <w:rPr>
                <w:sz w:val="21"/>
                <w:szCs w:val="21"/>
                <w:color w:val="auto"/>
              </w:rPr>
            </w:pPr>
          </w:p>
        </w:tc>
        <w:tc>
          <w:tcPr>
            <w:tcW w:w="53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620" w:type="dxa"/>
            <w:vAlign w:val="bottom"/>
          </w:tcPr>
          <w:p>
            <w:pPr>
              <w:jc w:val="right"/>
              <w:ind w:right="644"/>
              <w:spacing w:after="0"/>
              <w:rPr>
                <w:sz w:val="20"/>
                <w:szCs w:val="20"/>
                <w:color w:val="auto"/>
              </w:rPr>
            </w:pPr>
            <w:r>
              <w:rPr>
                <w:rFonts w:ascii="Arial" w:cs="Arial" w:eastAsia="Arial" w:hAnsi="Arial"/>
                <w:sz w:val="15"/>
                <w:szCs w:val="15"/>
                <w:color w:val="auto"/>
              </w:rPr>
              <w:t>23,568</w:t>
            </w:r>
          </w:p>
        </w:tc>
        <w:tc>
          <w:tcPr>
            <w:tcW w:w="2040" w:type="dxa"/>
            <w:vAlign w:val="bottom"/>
          </w:tcPr>
          <w:p>
            <w:pPr>
              <w:jc w:val="right"/>
              <w:spacing w:after="0"/>
              <w:rPr>
                <w:sz w:val="20"/>
                <w:szCs w:val="20"/>
                <w:color w:val="auto"/>
              </w:rPr>
            </w:pPr>
            <w:r>
              <w:rPr>
                <w:rFonts w:ascii="Arial" w:cs="Arial" w:eastAsia="Arial" w:hAnsi="Arial"/>
                <w:sz w:val="15"/>
                <w:szCs w:val="15"/>
                <w:color w:val="auto"/>
              </w:rPr>
              <w:t>86,496</w:t>
            </w:r>
          </w:p>
        </w:tc>
        <w:tc>
          <w:tcPr>
            <w:tcW w:w="440" w:type="dxa"/>
            <w:vAlign w:val="bottom"/>
          </w:tcPr>
          <w:p>
            <w:pPr>
              <w:spacing w:after="0"/>
              <w:rPr>
                <w:sz w:val="21"/>
                <w:szCs w:val="21"/>
                <w:color w:val="auto"/>
              </w:rPr>
            </w:pPr>
          </w:p>
        </w:tc>
      </w:tr>
      <w:tr>
        <w:trPr>
          <w:trHeight w:val="41"/>
        </w:trPr>
        <w:tc>
          <w:tcPr>
            <w:tcW w:w="440" w:type="dxa"/>
            <w:vAlign w:val="bottom"/>
          </w:tcPr>
          <w:p>
            <w:pPr>
              <w:spacing w:after="0"/>
              <w:rPr>
                <w:sz w:val="3"/>
                <w:szCs w:val="3"/>
                <w:color w:val="auto"/>
              </w:rPr>
            </w:pPr>
          </w:p>
        </w:tc>
        <w:tc>
          <w:tcPr>
            <w:tcW w:w="534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c>
          <w:tcPr>
            <w:tcW w:w="2040" w:type="dxa"/>
            <w:vAlign w:val="bottom"/>
            <w:tcBorders>
              <w:bottom w:val="single" w:sz="8" w:color="5D89B4"/>
            </w:tcBorders>
          </w:tcPr>
          <w:p>
            <w:pPr>
              <w:spacing w:after="0"/>
              <w:rPr>
                <w:sz w:val="3"/>
                <w:szCs w:val="3"/>
                <w:color w:val="auto"/>
              </w:rPr>
            </w:pPr>
          </w:p>
        </w:tc>
        <w:tc>
          <w:tcPr>
            <w:tcW w:w="440" w:type="dxa"/>
            <w:vAlign w:val="bottom"/>
          </w:tcPr>
          <w:p>
            <w:pPr>
              <w:spacing w:after="0"/>
              <w:rPr>
                <w:sz w:val="3"/>
                <w:szCs w:val="3"/>
                <w:color w:val="auto"/>
              </w:rPr>
            </w:pPr>
          </w:p>
        </w:tc>
      </w:tr>
      <w:tr>
        <w:trPr>
          <w:trHeight w:val="232"/>
        </w:trPr>
        <w:tc>
          <w:tcPr>
            <w:tcW w:w="440" w:type="dxa"/>
            <w:vAlign w:val="bottom"/>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620" w:type="dxa"/>
            <w:vAlign w:val="bottom"/>
          </w:tcPr>
          <w:p>
            <w:pPr>
              <w:jc w:val="right"/>
              <w:ind w:right="644"/>
              <w:spacing w:after="0"/>
              <w:rPr>
                <w:sz w:val="20"/>
                <w:szCs w:val="20"/>
                <w:color w:val="auto"/>
              </w:rPr>
            </w:pPr>
            <w:r>
              <w:rPr>
                <w:rFonts w:ascii="Arial" w:cs="Arial" w:eastAsia="Arial" w:hAnsi="Arial"/>
                <w:sz w:val="15"/>
                <w:szCs w:val="15"/>
                <w:color w:val="auto"/>
              </w:rPr>
              <w:t>7,071</w:t>
            </w:r>
          </w:p>
        </w:tc>
        <w:tc>
          <w:tcPr>
            <w:tcW w:w="2040" w:type="dxa"/>
            <w:vAlign w:val="bottom"/>
          </w:tcPr>
          <w:p>
            <w:pPr>
              <w:jc w:val="right"/>
              <w:spacing w:after="0"/>
              <w:rPr>
                <w:sz w:val="20"/>
                <w:szCs w:val="20"/>
                <w:color w:val="auto"/>
              </w:rPr>
            </w:pPr>
            <w:r>
              <w:rPr>
                <w:rFonts w:ascii="Arial" w:cs="Arial" w:eastAsia="Arial" w:hAnsi="Arial"/>
                <w:sz w:val="15"/>
                <w:szCs w:val="15"/>
                <w:color w:val="auto"/>
              </w:rPr>
              <w:t>25,950</w:t>
            </w:r>
          </w:p>
        </w:tc>
        <w:tc>
          <w:tcPr>
            <w:tcW w:w="440" w:type="dxa"/>
            <w:vAlign w:val="bottom"/>
          </w:tcPr>
          <w:p>
            <w:pPr>
              <w:spacing w:after="0"/>
              <w:rPr>
                <w:sz w:val="20"/>
                <w:szCs w:val="20"/>
                <w:color w:val="auto"/>
              </w:rPr>
            </w:pPr>
          </w:p>
        </w:tc>
      </w:tr>
      <w:tr>
        <w:trPr>
          <w:trHeight w:val="41"/>
        </w:trPr>
        <w:tc>
          <w:tcPr>
            <w:tcW w:w="440" w:type="dxa"/>
            <w:vAlign w:val="bottom"/>
          </w:tcPr>
          <w:p>
            <w:pPr>
              <w:spacing w:after="0"/>
              <w:rPr>
                <w:sz w:val="3"/>
                <w:szCs w:val="3"/>
                <w:color w:val="auto"/>
              </w:rPr>
            </w:pPr>
          </w:p>
        </w:tc>
        <w:tc>
          <w:tcPr>
            <w:tcW w:w="534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c>
          <w:tcPr>
            <w:tcW w:w="2040" w:type="dxa"/>
            <w:vAlign w:val="bottom"/>
            <w:tcBorders>
              <w:bottom w:val="single" w:sz="8" w:color="5D89B4"/>
            </w:tcBorders>
          </w:tcPr>
          <w:p>
            <w:pPr>
              <w:spacing w:after="0"/>
              <w:rPr>
                <w:sz w:val="3"/>
                <w:szCs w:val="3"/>
                <w:color w:val="auto"/>
              </w:rPr>
            </w:pPr>
          </w:p>
        </w:tc>
        <w:tc>
          <w:tcPr>
            <w:tcW w:w="440" w:type="dxa"/>
            <w:vAlign w:val="bottom"/>
          </w:tcPr>
          <w:p>
            <w:pPr>
              <w:spacing w:after="0"/>
              <w:rPr>
                <w:sz w:val="3"/>
                <w:szCs w:val="3"/>
                <w:color w:val="auto"/>
              </w:rPr>
            </w:pPr>
          </w:p>
        </w:tc>
      </w:tr>
      <w:tr>
        <w:trPr>
          <w:trHeight w:val="232"/>
        </w:trPr>
        <w:tc>
          <w:tcPr>
            <w:tcW w:w="440" w:type="dxa"/>
            <w:vAlign w:val="bottom"/>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620" w:type="dxa"/>
            <w:vAlign w:val="bottom"/>
          </w:tcPr>
          <w:p>
            <w:pPr>
              <w:jc w:val="right"/>
              <w:ind w:right="644"/>
              <w:spacing w:after="0"/>
              <w:rPr>
                <w:sz w:val="20"/>
                <w:szCs w:val="20"/>
                <w:color w:val="auto"/>
              </w:rPr>
            </w:pPr>
            <w:r>
              <w:rPr>
                <w:rFonts w:ascii="Arial" w:cs="Arial" w:eastAsia="Arial" w:hAnsi="Arial"/>
                <w:sz w:val="15"/>
                <w:szCs w:val="15"/>
                <w:color w:val="auto"/>
              </w:rPr>
              <w:t>5,755</w:t>
            </w:r>
          </w:p>
        </w:tc>
        <w:tc>
          <w:tcPr>
            <w:tcW w:w="2040" w:type="dxa"/>
            <w:vAlign w:val="bottom"/>
          </w:tcPr>
          <w:p>
            <w:pPr>
              <w:jc w:val="right"/>
              <w:spacing w:after="0"/>
              <w:rPr>
                <w:sz w:val="20"/>
                <w:szCs w:val="20"/>
                <w:color w:val="auto"/>
              </w:rPr>
            </w:pPr>
            <w:r>
              <w:rPr>
                <w:rFonts w:ascii="Arial" w:cs="Arial" w:eastAsia="Arial" w:hAnsi="Arial"/>
                <w:sz w:val="15"/>
                <w:szCs w:val="15"/>
                <w:color w:val="auto"/>
              </w:rPr>
              <w:t>8,650</w:t>
            </w:r>
          </w:p>
        </w:tc>
        <w:tc>
          <w:tcPr>
            <w:tcW w:w="440" w:type="dxa"/>
            <w:vAlign w:val="bottom"/>
          </w:tcPr>
          <w:p>
            <w:pPr>
              <w:spacing w:after="0"/>
              <w:rPr>
                <w:sz w:val="20"/>
                <w:szCs w:val="20"/>
                <w:color w:val="auto"/>
              </w:rPr>
            </w:pPr>
          </w:p>
        </w:tc>
      </w:tr>
      <w:tr>
        <w:trPr>
          <w:trHeight w:val="41"/>
        </w:trPr>
        <w:tc>
          <w:tcPr>
            <w:tcW w:w="440" w:type="dxa"/>
            <w:vAlign w:val="bottom"/>
          </w:tcPr>
          <w:p>
            <w:pPr>
              <w:spacing w:after="0"/>
              <w:rPr>
                <w:sz w:val="3"/>
                <w:szCs w:val="3"/>
                <w:color w:val="auto"/>
              </w:rPr>
            </w:pPr>
          </w:p>
        </w:tc>
        <w:tc>
          <w:tcPr>
            <w:tcW w:w="534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c>
          <w:tcPr>
            <w:tcW w:w="2040" w:type="dxa"/>
            <w:vAlign w:val="bottom"/>
            <w:tcBorders>
              <w:bottom w:val="single" w:sz="8" w:color="5D89B4"/>
            </w:tcBorders>
          </w:tcPr>
          <w:p>
            <w:pPr>
              <w:spacing w:after="0"/>
              <w:rPr>
                <w:sz w:val="3"/>
                <w:szCs w:val="3"/>
                <w:color w:val="auto"/>
              </w:rPr>
            </w:pPr>
          </w:p>
        </w:tc>
        <w:tc>
          <w:tcPr>
            <w:tcW w:w="440" w:type="dxa"/>
            <w:vAlign w:val="bottom"/>
          </w:tcPr>
          <w:p>
            <w:pPr>
              <w:spacing w:after="0"/>
              <w:rPr>
                <w:sz w:val="3"/>
                <w:szCs w:val="3"/>
                <w:color w:val="auto"/>
              </w:rPr>
            </w:pPr>
          </w:p>
        </w:tc>
      </w:tr>
      <w:tr>
        <w:trPr>
          <w:trHeight w:val="232"/>
        </w:trPr>
        <w:tc>
          <w:tcPr>
            <w:tcW w:w="440" w:type="dxa"/>
            <w:vAlign w:val="bottom"/>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620" w:type="dxa"/>
            <w:vAlign w:val="bottom"/>
          </w:tcPr>
          <w:p>
            <w:pPr>
              <w:jc w:val="right"/>
              <w:ind w:right="644"/>
              <w:spacing w:after="0"/>
              <w:rPr>
                <w:sz w:val="20"/>
                <w:szCs w:val="20"/>
                <w:color w:val="auto"/>
              </w:rPr>
            </w:pPr>
            <w:r>
              <w:rPr>
                <w:rFonts w:ascii="Arial" w:cs="Arial" w:eastAsia="Arial" w:hAnsi="Arial"/>
                <w:sz w:val="15"/>
                <w:szCs w:val="15"/>
                <w:color w:val="auto"/>
              </w:rPr>
              <w:t>1,885</w:t>
            </w:r>
          </w:p>
        </w:tc>
        <w:tc>
          <w:tcPr>
            <w:tcW w:w="2040" w:type="dxa"/>
            <w:vAlign w:val="bottom"/>
          </w:tcPr>
          <w:p>
            <w:pPr>
              <w:jc w:val="right"/>
              <w:spacing w:after="0"/>
              <w:rPr>
                <w:sz w:val="20"/>
                <w:szCs w:val="20"/>
                <w:color w:val="auto"/>
              </w:rPr>
            </w:pPr>
            <w:r>
              <w:rPr>
                <w:rFonts w:ascii="Arial" w:cs="Arial" w:eastAsia="Arial" w:hAnsi="Arial"/>
                <w:sz w:val="15"/>
                <w:szCs w:val="15"/>
                <w:color w:val="auto"/>
              </w:rPr>
              <w:t>6,920</w:t>
            </w:r>
          </w:p>
        </w:tc>
        <w:tc>
          <w:tcPr>
            <w:tcW w:w="440" w:type="dxa"/>
            <w:vAlign w:val="bottom"/>
          </w:tcPr>
          <w:p>
            <w:pPr>
              <w:spacing w:after="0"/>
              <w:rPr>
                <w:sz w:val="20"/>
                <w:szCs w:val="20"/>
                <w:color w:val="auto"/>
              </w:rPr>
            </w:pPr>
          </w:p>
        </w:tc>
      </w:tr>
      <w:tr>
        <w:trPr>
          <w:trHeight w:val="41"/>
        </w:trPr>
        <w:tc>
          <w:tcPr>
            <w:tcW w:w="440" w:type="dxa"/>
            <w:vAlign w:val="bottom"/>
          </w:tcPr>
          <w:p>
            <w:pPr>
              <w:spacing w:after="0"/>
              <w:rPr>
                <w:sz w:val="3"/>
                <w:szCs w:val="3"/>
                <w:color w:val="auto"/>
              </w:rPr>
            </w:pPr>
          </w:p>
        </w:tc>
        <w:tc>
          <w:tcPr>
            <w:tcW w:w="534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c>
          <w:tcPr>
            <w:tcW w:w="2040" w:type="dxa"/>
            <w:vAlign w:val="bottom"/>
            <w:tcBorders>
              <w:bottom w:val="single" w:sz="8" w:color="5D89B4"/>
            </w:tcBorders>
          </w:tcPr>
          <w:p>
            <w:pPr>
              <w:spacing w:after="0"/>
              <w:rPr>
                <w:sz w:val="3"/>
                <w:szCs w:val="3"/>
                <w:color w:val="auto"/>
              </w:rPr>
            </w:pPr>
          </w:p>
        </w:tc>
        <w:tc>
          <w:tcPr>
            <w:tcW w:w="440" w:type="dxa"/>
            <w:vAlign w:val="bottom"/>
          </w:tcPr>
          <w:p>
            <w:pPr>
              <w:spacing w:after="0"/>
              <w:rPr>
                <w:sz w:val="3"/>
                <w:szCs w:val="3"/>
                <w:color w:val="auto"/>
              </w:rPr>
            </w:pPr>
          </w:p>
        </w:tc>
      </w:tr>
      <w:tr>
        <w:trPr>
          <w:trHeight w:val="153"/>
        </w:trPr>
        <w:tc>
          <w:tcPr>
            <w:tcW w:w="440" w:type="dxa"/>
            <w:vAlign w:val="bottom"/>
            <w:tcBorders>
              <w:bottom w:val="single" w:sz="8" w:color="5D89B4"/>
            </w:tcBorders>
          </w:tcPr>
          <w:p>
            <w:pPr>
              <w:spacing w:after="0"/>
              <w:rPr>
                <w:sz w:val="13"/>
                <w:szCs w:val="13"/>
                <w:color w:val="auto"/>
              </w:rPr>
            </w:pPr>
          </w:p>
        </w:tc>
        <w:tc>
          <w:tcPr>
            <w:tcW w:w="5340" w:type="dxa"/>
            <w:vAlign w:val="bottom"/>
            <w:tcBorders>
              <w:bottom w:val="single" w:sz="8" w:color="5D89B4"/>
            </w:tcBorders>
          </w:tcPr>
          <w:p>
            <w:pPr>
              <w:spacing w:after="0"/>
              <w:rPr>
                <w:sz w:val="13"/>
                <w:szCs w:val="13"/>
                <w:color w:val="auto"/>
              </w:rPr>
            </w:pPr>
          </w:p>
        </w:tc>
        <w:tc>
          <w:tcPr>
            <w:tcW w:w="2620" w:type="dxa"/>
            <w:vAlign w:val="bottom"/>
            <w:tcBorders>
              <w:bottom w:val="single" w:sz="8" w:color="5D89B4"/>
            </w:tcBorders>
          </w:tcPr>
          <w:p>
            <w:pPr>
              <w:spacing w:after="0"/>
              <w:rPr>
                <w:sz w:val="13"/>
                <w:szCs w:val="13"/>
                <w:color w:val="auto"/>
              </w:rPr>
            </w:pPr>
          </w:p>
        </w:tc>
        <w:tc>
          <w:tcPr>
            <w:tcW w:w="2040" w:type="dxa"/>
            <w:vAlign w:val="bottom"/>
            <w:tcBorders>
              <w:bottom w:val="single" w:sz="8" w:color="5D89B4"/>
            </w:tcBorders>
          </w:tcPr>
          <w:p>
            <w:pPr>
              <w:spacing w:after="0"/>
              <w:rPr>
                <w:sz w:val="13"/>
                <w:szCs w:val="13"/>
                <w:color w:val="auto"/>
              </w:rPr>
            </w:pPr>
          </w:p>
        </w:tc>
        <w:tc>
          <w:tcPr>
            <w:tcW w:w="440" w:type="dxa"/>
            <w:vAlign w:val="bottom"/>
            <w:tcBorders>
              <w:bottom w:val="single" w:sz="8" w:color="5D89B4"/>
            </w:tcBorders>
          </w:tcPr>
          <w:p>
            <w:pPr>
              <w:spacing w:after="0"/>
              <w:rPr>
                <w:sz w:val="13"/>
                <w:szCs w:val="13"/>
                <w:color w:val="auto"/>
              </w:rPr>
            </w:pPr>
          </w:p>
        </w:tc>
      </w:tr>
      <w:tr>
        <w:trPr>
          <w:trHeight w:val="399"/>
        </w:trPr>
        <w:tc>
          <w:tcPr>
            <w:tcW w:w="440" w:type="dxa"/>
            <w:vAlign w:val="bottom"/>
          </w:tcPr>
          <w:p>
            <w:pPr>
              <w:spacing w:after="0"/>
              <w:rPr>
                <w:sz w:val="24"/>
                <w:szCs w:val="24"/>
                <w:color w:val="auto"/>
              </w:rPr>
            </w:pPr>
          </w:p>
        </w:tc>
        <w:tc>
          <w:tcPr>
            <w:tcW w:w="5340" w:type="dxa"/>
            <w:vAlign w:val="bottom"/>
          </w:tcPr>
          <w:p>
            <w:pPr>
              <w:ind w:left="4900"/>
              <w:spacing w:after="0"/>
              <w:rPr>
                <w:sz w:val="20"/>
                <w:szCs w:val="20"/>
                <w:color w:val="auto"/>
              </w:rPr>
            </w:pPr>
            <w:r>
              <w:rPr>
                <w:rFonts w:ascii="Arial" w:cs="Arial" w:eastAsia="Arial" w:hAnsi="Arial"/>
                <w:sz w:val="20"/>
                <w:szCs w:val="20"/>
                <w:b w:val="1"/>
                <w:bCs w:val="1"/>
                <w:color w:val="5D89B4"/>
              </w:rPr>
              <w:t>59</w:t>
            </w:r>
          </w:p>
        </w:tc>
        <w:tc>
          <w:tcPr>
            <w:tcW w:w="2620" w:type="dxa"/>
            <w:vAlign w:val="bottom"/>
          </w:tcPr>
          <w:p>
            <w:pPr>
              <w:jc w:val="right"/>
              <w:ind w:right="664"/>
              <w:spacing w:after="0"/>
              <w:rPr>
                <w:sz w:val="20"/>
                <w:szCs w:val="20"/>
                <w:color w:val="auto"/>
              </w:rPr>
            </w:pPr>
            <w:r>
              <w:rPr>
                <w:rFonts w:ascii="Arial" w:cs="Arial" w:eastAsia="Arial" w:hAnsi="Arial"/>
                <w:sz w:val="16"/>
                <w:szCs w:val="16"/>
                <w:b w:val="1"/>
                <w:bCs w:val="1"/>
                <w:color w:val="BFBFBF"/>
              </w:rPr>
              <w:t>2024 Proxy Statement</w:t>
            </w:r>
          </w:p>
        </w:tc>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-154940</wp:posOffset>
            </wp:positionV>
            <wp:extent cx="932180" cy="169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TABLES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Nonqualified Deferred Compensation in 2023</w:t>
      </w: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1860" w:type="dxa"/>
            <w:vAlign w:val="bottom"/>
            <w:shd w:val="clear" w:color="auto" w:fill="EAEAEA"/>
          </w:tcPr>
          <w:p>
            <w:pPr>
              <w:spacing w:after="0"/>
              <w:rPr>
                <w:sz w:val="18"/>
                <w:szCs w:val="18"/>
                <w:color w:val="auto"/>
              </w:rPr>
            </w:pPr>
          </w:p>
        </w:tc>
        <w:tc>
          <w:tcPr>
            <w:tcW w:w="1120" w:type="dxa"/>
            <w:vAlign w:val="bottom"/>
            <w:shd w:val="clear" w:color="auto" w:fill="EAEAEA"/>
          </w:tcPr>
          <w:p>
            <w:pPr>
              <w:spacing w:after="0"/>
              <w:rPr>
                <w:sz w:val="18"/>
                <w:szCs w:val="18"/>
                <w:color w:val="auto"/>
              </w:rPr>
            </w:pPr>
          </w:p>
        </w:tc>
        <w:tc>
          <w:tcPr>
            <w:tcW w:w="1640" w:type="dxa"/>
            <w:vAlign w:val="bottom"/>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EXECUTIVE</w:t>
            </w:r>
          </w:p>
        </w:tc>
        <w:tc>
          <w:tcPr>
            <w:tcW w:w="1640" w:type="dxa"/>
            <w:vAlign w:val="bottom"/>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REGISTRANT</w:t>
            </w:r>
          </w:p>
        </w:tc>
        <w:tc>
          <w:tcPr>
            <w:tcW w:w="1360" w:type="dxa"/>
            <w:vAlign w:val="bottom"/>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AGGREGATE</w:t>
            </w:r>
          </w:p>
        </w:tc>
        <w:tc>
          <w:tcPr>
            <w:tcW w:w="1580" w:type="dxa"/>
            <w:vAlign w:val="bottom"/>
            <w:shd w:val="clear" w:color="auto" w:fill="EAEAEA"/>
          </w:tcPr>
          <w:p>
            <w:pPr>
              <w:jc w:val="right"/>
              <w:ind w:right="167"/>
              <w:spacing w:after="0"/>
              <w:rPr>
                <w:sz w:val="20"/>
                <w:szCs w:val="20"/>
                <w:color w:val="auto"/>
              </w:rPr>
            </w:pPr>
            <w:r>
              <w:rPr>
                <w:rFonts w:ascii="Arial" w:cs="Arial" w:eastAsia="Arial" w:hAnsi="Arial"/>
                <w:sz w:val="14"/>
                <w:szCs w:val="14"/>
                <w:b w:val="1"/>
                <w:bCs w:val="1"/>
                <w:color w:val="5D89B4"/>
              </w:rPr>
              <w:t>AGGREGATE</w:t>
            </w:r>
          </w:p>
        </w:tc>
        <w:tc>
          <w:tcPr>
            <w:tcW w:w="16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AGGREGATE</w:t>
            </w:r>
          </w:p>
        </w:tc>
        <w:tc>
          <w:tcPr>
            <w:tcW w:w="0" w:type="dxa"/>
            <w:vAlign w:val="bottom"/>
          </w:tcPr>
          <w:p>
            <w:pPr>
              <w:spacing w:after="0"/>
              <w:rPr>
                <w:sz w:val="1"/>
                <w:szCs w:val="1"/>
                <w:color w:val="auto"/>
              </w:rPr>
            </w:pPr>
          </w:p>
        </w:tc>
      </w:tr>
      <w:tr>
        <w:trPr>
          <w:trHeight w:val="160"/>
        </w:trPr>
        <w:tc>
          <w:tcPr>
            <w:tcW w:w="1860" w:type="dxa"/>
            <w:vAlign w:val="bottom"/>
            <w:vMerge w:val="restart"/>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w:t>
            </w:r>
          </w:p>
        </w:tc>
        <w:tc>
          <w:tcPr>
            <w:tcW w:w="1120" w:type="dxa"/>
            <w:vAlign w:val="bottom"/>
            <w:shd w:val="clear" w:color="auto" w:fill="EAEAEA"/>
          </w:tcPr>
          <w:p>
            <w:pPr>
              <w:spacing w:after="0"/>
              <w:rPr>
                <w:sz w:val="13"/>
                <w:szCs w:val="13"/>
                <w:color w:val="auto"/>
              </w:rPr>
            </w:pPr>
          </w:p>
        </w:tc>
        <w:tc>
          <w:tcPr>
            <w:tcW w:w="1640" w:type="dxa"/>
            <w:vAlign w:val="bottom"/>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CONTRIBUTIONS</w:t>
            </w:r>
          </w:p>
        </w:tc>
        <w:tc>
          <w:tcPr>
            <w:tcW w:w="1640" w:type="dxa"/>
            <w:vAlign w:val="bottom"/>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CONTRIBUTIONS</w:t>
            </w:r>
          </w:p>
        </w:tc>
        <w:tc>
          <w:tcPr>
            <w:tcW w:w="1360" w:type="dxa"/>
            <w:vAlign w:val="bottom"/>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EARNINGS</w:t>
            </w:r>
          </w:p>
        </w:tc>
        <w:tc>
          <w:tcPr>
            <w:tcW w:w="1580" w:type="dxa"/>
            <w:vAlign w:val="bottom"/>
            <w:shd w:val="clear" w:color="auto" w:fill="EAEAEA"/>
          </w:tcPr>
          <w:p>
            <w:pPr>
              <w:jc w:val="right"/>
              <w:ind w:right="167"/>
              <w:spacing w:after="0"/>
              <w:rPr>
                <w:sz w:val="20"/>
                <w:szCs w:val="20"/>
                <w:color w:val="auto"/>
              </w:rPr>
            </w:pPr>
            <w:r>
              <w:rPr>
                <w:rFonts w:ascii="Arial" w:cs="Arial" w:eastAsia="Arial" w:hAnsi="Arial"/>
                <w:sz w:val="14"/>
                <w:szCs w:val="14"/>
                <w:b w:val="1"/>
                <w:bCs w:val="1"/>
                <w:color w:val="5D89B4"/>
              </w:rPr>
              <w:t>WITHDRAWALS/</w:t>
            </w:r>
          </w:p>
        </w:tc>
        <w:tc>
          <w:tcPr>
            <w:tcW w:w="16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BALANCE AT</w:t>
            </w:r>
          </w:p>
        </w:tc>
        <w:tc>
          <w:tcPr>
            <w:tcW w:w="0" w:type="dxa"/>
            <w:vAlign w:val="bottom"/>
          </w:tcPr>
          <w:p>
            <w:pPr>
              <w:spacing w:after="0"/>
              <w:rPr>
                <w:sz w:val="1"/>
                <w:szCs w:val="1"/>
                <w:color w:val="auto"/>
              </w:rPr>
            </w:pPr>
          </w:p>
        </w:tc>
      </w:tr>
      <w:tr>
        <w:trPr>
          <w:trHeight w:val="147"/>
        </w:trPr>
        <w:tc>
          <w:tcPr>
            <w:tcW w:w="1860" w:type="dxa"/>
            <w:vAlign w:val="bottom"/>
            <w:vMerge w:val="continue"/>
            <w:shd w:val="clear" w:color="auto" w:fill="EAEAEA"/>
          </w:tcPr>
          <w:p>
            <w:pPr>
              <w:spacing w:after="0"/>
              <w:rPr>
                <w:sz w:val="12"/>
                <w:szCs w:val="12"/>
                <w:color w:val="auto"/>
              </w:rPr>
            </w:pPr>
          </w:p>
        </w:tc>
        <w:tc>
          <w:tcPr>
            <w:tcW w:w="1120" w:type="dxa"/>
            <w:vAlign w:val="bottom"/>
            <w:shd w:val="clear" w:color="auto" w:fill="EAEAEA"/>
          </w:tcPr>
          <w:p>
            <w:pPr>
              <w:spacing w:after="0"/>
              <w:rPr>
                <w:sz w:val="12"/>
                <w:szCs w:val="12"/>
                <w:color w:val="auto"/>
              </w:rPr>
            </w:pPr>
          </w:p>
        </w:tc>
        <w:tc>
          <w:tcPr>
            <w:tcW w:w="1640" w:type="dxa"/>
            <w:vAlign w:val="bottom"/>
            <w:shd w:val="clear" w:color="auto" w:fill="EAEAEA"/>
          </w:tcPr>
          <w:p>
            <w:pPr>
              <w:jc w:val="right"/>
              <w:ind w:right="147"/>
              <w:spacing w:after="0" w:line="147" w:lineRule="exact"/>
              <w:rPr>
                <w:sz w:val="20"/>
                <w:szCs w:val="20"/>
                <w:color w:val="auto"/>
              </w:rPr>
            </w:pPr>
            <w:r>
              <w:rPr>
                <w:rFonts w:ascii="Arial" w:cs="Arial" w:eastAsia="Arial" w:hAnsi="Arial"/>
                <w:sz w:val="14"/>
                <w:szCs w:val="14"/>
                <w:b w:val="1"/>
                <w:bCs w:val="1"/>
                <w:color w:val="5D89B4"/>
              </w:rPr>
              <w:t>IN 2023</w:t>
            </w:r>
          </w:p>
        </w:tc>
        <w:tc>
          <w:tcPr>
            <w:tcW w:w="1640" w:type="dxa"/>
            <w:vAlign w:val="bottom"/>
            <w:shd w:val="clear" w:color="auto" w:fill="EAEAEA"/>
          </w:tcPr>
          <w:p>
            <w:pPr>
              <w:jc w:val="right"/>
              <w:ind w:right="147"/>
              <w:spacing w:after="0" w:line="147" w:lineRule="exact"/>
              <w:rPr>
                <w:sz w:val="20"/>
                <w:szCs w:val="20"/>
                <w:color w:val="auto"/>
              </w:rPr>
            </w:pPr>
            <w:r>
              <w:rPr>
                <w:rFonts w:ascii="Arial" w:cs="Arial" w:eastAsia="Arial" w:hAnsi="Arial"/>
                <w:sz w:val="14"/>
                <w:szCs w:val="14"/>
                <w:b w:val="1"/>
                <w:bCs w:val="1"/>
                <w:color w:val="5D89B4"/>
              </w:rPr>
              <w:t>IN 2023</w:t>
            </w:r>
          </w:p>
        </w:tc>
        <w:tc>
          <w:tcPr>
            <w:tcW w:w="1360" w:type="dxa"/>
            <w:vAlign w:val="bottom"/>
            <w:shd w:val="clear" w:color="auto" w:fill="EAEAEA"/>
          </w:tcPr>
          <w:p>
            <w:pPr>
              <w:jc w:val="right"/>
              <w:ind w:right="147"/>
              <w:spacing w:after="0" w:line="147" w:lineRule="exact"/>
              <w:rPr>
                <w:sz w:val="20"/>
                <w:szCs w:val="20"/>
                <w:color w:val="auto"/>
              </w:rPr>
            </w:pPr>
            <w:r>
              <w:rPr>
                <w:rFonts w:ascii="Arial" w:cs="Arial" w:eastAsia="Arial" w:hAnsi="Arial"/>
                <w:sz w:val="14"/>
                <w:szCs w:val="14"/>
                <w:b w:val="1"/>
                <w:bCs w:val="1"/>
                <w:color w:val="5D89B4"/>
              </w:rPr>
              <w:t>IN 2023</w:t>
            </w:r>
          </w:p>
        </w:tc>
        <w:tc>
          <w:tcPr>
            <w:tcW w:w="1580" w:type="dxa"/>
            <w:vAlign w:val="bottom"/>
            <w:shd w:val="clear" w:color="auto" w:fill="EAEAEA"/>
          </w:tcPr>
          <w:p>
            <w:pPr>
              <w:jc w:val="right"/>
              <w:ind w:right="167"/>
              <w:spacing w:after="0" w:line="147" w:lineRule="exact"/>
              <w:rPr>
                <w:sz w:val="20"/>
                <w:szCs w:val="20"/>
                <w:color w:val="auto"/>
              </w:rPr>
            </w:pPr>
            <w:r>
              <w:rPr>
                <w:rFonts w:ascii="Arial" w:cs="Arial" w:eastAsia="Arial" w:hAnsi="Arial"/>
                <w:sz w:val="14"/>
                <w:szCs w:val="14"/>
                <w:b w:val="1"/>
                <w:bCs w:val="1"/>
                <w:color w:val="5D89B4"/>
              </w:rPr>
              <w:t>DISTRIBUTIONS</w:t>
            </w:r>
          </w:p>
        </w:tc>
        <w:tc>
          <w:tcPr>
            <w:tcW w:w="1680" w:type="dxa"/>
            <w:vAlign w:val="bottom"/>
            <w:shd w:val="clear" w:color="auto" w:fill="EAEAEA"/>
          </w:tcPr>
          <w:p>
            <w:pPr>
              <w:jc w:val="right"/>
              <w:spacing w:after="0" w:line="147" w:lineRule="exact"/>
              <w:rPr>
                <w:sz w:val="20"/>
                <w:szCs w:val="20"/>
                <w:color w:val="auto"/>
              </w:rPr>
            </w:pPr>
            <w:r>
              <w:rPr>
                <w:rFonts w:ascii="Arial" w:cs="Arial" w:eastAsia="Arial" w:hAnsi="Arial"/>
                <w:sz w:val="14"/>
                <w:szCs w:val="14"/>
                <w:b w:val="1"/>
                <w:bCs w:val="1"/>
                <w:color w:val="5D89B4"/>
              </w:rPr>
              <w:t>DECEMBER 31, 2023</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POSITION</w:t>
            </w:r>
          </w:p>
        </w:tc>
        <w:tc>
          <w:tcPr>
            <w:tcW w:w="1120" w:type="dxa"/>
            <w:vAlign w:val="bottom"/>
            <w:tcBorders>
              <w:bottom w:val="single" w:sz="8" w:color="EAEAEA"/>
            </w:tcBorders>
            <w:shd w:val="clear" w:color="auto" w:fill="EAEAEA"/>
          </w:tcPr>
          <w:p>
            <w:pPr>
              <w:jc w:val="right"/>
              <w:ind w:right="165"/>
              <w:spacing w:after="0"/>
              <w:rPr>
                <w:sz w:val="20"/>
                <w:szCs w:val="20"/>
                <w:color w:val="auto"/>
              </w:rPr>
            </w:pPr>
            <w:r>
              <w:rPr>
                <w:rFonts w:ascii="Arial" w:cs="Arial" w:eastAsia="Arial" w:hAnsi="Arial"/>
                <w:sz w:val="14"/>
                <w:szCs w:val="14"/>
                <w:b w:val="1"/>
                <w:bCs w:val="1"/>
                <w:color w:val="5D89B4"/>
              </w:rPr>
              <w:t>PLAN</w:t>
            </w:r>
          </w:p>
        </w:tc>
        <w:tc>
          <w:tcPr>
            <w:tcW w:w="1640" w:type="dxa"/>
            <w:vAlign w:val="bottom"/>
            <w:tcBorders>
              <w:bottom w:val="single" w:sz="8" w:color="EAEAEA"/>
            </w:tcBorders>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($)(1)</w:t>
            </w:r>
          </w:p>
        </w:tc>
        <w:tc>
          <w:tcPr>
            <w:tcW w:w="1640" w:type="dxa"/>
            <w:vAlign w:val="bottom"/>
            <w:tcBorders>
              <w:bottom w:val="single" w:sz="8" w:color="EAEAEA"/>
            </w:tcBorders>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w:t>
            </w:r>
          </w:p>
        </w:tc>
        <w:tc>
          <w:tcPr>
            <w:tcW w:w="1360" w:type="dxa"/>
            <w:vAlign w:val="bottom"/>
            <w:tcBorders>
              <w:bottom w:val="single" w:sz="8" w:color="EAEAEA"/>
            </w:tcBorders>
            <w:shd w:val="clear" w:color="auto" w:fill="EAEAEA"/>
          </w:tcPr>
          <w:p>
            <w:pPr>
              <w:jc w:val="right"/>
              <w:ind w:right="147"/>
              <w:spacing w:after="0"/>
              <w:rPr>
                <w:sz w:val="20"/>
                <w:szCs w:val="20"/>
                <w:color w:val="auto"/>
              </w:rPr>
            </w:pPr>
            <w:r>
              <w:rPr>
                <w:rFonts w:ascii="Arial" w:cs="Arial" w:eastAsia="Arial" w:hAnsi="Arial"/>
                <w:sz w:val="14"/>
                <w:szCs w:val="14"/>
                <w:b w:val="1"/>
                <w:bCs w:val="1"/>
                <w:color w:val="5D89B4"/>
              </w:rPr>
              <w:t>($)</w:t>
            </w:r>
          </w:p>
        </w:tc>
        <w:tc>
          <w:tcPr>
            <w:tcW w:w="1580" w:type="dxa"/>
            <w:vAlign w:val="bottom"/>
            <w:tcBorders>
              <w:bottom w:val="single" w:sz="8" w:color="EAEAEA"/>
            </w:tcBorders>
            <w:shd w:val="clear" w:color="auto" w:fill="EAEAEA"/>
          </w:tcPr>
          <w:p>
            <w:pPr>
              <w:jc w:val="right"/>
              <w:ind w:right="167"/>
              <w:spacing w:after="0"/>
              <w:rPr>
                <w:sz w:val="20"/>
                <w:szCs w:val="20"/>
                <w:color w:val="auto"/>
              </w:rPr>
            </w:pPr>
            <w:r>
              <w:rPr>
                <w:rFonts w:ascii="Arial" w:cs="Arial" w:eastAsia="Arial" w:hAnsi="Arial"/>
                <w:sz w:val="14"/>
                <w:szCs w:val="14"/>
                <w:b w:val="1"/>
                <w:bCs w:val="1"/>
                <w:color w:val="5D89B4"/>
              </w:rPr>
              <w:t>($)</w:t>
            </w:r>
          </w:p>
        </w:tc>
        <w:tc>
          <w:tcPr>
            <w:tcW w:w="16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w:t>
            </w:r>
          </w:p>
        </w:tc>
        <w:tc>
          <w:tcPr>
            <w:tcW w:w="0" w:type="dxa"/>
            <w:vAlign w:val="bottom"/>
          </w:tcPr>
          <w:p>
            <w:pPr>
              <w:spacing w:after="0"/>
              <w:rPr>
                <w:sz w:val="1"/>
                <w:szCs w:val="1"/>
                <w:color w:val="auto"/>
              </w:rPr>
            </w:pPr>
          </w:p>
        </w:tc>
      </w:tr>
      <w:tr>
        <w:trPr>
          <w:trHeight w:val="218"/>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80"/>
              <w:spacing w:after="0"/>
              <w:rPr>
                <w:sz w:val="20"/>
                <w:szCs w:val="20"/>
                <w:color w:val="auto"/>
              </w:rPr>
            </w:pPr>
            <w:r>
              <w:rPr>
                <w:rFonts w:ascii="Arial" w:cs="Arial" w:eastAsia="Arial" w:hAnsi="Arial"/>
                <w:sz w:val="14"/>
                <w:szCs w:val="14"/>
                <w:color w:val="auto"/>
              </w:rPr>
              <w:t>CEO</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181,611</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249,054</w:t>
            </w:r>
          </w:p>
        </w:tc>
        <w:tc>
          <w:tcPr>
            <w:tcW w:w="1360" w:type="dxa"/>
            <w:vAlign w:val="bottom"/>
          </w:tcPr>
          <w:p>
            <w:pPr>
              <w:jc w:val="right"/>
              <w:ind w:right="147"/>
              <w:spacing w:after="0"/>
              <w:rPr>
                <w:sz w:val="20"/>
                <w:szCs w:val="20"/>
                <w:color w:val="auto"/>
              </w:rPr>
            </w:pPr>
            <w:r>
              <w:rPr>
                <w:rFonts w:ascii="Arial" w:cs="Arial" w:eastAsia="Arial" w:hAnsi="Arial"/>
                <w:sz w:val="15"/>
                <w:szCs w:val="15"/>
                <w:color w:val="auto"/>
              </w:rPr>
              <w:t>444,454</w:t>
            </w:r>
          </w:p>
        </w:tc>
        <w:tc>
          <w:tcPr>
            <w:tcW w:w="158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4,267,406</w:t>
            </w:r>
          </w:p>
        </w:tc>
        <w:tc>
          <w:tcPr>
            <w:tcW w:w="0" w:type="dxa"/>
            <w:vAlign w:val="bottom"/>
          </w:tcPr>
          <w:p>
            <w:pPr>
              <w:spacing w:after="0"/>
              <w:rPr>
                <w:sz w:val="1"/>
                <w:szCs w:val="1"/>
                <w:color w:val="auto"/>
              </w:rPr>
            </w:pPr>
          </w:p>
        </w:tc>
      </w:tr>
      <w:tr>
        <w:trPr>
          <w:trHeight w:val="45"/>
        </w:trPr>
        <w:tc>
          <w:tcPr>
            <w:tcW w:w="18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360" w:type="dxa"/>
            <w:vAlign w:val="bottom"/>
            <w:tcBorders>
              <w:bottom w:val="single" w:sz="8" w:color="5D89B4"/>
            </w:tcBorders>
          </w:tcPr>
          <w:p>
            <w:pPr>
              <w:spacing w:after="0"/>
              <w:rPr>
                <w:sz w:val="3"/>
                <w:szCs w:val="3"/>
                <w:color w:val="auto"/>
              </w:rPr>
            </w:pPr>
          </w:p>
        </w:tc>
        <w:tc>
          <w:tcPr>
            <w:tcW w:w="1580" w:type="dxa"/>
            <w:vAlign w:val="bottom"/>
            <w:tcBorders>
              <w:bottom w:val="single" w:sz="8" w:color="5D89B4"/>
            </w:tcBorders>
          </w:tcPr>
          <w:p>
            <w:pPr>
              <w:spacing w:after="0"/>
              <w:rPr>
                <w:sz w:val="3"/>
                <w:szCs w:val="3"/>
                <w:color w:val="auto"/>
              </w:rPr>
            </w:pPr>
          </w:p>
        </w:tc>
        <w:tc>
          <w:tcPr>
            <w:tcW w:w="1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80"/>
              <w:spacing w:after="0"/>
              <w:rPr>
                <w:sz w:val="20"/>
                <w:szCs w:val="20"/>
                <w:color w:val="auto"/>
              </w:rPr>
            </w:pPr>
            <w:r>
              <w:rPr>
                <w:rFonts w:ascii="Arial" w:cs="Arial" w:eastAsia="Arial" w:hAnsi="Arial"/>
                <w:sz w:val="14"/>
                <w:szCs w:val="14"/>
                <w:color w:val="auto"/>
              </w:rPr>
              <w:t>CFO</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91,242</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101,203</w:t>
            </w:r>
          </w:p>
        </w:tc>
        <w:tc>
          <w:tcPr>
            <w:tcW w:w="1360" w:type="dxa"/>
            <w:vAlign w:val="bottom"/>
          </w:tcPr>
          <w:p>
            <w:pPr>
              <w:jc w:val="right"/>
              <w:ind w:right="147"/>
              <w:spacing w:after="0"/>
              <w:rPr>
                <w:sz w:val="20"/>
                <w:szCs w:val="20"/>
                <w:color w:val="auto"/>
              </w:rPr>
            </w:pPr>
            <w:r>
              <w:rPr>
                <w:rFonts w:ascii="Arial" w:cs="Arial" w:eastAsia="Arial" w:hAnsi="Arial"/>
                <w:sz w:val="15"/>
                <w:szCs w:val="15"/>
                <w:color w:val="auto"/>
              </w:rPr>
              <w:t>115,305</w:t>
            </w:r>
          </w:p>
        </w:tc>
        <w:tc>
          <w:tcPr>
            <w:tcW w:w="158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889,914</w:t>
            </w:r>
          </w:p>
        </w:tc>
        <w:tc>
          <w:tcPr>
            <w:tcW w:w="0" w:type="dxa"/>
            <w:vAlign w:val="bottom"/>
          </w:tcPr>
          <w:p>
            <w:pPr>
              <w:spacing w:after="0"/>
              <w:rPr>
                <w:sz w:val="1"/>
                <w:szCs w:val="1"/>
                <w:color w:val="auto"/>
              </w:rPr>
            </w:pPr>
          </w:p>
        </w:tc>
      </w:tr>
      <w:tr>
        <w:trPr>
          <w:trHeight w:val="45"/>
        </w:trPr>
        <w:tc>
          <w:tcPr>
            <w:tcW w:w="18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360" w:type="dxa"/>
            <w:vAlign w:val="bottom"/>
            <w:tcBorders>
              <w:bottom w:val="single" w:sz="8" w:color="5D89B4"/>
            </w:tcBorders>
          </w:tcPr>
          <w:p>
            <w:pPr>
              <w:spacing w:after="0"/>
              <w:rPr>
                <w:sz w:val="3"/>
                <w:szCs w:val="3"/>
                <w:color w:val="auto"/>
              </w:rPr>
            </w:pPr>
          </w:p>
        </w:tc>
        <w:tc>
          <w:tcPr>
            <w:tcW w:w="1580" w:type="dxa"/>
            <w:vAlign w:val="bottom"/>
            <w:tcBorders>
              <w:bottom w:val="single" w:sz="8" w:color="5D89B4"/>
            </w:tcBorders>
          </w:tcPr>
          <w:p>
            <w:pPr>
              <w:spacing w:after="0"/>
              <w:rPr>
                <w:sz w:val="3"/>
                <w:szCs w:val="3"/>
                <w:color w:val="auto"/>
              </w:rPr>
            </w:pPr>
          </w:p>
        </w:tc>
        <w:tc>
          <w:tcPr>
            <w:tcW w:w="1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860" w:type="dxa"/>
            <w:vAlign w:val="bottom"/>
          </w:tcPr>
          <w:p>
            <w:pPr>
              <w:ind w:left="80"/>
              <w:spacing w:after="0"/>
              <w:rPr>
                <w:sz w:val="20"/>
                <w:szCs w:val="20"/>
                <w:color w:val="auto"/>
              </w:rPr>
            </w:pPr>
            <w:r>
              <w:rPr>
                <w:rFonts w:ascii="Arial" w:cs="Arial" w:eastAsia="Arial" w:hAnsi="Arial"/>
                <w:sz w:val="14"/>
                <w:szCs w:val="14"/>
                <w:color w:val="auto"/>
              </w:rPr>
              <w:t>Chief People and Culture</w:t>
            </w: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80"/>
              <w:spacing w:after="0"/>
              <w:rPr>
                <w:sz w:val="20"/>
                <w:szCs w:val="20"/>
                <w:color w:val="auto"/>
              </w:rPr>
            </w:pPr>
            <w:r>
              <w:rPr>
                <w:rFonts w:ascii="Arial" w:cs="Arial" w:eastAsia="Arial" w:hAnsi="Arial"/>
                <w:sz w:val="14"/>
                <w:szCs w:val="14"/>
                <w:color w:val="auto"/>
              </w:rPr>
              <w:t>Officer</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54,886</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49,064</w:t>
            </w:r>
          </w:p>
        </w:tc>
        <w:tc>
          <w:tcPr>
            <w:tcW w:w="1360" w:type="dxa"/>
            <w:vAlign w:val="bottom"/>
          </w:tcPr>
          <w:p>
            <w:pPr>
              <w:jc w:val="right"/>
              <w:ind w:right="147"/>
              <w:spacing w:after="0"/>
              <w:rPr>
                <w:sz w:val="20"/>
                <w:szCs w:val="20"/>
                <w:color w:val="auto"/>
              </w:rPr>
            </w:pPr>
            <w:r>
              <w:rPr>
                <w:rFonts w:ascii="Arial" w:cs="Arial" w:eastAsia="Arial" w:hAnsi="Arial"/>
                <w:sz w:val="15"/>
                <w:szCs w:val="15"/>
                <w:color w:val="auto"/>
              </w:rPr>
              <w:t>39,191</w:t>
            </w:r>
          </w:p>
        </w:tc>
        <w:tc>
          <w:tcPr>
            <w:tcW w:w="158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283,428</w:t>
            </w:r>
          </w:p>
        </w:tc>
        <w:tc>
          <w:tcPr>
            <w:tcW w:w="0" w:type="dxa"/>
            <w:vAlign w:val="bottom"/>
          </w:tcPr>
          <w:p>
            <w:pPr>
              <w:spacing w:after="0"/>
              <w:rPr>
                <w:sz w:val="1"/>
                <w:szCs w:val="1"/>
                <w:color w:val="auto"/>
              </w:rPr>
            </w:pPr>
          </w:p>
        </w:tc>
      </w:tr>
      <w:tr>
        <w:trPr>
          <w:trHeight w:val="45"/>
        </w:trPr>
        <w:tc>
          <w:tcPr>
            <w:tcW w:w="18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360" w:type="dxa"/>
            <w:vAlign w:val="bottom"/>
            <w:tcBorders>
              <w:bottom w:val="single" w:sz="8" w:color="5D89B4"/>
            </w:tcBorders>
          </w:tcPr>
          <w:p>
            <w:pPr>
              <w:spacing w:after="0"/>
              <w:rPr>
                <w:sz w:val="3"/>
                <w:szCs w:val="3"/>
                <w:color w:val="auto"/>
              </w:rPr>
            </w:pPr>
          </w:p>
        </w:tc>
        <w:tc>
          <w:tcPr>
            <w:tcW w:w="1580" w:type="dxa"/>
            <w:vAlign w:val="bottom"/>
            <w:tcBorders>
              <w:bottom w:val="single" w:sz="8" w:color="5D89B4"/>
            </w:tcBorders>
          </w:tcPr>
          <w:p>
            <w:pPr>
              <w:spacing w:after="0"/>
              <w:rPr>
                <w:sz w:val="3"/>
                <w:szCs w:val="3"/>
                <w:color w:val="auto"/>
              </w:rPr>
            </w:pPr>
          </w:p>
        </w:tc>
        <w:tc>
          <w:tcPr>
            <w:tcW w:w="1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860" w:type="dxa"/>
            <w:vAlign w:val="bottom"/>
          </w:tcPr>
          <w:p>
            <w:pPr>
              <w:ind w:left="80"/>
              <w:spacing w:after="0"/>
              <w:rPr>
                <w:sz w:val="20"/>
                <w:szCs w:val="20"/>
                <w:color w:val="auto"/>
              </w:rPr>
            </w:pPr>
            <w:r>
              <w:rPr>
                <w:rFonts w:ascii="Arial" w:cs="Arial" w:eastAsia="Arial" w:hAnsi="Arial"/>
                <w:sz w:val="14"/>
                <w:szCs w:val="14"/>
                <w:color w:val="auto"/>
              </w:rPr>
              <w:t>SVP, General Counsel and</w:t>
            </w:r>
          </w:p>
        </w:tc>
        <w:tc>
          <w:tcPr>
            <w:tcW w:w="1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860" w:type="dxa"/>
            <w:vAlign w:val="bottom"/>
          </w:tcPr>
          <w:p>
            <w:pPr>
              <w:ind w:left="80"/>
              <w:spacing w:after="0"/>
              <w:rPr>
                <w:sz w:val="20"/>
                <w:szCs w:val="20"/>
                <w:color w:val="auto"/>
              </w:rPr>
            </w:pPr>
            <w:r>
              <w:rPr>
                <w:rFonts w:ascii="Arial" w:cs="Arial" w:eastAsia="Arial" w:hAnsi="Arial"/>
                <w:sz w:val="14"/>
                <w:szCs w:val="14"/>
                <w:color w:val="auto"/>
              </w:rPr>
              <w:t>Secretary</w:t>
            </w:r>
          </w:p>
        </w:tc>
        <w:tc>
          <w:tcPr>
            <w:tcW w:w="1120" w:type="dxa"/>
            <w:vAlign w:val="bottom"/>
          </w:tcPr>
          <w:p>
            <w:pPr>
              <w:jc w:val="right"/>
              <w:ind w:right="165"/>
              <w:spacing w:after="0"/>
              <w:rPr>
                <w:sz w:val="20"/>
                <w:szCs w:val="20"/>
                <w:color w:val="auto"/>
              </w:rPr>
            </w:pPr>
            <w:r>
              <w:rPr>
                <w:rFonts w:ascii="Arial" w:cs="Arial" w:eastAsia="Arial" w:hAnsi="Arial"/>
                <w:sz w:val="15"/>
                <w:szCs w:val="15"/>
                <w:color w:val="auto"/>
              </w:rPr>
              <w:t>NQSP</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66,678</w:t>
            </w:r>
          </w:p>
        </w:tc>
        <w:tc>
          <w:tcPr>
            <w:tcW w:w="1640" w:type="dxa"/>
            <w:vAlign w:val="bottom"/>
          </w:tcPr>
          <w:p>
            <w:pPr>
              <w:jc w:val="right"/>
              <w:ind w:right="147"/>
              <w:spacing w:after="0"/>
              <w:rPr>
                <w:sz w:val="20"/>
                <w:szCs w:val="20"/>
                <w:color w:val="auto"/>
              </w:rPr>
            </w:pPr>
            <w:r>
              <w:rPr>
                <w:rFonts w:ascii="Arial" w:cs="Arial" w:eastAsia="Arial" w:hAnsi="Arial"/>
                <w:sz w:val="15"/>
                <w:szCs w:val="15"/>
                <w:color w:val="auto"/>
              </w:rPr>
              <w:t>52,879</w:t>
            </w:r>
          </w:p>
        </w:tc>
        <w:tc>
          <w:tcPr>
            <w:tcW w:w="1360" w:type="dxa"/>
            <w:vAlign w:val="bottom"/>
          </w:tcPr>
          <w:p>
            <w:pPr>
              <w:jc w:val="right"/>
              <w:ind w:right="147"/>
              <w:spacing w:after="0"/>
              <w:rPr>
                <w:sz w:val="20"/>
                <w:szCs w:val="20"/>
                <w:color w:val="auto"/>
              </w:rPr>
            </w:pPr>
            <w:r>
              <w:rPr>
                <w:rFonts w:ascii="Arial" w:cs="Arial" w:eastAsia="Arial" w:hAnsi="Arial"/>
                <w:sz w:val="15"/>
                <w:szCs w:val="15"/>
                <w:color w:val="auto"/>
              </w:rPr>
              <w:t>209,124</w:t>
            </w:r>
          </w:p>
        </w:tc>
        <w:tc>
          <w:tcPr>
            <w:tcW w:w="158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1,277,671</w:t>
            </w:r>
          </w:p>
        </w:tc>
        <w:tc>
          <w:tcPr>
            <w:tcW w:w="0" w:type="dxa"/>
            <w:vAlign w:val="bottom"/>
          </w:tcPr>
          <w:p>
            <w:pPr>
              <w:spacing w:after="0"/>
              <w:rPr>
                <w:sz w:val="1"/>
                <w:szCs w:val="1"/>
                <w:color w:val="auto"/>
              </w:rPr>
            </w:pPr>
          </w:p>
        </w:tc>
      </w:tr>
      <w:tr>
        <w:trPr>
          <w:trHeight w:val="45"/>
        </w:trPr>
        <w:tc>
          <w:tcPr>
            <w:tcW w:w="18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640" w:type="dxa"/>
            <w:vAlign w:val="bottom"/>
            <w:tcBorders>
              <w:bottom w:val="single" w:sz="8" w:color="5D89B4"/>
            </w:tcBorders>
          </w:tcPr>
          <w:p>
            <w:pPr>
              <w:spacing w:after="0"/>
              <w:rPr>
                <w:sz w:val="3"/>
                <w:szCs w:val="3"/>
                <w:color w:val="auto"/>
              </w:rPr>
            </w:pPr>
          </w:p>
        </w:tc>
        <w:tc>
          <w:tcPr>
            <w:tcW w:w="1360" w:type="dxa"/>
            <w:vAlign w:val="bottom"/>
            <w:tcBorders>
              <w:bottom w:val="single" w:sz="8" w:color="5D89B4"/>
            </w:tcBorders>
          </w:tcPr>
          <w:p>
            <w:pPr>
              <w:spacing w:after="0"/>
              <w:rPr>
                <w:sz w:val="3"/>
                <w:szCs w:val="3"/>
                <w:color w:val="auto"/>
              </w:rPr>
            </w:pPr>
          </w:p>
        </w:tc>
        <w:tc>
          <w:tcPr>
            <w:tcW w:w="1580" w:type="dxa"/>
            <w:vAlign w:val="bottom"/>
            <w:tcBorders>
              <w:bottom w:val="single" w:sz="8" w:color="5D89B4"/>
            </w:tcBorders>
          </w:tcPr>
          <w:p>
            <w:pPr>
              <w:spacing w:after="0"/>
              <w:rPr>
                <w:sz w:val="3"/>
                <w:szCs w:val="3"/>
                <w:color w:val="auto"/>
              </w:rPr>
            </w:pPr>
          </w:p>
        </w:tc>
        <w:tc>
          <w:tcPr>
            <w:tcW w:w="16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0" w:right="100" w:hanging="420"/>
        <w:spacing w:after="0" w:line="252"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2023 salary, which amounts were also included in the salary column for each executive officer in the Summary Compensation Table. Of the amounts disclosed in this column for the Nonqualified Savings Plan, the following contributions are attributable to a portion of the 2022 annual incentive, which was disclosed in the 2022 Summary Compensation Table for all NEOs: Mr. Prising — $103,519; Mr. McGinnis — $44,400; Ms. Nettles — $0 and Mr. Buchband — $21,120.</w:t>
      </w:r>
    </w:p>
    <w:p>
      <w:pPr>
        <w:spacing w:after="0" w:line="44" w:lineRule="exact"/>
        <w:rPr>
          <w:rFonts w:ascii="Arial" w:cs="Arial" w:eastAsia="Arial" w:hAnsi="Arial"/>
          <w:sz w:val="14"/>
          <w:szCs w:val="14"/>
          <w:color w:val="auto"/>
        </w:rPr>
      </w:pPr>
    </w:p>
    <w:p>
      <w:pPr>
        <w:ind w:left="600" w:right="160" w:hanging="420"/>
        <w:spacing w:after="0" w:line="252"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2023 or prior to 2023: Mr. Prising — $2,243,279; Mr. McGinnis — $723,118; Ms. Nettles — $258,375 and Mr. Buchband — $545,726.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90" w:lineRule="exact"/>
        <w:rPr>
          <w:sz w:val="20"/>
          <w:szCs w:val="20"/>
          <w:color w:val="auto"/>
        </w:rPr>
      </w:pPr>
    </w:p>
    <w:p>
      <w:pPr>
        <w:ind w:left="180"/>
        <w:spacing w:after="0" w:line="227"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Pursuant to the Nonqualified Savings Plan (the “NQSP Plan”), certain executives, including the NEOs, may defer a portion of their</w:t>
      </w:r>
      <w:r>
        <w:rPr>
          <w:rFonts w:ascii="Arial" w:cs="Arial" w:eastAsia="Arial" w:hAnsi="Arial"/>
          <w:sz w:val="15"/>
          <w:szCs w:val="15"/>
          <w:b w:val="1"/>
          <w:bCs w:val="1"/>
          <w:color w:val="5D89B4"/>
        </w:rPr>
        <w:t xml:space="preserve"> </w:t>
      </w:r>
      <w:r>
        <w:rPr>
          <w:rFonts w:ascii="Arial" w:cs="Arial" w:eastAsia="Arial" w:hAnsi="Arial"/>
          <w:sz w:val="15"/>
          <w:szCs w:val="15"/>
          <w:color w:val="000000"/>
        </w:rPr>
        <w:t>salary and incentive awards. Elections must be made by the executive officers before December 31 of the year prior to the year in which it will be earned. The executive officers are permitted to defer up to 50% of their salary and 50% of their annual incentive under the plan. Pursuant to the plan, the executive officers, as well as all other plan participants, may receive a matching contribution of 50% of the deferrals they have made during the year, up to a maximum of 6% of their annual compensation. The NQSP Plan permits the Company to provide an Enhanced Matching Contribution (“EMC”) to participants. The EMC can range from 0% to 50% on the employee’s first 6% of deferrals from the prior year. The EMC is in addition to the regular 50% match of a participant’s deferrals made (on the first 6% of employee deferrals). In 2023, ManpowerGroup did not make an EMC match to the NEOs who participated in the plan in 2022. The NQSP Plan also permits the Company to provide a Discretionary Profit-Sharing Contribution (“DPSC”) to participants. The DPSC is allocated by the Company, based on the participant’s prior year compensation. In 2023, ManpowerGroup made a 1.33% DPSC to the NEOs who participated in the plan in 2022. ManpowerGroup’s contributions to a participant’s account under the NQSP Plan (matching contributions, EMCs, and DPSCs) are not fully vested until a participant has at least three years of credited service with ManpowerGroup, with vesting occurring on a pro-rata basis during those three years. All the NEOs who participate in the plan were fully vested in their matching contributions, EMCs and DPSCs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97790</wp:posOffset>
            </wp:positionV>
            <wp:extent cx="69138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7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60</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5D89B4"/>
        </w:rPr>
        <w:t>COMPENSATION TABLES</w:t>
      </w:r>
    </w:p>
    <w:p>
      <w:pPr>
        <w:spacing w:after="0" w:line="158" w:lineRule="exact"/>
        <w:rPr>
          <w:sz w:val="20"/>
          <w:szCs w:val="20"/>
          <w:color w:val="auto"/>
        </w:rPr>
      </w:pPr>
    </w:p>
    <w:p>
      <w:pPr>
        <w:ind w:left="180" w:right="240"/>
        <w:spacing w:after="0" w:line="241" w:lineRule="auto"/>
        <w:rPr>
          <w:sz w:val="20"/>
          <w:szCs w:val="20"/>
          <w:color w:val="auto"/>
        </w:rPr>
      </w:pPr>
      <w:r>
        <w:rPr>
          <w:rFonts w:ascii="Arial" w:cs="Arial" w:eastAsia="Arial" w:hAnsi="Arial"/>
          <w:sz w:val="15"/>
          <w:szCs w:val="15"/>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2023.</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84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FUND</w:t>
            </w:r>
          </w:p>
        </w:tc>
        <w:tc>
          <w:tcPr>
            <w:tcW w:w="2440" w:type="dxa"/>
            <w:vAlign w:val="bottom"/>
            <w:tcBorders>
              <w:bottom w:val="single" w:sz="8" w:color="EAEAEA"/>
            </w:tcBorders>
            <w:shd w:val="clear" w:color="auto" w:fill="EAEAEA"/>
          </w:tcPr>
          <w:p>
            <w:pPr>
              <w:jc w:val="right"/>
              <w:ind w:right="525"/>
              <w:spacing w:after="0"/>
              <w:rPr>
                <w:sz w:val="20"/>
                <w:szCs w:val="20"/>
                <w:color w:val="auto"/>
              </w:rPr>
            </w:pPr>
            <w:r>
              <w:rPr>
                <w:rFonts w:ascii="Arial" w:cs="Arial" w:eastAsia="Arial" w:hAnsi="Arial"/>
                <w:sz w:val="14"/>
                <w:szCs w:val="14"/>
                <w:b w:val="1"/>
                <w:bCs w:val="1"/>
                <w:color w:val="5D89B4"/>
              </w:rPr>
              <w:t>ANNUAL RETURN</w:t>
            </w:r>
          </w:p>
        </w:tc>
      </w:tr>
      <w:tr>
        <w:trPr>
          <w:trHeight w:val="25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Chase Bank U.S. Active Core Equity Fund</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27.35%</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Vanguard Total Stock Market Index Fund Institutional Shares</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26.02%</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Hartford Internal Opportunities Fund</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11.94%</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Eaton Vance Atlanta Capital SMID-Cap Fund</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14.08%</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Vanguard Total International Stock Market Index Fund Institutional Shares</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15.53%</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T. Rowe Price Global Growth Stock Fund</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19.45%</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2020</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12.01%</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2025</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13.37%</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2030</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15.29%</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2035</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17.05%</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2040</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18.43%</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2045</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19.52%</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2050</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19.77%</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2055</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19.74%</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2060</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19.69%</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Income Fund</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11.79%</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Fidelity Short Term Bond</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5.34%</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PGIM Total Return Bond Fund - Class R6</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7.78%</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Vanguard Total Bond Market Index Fund Institutional Shares</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5.72%</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r>
        <w:trPr>
          <w:trHeight w:val="232"/>
        </w:trPr>
        <w:tc>
          <w:tcPr>
            <w:tcW w:w="8440" w:type="dxa"/>
            <w:vAlign w:val="bottom"/>
          </w:tcPr>
          <w:p>
            <w:pPr>
              <w:ind w:left="80"/>
              <w:spacing w:after="0"/>
              <w:rPr>
                <w:sz w:val="20"/>
                <w:szCs w:val="20"/>
                <w:color w:val="auto"/>
              </w:rPr>
            </w:pPr>
            <w:r>
              <w:rPr>
                <w:rFonts w:ascii="Arial" w:cs="Arial" w:eastAsia="Arial" w:hAnsi="Arial"/>
                <w:sz w:val="14"/>
                <w:szCs w:val="14"/>
                <w:b w:val="1"/>
                <w:bCs w:val="1"/>
                <w:color w:val="auto"/>
              </w:rPr>
              <w:t>Vanguard Federal Money Market Fund Investor Shares</w:t>
            </w:r>
          </w:p>
        </w:tc>
        <w:tc>
          <w:tcPr>
            <w:tcW w:w="2440" w:type="dxa"/>
            <w:vAlign w:val="bottom"/>
          </w:tcPr>
          <w:p>
            <w:pPr>
              <w:jc w:val="right"/>
              <w:ind w:right="405"/>
              <w:spacing w:after="0"/>
              <w:rPr>
                <w:sz w:val="20"/>
                <w:szCs w:val="20"/>
                <w:color w:val="auto"/>
              </w:rPr>
            </w:pPr>
            <w:r>
              <w:rPr>
                <w:rFonts w:ascii="Arial" w:cs="Arial" w:eastAsia="Arial" w:hAnsi="Arial"/>
                <w:sz w:val="15"/>
                <w:szCs w:val="15"/>
                <w:color w:val="auto"/>
              </w:rPr>
              <w:t>5.09%</w:t>
            </w:r>
          </w:p>
        </w:tc>
      </w:tr>
      <w:tr>
        <w:trPr>
          <w:trHeight w:val="41"/>
        </w:trPr>
        <w:tc>
          <w:tcPr>
            <w:tcW w:w="8440" w:type="dxa"/>
            <w:vAlign w:val="bottom"/>
            <w:tcBorders>
              <w:bottom w:val="single" w:sz="8" w:color="5D89B4"/>
            </w:tcBorders>
          </w:tcPr>
          <w:p>
            <w:pPr>
              <w:spacing w:after="0"/>
              <w:rPr>
                <w:sz w:val="3"/>
                <w:szCs w:val="3"/>
                <w:color w:val="auto"/>
              </w:rPr>
            </w:pPr>
          </w:p>
        </w:tc>
        <w:tc>
          <w:tcPr>
            <w:tcW w:w="2440" w:type="dxa"/>
            <w:vAlign w:val="bottom"/>
            <w:tcBorders>
              <w:bottom w:val="single" w:sz="8" w:color="5D89B4"/>
            </w:tcBorders>
          </w:tcPr>
          <w:p>
            <w:pPr>
              <w:spacing w:after="0"/>
              <w:rPr>
                <w:sz w:val="3"/>
                <w:szCs w:val="3"/>
                <w:color w:val="auto"/>
              </w:rPr>
            </w:pPr>
          </w:p>
        </w:tc>
      </w:tr>
    </w:tbl>
    <w:p>
      <w:pPr>
        <w:spacing w:after="0" w:line="89" w:lineRule="exact"/>
        <w:rPr>
          <w:sz w:val="20"/>
          <w:szCs w:val="20"/>
          <w:color w:val="auto"/>
        </w:rPr>
      </w:pPr>
    </w:p>
    <w:p>
      <w:pPr>
        <w:ind w:left="180" w:right="40"/>
        <w:spacing w:after="0" w:line="259" w:lineRule="auto"/>
        <w:rPr>
          <w:sz w:val="20"/>
          <w:szCs w:val="20"/>
          <w:color w:val="auto"/>
        </w:rPr>
      </w:pPr>
      <w:r>
        <w:rPr>
          <w:rFonts w:ascii="Arial" w:cs="Arial" w:eastAsia="Arial" w:hAnsi="Arial"/>
          <w:sz w:val="15"/>
          <w:szCs w:val="15"/>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79375</wp:posOffset>
            </wp:positionV>
            <wp:extent cx="69138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61</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TABLES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47" w:lineRule="exact"/>
        <w:rPr>
          <w:sz w:val="20"/>
          <w:szCs w:val="20"/>
          <w:color w:val="auto"/>
        </w:rPr>
      </w:pPr>
    </w:p>
    <w:p>
      <w:pPr>
        <w:ind w:left="180" w:right="20"/>
        <w:spacing w:after="0" w:line="227"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tables following the descriptions of these arrangements illustrate the amount of enhanced benefits the NEOs would receive under all such arrangements if ManpowerGroup terminated their employment on December 31, 2023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 NEO who was not eligible for retirement treatment as of the date of this proxy statement with respect to any of their unvested benefits. The tables below assume that in a “change of control,” the acquiring or surviving company would have assumed all unvested equity awards.</w:t>
      </w:r>
    </w:p>
    <w:p>
      <w:pPr>
        <w:spacing w:after="0" w:line="110" w:lineRule="exact"/>
        <w:rPr>
          <w:sz w:val="20"/>
          <w:szCs w:val="20"/>
          <w:color w:val="auto"/>
        </w:rPr>
      </w:pPr>
    </w:p>
    <w:p>
      <w:pPr>
        <w:ind w:left="180"/>
        <w:spacing w:after="0" w:line="233" w:lineRule="auto"/>
        <w:rPr>
          <w:sz w:val="20"/>
          <w:szCs w:val="20"/>
          <w:color w:val="auto"/>
        </w:rPr>
      </w:pPr>
      <w:r>
        <w:rPr>
          <w:rFonts w:ascii="Arial" w:cs="Arial" w:eastAsia="Arial" w:hAnsi="Arial"/>
          <w:sz w:val="15"/>
          <w:szCs w:val="15"/>
          <w:b w:val="1"/>
          <w:bCs w:val="1"/>
          <w:color w:val="5D89B4"/>
        </w:rPr>
        <w:t xml:space="preserve">Severance agreements. </w:t>
      </w:r>
      <w:r>
        <w:rPr>
          <w:rFonts w:ascii="Arial" w:cs="Arial" w:eastAsia="Arial" w:hAnsi="Arial"/>
          <w:sz w:val="15"/>
          <w:szCs w:val="15"/>
          <w:color w:val="000000"/>
        </w:rPr>
        <w:t>Under the severance agreements, upon the involuntary termination of the NEO’s employment (other than for cause, as described below)</w:t>
      </w:r>
      <w:r>
        <w:rPr>
          <w:rFonts w:ascii="Arial" w:cs="Arial" w:eastAsia="Arial" w:hAnsi="Arial"/>
          <w:sz w:val="15"/>
          <w:szCs w:val="15"/>
          <w:b w:val="1"/>
          <w:bCs w:val="1"/>
          <w:color w:val="5D89B4"/>
        </w:rPr>
        <w:t xml:space="preserve"> </w:t>
      </w:r>
      <w:r>
        <w:rPr>
          <w:rFonts w:ascii="Arial" w:cs="Arial" w:eastAsia="Arial" w:hAnsi="Arial"/>
          <w:sz w:val="15"/>
          <w:szCs w:val="15"/>
          <w:color w:val="000000"/>
        </w:rPr>
        <w:t>or upon the voluntary termination of employment by the NEO for good reason (as described below), the NEO is entitled to receive a severance payment equal to the sum of the executive’s base salary and annual incentive. The severance payment to the CEO is capped at 2.5 times his base salary in effect at the time of the termination, while the CFO’s severance payment is capped at 2 times his base salary in effect at the time of the termination. There is no cap applicable to the other NEOs.</w:t>
      </w:r>
    </w:p>
    <w:p>
      <w:pPr>
        <w:spacing w:after="0" w:line="110" w:lineRule="exact"/>
        <w:rPr>
          <w:sz w:val="20"/>
          <w:szCs w:val="20"/>
          <w:color w:val="auto"/>
        </w:rPr>
      </w:pPr>
    </w:p>
    <w:p>
      <w:pPr>
        <w:ind w:left="180" w:right="60"/>
        <w:spacing w:after="0" w:line="230" w:lineRule="auto"/>
        <w:rPr>
          <w:sz w:val="20"/>
          <w:szCs w:val="20"/>
          <w:color w:val="auto"/>
        </w:rPr>
      </w:pPr>
      <w:r>
        <w:rPr>
          <w:rFonts w:ascii="Arial" w:cs="Arial" w:eastAsia="Arial" w:hAnsi="Arial"/>
          <w:sz w:val="15"/>
          <w:szCs w:val="15"/>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97" w:lineRule="exact"/>
        <w:rPr>
          <w:sz w:val="20"/>
          <w:szCs w:val="20"/>
          <w:color w:val="auto"/>
        </w:rPr>
      </w:pPr>
    </w:p>
    <w:p>
      <w:pPr>
        <w:ind w:left="180" w:right="40"/>
        <w:spacing w:after="0" w:line="228" w:lineRule="auto"/>
        <w:rPr>
          <w:sz w:val="20"/>
          <w:szCs w:val="20"/>
          <w:color w:val="auto"/>
        </w:rPr>
      </w:pPr>
      <w:r>
        <w:rPr>
          <w:rFonts w:ascii="Arial" w:cs="Arial" w:eastAsia="Arial" w:hAnsi="Arial"/>
          <w:sz w:val="15"/>
          <w:szCs w:val="15"/>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(v) a material reduction in the executive’s target bonus opportunity that is not coupled with a material diminution in the executive’s authority, duties or responsibilities, but that occurs within two years after a change of control, or (vi) a relocation to a new principal office that is in excess of 50 miles from the NEO’s prior principal office.</w:t>
      </w:r>
    </w:p>
    <w:p>
      <w:pPr>
        <w:spacing w:after="0" w:line="109" w:lineRule="exact"/>
        <w:rPr>
          <w:sz w:val="20"/>
          <w:szCs w:val="20"/>
          <w:color w:val="auto"/>
        </w:rPr>
      </w:pPr>
    </w:p>
    <w:p>
      <w:pPr>
        <w:ind w:left="180" w:right="80"/>
        <w:spacing w:after="0" w:line="241" w:lineRule="auto"/>
        <w:rPr>
          <w:sz w:val="20"/>
          <w:szCs w:val="20"/>
          <w:color w:val="auto"/>
        </w:rPr>
      </w:pPr>
      <w:r>
        <w:rPr>
          <w:rFonts w:ascii="Arial" w:cs="Arial" w:eastAsia="Arial" w:hAnsi="Arial"/>
          <w:sz w:val="15"/>
          <w:szCs w:val="15"/>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107" w:lineRule="exact"/>
        <w:rPr>
          <w:sz w:val="20"/>
          <w:szCs w:val="20"/>
          <w:color w:val="auto"/>
        </w:rPr>
      </w:pPr>
    </w:p>
    <w:p>
      <w:pPr>
        <w:ind w:left="180" w:right="40"/>
        <w:spacing w:after="0" w:line="236" w:lineRule="auto"/>
        <w:rPr>
          <w:sz w:val="20"/>
          <w:szCs w:val="20"/>
          <w:color w:val="auto"/>
        </w:rPr>
      </w:pPr>
      <w:r>
        <w:rPr>
          <w:rFonts w:ascii="Arial" w:cs="Arial" w:eastAsia="Arial" w:hAnsi="Arial"/>
          <w:sz w:val="15"/>
          <w:szCs w:val="15"/>
          <w:color w:val="auto"/>
        </w:rPr>
        <w:t>Effective as of February 17, 2023, ManpowerGroup entered into new severance agreements with all of the NEOs, replacing their prior severance agreements. The new severance agreements contain terms substantially similar to each NEO’s prior severance agreements and were entered into primarily to provide a common expiration date for all NEOs. All of the new severance agreements entered into with the NEOs are set to expire on the first to occur of (1) the date two years after the occurrence of a change of control of ManpowerGroup or (2) February 28, 2026 if no such change of control occurs before February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88900</wp:posOffset>
            </wp:positionV>
            <wp:extent cx="69138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5D89B4"/>
        </w:rPr>
        <w:t>COMPENSATION TABLES</w:t>
      </w:r>
    </w:p>
    <w:p>
      <w:pPr>
        <w:spacing w:after="0" w:line="158" w:lineRule="exact"/>
        <w:rPr>
          <w:sz w:val="20"/>
          <w:szCs w:val="20"/>
          <w:color w:val="auto"/>
        </w:rPr>
      </w:pPr>
    </w:p>
    <w:p>
      <w:pPr>
        <w:ind w:left="180" w:right="160"/>
        <w:spacing w:after="0" w:line="229" w:lineRule="auto"/>
        <w:rPr>
          <w:sz w:val="20"/>
          <w:szCs w:val="20"/>
          <w:color w:val="auto"/>
        </w:rPr>
      </w:pPr>
      <w:r>
        <w:rPr>
          <w:rFonts w:ascii="Arial" w:cs="Arial" w:eastAsia="Arial" w:hAnsi="Arial"/>
          <w:sz w:val="15"/>
          <w:szCs w:val="15"/>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98" w:lineRule="exact"/>
        <w:rPr>
          <w:sz w:val="20"/>
          <w:szCs w:val="20"/>
          <w:color w:val="auto"/>
        </w:rPr>
      </w:pPr>
    </w:p>
    <w:p>
      <w:pPr>
        <w:ind w:left="180" w:right="60"/>
        <w:spacing w:after="0" w:line="227" w:lineRule="auto"/>
        <w:rPr>
          <w:sz w:val="20"/>
          <w:szCs w:val="20"/>
          <w:color w:val="auto"/>
        </w:rPr>
      </w:pPr>
      <w:r>
        <w:rPr>
          <w:rFonts w:ascii="Arial" w:cs="Arial" w:eastAsia="Arial" w:hAnsi="Arial"/>
          <w:sz w:val="15"/>
          <w:szCs w:val="15"/>
          <w:b w:val="1"/>
          <w:bCs w:val="1"/>
          <w:color w:val="5D89B4"/>
        </w:rPr>
        <w:t xml:space="preserve">Stock options. </w:t>
      </w:r>
      <w:r>
        <w:rPr>
          <w:rFonts w:ascii="Arial" w:cs="Arial" w:eastAsia="Arial" w:hAnsi="Arial"/>
          <w:sz w:val="15"/>
          <w:szCs w:val="15"/>
          <w:color w:val="000000"/>
        </w:rPr>
        <w:t>As of December 31, 2023, each of the NEOs held unvested stock options granted under the 2011 Equity Incentive Plan. Under the terms of the</w:t>
      </w:r>
      <w:r>
        <w:rPr>
          <w:rFonts w:ascii="Arial" w:cs="Arial" w:eastAsia="Arial" w:hAnsi="Arial"/>
          <w:sz w:val="15"/>
          <w:szCs w:val="15"/>
          <w:b w:val="1"/>
          <w:bCs w:val="1"/>
          <w:color w:val="5D89B4"/>
        </w:rPr>
        <w:t xml:space="preserve"> </w:t>
      </w:r>
      <w:r>
        <w:rPr>
          <w:rFonts w:ascii="Arial" w:cs="Arial" w:eastAsia="Arial" w:hAnsi="Arial"/>
          <w:sz w:val="15"/>
          <w:szCs w:val="15"/>
          <w:color w:val="000000"/>
        </w:rPr>
        <w:t>stock option agreements that ManpowerGroup entered into with each of the NEOs, unvested options immediately vest upon the NEO’s death or disability. Furthermore, upon a change of control where the options are converted on a tax-free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of the acquirer’s shares on a tax-free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 Unvested options are forfeited upon the NEO’s termination of employment for reasons other than death, disability, retirement, or in connection with a change in control.</w:t>
      </w:r>
    </w:p>
    <w:p>
      <w:pPr>
        <w:spacing w:after="0" w:line="113" w:lineRule="exact"/>
        <w:rPr>
          <w:sz w:val="20"/>
          <w:szCs w:val="20"/>
          <w:color w:val="auto"/>
        </w:rPr>
      </w:pPr>
    </w:p>
    <w:p>
      <w:pPr>
        <w:ind w:left="180" w:right="40"/>
        <w:spacing w:after="0" w:line="231" w:lineRule="auto"/>
        <w:rPr>
          <w:sz w:val="20"/>
          <w:szCs w:val="20"/>
          <w:color w:val="auto"/>
        </w:rPr>
      </w:pPr>
      <w:r>
        <w:rPr>
          <w:rFonts w:ascii="Arial" w:cs="Arial" w:eastAsia="Arial" w:hAnsi="Arial"/>
          <w:sz w:val="15"/>
          <w:szCs w:val="15"/>
          <w:b w:val="1"/>
          <w:bCs w:val="1"/>
          <w:color w:val="5D89B4"/>
        </w:rPr>
        <w:t xml:space="preserve">RSUs (including career shares). </w:t>
      </w:r>
      <w:r>
        <w:rPr>
          <w:rFonts w:ascii="Arial" w:cs="Arial" w:eastAsia="Arial" w:hAnsi="Arial"/>
          <w:sz w:val="15"/>
          <w:szCs w:val="15"/>
          <w:color w:val="000000"/>
        </w:rPr>
        <w:t>As of December 31, 2023, the NEOs held unvested RSUs granted under the 2011 Equity Incentive Plan (with Mr. McGinnis and</w:t>
      </w:r>
      <w:r>
        <w:rPr>
          <w:rFonts w:ascii="Arial" w:cs="Arial" w:eastAsia="Arial" w:hAnsi="Arial"/>
          <w:sz w:val="15"/>
          <w:szCs w:val="15"/>
          <w:b w:val="1"/>
          <w:bCs w:val="1"/>
          <w:color w:val="5D89B4"/>
        </w:rPr>
        <w:t xml:space="preserve"> </w:t>
      </w:r>
      <w:r>
        <w:rPr>
          <w:rFonts w:ascii="Arial" w:cs="Arial" w:eastAsia="Arial" w:hAnsi="Arial"/>
          <w:sz w:val="15"/>
          <w:szCs w:val="15"/>
          <w:color w:val="000000"/>
        </w:rPr>
        <w:t>Ms. Nettles also holding unvested career shares). A NEO will become fully vested in his or her RSUs (including career shares) upon a termination of employment due to death or disability. All RSUs (other than career shares) held by the NEOs will become fully vested upon a termination of employment due to the NEO’s retirement. Career shares do not vest upon retirement. For these awards, “retirement” generally means the termination of the NEO’s employment on or after age 55 if the NEO has completed 10 years of service with ManpowerGroup. Upon a change of control, the RSUs (including career shares) shall vest according to the same terms as described above for stock options.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RSUs are forfeited upon the NEO’s termination of employment for reasons other than death, disability, retirement, or in connection with a change in control.</w:t>
      </w:r>
    </w:p>
    <w:p>
      <w:pPr>
        <w:spacing w:after="0" w:line="121" w:lineRule="exact"/>
        <w:rPr>
          <w:sz w:val="20"/>
          <w:szCs w:val="20"/>
          <w:color w:val="auto"/>
        </w:rPr>
      </w:pPr>
    </w:p>
    <w:p>
      <w:pPr>
        <w:ind w:left="180" w:right="120"/>
        <w:spacing w:after="0" w:line="230" w:lineRule="auto"/>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As of December 31, 2023, all NEOs held outstanding PSUs granted under the 2011 Equity Incentive Plan. Generally, under these awards, upon a NEO’s</w:t>
      </w:r>
      <w:r>
        <w:rPr>
          <w:rFonts w:ascii="Arial" w:cs="Arial" w:eastAsia="Arial" w:hAnsi="Arial"/>
          <w:sz w:val="15"/>
          <w:szCs w:val="15"/>
          <w:b w:val="1"/>
          <w:bCs w:val="1"/>
          <w:color w:val="5D89B4"/>
        </w:rPr>
        <w:t xml:space="preserve"> </w:t>
      </w:r>
      <w:r>
        <w:rPr>
          <w:rFonts w:ascii="Arial" w:cs="Arial" w:eastAsia="Arial" w:hAnsi="Arial"/>
          <w:sz w:val="15"/>
          <w:szCs w:val="15"/>
          <w:color w:val="000000"/>
        </w:rPr>
        <w:t>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upon a NEO’s termination of employment due to retirement (here, employment termination after age 55 with 10 years of completed service), if the Committee has approved a succession plan, as recommended by the CEO, for the NEO or with respect to his or her position. PSUs are forfeited upon a termination of employment prior to the end of the performance period for reasons other than death, disability, retirement, or in connection with a change in control.</w:t>
      </w:r>
    </w:p>
    <w:p>
      <w:pPr>
        <w:spacing w:after="0" w:line="110" w:lineRule="exact"/>
        <w:rPr>
          <w:sz w:val="20"/>
          <w:szCs w:val="20"/>
          <w:color w:val="auto"/>
        </w:rPr>
      </w:pPr>
    </w:p>
    <w:p>
      <w:pPr>
        <w:ind w:left="180" w:right="100"/>
        <w:spacing w:after="0" w:line="236" w:lineRule="auto"/>
        <w:rPr>
          <w:sz w:val="20"/>
          <w:szCs w:val="20"/>
          <w:color w:val="auto"/>
        </w:rPr>
      </w:pPr>
      <w:r>
        <w:rPr>
          <w:rFonts w:ascii="Arial" w:cs="Arial" w:eastAsia="Arial" w:hAnsi="Arial"/>
          <w:sz w:val="15"/>
          <w:szCs w:val="15"/>
          <w:color w:val="auto"/>
        </w:rPr>
        <w:t>Generally, upon the death or disability of a NEO during the performance period, the NEO is entitled to receive the target amount of shares.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PSUs, where the total number of shares payable under the award will be based on an amount determined by the Committee.</w:t>
      </w:r>
    </w:p>
    <w:p>
      <w:pPr>
        <w:spacing w:after="0" w:line="109" w:lineRule="exact"/>
        <w:rPr>
          <w:sz w:val="20"/>
          <w:szCs w:val="20"/>
          <w:color w:val="auto"/>
        </w:rPr>
      </w:pPr>
    </w:p>
    <w:p>
      <w:pPr>
        <w:ind w:left="180"/>
        <w:spacing w:after="0" w:line="236" w:lineRule="auto"/>
        <w:rPr>
          <w:sz w:val="20"/>
          <w:szCs w:val="20"/>
          <w:color w:val="auto"/>
        </w:rPr>
      </w:pPr>
      <w:r>
        <w:rPr>
          <w:rFonts w:ascii="Arial" w:cs="Arial" w:eastAsia="Arial" w:hAnsi="Arial"/>
          <w:sz w:val="15"/>
          <w:szCs w:val="15"/>
          <w:b w:val="1"/>
          <w:bCs w:val="1"/>
          <w:color w:val="5D89B4"/>
        </w:rPr>
        <w:t xml:space="preserve">Annual Incentive Plan. </w:t>
      </w:r>
      <w:r>
        <w:rPr>
          <w:rFonts w:ascii="Arial" w:cs="Arial" w:eastAsia="Arial" w:hAnsi="Arial"/>
          <w:sz w:val="15"/>
          <w:szCs w:val="15"/>
          <w:color w:val="000000"/>
        </w:rPr>
        <w:t>The ManpowerGroup Annual Incentive Plan (the “Annual Incentive Plan”) provides that a bonus will become vested upon retirement. For</w:t>
      </w:r>
      <w:r>
        <w:rPr>
          <w:rFonts w:ascii="Arial" w:cs="Arial" w:eastAsia="Arial" w:hAnsi="Arial"/>
          <w:sz w:val="15"/>
          <w:szCs w:val="15"/>
          <w:b w:val="1"/>
          <w:bCs w:val="1"/>
          <w:color w:val="5D89B4"/>
        </w:rPr>
        <w:t xml:space="preserve"> </w:t>
      </w:r>
      <w:r>
        <w:rPr>
          <w:rFonts w:ascii="Arial" w:cs="Arial" w:eastAsia="Arial" w:hAnsi="Arial"/>
          <w:sz w:val="15"/>
          <w:szCs w:val="15"/>
          <w:color w:val="000000"/>
        </w:rPr>
        <w:t>purposes of this plan, “retirement” means the NEO terminates employment after he or she has (i) reached age 55 and (ii) completed 10 years of service.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88900</wp:posOffset>
            </wp:positionV>
            <wp:extent cx="69138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TABLES</w:t>
      </w:r>
    </w:p>
    <w:p>
      <w:pPr>
        <w:spacing w:after="0" w:line="146" w:lineRule="exact"/>
        <w:rPr>
          <w:sz w:val="20"/>
          <w:szCs w:val="20"/>
          <w:color w:val="auto"/>
        </w:rPr>
      </w:pPr>
    </w:p>
    <w:p>
      <w:pPr>
        <w:ind w:left="180"/>
        <w:spacing w:after="0" w:line="233"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The amount of any unvested benefits under the Nonqualified Savings Plan will become vested upon a participant’s death, disability or</w:t>
      </w:r>
      <w:r>
        <w:rPr>
          <w:rFonts w:ascii="Arial" w:cs="Arial" w:eastAsia="Arial" w:hAnsi="Arial"/>
          <w:sz w:val="15"/>
          <w:szCs w:val="15"/>
          <w:b w:val="1"/>
          <w:bCs w:val="1"/>
          <w:color w:val="5D89B4"/>
        </w:rPr>
        <w:t xml:space="preserve"> </w:t>
      </w:r>
      <w:r>
        <w:rPr>
          <w:rFonts w:ascii="Arial" w:cs="Arial" w:eastAsia="Arial" w:hAnsi="Arial"/>
          <w:sz w:val="15"/>
          <w:szCs w:val="15"/>
          <w:color w:val="000000"/>
        </w:rPr>
        <w:t>retirement. For purposes of this plan, “retirement” means a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are already fully vested in their benefits under this plan and therefore, no NEOs will receive any enhanced benefit upon death, disability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89535</wp:posOffset>
            </wp:positionV>
            <wp:extent cx="69138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5D89B4"/>
        </w:rPr>
        <w:t>COMPENSATION TABLES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Jonas Prising, CEO (1)</w:t>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26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DOUBLE</w:t>
            </w:r>
          </w:p>
        </w:tc>
        <w:tc>
          <w:tcPr>
            <w:tcW w:w="122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1120" w:type="dxa"/>
            <w:vAlign w:val="bottom"/>
            <w:shd w:val="clear" w:color="auto" w:fill="EAEAEA"/>
          </w:tcPr>
          <w:p>
            <w:pPr>
              <w:spacing w:after="0"/>
              <w:rPr>
                <w:sz w:val="18"/>
                <w:szCs w:val="18"/>
                <w:color w:val="auto"/>
              </w:rPr>
            </w:pPr>
          </w:p>
        </w:tc>
      </w:tr>
      <w:tr>
        <w:trPr>
          <w:trHeight w:val="160"/>
        </w:trPr>
        <w:tc>
          <w:tcPr>
            <w:tcW w:w="2260" w:type="dxa"/>
            <w:vAlign w:val="bottom"/>
            <w:shd w:val="clear" w:color="auto" w:fill="EAEAEA"/>
          </w:tcPr>
          <w:p>
            <w:pPr>
              <w:spacing w:after="0"/>
              <w:rPr>
                <w:sz w:val="13"/>
                <w:szCs w:val="13"/>
                <w:color w:val="auto"/>
              </w:rPr>
            </w:pPr>
          </w:p>
        </w:tc>
        <w:tc>
          <w:tcPr>
            <w:tcW w:w="11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TRIGGER</w:t>
            </w:r>
          </w:p>
        </w:tc>
        <w:tc>
          <w:tcPr>
            <w:tcW w:w="122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r>
      <w:tr>
        <w:trPr>
          <w:trHeight w:val="160"/>
        </w:trPr>
        <w:tc>
          <w:tcPr>
            <w:tcW w:w="2260" w:type="dxa"/>
            <w:vAlign w:val="bottom"/>
            <w:shd w:val="clear" w:color="auto" w:fill="EAEAEA"/>
          </w:tcPr>
          <w:p>
            <w:pPr>
              <w:spacing w:after="0"/>
              <w:rPr>
                <w:sz w:val="13"/>
                <w:szCs w:val="13"/>
                <w:color w:val="auto"/>
              </w:rPr>
            </w:pPr>
          </w:p>
        </w:tc>
        <w:tc>
          <w:tcPr>
            <w:tcW w:w="11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(COC+</w:t>
            </w:r>
          </w:p>
        </w:tc>
        <w:tc>
          <w:tcPr>
            <w:tcW w:w="122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r>
      <w:tr>
        <w:trPr>
          <w:trHeight w:val="160"/>
        </w:trPr>
        <w:tc>
          <w:tcPr>
            <w:tcW w:w="2260" w:type="dxa"/>
            <w:vAlign w:val="bottom"/>
            <w:shd w:val="clear" w:color="auto" w:fill="EAEAEA"/>
          </w:tcPr>
          <w:p>
            <w:pPr>
              <w:spacing w:after="0"/>
              <w:rPr>
                <w:sz w:val="13"/>
                <w:szCs w:val="13"/>
                <w:color w:val="auto"/>
              </w:rPr>
            </w:pPr>
          </w:p>
        </w:tc>
        <w:tc>
          <w:tcPr>
            <w:tcW w:w="118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REASON – NO</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TERMINATION)</w:t>
            </w:r>
          </w:p>
        </w:tc>
        <w:tc>
          <w:tcPr>
            <w:tcW w:w="1220" w:type="dxa"/>
            <w:vAlign w:val="bottom"/>
            <w:shd w:val="clear" w:color="auto" w:fill="EAEAEA"/>
          </w:tcPr>
          <w:p>
            <w:pPr>
              <w:jc w:val="right"/>
              <w:ind w:right="505"/>
              <w:spacing w:after="0"/>
              <w:rPr>
                <w:sz w:val="20"/>
                <w:szCs w:val="20"/>
                <w:color w:val="auto"/>
              </w:rPr>
            </w:pPr>
            <w:r>
              <w:rPr>
                <w:rFonts w:ascii="Arial" w:cs="Arial" w:eastAsia="Arial" w:hAnsi="Arial"/>
                <w:sz w:val="14"/>
                <w:szCs w:val="14"/>
                <w:b w:val="1"/>
                <w:bCs w:val="1"/>
                <w:color w:val="5D89B4"/>
              </w:rPr>
              <w:t>FOR</w:t>
            </w:r>
          </w:p>
        </w:tc>
        <w:tc>
          <w:tcPr>
            <w:tcW w:w="10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r>
      <w:tr>
        <w:trPr>
          <w:trHeight w:val="216"/>
        </w:trPr>
        <w:tc>
          <w:tcPr>
            <w:tcW w:w="2260" w:type="dxa"/>
            <w:vAlign w:val="bottom"/>
            <w:tcBorders>
              <w:bottom w:val="single" w:sz="8" w:color="EAEAEA"/>
            </w:tcBorders>
            <w:shd w:val="clear" w:color="auto" w:fill="EAEAEA"/>
          </w:tcPr>
          <w:p>
            <w:pPr>
              <w:spacing w:after="0"/>
              <w:rPr>
                <w:sz w:val="18"/>
                <w:szCs w:val="18"/>
                <w:color w:val="auto"/>
              </w:rPr>
            </w:pPr>
          </w:p>
        </w:tc>
        <w:tc>
          <w:tcPr>
            <w:tcW w:w="118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DEATH($)</w:t>
            </w:r>
          </w:p>
        </w:tc>
        <w:tc>
          <w:tcPr>
            <w:tcW w:w="126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DISABILITY($)</w:t>
            </w:r>
          </w:p>
        </w:tc>
        <w:tc>
          <w:tcPr>
            <w:tcW w:w="128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COC($)</w:t>
            </w:r>
          </w:p>
        </w:tc>
        <w:tc>
          <w:tcPr>
            <w:tcW w:w="4900" w:type="dxa"/>
            <w:vAlign w:val="bottom"/>
            <w:tcBorders>
              <w:bottom w:val="single" w:sz="8" w:color="EAEAEA"/>
            </w:tcBorders>
            <w:gridSpan w:val="4"/>
            <w:shd w:val="clear" w:color="auto" w:fill="EAEAEA"/>
          </w:tcPr>
          <w:p>
            <w:pPr>
              <w:jc w:val="right"/>
              <w:spacing w:after="0"/>
              <w:rPr>
                <w:sz w:val="20"/>
                <w:szCs w:val="20"/>
                <w:color w:val="auto"/>
              </w:rPr>
            </w:pPr>
            <w:r>
              <w:rPr>
                <w:rFonts w:ascii="Arial" w:cs="Arial" w:eastAsia="Arial" w:hAnsi="Arial"/>
                <w:sz w:val="14"/>
                <w:szCs w:val="14"/>
                <w:b w:val="1"/>
                <w:bCs w:val="1"/>
                <w:color w:val="5D89B4"/>
                <w:w w:val="99"/>
              </w:rPr>
              <w:t>($)(2)CAUSE($)VOLUNTARY($)RETIREMENT($)</w:t>
            </w:r>
          </w:p>
        </w:tc>
      </w:tr>
      <w:tr>
        <w:trPr>
          <w:trHeight w:val="252"/>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3,250,000</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10,140,000</w:t>
            </w:r>
          </w:p>
        </w:tc>
        <w:tc>
          <w:tcPr>
            <w:tcW w:w="122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60" w:type="dxa"/>
            <w:vAlign w:val="bottom"/>
          </w:tcPr>
          <w:p>
            <w:pPr>
              <w:ind w:left="60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1"/>
        </w:trPr>
        <w:tc>
          <w:tcPr>
            <w:tcW w:w="226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126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r>
      <w:tr>
        <w:trPr>
          <w:trHeight w:val="232"/>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2,080,000</w:t>
            </w:r>
          </w:p>
        </w:tc>
        <w:tc>
          <w:tcPr>
            <w:tcW w:w="1260" w:type="dxa"/>
            <w:vAlign w:val="bottom"/>
          </w:tcPr>
          <w:p>
            <w:pPr>
              <w:jc w:val="right"/>
              <w:ind w:right="65"/>
              <w:spacing w:after="0"/>
              <w:rPr>
                <w:sz w:val="20"/>
                <w:szCs w:val="20"/>
                <w:color w:val="auto"/>
              </w:rPr>
            </w:pPr>
            <w:r>
              <w:rPr>
                <w:rFonts w:ascii="Arial" w:cs="Arial" w:eastAsia="Arial" w:hAnsi="Arial"/>
                <w:sz w:val="15"/>
                <w:szCs w:val="15"/>
                <w:color w:val="auto"/>
              </w:rPr>
              <w:t>2,080,000</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808,167</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2,080,000</w:t>
            </w:r>
          </w:p>
        </w:tc>
        <w:tc>
          <w:tcPr>
            <w:tcW w:w="122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60" w:type="dxa"/>
            <w:vAlign w:val="bottom"/>
          </w:tcPr>
          <w:p>
            <w:pPr>
              <w:ind w:left="60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727,047</w:t>
            </w:r>
          </w:p>
        </w:tc>
      </w:tr>
      <w:tr>
        <w:trPr>
          <w:trHeight w:val="41"/>
        </w:trPr>
        <w:tc>
          <w:tcPr>
            <w:tcW w:w="226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126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r>
      <w:tr>
        <w:trPr>
          <w:trHeight w:val="232"/>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60" w:type="dxa"/>
            <w:vAlign w:val="bottom"/>
          </w:tcPr>
          <w:p>
            <w:pPr>
              <w:ind w:left="60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1"/>
        </w:trPr>
        <w:tc>
          <w:tcPr>
            <w:tcW w:w="226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126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r>
      <w:tr>
        <w:trPr>
          <w:trHeight w:val="232"/>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15,653,603</w:t>
            </w:r>
          </w:p>
        </w:tc>
        <w:tc>
          <w:tcPr>
            <w:tcW w:w="1260" w:type="dxa"/>
            <w:vAlign w:val="bottom"/>
          </w:tcPr>
          <w:p>
            <w:pPr>
              <w:jc w:val="right"/>
              <w:ind w:right="65"/>
              <w:spacing w:after="0"/>
              <w:rPr>
                <w:sz w:val="20"/>
                <w:szCs w:val="20"/>
                <w:color w:val="auto"/>
              </w:rPr>
            </w:pPr>
            <w:r>
              <w:rPr>
                <w:rFonts w:ascii="Arial" w:cs="Arial" w:eastAsia="Arial" w:hAnsi="Arial"/>
                <w:sz w:val="15"/>
                <w:szCs w:val="15"/>
                <w:color w:val="auto"/>
              </w:rPr>
              <w:t>15,653,603</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20,551,212</w:t>
            </w:r>
          </w:p>
        </w:tc>
        <w:tc>
          <w:tcPr>
            <w:tcW w:w="122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60" w:type="dxa"/>
            <w:vAlign w:val="bottom"/>
          </w:tcPr>
          <w:p>
            <w:pPr>
              <w:ind w:left="60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15,107,618</w:t>
            </w:r>
          </w:p>
        </w:tc>
      </w:tr>
      <w:tr>
        <w:trPr>
          <w:trHeight w:val="41"/>
        </w:trPr>
        <w:tc>
          <w:tcPr>
            <w:tcW w:w="226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126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r>
      <w:tr>
        <w:trPr>
          <w:trHeight w:val="232"/>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8,886,335</w:t>
            </w:r>
          </w:p>
        </w:tc>
        <w:tc>
          <w:tcPr>
            <w:tcW w:w="1260" w:type="dxa"/>
            <w:vAlign w:val="bottom"/>
          </w:tcPr>
          <w:p>
            <w:pPr>
              <w:jc w:val="right"/>
              <w:ind w:right="65"/>
              <w:spacing w:after="0"/>
              <w:rPr>
                <w:sz w:val="20"/>
                <w:szCs w:val="20"/>
                <w:color w:val="auto"/>
              </w:rPr>
            </w:pPr>
            <w:r>
              <w:rPr>
                <w:rFonts w:ascii="Arial" w:cs="Arial" w:eastAsia="Arial" w:hAnsi="Arial"/>
                <w:sz w:val="15"/>
                <w:szCs w:val="15"/>
                <w:color w:val="auto"/>
              </w:rPr>
              <w:t>8,886,335</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8,886,335</w:t>
            </w:r>
          </w:p>
        </w:tc>
        <w:tc>
          <w:tcPr>
            <w:tcW w:w="122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60" w:type="dxa"/>
            <w:vAlign w:val="bottom"/>
          </w:tcPr>
          <w:p>
            <w:pPr>
              <w:ind w:left="60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8,886,335</w:t>
            </w:r>
          </w:p>
        </w:tc>
      </w:tr>
      <w:tr>
        <w:trPr>
          <w:trHeight w:val="41"/>
        </w:trPr>
        <w:tc>
          <w:tcPr>
            <w:tcW w:w="226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126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r>
      <w:tr>
        <w:trPr>
          <w:trHeight w:val="232"/>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32,742</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50,096</w:t>
            </w:r>
          </w:p>
        </w:tc>
        <w:tc>
          <w:tcPr>
            <w:tcW w:w="122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60" w:type="dxa"/>
            <w:vAlign w:val="bottom"/>
          </w:tcPr>
          <w:p>
            <w:pPr>
              <w:ind w:left="60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1"/>
        </w:trPr>
        <w:tc>
          <w:tcPr>
            <w:tcW w:w="226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126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r>
      <w:tr>
        <w:trPr>
          <w:trHeight w:val="232"/>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right"/>
              <w:ind w:right="65"/>
              <w:spacing w:after="0"/>
              <w:rPr>
                <w:sz w:val="20"/>
                <w:szCs w:val="20"/>
                <w:color w:val="auto"/>
              </w:rPr>
            </w:pPr>
            <w:r>
              <w:rPr>
                <w:rFonts w:ascii="Arial" w:cs="Arial" w:eastAsia="Arial" w:hAnsi="Arial"/>
                <w:sz w:val="15"/>
                <w:szCs w:val="15"/>
                <w:color w:val="auto"/>
              </w:rPr>
              <w:t>26,619,938</w:t>
            </w:r>
          </w:p>
        </w:tc>
        <w:tc>
          <w:tcPr>
            <w:tcW w:w="1260" w:type="dxa"/>
            <w:vAlign w:val="bottom"/>
          </w:tcPr>
          <w:p>
            <w:pPr>
              <w:jc w:val="right"/>
              <w:ind w:right="65"/>
              <w:spacing w:after="0"/>
              <w:rPr>
                <w:sz w:val="20"/>
                <w:szCs w:val="20"/>
                <w:color w:val="auto"/>
              </w:rPr>
            </w:pPr>
            <w:r>
              <w:rPr>
                <w:rFonts w:ascii="Arial" w:cs="Arial" w:eastAsia="Arial" w:hAnsi="Arial"/>
                <w:sz w:val="15"/>
                <w:szCs w:val="15"/>
                <w:color w:val="auto"/>
              </w:rPr>
              <w:t>26,619,938</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4,090,909</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41,707,643</w:t>
            </w:r>
          </w:p>
        </w:tc>
        <w:tc>
          <w:tcPr>
            <w:tcW w:w="122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60" w:type="dxa"/>
            <w:vAlign w:val="bottom"/>
          </w:tcPr>
          <w:p>
            <w:pPr>
              <w:ind w:left="60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24,721,000</w:t>
            </w:r>
          </w:p>
        </w:tc>
      </w:tr>
      <w:tr>
        <w:trPr>
          <w:trHeight w:val="41"/>
        </w:trPr>
        <w:tc>
          <w:tcPr>
            <w:tcW w:w="226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126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150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112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right="220" w:hanging="420"/>
        <w:spacing w:after="0" w:line="280"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Mr. Prising that replaced his previous agreement, which expired on February 14, 2023. As of December 31, 2023, Mr. Prising was eligible for retirement treatment under certain of his outstanding awards.</w:t>
      </w:r>
    </w:p>
    <w:p>
      <w:pPr>
        <w:spacing w:after="0" w:line="24" w:lineRule="exact"/>
        <w:rPr>
          <w:rFonts w:ascii="Arial" w:cs="Arial" w:eastAsia="Arial" w:hAnsi="Arial"/>
          <w:sz w:val="14"/>
          <w:szCs w:val="14"/>
          <w:color w:val="auto"/>
        </w:rPr>
      </w:pPr>
    </w:p>
    <w:p>
      <w:pPr>
        <w:ind w:left="600" w:right="360" w:hanging="420"/>
        <w:spacing w:after="0" w:line="280"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24" w:lineRule="exact"/>
        <w:rPr>
          <w:rFonts w:ascii="Arial" w:cs="Arial" w:eastAsia="Arial" w:hAnsi="Arial"/>
          <w:sz w:val="14"/>
          <w:szCs w:val="14"/>
          <w:color w:val="auto"/>
        </w:rPr>
      </w:pPr>
    </w:p>
    <w:p>
      <w:pPr>
        <w:ind w:left="600" w:right="160" w:hanging="420"/>
        <w:spacing w:after="0" w:line="252"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the sum of his annual base salary at the highest rate in effect during the terms of the agreement (here, $1,300,000) and his target bonus for the year of the termination (here, $2,080,000). In the case of his involuntary termination (other than for cause) or voluntary termination for good reason, the severance payment is limited to a maximum of 2.5 times Mr. Prising’s annual base salary. In a double-trigger scenario, the amount of his severance payment is multiplied by three.</w:t>
      </w:r>
    </w:p>
    <w:p>
      <w:pPr>
        <w:spacing w:after="0" w:line="44" w:lineRule="exact"/>
        <w:rPr>
          <w:rFonts w:ascii="Arial" w:cs="Arial" w:eastAsia="Arial" w:hAnsi="Arial"/>
          <w:sz w:val="14"/>
          <w:szCs w:val="14"/>
          <w:color w:val="auto"/>
        </w:rPr>
      </w:pPr>
    </w:p>
    <w:p>
      <w:pPr>
        <w:ind w:left="600" w:right="160" w:hanging="420"/>
        <w:spacing w:after="0" w:line="245"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2023 for the financial objectives and the target amount for the Strategic KPIs and ESG Goals. In the event of death, disability, or certain terminations following a change of control, the prorated incentive is based on the target incentive for the year of termination. In the event of retirement, the prorated incentive is based on the actual incentive earned for 2023. No proration has been applied here as this table illustrates the effect of such a termination on December 31, 2023, immediately before the incentive was earned, so as not to understate the potential value of the benefit upon the applicable termination of employment. Note that an incentive amount has also been reported as 2023 compensation for Mr. Prising in the Summary Compensation Table, as well as in the Grants of Plan-Based Awards Table.</w:t>
      </w:r>
    </w:p>
    <w:p>
      <w:pPr>
        <w:spacing w:after="0" w:line="50" w:lineRule="exact"/>
        <w:rPr>
          <w:rFonts w:ascii="Arial" w:cs="Arial" w:eastAsia="Arial" w:hAnsi="Arial"/>
          <w:sz w:val="14"/>
          <w:szCs w:val="14"/>
          <w:color w:val="auto"/>
        </w:rPr>
      </w:pPr>
    </w:p>
    <w:p>
      <w:pPr>
        <w:ind w:left="600" w:right="220" w:hanging="420"/>
        <w:spacing w:after="0" w:line="259"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29, 2023 ($79.47), the last trading day of 2023, and the exercise price of each unvested stock option held by Mr. Prising on such date. As of such date, the exercise price of each unvested option exceeded the closing stock price, resulting in the options being valued at zero dollars.</w:t>
      </w:r>
    </w:p>
    <w:p>
      <w:pPr>
        <w:spacing w:after="0" w:line="39" w:lineRule="exact"/>
        <w:rPr>
          <w:rFonts w:ascii="Arial" w:cs="Arial" w:eastAsia="Arial" w:hAnsi="Arial"/>
          <w:sz w:val="14"/>
          <w:szCs w:val="14"/>
          <w:color w:val="auto"/>
        </w:rPr>
      </w:pPr>
    </w:p>
    <w:p>
      <w:pPr>
        <w:ind w:left="600" w:right="100" w:hanging="420"/>
        <w:spacing w:after="0" w:line="245"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2022, and 2023 grants) using the closing stock price on December 29, 2023 ($79.47). In the case of a change of control, the payout is shown based on the number of shares earned based on actual performance for the 2021 award and assuming the Committee would determine the amount of shares earned relating to the 2022 and 2023 awards will equal the target award. In the case of a death or disability, the payout is shown based on the target awards. In the case of retirement, the prorated award payout is shown assuming actual performance for the awards (maximum for 2021 and assuming target level for 2022 and 2023 awards), where the awards are prorated based on the number of months of the performance period completed as of December 31, 2023. A full payout would only be applicable in the case of a retirement where the Committee had approved a succession plan and no such succession plan was approved for Mr. Prising as of the date hereof.</w:t>
      </w:r>
    </w:p>
    <w:p>
      <w:pPr>
        <w:spacing w:after="0" w:line="50" w:lineRule="exact"/>
        <w:rPr>
          <w:rFonts w:ascii="Arial" w:cs="Arial" w:eastAsia="Arial" w:hAnsi="Arial"/>
          <w:sz w:val="14"/>
          <w:szCs w:val="14"/>
          <w:color w:val="auto"/>
        </w:rPr>
      </w:pPr>
    </w:p>
    <w:p>
      <w:pPr>
        <w:ind w:left="600" w:right="140" w:hanging="420"/>
        <w:spacing w:after="0" w:line="280"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value of any unvested RSUs is illustrated here by measuring the value of the number of shares payable under unvested awards using the closing stock price on December 29, 2023 ($79.47).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80645</wp:posOffset>
            </wp:positionV>
            <wp:extent cx="69138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8"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TABLES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John T. McGinnis, CFO (1)</w:t>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68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880" w:type="dxa"/>
            <w:vAlign w:val="bottom"/>
            <w:vMerge w:val="restart"/>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INVOLUNTARY</w:t>
            </w:r>
          </w:p>
        </w:tc>
        <w:tc>
          <w:tcPr>
            <w:tcW w:w="1380" w:type="dxa"/>
            <w:vAlign w:val="bottom"/>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DOUBLE</w:t>
            </w:r>
          </w:p>
        </w:tc>
        <w:tc>
          <w:tcPr>
            <w:tcW w:w="1040" w:type="dxa"/>
            <w:vAlign w:val="bottom"/>
            <w:shd w:val="clear" w:color="auto" w:fill="EAEAEA"/>
          </w:tcPr>
          <w:p>
            <w:pPr>
              <w:spacing w:after="0"/>
              <w:rPr>
                <w:sz w:val="18"/>
                <w:szCs w:val="18"/>
                <w:color w:val="auto"/>
              </w:rPr>
            </w:pPr>
          </w:p>
        </w:tc>
        <w:tc>
          <w:tcPr>
            <w:tcW w:w="128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680" w:type="dxa"/>
            <w:vAlign w:val="bottom"/>
            <w:shd w:val="clear" w:color="auto" w:fill="EAEAEA"/>
          </w:tcPr>
          <w:p>
            <w:pPr>
              <w:spacing w:after="0"/>
              <w:rPr>
                <w:sz w:val="12"/>
                <w:szCs w:val="12"/>
                <w:color w:val="auto"/>
              </w:rPr>
            </w:pPr>
          </w:p>
        </w:tc>
        <w:tc>
          <w:tcPr>
            <w:tcW w:w="1300" w:type="dxa"/>
            <w:vAlign w:val="bottom"/>
            <w:shd w:val="clear" w:color="auto" w:fill="EAEAEA"/>
          </w:tcPr>
          <w:p>
            <w:pPr>
              <w:spacing w:after="0"/>
              <w:rPr>
                <w:sz w:val="12"/>
                <w:szCs w:val="12"/>
                <w:color w:val="auto"/>
              </w:rPr>
            </w:pPr>
          </w:p>
        </w:tc>
        <w:tc>
          <w:tcPr>
            <w:tcW w:w="1320" w:type="dxa"/>
            <w:vAlign w:val="bottom"/>
            <w:shd w:val="clear" w:color="auto" w:fill="EAEAEA"/>
          </w:tcPr>
          <w:p>
            <w:pPr>
              <w:spacing w:after="0"/>
              <w:rPr>
                <w:sz w:val="12"/>
                <w:szCs w:val="12"/>
                <w:color w:val="auto"/>
              </w:rPr>
            </w:pPr>
          </w:p>
        </w:tc>
        <w:tc>
          <w:tcPr>
            <w:tcW w:w="1880" w:type="dxa"/>
            <w:vAlign w:val="bottom"/>
            <w:vMerge w:val="continue"/>
            <w:shd w:val="clear" w:color="auto" w:fill="EAEAEA"/>
          </w:tcPr>
          <w:p>
            <w:pPr>
              <w:spacing w:after="0"/>
              <w:rPr>
                <w:sz w:val="12"/>
                <w:szCs w:val="12"/>
                <w:color w:val="auto"/>
              </w:rPr>
            </w:pPr>
          </w:p>
        </w:tc>
        <w:tc>
          <w:tcPr>
            <w:tcW w:w="1380" w:type="dxa"/>
            <w:vAlign w:val="bottom"/>
            <w:shd w:val="clear" w:color="auto" w:fill="EAEAEA"/>
          </w:tcPr>
          <w:p>
            <w:pPr>
              <w:jc w:val="right"/>
              <w:ind w:right="106"/>
              <w:spacing w:after="0" w:line="147" w:lineRule="exact"/>
              <w:rPr>
                <w:sz w:val="20"/>
                <w:szCs w:val="20"/>
                <w:color w:val="auto"/>
              </w:rPr>
            </w:pPr>
            <w:r>
              <w:rPr>
                <w:rFonts w:ascii="Arial" w:cs="Arial" w:eastAsia="Arial" w:hAnsi="Arial"/>
                <w:sz w:val="14"/>
                <w:szCs w:val="14"/>
                <w:b w:val="1"/>
                <w:bCs w:val="1"/>
                <w:color w:val="5D89B4"/>
              </w:rPr>
              <w:t>TRIGGER</w:t>
            </w:r>
          </w:p>
        </w:tc>
        <w:tc>
          <w:tcPr>
            <w:tcW w:w="1040" w:type="dxa"/>
            <w:vAlign w:val="bottom"/>
            <w:shd w:val="clear" w:color="auto" w:fill="EAEAEA"/>
          </w:tcPr>
          <w:p>
            <w:pPr>
              <w:spacing w:after="0"/>
              <w:rPr>
                <w:sz w:val="12"/>
                <w:szCs w:val="12"/>
                <w:color w:val="auto"/>
              </w:rPr>
            </w:pPr>
          </w:p>
        </w:tc>
        <w:tc>
          <w:tcPr>
            <w:tcW w:w="128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8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1880" w:type="dxa"/>
            <w:vAlign w:val="bottom"/>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TERMINATION</w:t>
            </w:r>
          </w:p>
        </w:tc>
        <w:tc>
          <w:tcPr>
            <w:tcW w:w="1380" w:type="dxa"/>
            <w:vAlign w:val="bottom"/>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(COC+</w:t>
            </w:r>
          </w:p>
        </w:tc>
        <w:tc>
          <w:tcPr>
            <w:tcW w:w="10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8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1880" w:type="dxa"/>
            <w:vAlign w:val="bottom"/>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OR GOOD</w:t>
            </w:r>
          </w:p>
        </w:tc>
        <w:tc>
          <w:tcPr>
            <w:tcW w:w="1380" w:type="dxa"/>
            <w:vAlign w:val="bottom"/>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TERMINATION)</w:t>
            </w:r>
          </w:p>
        </w:tc>
        <w:tc>
          <w:tcPr>
            <w:tcW w:w="1040" w:type="dxa"/>
            <w:vAlign w:val="bottom"/>
            <w:shd w:val="clear" w:color="auto" w:fill="EAEAEA"/>
          </w:tcPr>
          <w:p>
            <w:pPr>
              <w:jc w:val="right"/>
              <w:ind w:right="105"/>
              <w:spacing w:after="0"/>
              <w:rPr>
                <w:sz w:val="20"/>
                <w:szCs w:val="20"/>
                <w:color w:val="auto"/>
              </w:rPr>
            </w:pPr>
            <w:r>
              <w:rPr>
                <w:rFonts w:ascii="Arial" w:cs="Arial" w:eastAsia="Arial" w:hAnsi="Arial"/>
                <w:sz w:val="14"/>
                <w:szCs w:val="14"/>
                <w:b w:val="1"/>
                <w:bCs w:val="1"/>
                <w:color w:val="5D89B4"/>
              </w:rPr>
              <w:t>FOR</w:t>
            </w:r>
          </w:p>
        </w:tc>
        <w:tc>
          <w:tcPr>
            <w:tcW w:w="128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EAEAEA"/>
            </w:tcBorders>
            <w:shd w:val="clear" w:color="auto" w:fill="EAEAEA"/>
          </w:tcPr>
          <w:p>
            <w:pPr>
              <w:spacing w:after="0"/>
              <w:rPr>
                <w:sz w:val="19"/>
                <w:szCs w:val="19"/>
                <w:color w:val="auto"/>
              </w:rPr>
            </w:pPr>
          </w:p>
        </w:tc>
        <w:tc>
          <w:tcPr>
            <w:tcW w:w="130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DEATH($)</w:t>
            </w:r>
          </w:p>
        </w:tc>
        <w:tc>
          <w:tcPr>
            <w:tcW w:w="1320" w:type="dxa"/>
            <w:vAlign w:val="bottom"/>
            <w:tcBorders>
              <w:bottom w:val="single" w:sz="8" w:color="EAEAEA"/>
            </w:tcBorders>
            <w:shd w:val="clear" w:color="auto" w:fill="EAEAEA"/>
          </w:tcPr>
          <w:p>
            <w:pPr>
              <w:jc w:val="right"/>
              <w:ind w:right="105"/>
              <w:spacing w:after="0"/>
              <w:rPr>
                <w:sz w:val="20"/>
                <w:szCs w:val="20"/>
                <w:color w:val="auto"/>
              </w:rPr>
            </w:pPr>
            <w:r>
              <w:rPr>
                <w:rFonts w:ascii="Arial" w:cs="Arial" w:eastAsia="Arial" w:hAnsi="Arial"/>
                <w:sz w:val="14"/>
                <w:szCs w:val="14"/>
                <w:b w:val="1"/>
                <w:bCs w:val="1"/>
                <w:color w:val="5D89B4"/>
              </w:rPr>
              <w:t>DISABILITY($)</w:t>
            </w:r>
          </w:p>
        </w:tc>
        <w:tc>
          <w:tcPr>
            <w:tcW w:w="18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REASON – NO COC($)</w:t>
            </w:r>
          </w:p>
        </w:tc>
        <w:tc>
          <w:tcPr>
            <w:tcW w:w="1380" w:type="dxa"/>
            <w:vAlign w:val="bottom"/>
            <w:tcBorders>
              <w:bottom w:val="single" w:sz="8" w:color="EAEAEA"/>
            </w:tcBorders>
            <w:shd w:val="clear" w:color="auto" w:fill="EAEAEA"/>
          </w:tcPr>
          <w:p>
            <w:pPr>
              <w:jc w:val="right"/>
              <w:ind w:right="106"/>
              <w:spacing w:after="0"/>
              <w:rPr>
                <w:sz w:val="20"/>
                <w:szCs w:val="20"/>
                <w:color w:val="auto"/>
              </w:rPr>
            </w:pPr>
            <w:r>
              <w:rPr>
                <w:rFonts w:ascii="Arial" w:cs="Arial" w:eastAsia="Arial" w:hAnsi="Arial"/>
                <w:sz w:val="14"/>
                <w:szCs w:val="14"/>
                <w:b w:val="1"/>
                <w:bCs w:val="1"/>
                <w:color w:val="5D89B4"/>
              </w:rPr>
              <w:t>($)(2)</w:t>
            </w:r>
          </w:p>
        </w:tc>
        <w:tc>
          <w:tcPr>
            <w:tcW w:w="1040" w:type="dxa"/>
            <w:vAlign w:val="bottom"/>
            <w:tcBorders>
              <w:bottom w:val="single" w:sz="8" w:color="EAEAEA"/>
            </w:tcBorders>
            <w:shd w:val="clear" w:color="auto" w:fill="EAEAEA"/>
          </w:tcPr>
          <w:p>
            <w:pPr>
              <w:jc w:val="right"/>
              <w:ind w:right="105"/>
              <w:spacing w:after="0"/>
              <w:rPr>
                <w:sz w:val="20"/>
                <w:szCs w:val="20"/>
                <w:color w:val="auto"/>
              </w:rPr>
            </w:pPr>
            <w:r>
              <w:rPr>
                <w:rFonts w:ascii="Arial" w:cs="Arial" w:eastAsia="Arial" w:hAnsi="Arial"/>
                <w:sz w:val="14"/>
                <w:szCs w:val="14"/>
                <w:b w:val="1"/>
                <w:bCs w:val="1"/>
                <w:color w:val="5D89B4"/>
              </w:rPr>
              <w:t>CAUSE($)</w:t>
            </w:r>
          </w:p>
        </w:tc>
        <w:tc>
          <w:tcPr>
            <w:tcW w:w="12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c>
          <w:tcPr>
            <w:tcW w:w="0" w:type="dxa"/>
            <w:vAlign w:val="bottom"/>
          </w:tcPr>
          <w:p>
            <w:pPr>
              <w:spacing w:after="0"/>
              <w:rPr>
                <w:sz w:val="1"/>
                <w:szCs w:val="1"/>
                <w:color w:val="auto"/>
              </w:rPr>
            </w:pPr>
          </w:p>
        </w:tc>
      </w:tr>
      <w:tr>
        <w:trPr>
          <w:trHeight w:val="25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1,538,306</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4,845,663</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846,068</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846,068</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306,354</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846,068</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4,628,730</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4,628,730</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6,098,043</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4,565,154</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4,565,154</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4,565,154</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30,881</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47,262</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25,000</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25,000</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125"/>
              <w:spacing w:after="0"/>
              <w:rPr>
                <w:sz w:val="20"/>
                <w:szCs w:val="20"/>
                <w:color w:val="auto"/>
              </w:rPr>
            </w:pPr>
            <w:r>
              <w:rPr>
                <w:rFonts w:ascii="Arial" w:cs="Arial" w:eastAsia="Arial" w:hAnsi="Arial"/>
                <w:sz w:val="15"/>
                <w:szCs w:val="15"/>
                <w:color w:val="auto"/>
              </w:rPr>
              <w:t>10,039,952</w:t>
            </w:r>
          </w:p>
        </w:tc>
        <w:tc>
          <w:tcPr>
            <w:tcW w:w="1320" w:type="dxa"/>
            <w:vAlign w:val="bottom"/>
          </w:tcPr>
          <w:p>
            <w:pPr>
              <w:jc w:val="right"/>
              <w:ind w:right="105"/>
              <w:spacing w:after="0"/>
              <w:rPr>
                <w:sz w:val="20"/>
                <w:szCs w:val="20"/>
                <w:color w:val="auto"/>
              </w:rPr>
            </w:pPr>
            <w:r>
              <w:rPr>
                <w:rFonts w:ascii="Arial" w:cs="Arial" w:eastAsia="Arial" w:hAnsi="Arial"/>
                <w:sz w:val="15"/>
                <w:szCs w:val="15"/>
                <w:color w:val="auto"/>
              </w:rPr>
              <w:t>10,039,952</w:t>
            </w:r>
          </w:p>
        </w:tc>
        <w:tc>
          <w:tcPr>
            <w:tcW w:w="1880" w:type="dxa"/>
            <w:vAlign w:val="bottom"/>
          </w:tcPr>
          <w:p>
            <w:pPr>
              <w:jc w:val="right"/>
              <w:ind w:right="106"/>
              <w:spacing w:after="0"/>
              <w:rPr>
                <w:sz w:val="20"/>
                <w:szCs w:val="20"/>
                <w:color w:val="auto"/>
              </w:rPr>
            </w:pPr>
            <w:r>
              <w:rPr>
                <w:rFonts w:ascii="Arial" w:cs="Arial" w:eastAsia="Arial" w:hAnsi="Arial"/>
                <w:sz w:val="15"/>
                <w:szCs w:val="15"/>
                <w:color w:val="auto"/>
              </w:rPr>
              <w:t>1,900,541</w:t>
            </w:r>
          </w:p>
        </w:tc>
        <w:tc>
          <w:tcPr>
            <w:tcW w:w="1380" w:type="dxa"/>
            <w:vAlign w:val="bottom"/>
          </w:tcPr>
          <w:p>
            <w:pPr>
              <w:jc w:val="right"/>
              <w:ind w:right="106"/>
              <w:spacing w:after="0"/>
              <w:rPr>
                <w:sz w:val="20"/>
                <w:szCs w:val="20"/>
                <w:color w:val="auto"/>
              </w:rPr>
            </w:pPr>
            <w:r>
              <w:rPr>
                <w:rFonts w:ascii="Arial" w:cs="Arial" w:eastAsia="Arial" w:hAnsi="Arial"/>
                <w:sz w:val="15"/>
                <w:szCs w:val="15"/>
                <w:color w:val="auto"/>
              </w:rPr>
              <w:t>16,427,190</w:t>
            </w:r>
          </w:p>
        </w:tc>
        <w:tc>
          <w:tcPr>
            <w:tcW w:w="104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68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040" w:type="dxa"/>
            <w:vAlign w:val="bottom"/>
            <w:tcBorders>
              <w:bottom w:val="single" w:sz="8" w:color="5D89B4"/>
            </w:tcBorders>
          </w:tcPr>
          <w:p>
            <w:pPr>
              <w:spacing w:after="0"/>
              <w:rPr>
                <w:sz w:val="3"/>
                <w:szCs w:val="3"/>
                <w:color w:val="auto"/>
              </w:rPr>
            </w:pPr>
          </w:p>
        </w:tc>
        <w:tc>
          <w:tcPr>
            <w:tcW w:w="12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00" w:right="320" w:hanging="420"/>
        <w:spacing w:after="0" w:line="280"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Mr. McGinnis that replaced his previous agreement, which was set to expire on November 12, 2024. As of December 31, 2023, Mr. McGinnis was not eligible for retirement treatment.</w:t>
      </w:r>
    </w:p>
    <w:p>
      <w:pPr>
        <w:spacing w:after="0" w:line="24" w:lineRule="exact"/>
        <w:rPr>
          <w:rFonts w:ascii="Arial" w:cs="Arial" w:eastAsia="Arial" w:hAnsi="Arial"/>
          <w:sz w:val="14"/>
          <w:szCs w:val="14"/>
          <w:color w:val="auto"/>
        </w:rPr>
      </w:pPr>
    </w:p>
    <w:p>
      <w:pPr>
        <w:ind w:left="600" w:right="360" w:hanging="420"/>
        <w:spacing w:after="0" w:line="280"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24" w:lineRule="exact"/>
        <w:rPr>
          <w:rFonts w:ascii="Arial" w:cs="Arial" w:eastAsia="Arial" w:hAnsi="Arial"/>
          <w:sz w:val="14"/>
          <w:szCs w:val="14"/>
          <w:color w:val="auto"/>
        </w:rPr>
      </w:pPr>
    </w:p>
    <w:p>
      <w:pPr>
        <w:ind w:left="600" w:right="220" w:hanging="420"/>
        <w:spacing w:after="0" w:line="252"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$769,153) and his target annual incentive for the fiscal year in which the termination occurs (here, $846,068). In the case of his involuntary termination (other than for cause) or voluntary termination for good reason, the severance payment is limited to a maximum of 2 times Mr. McGinnis’ annual base salary. In a double-trigger scenario, the amount of his severance payment is multiplied by three.</w:t>
      </w:r>
    </w:p>
    <w:p>
      <w:pPr>
        <w:spacing w:after="0" w:line="44" w:lineRule="exact"/>
        <w:rPr>
          <w:rFonts w:ascii="Arial" w:cs="Arial" w:eastAsia="Arial" w:hAnsi="Arial"/>
          <w:sz w:val="14"/>
          <w:szCs w:val="14"/>
          <w:color w:val="auto"/>
        </w:rPr>
      </w:pPr>
    </w:p>
    <w:p>
      <w:pPr>
        <w:ind w:left="600" w:hanging="420"/>
        <w:spacing w:after="0" w:line="246"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2023 for the financial objectives and the target amount for the Strategic KPIs and ESG Goals.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2023, immediately before the incentive was earned, so as not to understate the potential value of the benefit upon the applicable termination of employment. Note that an incentive amount has also been reported as 2023 compensation for him in the Summary Compensation Table, as well as in the Grants of Plan-Based Awards Table.</w:t>
      </w:r>
    </w:p>
    <w:p>
      <w:pPr>
        <w:spacing w:after="0" w:line="50" w:lineRule="exact"/>
        <w:rPr>
          <w:rFonts w:ascii="Arial" w:cs="Arial" w:eastAsia="Arial" w:hAnsi="Arial"/>
          <w:sz w:val="14"/>
          <w:szCs w:val="14"/>
          <w:color w:val="auto"/>
        </w:rPr>
      </w:pPr>
    </w:p>
    <w:p>
      <w:pPr>
        <w:ind w:left="600" w:right="60" w:hanging="420"/>
        <w:spacing w:after="0" w:line="259"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29, 2023 ($79.47), the last trading day of 2023, and the exercise price of each unvested stock option held by Mr. McGinnis on such date. As of such date, the exercise price of each unvested option exceeded the closing stock price, resulting in the options being valued at zero dollars.</w:t>
      </w:r>
    </w:p>
    <w:p>
      <w:pPr>
        <w:spacing w:after="0" w:line="39" w:lineRule="exact"/>
        <w:rPr>
          <w:rFonts w:ascii="Arial" w:cs="Arial" w:eastAsia="Arial" w:hAnsi="Arial"/>
          <w:sz w:val="14"/>
          <w:szCs w:val="14"/>
          <w:color w:val="auto"/>
        </w:rPr>
      </w:pPr>
    </w:p>
    <w:p>
      <w:pPr>
        <w:ind w:left="600" w:right="180" w:hanging="420"/>
        <w:spacing w:after="0" w:line="252"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2022, and 2023 grants) using the closing stock price on December 29, 2023 ($79.47). In the case of a change of control, the payout is shown based on the number of shares earned based on actual performance for the 2021 award and assuming the Committee would determine the amount of shares earned relating to the 2022 and 2023 awards will equal the target award. In the case of a death or disability, the payout is shown based on the target awards.</w:t>
      </w:r>
    </w:p>
    <w:p>
      <w:pPr>
        <w:spacing w:after="0" w:line="44" w:lineRule="exact"/>
        <w:rPr>
          <w:rFonts w:ascii="Arial" w:cs="Arial" w:eastAsia="Arial" w:hAnsi="Arial"/>
          <w:sz w:val="14"/>
          <w:szCs w:val="14"/>
          <w:color w:val="auto"/>
        </w:rPr>
      </w:pPr>
    </w:p>
    <w:p>
      <w:pPr>
        <w:ind w:left="600" w:right="40" w:hanging="420"/>
        <w:spacing w:after="0" w:line="280"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29, 2023 ($79.47).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72390</wp:posOffset>
            </wp:positionV>
            <wp:extent cx="69138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3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5D89B4"/>
        </w:rPr>
        <w:t>COMPENSATION TABLES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Michelle S. Nettles, Chief People &amp; Culture Officer (1)</w:t>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42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380" w:type="dxa"/>
            <w:vAlign w:val="bottom"/>
            <w:shd w:val="clear" w:color="auto" w:fill="EAEAEA"/>
          </w:tcPr>
          <w:p>
            <w:pPr>
              <w:spacing w:after="0"/>
              <w:rPr>
                <w:sz w:val="18"/>
                <w:szCs w:val="18"/>
                <w:color w:val="auto"/>
              </w:rPr>
            </w:pPr>
          </w:p>
        </w:tc>
        <w:tc>
          <w:tcPr>
            <w:tcW w:w="1920" w:type="dxa"/>
            <w:vAlign w:val="bottom"/>
            <w:vMerge w:val="restart"/>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INVOLUNTARY</w:t>
            </w:r>
          </w:p>
        </w:tc>
        <w:tc>
          <w:tcPr>
            <w:tcW w:w="144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DOUBLE</w:t>
            </w:r>
          </w:p>
        </w:tc>
        <w:tc>
          <w:tcPr>
            <w:tcW w:w="110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420" w:type="dxa"/>
            <w:vAlign w:val="bottom"/>
            <w:shd w:val="clear" w:color="auto" w:fill="EAEAEA"/>
          </w:tcPr>
          <w:p>
            <w:pPr>
              <w:spacing w:after="0"/>
              <w:rPr>
                <w:sz w:val="12"/>
                <w:szCs w:val="12"/>
                <w:color w:val="auto"/>
              </w:rPr>
            </w:pPr>
          </w:p>
        </w:tc>
        <w:tc>
          <w:tcPr>
            <w:tcW w:w="1320" w:type="dxa"/>
            <w:vAlign w:val="bottom"/>
            <w:shd w:val="clear" w:color="auto" w:fill="EAEAEA"/>
          </w:tcPr>
          <w:p>
            <w:pPr>
              <w:spacing w:after="0"/>
              <w:rPr>
                <w:sz w:val="12"/>
                <w:szCs w:val="12"/>
                <w:color w:val="auto"/>
              </w:rPr>
            </w:pPr>
          </w:p>
        </w:tc>
        <w:tc>
          <w:tcPr>
            <w:tcW w:w="1380" w:type="dxa"/>
            <w:vAlign w:val="bottom"/>
            <w:shd w:val="clear" w:color="auto" w:fill="EAEAEA"/>
          </w:tcPr>
          <w:p>
            <w:pPr>
              <w:spacing w:after="0"/>
              <w:rPr>
                <w:sz w:val="12"/>
                <w:szCs w:val="12"/>
                <w:color w:val="auto"/>
              </w:rPr>
            </w:pPr>
          </w:p>
        </w:tc>
        <w:tc>
          <w:tcPr>
            <w:tcW w:w="1920" w:type="dxa"/>
            <w:vAlign w:val="bottom"/>
            <w:vMerge w:val="continue"/>
            <w:shd w:val="clear" w:color="auto" w:fill="EAEAEA"/>
          </w:tcPr>
          <w:p>
            <w:pPr>
              <w:spacing w:after="0"/>
              <w:rPr>
                <w:sz w:val="12"/>
                <w:szCs w:val="12"/>
                <w:color w:val="auto"/>
              </w:rPr>
            </w:pPr>
          </w:p>
        </w:tc>
        <w:tc>
          <w:tcPr>
            <w:tcW w:w="1440" w:type="dxa"/>
            <w:vAlign w:val="bottom"/>
            <w:shd w:val="clear" w:color="auto" w:fill="EAEAEA"/>
          </w:tcPr>
          <w:p>
            <w:pPr>
              <w:jc w:val="right"/>
              <w:ind w:right="126"/>
              <w:spacing w:after="0" w:line="147" w:lineRule="exact"/>
              <w:rPr>
                <w:sz w:val="20"/>
                <w:szCs w:val="20"/>
                <w:color w:val="auto"/>
              </w:rPr>
            </w:pPr>
            <w:r>
              <w:rPr>
                <w:rFonts w:ascii="Arial" w:cs="Arial" w:eastAsia="Arial" w:hAnsi="Arial"/>
                <w:sz w:val="14"/>
                <w:szCs w:val="14"/>
                <w:b w:val="1"/>
                <w:bCs w:val="1"/>
                <w:color w:val="5D89B4"/>
              </w:rPr>
              <w:t>TRIGGER</w:t>
            </w:r>
          </w:p>
        </w:tc>
        <w:tc>
          <w:tcPr>
            <w:tcW w:w="1100" w:type="dxa"/>
            <w:vAlign w:val="bottom"/>
            <w:shd w:val="clear" w:color="auto" w:fill="EAEAEA"/>
          </w:tcPr>
          <w:p>
            <w:pPr>
              <w:spacing w:after="0"/>
              <w:rPr>
                <w:sz w:val="12"/>
                <w:szCs w:val="12"/>
                <w:color w:val="auto"/>
              </w:rPr>
            </w:pPr>
          </w:p>
        </w:tc>
        <w:tc>
          <w:tcPr>
            <w:tcW w:w="130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1380" w:type="dxa"/>
            <w:vAlign w:val="bottom"/>
            <w:shd w:val="clear" w:color="auto" w:fill="EAEAEA"/>
          </w:tcPr>
          <w:p>
            <w:pPr>
              <w:spacing w:after="0"/>
              <w:rPr>
                <w:sz w:val="13"/>
                <w:szCs w:val="13"/>
                <w:color w:val="auto"/>
              </w:rPr>
            </w:pPr>
          </w:p>
        </w:tc>
        <w:tc>
          <w:tcPr>
            <w:tcW w:w="19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TERMINATION</w:t>
            </w:r>
          </w:p>
        </w:tc>
        <w:tc>
          <w:tcPr>
            <w:tcW w:w="144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(COC+</w:t>
            </w:r>
          </w:p>
        </w:tc>
        <w:tc>
          <w:tcPr>
            <w:tcW w:w="110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1380" w:type="dxa"/>
            <w:vAlign w:val="bottom"/>
            <w:shd w:val="clear" w:color="auto" w:fill="EAEAEA"/>
          </w:tcPr>
          <w:p>
            <w:pPr>
              <w:spacing w:after="0"/>
              <w:rPr>
                <w:sz w:val="13"/>
                <w:szCs w:val="13"/>
                <w:color w:val="auto"/>
              </w:rPr>
            </w:pPr>
          </w:p>
        </w:tc>
        <w:tc>
          <w:tcPr>
            <w:tcW w:w="19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OR GOOD</w:t>
            </w:r>
          </w:p>
        </w:tc>
        <w:tc>
          <w:tcPr>
            <w:tcW w:w="144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TERMINATION)</w:t>
            </w:r>
          </w:p>
        </w:tc>
        <w:tc>
          <w:tcPr>
            <w:tcW w:w="1100" w:type="dxa"/>
            <w:vAlign w:val="bottom"/>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FOR</w:t>
            </w:r>
          </w:p>
        </w:tc>
        <w:tc>
          <w:tcPr>
            <w:tcW w:w="13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20" w:type="dxa"/>
            <w:vAlign w:val="bottom"/>
            <w:tcBorders>
              <w:bottom w:val="single" w:sz="8" w:color="EAEAEA"/>
            </w:tcBorders>
            <w:shd w:val="clear" w:color="auto" w:fill="EAEAEA"/>
          </w:tcPr>
          <w:p>
            <w:pPr>
              <w:spacing w:after="0"/>
              <w:rPr>
                <w:sz w:val="19"/>
                <w:szCs w:val="19"/>
                <w:color w:val="auto"/>
              </w:rPr>
            </w:pPr>
          </w:p>
        </w:tc>
        <w:tc>
          <w:tcPr>
            <w:tcW w:w="132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38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DISABILITY($)</w:t>
            </w:r>
          </w:p>
        </w:tc>
        <w:tc>
          <w:tcPr>
            <w:tcW w:w="19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REASON – NO COC($)</w:t>
            </w:r>
          </w:p>
        </w:tc>
        <w:tc>
          <w:tcPr>
            <w:tcW w:w="144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($)(2)</w:t>
            </w:r>
          </w:p>
        </w:tc>
        <w:tc>
          <w:tcPr>
            <w:tcW w:w="110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CAUSE($)</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c>
          <w:tcPr>
            <w:tcW w:w="0" w:type="dxa"/>
            <w:vAlign w:val="bottom"/>
          </w:tcPr>
          <w:p>
            <w:pPr>
              <w:spacing w:after="0"/>
              <w:rPr>
                <w:sz w:val="1"/>
                <w:szCs w:val="1"/>
                <w:color w:val="auto"/>
              </w:rPr>
            </w:pPr>
          </w:p>
        </w:tc>
      </w:tr>
      <w:tr>
        <w:trPr>
          <w:trHeight w:val="25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1,050,000</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2,100,000</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450,000</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450,000</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220,020</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450,000</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1,799,837</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1,799,837</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2,289,658</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2,017,028</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2,017,028</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2,017,028</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23,835</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36,468</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25,000</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25,000</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4,266,865</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4,266,865</w:t>
            </w:r>
          </w:p>
        </w:tc>
        <w:tc>
          <w:tcPr>
            <w:tcW w:w="1920" w:type="dxa"/>
            <w:vAlign w:val="bottom"/>
          </w:tcPr>
          <w:p>
            <w:pPr>
              <w:jc w:val="right"/>
              <w:ind w:right="126"/>
              <w:spacing w:after="0"/>
              <w:rPr>
                <w:sz w:val="20"/>
                <w:szCs w:val="20"/>
                <w:color w:val="auto"/>
              </w:rPr>
            </w:pPr>
            <w:r>
              <w:rPr>
                <w:rFonts w:ascii="Arial" w:cs="Arial" w:eastAsia="Arial" w:hAnsi="Arial"/>
                <w:sz w:val="15"/>
                <w:szCs w:val="15"/>
                <w:color w:val="auto"/>
              </w:rPr>
              <w:t>1,318,855</w:t>
            </w:r>
          </w:p>
        </w:tc>
        <w:tc>
          <w:tcPr>
            <w:tcW w:w="1440" w:type="dxa"/>
            <w:vAlign w:val="bottom"/>
          </w:tcPr>
          <w:p>
            <w:pPr>
              <w:jc w:val="right"/>
              <w:ind w:right="126"/>
              <w:spacing w:after="0"/>
              <w:rPr>
                <w:sz w:val="20"/>
                <w:szCs w:val="20"/>
                <w:color w:val="auto"/>
              </w:rPr>
            </w:pPr>
            <w:r>
              <w:rPr>
                <w:rFonts w:ascii="Arial" w:cs="Arial" w:eastAsia="Arial" w:hAnsi="Arial"/>
                <w:sz w:val="15"/>
                <w:szCs w:val="15"/>
                <w:color w:val="auto"/>
              </w:rPr>
              <w:t>6,918,154</w:t>
            </w:r>
          </w:p>
        </w:tc>
        <w:tc>
          <w:tcPr>
            <w:tcW w:w="11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420" w:type="dxa"/>
            <w:vAlign w:val="bottom"/>
            <w:tcBorders>
              <w:bottom w:val="single" w:sz="8" w:color="5D89B4"/>
            </w:tcBorders>
          </w:tcPr>
          <w:p>
            <w:pPr>
              <w:spacing w:after="0"/>
              <w:rPr>
                <w:sz w:val="3"/>
                <w:szCs w:val="3"/>
                <w:color w:val="auto"/>
              </w:rPr>
            </w:pPr>
          </w:p>
        </w:tc>
        <w:tc>
          <w:tcPr>
            <w:tcW w:w="1320" w:type="dxa"/>
            <w:vAlign w:val="bottom"/>
            <w:tcBorders>
              <w:bottom w:val="single" w:sz="8" w:color="5D89B4"/>
            </w:tcBorders>
          </w:tcPr>
          <w:p>
            <w:pPr>
              <w:spacing w:after="0"/>
              <w:rPr>
                <w:sz w:val="3"/>
                <w:szCs w:val="3"/>
                <w:color w:val="auto"/>
              </w:rPr>
            </w:pPr>
          </w:p>
        </w:tc>
        <w:tc>
          <w:tcPr>
            <w:tcW w:w="1380" w:type="dxa"/>
            <w:vAlign w:val="bottom"/>
            <w:tcBorders>
              <w:bottom w:val="single" w:sz="8" w:color="5D89B4"/>
            </w:tcBorders>
          </w:tcPr>
          <w:p>
            <w:pPr>
              <w:spacing w:after="0"/>
              <w:rPr>
                <w:sz w:val="3"/>
                <w:szCs w:val="3"/>
                <w:color w:val="auto"/>
              </w:rPr>
            </w:pPr>
          </w:p>
        </w:tc>
        <w:tc>
          <w:tcPr>
            <w:tcW w:w="1920" w:type="dxa"/>
            <w:vAlign w:val="bottom"/>
            <w:tcBorders>
              <w:bottom w:val="single" w:sz="8" w:color="5D89B4"/>
            </w:tcBorders>
          </w:tcPr>
          <w:p>
            <w:pPr>
              <w:spacing w:after="0"/>
              <w:rPr>
                <w:sz w:val="3"/>
                <w:szCs w:val="3"/>
                <w:color w:val="auto"/>
              </w:rPr>
            </w:pPr>
          </w:p>
        </w:tc>
        <w:tc>
          <w:tcPr>
            <w:tcW w:w="1440" w:type="dxa"/>
            <w:vAlign w:val="bottom"/>
            <w:tcBorders>
              <w:bottom w:val="single" w:sz="8" w:color="5D89B4"/>
            </w:tcBorders>
          </w:tcPr>
          <w:p>
            <w:pPr>
              <w:spacing w:after="0"/>
              <w:rPr>
                <w:sz w:val="3"/>
                <w:szCs w:val="3"/>
                <w:color w:val="auto"/>
              </w:rPr>
            </w:pPr>
          </w:p>
        </w:tc>
        <w:tc>
          <w:tcPr>
            <w:tcW w:w="1100" w:type="dxa"/>
            <w:vAlign w:val="bottom"/>
            <w:tcBorders>
              <w:bottom w:val="single" w:sz="8" w:color="5D89B4"/>
            </w:tcBorders>
          </w:tcPr>
          <w:p>
            <w:pPr>
              <w:spacing w:after="0"/>
              <w:rPr>
                <w:sz w:val="3"/>
                <w:szCs w:val="3"/>
                <w:color w:val="auto"/>
              </w:rPr>
            </w:pPr>
          </w:p>
        </w:tc>
        <w:tc>
          <w:tcPr>
            <w:tcW w:w="13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00" w:right="400" w:hanging="420"/>
        <w:spacing w:after="0" w:line="280"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Ms. Nettles that replaced her previous agreement, which was set to expire on August 4, 2025. As of December 31, 2023, Ms. Nettles was not eligible for retirement treatment.</w:t>
      </w:r>
    </w:p>
    <w:p>
      <w:pPr>
        <w:spacing w:after="0" w:line="24" w:lineRule="exact"/>
        <w:rPr>
          <w:rFonts w:ascii="Arial" w:cs="Arial" w:eastAsia="Arial" w:hAnsi="Arial"/>
          <w:sz w:val="14"/>
          <w:szCs w:val="14"/>
          <w:color w:val="auto"/>
        </w:rPr>
      </w:pPr>
    </w:p>
    <w:p>
      <w:pPr>
        <w:ind w:left="600" w:right="360" w:hanging="420"/>
        <w:spacing w:after="0" w:line="280"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24" w:lineRule="exact"/>
        <w:rPr>
          <w:rFonts w:ascii="Arial" w:cs="Arial" w:eastAsia="Arial" w:hAnsi="Arial"/>
          <w:sz w:val="14"/>
          <w:szCs w:val="14"/>
          <w:color w:val="auto"/>
        </w:rPr>
      </w:pPr>
    </w:p>
    <w:p>
      <w:pPr>
        <w:ind w:left="600" w:right="140" w:hanging="420"/>
        <w:spacing w:after="0" w:line="259"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 of the severance payment under Ms. Nettles’ severance agreement is equal to her annual base salary at the highest rate in effect during the term of the agreement (here, $600,000) and her target annual incentive for the fiscal year in which the termination occurs (here, $450,000). In a double-trigger scenario, the amount of her severance payment is multiplied by two.</w:t>
      </w:r>
    </w:p>
    <w:p>
      <w:pPr>
        <w:spacing w:after="0" w:line="39" w:lineRule="exact"/>
        <w:rPr>
          <w:rFonts w:ascii="Arial" w:cs="Arial" w:eastAsia="Arial" w:hAnsi="Arial"/>
          <w:sz w:val="14"/>
          <w:szCs w:val="14"/>
          <w:color w:val="auto"/>
        </w:rPr>
      </w:pPr>
    </w:p>
    <w:p>
      <w:pPr>
        <w:ind w:left="600" w:right="60" w:hanging="420"/>
        <w:spacing w:after="0" w:line="246"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the case of her involuntary termination (other than for cause) or voluntary termination for good reason, the amount of the prorated incentive payable to her under her severance agreement is based on the actual incentive earned for 2023 for the financial objectives and the target amount for the Strategic KPIs and ESG Goals. In the event of death, disability, or certain terminations following a change of control, the prorated incentive payable to her under her severance agreement is based on the target incentive for the year of termination. No proration has been applied here as this table illustrates the effect of such a termination on December 31, 2023, immediately before the incentive was earned, so as not to understate the potential value of the benefit upon the applicable termination of employment. Note that an incentive amount has also been reported as 2023 compensation for her in the Summary Compensation Table, as well as in the Grants of Plan-Based Awards Table.</w:t>
      </w:r>
    </w:p>
    <w:p>
      <w:pPr>
        <w:spacing w:after="0" w:line="50" w:lineRule="exact"/>
        <w:rPr>
          <w:rFonts w:ascii="Arial" w:cs="Arial" w:eastAsia="Arial" w:hAnsi="Arial"/>
          <w:sz w:val="14"/>
          <w:szCs w:val="14"/>
          <w:color w:val="auto"/>
        </w:rPr>
      </w:pPr>
    </w:p>
    <w:p>
      <w:pPr>
        <w:ind w:left="600" w:right="180" w:hanging="420"/>
        <w:spacing w:after="0" w:line="259"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29, 2023 ($79.47), the last trading day of 2023, and the exercise price of each unvested stock option held by Ms. Nettles on such date. As of such date, the exercise price of each unvested option exceeded the closing stock price, resulting in the options being valued at zero dollars.</w:t>
      </w:r>
    </w:p>
    <w:p>
      <w:pPr>
        <w:spacing w:after="0" w:line="39" w:lineRule="exact"/>
        <w:rPr>
          <w:rFonts w:ascii="Arial" w:cs="Arial" w:eastAsia="Arial" w:hAnsi="Arial"/>
          <w:sz w:val="14"/>
          <w:szCs w:val="14"/>
          <w:color w:val="auto"/>
        </w:rPr>
      </w:pPr>
    </w:p>
    <w:p>
      <w:pPr>
        <w:ind w:left="600" w:right="180" w:hanging="420"/>
        <w:spacing w:after="0" w:line="252"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2022, and 2023 grants) using the closing stock price on December 29, 2023 ($79.47). In the case of a change of control, the payout is shown based on the number of shares earned based on actual performance for the 2021 award and assuming the Committee would determine the amount of shares earned relating to the 2022 and 2023 awards will equal the target award. In the case of a death or disability, the payout is shown based on the target awards.</w:t>
      </w:r>
    </w:p>
    <w:p>
      <w:pPr>
        <w:spacing w:after="0" w:line="44" w:lineRule="exact"/>
        <w:rPr>
          <w:rFonts w:ascii="Arial" w:cs="Arial" w:eastAsia="Arial" w:hAnsi="Arial"/>
          <w:sz w:val="14"/>
          <w:szCs w:val="14"/>
          <w:color w:val="auto"/>
        </w:rPr>
      </w:pPr>
    </w:p>
    <w:p>
      <w:pPr>
        <w:ind w:left="600" w:right="40" w:hanging="420"/>
        <w:spacing w:after="0" w:line="280"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29, 2023 ($79.47).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72390</wp:posOffset>
            </wp:positionV>
            <wp:extent cx="69138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3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COMPENSATION TABLES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Richard Buchband, SVP, General Counsel and Secretary (1)</w:t>
      </w: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020" w:type="dxa"/>
            <w:vAlign w:val="bottom"/>
            <w:shd w:val="clear" w:color="auto" w:fill="EAEAEA"/>
          </w:tcPr>
          <w:p>
            <w:pPr>
              <w:spacing w:after="0"/>
              <w:rPr>
                <w:sz w:val="18"/>
                <w:szCs w:val="18"/>
                <w:color w:val="auto"/>
              </w:rPr>
            </w:pPr>
          </w:p>
        </w:tc>
        <w:tc>
          <w:tcPr>
            <w:tcW w:w="1080" w:type="dxa"/>
            <w:vAlign w:val="bottom"/>
            <w:shd w:val="clear" w:color="auto" w:fill="EAEAEA"/>
          </w:tcPr>
          <w:p>
            <w:pPr>
              <w:spacing w:after="0"/>
              <w:rPr>
                <w:sz w:val="18"/>
                <w:szCs w:val="18"/>
                <w:color w:val="auto"/>
              </w:rPr>
            </w:pPr>
          </w:p>
        </w:tc>
        <w:tc>
          <w:tcPr>
            <w:tcW w:w="1220" w:type="dxa"/>
            <w:vAlign w:val="bottom"/>
            <w:shd w:val="clear" w:color="auto" w:fill="EAEAEA"/>
          </w:tcPr>
          <w:p>
            <w:pPr>
              <w:spacing w:after="0"/>
              <w:rPr>
                <w:sz w:val="18"/>
                <w:szCs w:val="18"/>
                <w:color w:val="auto"/>
              </w:rPr>
            </w:pPr>
          </w:p>
        </w:tc>
        <w:tc>
          <w:tcPr>
            <w:tcW w:w="1760" w:type="dxa"/>
            <w:vAlign w:val="bottom"/>
            <w:vMerge w:val="restart"/>
            <w:shd w:val="clear" w:color="auto" w:fill="EAEAEA"/>
          </w:tcPr>
          <w:p>
            <w:pPr>
              <w:jc w:val="right"/>
              <w:ind w:right="46"/>
              <w:spacing w:after="0"/>
              <w:rPr>
                <w:sz w:val="20"/>
                <w:szCs w:val="20"/>
                <w:color w:val="auto"/>
              </w:rPr>
            </w:pPr>
            <w:r>
              <w:rPr>
                <w:rFonts w:ascii="Arial" w:cs="Arial" w:eastAsia="Arial" w:hAnsi="Arial"/>
                <w:sz w:val="14"/>
                <w:szCs w:val="14"/>
                <w:b w:val="1"/>
                <w:bCs w:val="1"/>
                <w:color w:val="5D89B4"/>
              </w:rPr>
              <w:t>INVOLUNTARY</w:t>
            </w:r>
          </w:p>
        </w:tc>
        <w:tc>
          <w:tcPr>
            <w:tcW w:w="1460" w:type="dxa"/>
            <w:vAlign w:val="bottom"/>
            <w:shd w:val="clear" w:color="auto" w:fill="EAEAEA"/>
          </w:tcPr>
          <w:p>
            <w:pPr>
              <w:jc w:val="right"/>
              <w:ind w:right="226"/>
              <w:spacing w:after="0"/>
              <w:rPr>
                <w:sz w:val="20"/>
                <w:szCs w:val="20"/>
                <w:color w:val="auto"/>
              </w:rPr>
            </w:pPr>
            <w:r>
              <w:rPr>
                <w:rFonts w:ascii="Arial" w:cs="Arial" w:eastAsia="Arial" w:hAnsi="Arial"/>
                <w:sz w:val="14"/>
                <w:szCs w:val="14"/>
                <w:b w:val="1"/>
                <w:bCs w:val="1"/>
                <w:color w:val="5D89B4"/>
              </w:rPr>
              <w:t>DOUBLE</w:t>
            </w:r>
          </w:p>
        </w:tc>
        <w:tc>
          <w:tcPr>
            <w:tcW w:w="1200" w:type="dxa"/>
            <w:vAlign w:val="bottom"/>
            <w:shd w:val="clear" w:color="auto" w:fill="EAEAEA"/>
          </w:tcPr>
          <w:p>
            <w:pPr>
              <w:spacing w:after="0"/>
              <w:rPr>
                <w:sz w:val="18"/>
                <w:szCs w:val="18"/>
                <w:color w:val="auto"/>
              </w:rPr>
            </w:pPr>
          </w:p>
        </w:tc>
        <w:tc>
          <w:tcPr>
            <w:tcW w:w="108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20" w:type="dxa"/>
            <w:vAlign w:val="bottom"/>
            <w:shd w:val="clear" w:color="auto" w:fill="EAEAEA"/>
          </w:tcPr>
          <w:p>
            <w:pPr>
              <w:spacing w:after="0"/>
              <w:rPr>
                <w:sz w:val="12"/>
                <w:szCs w:val="12"/>
                <w:color w:val="auto"/>
              </w:rPr>
            </w:pPr>
          </w:p>
        </w:tc>
        <w:tc>
          <w:tcPr>
            <w:tcW w:w="1080" w:type="dxa"/>
            <w:vAlign w:val="bottom"/>
            <w:shd w:val="clear" w:color="auto" w:fill="EAEAEA"/>
          </w:tcPr>
          <w:p>
            <w:pPr>
              <w:spacing w:after="0"/>
              <w:rPr>
                <w:sz w:val="12"/>
                <w:szCs w:val="12"/>
                <w:color w:val="auto"/>
              </w:rPr>
            </w:pPr>
          </w:p>
        </w:tc>
        <w:tc>
          <w:tcPr>
            <w:tcW w:w="1220" w:type="dxa"/>
            <w:vAlign w:val="bottom"/>
            <w:shd w:val="clear" w:color="auto" w:fill="EAEAEA"/>
          </w:tcPr>
          <w:p>
            <w:pPr>
              <w:spacing w:after="0"/>
              <w:rPr>
                <w:sz w:val="12"/>
                <w:szCs w:val="12"/>
                <w:color w:val="auto"/>
              </w:rPr>
            </w:pPr>
          </w:p>
        </w:tc>
        <w:tc>
          <w:tcPr>
            <w:tcW w:w="1760" w:type="dxa"/>
            <w:vAlign w:val="bottom"/>
            <w:vMerge w:val="continue"/>
            <w:shd w:val="clear" w:color="auto" w:fill="EAEAEA"/>
          </w:tcPr>
          <w:p>
            <w:pPr>
              <w:spacing w:after="0"/>
              <w:rPr>
                <w:sz w:val="12"/>
                <w:szCs w:val="12"/>
                <w:color w:val="auto"/>
              </w:rPr>
            </w:pPr>
          </w:p>
        </w:tc>
        <w:tc>
          <w:tcPr>
            <w:tcW w:w="1460" w:type="dxa"/>
            <w:vAlign w:val="bottom"/>
            <w:shd w:val="clear" w:color="auto" w:fill="EAEAEA"/>
          </w:tcPr>
          <w:p>
            <w:pPr>
              <w:jc w:val="right"/>
              <w:ind w:right="226"/>
              <w:spacing w:after="0" w:line="147" w:lineRule="exact"/>
              <w:rPr>
                <w:sz w:val="20"/>
                <w:szCs w:val="20"/>
                <w:color w:val="auto"/>
              </w:rPr>
            </w:pPr>
            <w:r>
              <w:rPr>
                <w:rFonts w:ascii="Arial" w:cs="Arial" w:eastAsia="Arial" w:hAnsi="Arial"/>
                <w:sz w:val="14"/>
                <w:szCs w:val="14"/>
                <w:b w:val="1"/>
                <w:bCs w:val="1"/>
                <w:color w:val="5D89B4"/>
              </w:rPr>
              <w:t>TRIGGER</w:t>
            </w:r>
          </w:p>
        </w:tc>
        <w:tc>
          <w:tcPr>
            <w:tcW w:w="1200" w:type="dxa"/>
            <w:vAlign w:val="bottom"/>
            <w:shd w:val="clear" w:color="auto" w:fill="EAEAEA"/>
          </w:tcPr>
          <w:p>
            <w:pPr>
              <w:spacing w:after="0"/>
              <w:rPr>
                <w:sz w:val="12"/>
                <w:szCs w:val="12"/>
                <w:color w:val="auto"/>
              </w:rPr>
            </w:pPr>
          </w:p>
        </w:tc>
        <w:tc>
          <w:tcPr>
            <w:tcW w:w="1080" w:type="dxa"/>
            <w:vAlign w:val="bottom"/>
            <w:shd w:val="clear" w:color="auto" w:fill="EAEAEA"/>
          </w:tcPr>
          <w:p>
            <w:pPr>
              <w:spacing w:after="0"/>
              <w:rPr>
                <w:sz w:val="12"/>
                <w:szCs w:val="12"/>
                <w:color w:val="auto"/>
              </w:rPr>
            </w:pPr>
          </w:p>
        </w:tc>
        <w:tc>
          <w:tcPr>
            <w:tcW w:w="106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2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220" w:type="dxa"/>
            <w:vAlign w:val="bottom"/>
            <w:shd w:val="clear" w:color="auto" w:fill="EAEAEA"/>
          </w:tcPr>
          <w:p>
            <w:pPr>
              <w:spacing w:after="0"/>
              <w:rPr>
                <w:sz w:val="13"/>
                <w:szCs w:val="13"/>
                <w:color w:val="auto"/>
              </w:rPr>
            </w:pPr>
          </w:p>
        </w:tc>
        <w:tc>
          <w:tcPr>
            <w:tcW w:w="1760" w:type="dxa"/>
            <w:vAlign w:val="bottom"/>
            <w:shd w:val="clear" w:color="auto" w:fill="EAEAEA"/>
          </w:tcPr>
          <w:p>
            <w:pPr>
              <w:jc w:val="right"/>
              <w:ind w:right="46"/>
              <w:spacing w:after="0"/>
              <w:rPr>
                <w:sz w:val="20"/>
                <w:szCs w:val="20"/>
                <w:color w:val="auto"/>
              </w:rPr>
            </w:pPr>
            <w:r>
              <w:rPr>
                <w:rFonts w:ascii="Arial" w:cs="Arial" w:eastAsia="Arial" w:hAnsi="Arial"/>
                <w:sz w:val="14"/>
                <w:szCs w:val="14"/>
                <w:b w:val="1"/>
                <w:bCs w:val="1"/>
                <w:color w:val="5D89B4"/>
              </w:rPr>
              <w:t>TERMINATION</w:t>
            </w:r>
          </w:p>
        </w:tc>
        <w:tc>
          <w:tcPr>
            <w:tcW w:w="1460" w:type="dxa"/>
            <w:vAlign w:val="bottom"/>
            <w:shd w:val="clear" w:color="auto" w:fill="EAEAEA"/>
          </w:tcPr>
          <w:p>
            <w:pPr>
              <w:jc w:val="right"/>
              <w:ind w:right="226"/>
              <w:spacing w:after="0"/>
              <w:rPr>
                <w:sz w:val="20"/>
                <w:szCs w:val="20"/>
                <w:color w:val="auto"/>
              </w:rPr>
            </w:pPr>
            <w:r>
              <w:rPr>
                <w:rFonts w:ascii="Arial" w:cs="Arial" w:eastAsia="Arial" w:hAnsi="Arial"/>
                <w:sz w:val="14"/>
                <w:szCs w:val="14"/>
                <w:b w:val="1"/>
                <w:bCs w:val="1"/>
                <w:color w:val="5D89B4"/>
              </w:rPr>
              <w:t>(COC+</w:t>
            </w:r>
          </w:p>
        </w:tc>
        <w:tc>
          <w:tcPr>
            <w:tcW w:w="120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20" w:type="dxa"/>
            <w:vAlign w:val="bottom"/>
            <w:shd w:val="clear" w:color="auto" w:fill="EAEAEA"/>
          </w:tcPr>
          <w:p>
            <w:pPr>
              <w:spacing w:after="0"/>
              <w:rPr>
                <w:sz w:val="13"/>
                <w:szCs w:val="13"/>
                <w:color w:val="auto"/>
              </w:rPr>
            </w:pPr>
          </w:p>
        </w:tc>
        <w:tc>
          <w:tcPr>
            <w:tcW w:w="1080" w:type="dxa"/>
            <w:vAlign w:val="bottom"/>
            <w:shd w:val="clear" w:color="auto" w:fill="EAEAEA"/>
          </w:tcPr>
          <w:p>
            <w:pPr>
              <w:spacing w:after="0"/>
              <w:rPr>
                <w:sz w:val="13"/>
                <w:szCs w:val="13"/>
                <w:color w:val="auto"/>
              </w:rPr>
            </w:pPr>
          </w:p>
        </w:tc>
        <w:tc>
          <w:tcPr>
            <w:tcW w:w="1220" w:type="dxa"/>
            <w:vAlign w:val="bottom"/>
            <w:shd w:val="clear" w:color="auto" w:fill="EAEAEA"/>
          </w:tcPr>
          <w:p>
            <w:pPr>
              <w:spacing w:after="0"/>
              <w:rPr>
                <w:sz w:val="13"/>
                <w:szCs w:val="13"/>
                <w:color w:val="auto"/>
              </w:rPr>
            </w:pPr>
          </w:p>
        </w:tc>
        <w:tc>
          <w:tcPr>
            <w:tcW w:w="1760" w:type="dxa"/>
            <w:vAlign w:val="bottom"/>
            <w:shd w:val="clear" w:color="auto" w:fill="EAEAEA"/>
          </w:tcPr>
          <w:p>
            <w:pPr>
              <w:jc w:val="right"/>
              <w:ind w:right="46"/>
              <w:spacing w:after="0"/>
              <w:rPr>
                <w:sz w:val="20"/>
                <w:szCs w:val="20"/>
                <w:color w:val="auto"/>
              </w:rPr>
            </w:pPr>
            <w:r>
              <w:rPr>
                <w:rFonts w:ascii="Arial" w:cs="Arial" w:eastAsia="Arial" w:hAnsi="Arial"/>
                <w:sz w:val="14"/>
                <w:szCs w:val="14"/>
                <w:b w:val="1"/>
                <w:bCs w:val="1"/>
                <w:color w:val="5D89B4"/>
              </w:rPr>
              <w:t>OR GOOD</w:t>
            </w:r>
          </w:p>
        </w:tc>
        <w:tc>
          <w:tcPr>
            <w:tcW w:w="1460" w:type="dxa"/>
            <w:vAlign w:val="bottom"/>
            <w:shd w:val="clear" w:color="auto" w:fill="EAEAEA"/>
          </w:tcPr>
          <w:p>
            <w:pPr>
              <w:jc w:val="right"/>
              <w:ind w:right="226"/>
              <w:spacing w:after="0"/>
              <w:rPr>
                <w:sz w:val="20"/>
                <w:szCs w:val="20"/>
                <w:color w:val="auto"/>
              </w:rPr>
            </w:pPr>
            <w:r>
              <w:rPr>
                <w:rFonts w:ascii="Arial" w:cs="Arial" w:eastAsia="Arial" w:hAnsi="Arial"/>
                <w:sz w:val="14"/>
                <w:szCs w:val="14"/>
                <w:b w:val="1"/>
                <w:bCs w:val="1"/>
                <w:color w:val="5D89B4"/>
              </w:rPr>
              <w:t>TERMINATION)</w:t>
            </w:r>
          </w:p>
        </w:tc>
        <w:tc>
          <w:tcPr>
            <w:tcW w:w="1200" w:type="dxa"/>
            <w:vAlign w:val="bottom"/>
            <w:shd w:val="clear" w:color="auto" w:fill="EAEAEA"/>
          </w:tcPr>
          <w:p>
            <w:pPr>
              <w:jc w:val="right"/>
              <w:ind w:right="505"/>
              <w:spacing w:after="0"/>
              <w:rPr>
                <w:sz w:val="20"/>
                <w:szCs w:val="20"/>
                <w:color w:val="auto"/>
              </w:rPr>
            </w:pPr>
            <w:r>
              <w:rPr>
                <w:rFonts w:ascii="Arial" w:cs="Arial" w:eastAsia="Arial" w:hAnsi="Arial"/>
                <w:sz w:val="14"/>
                <w:szCs w:val="14"/>
                <w:b w:val="1"/>
                <w:bCs w:val="1"/>
                <w:color w:val="5D89B4"/>
              </w:rPr>
              <w:t>FOR</w:t>
            </w:r>
          </w:p>
        </w:tc>
        <w:tc>
          <w:tcPr>
            <w:tcW w:w="108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20" w:type="dxa"/>
            <w:vAlign w:val="bottom"/>
            <w:tcBorders>
              <w:bottom w:val="single" w:sz="8" w:color="EAEAEA"/>
            </w:tcBorders>
            <w:shd w:val="clear" w:color="auto" w:fill="EAEAEA"/>
          </w:tcPr>
          <w:p>
            <w:pPr>
              <w:spacing w:after="0"/>
              <w:rPr>
                <w:sz w:val="19"/>
                <w:szCs w:val="19"/>
                <w:color w:val="auto"/>
              </w:rPr>
            </w:pPr>
          </w:p>
        </w:tc>
        <w:tc>
          <w:tcPr>
            <w:tcW w:w="1080" w:type="dxa"/>
            <w:vAlign w:val="bottom"/>
            <w:tcBorders>
              <w:bottom w:val="single" w:sz="8" w:color="EAEAEA"/>
            </w:tcBorders>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DEATH($)</w:t>
            </w:r>
          </w:p>
        </w:tc>
        <w:tc>
          <w:tcPr>
            <w:tcW w:w="1220" w:type="dxa"/>
            <w:vAlign w:val="bottom"/>
            <w:tcBorders>
              <w:bottom w:val="single" w:sz="8" w:color="EAEAEA"/>
            </w:tcBorders>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DISABILITY($)</w:t>
            </w:r>
          </w:p>
        </w:tc>
        <w:tc>
          <w:tcPr>
            <w:tcW w:w="1760" w:type="dxa"/>
            <w:vAlign w:val="bottom"/>
            <w:tcBorders>
              <w:bottom w:val="single" w:sz="8" w:color="EAEAEA"/>
            </w:tcBorders>
            <w:shd w:val="clear" w:color="auto" w:fill="EAEAEA"/>
          </w:tcPr>
          <w:p>
            <w:pPr>
              <w:jc w:val="right"/>
              <w:ind w:right="46"/>
              <w:spacing w:after="0"/>
              <w:rPr>
                <w:sz w:val="20"/>
                <w:szCs w:val="20"/>
                <w:color w:val="auto"/>
              </w:rPr>
            </w:pPr>
            <w:r>
              <w:rPr>
                <w:rFonts w:ascii="Arial" w:cs="Arial" w:eastAsia="Arial" w:hAnsi="Arial"/>
                <w:sz w:val="14"/>
                <w:szCs w:val="14"/>
                <w:b w:val="1"/>
                <w:bCs w:val="1"/>
                <w:color w:val="5D89B4"/>
              </w:rPr>
              <w:t>REASON – NO COC($)</w:t>
            </w:r>
          </w:p>
        </w:tc>
        <w:tc>
          <w:tcPr>
            <w:tcW w:w="4800" w:type="dxa"/>
            <w:vAlign w:val="bottom"/>
            <w:tcBorders>
              <w:bottom w:val="single" w:sz="8" w:color="EAEAEA"/>
            </w:tcBorders>
            <w:gridSpan w:val="4"/>
            <w:shd w:val="clear" w:color="auto" w:fill="EAEAEA"/>
          </w:tcPr>
          <w:p>
            <w:pPr>
              <w:jc w:val="right"/>
              <w:spacing w:after="0"/>
              <w:rPr>
                <w:sz w:val="20"/>
                <w:szCs w:val="20"/>
                <w:color w:val="auto"/>
              </w:rPr>
            </w:pPr>
            <w:r>
              <w:rPr>
                <w:rFonts w:ascii="Arial" w:cs="Arial" w:eastAsia="Arial" w:hAnsi="Arial"/>
                <w:sz w:val="14"/>
                <w:szCs w:val="14"/>
                <w:b w:val="1"/>
                <w:bCs w:val="1"/>
                <w:color w:val="5D89B4"/>
              </w:rPr>
              <w:t>($)(2)    CAUSE($)    VOLUNTARY($)    RETIREMENT($)</w:t>
            </w:r>
          </w:p>
        </w:tc>
        <w:tc>
          <w:tcPr>
            <w:tcW w:w="0" w:type="dxa"/>
            <w:vAlign w:val="bottom"/>
          </w:tcPr>
          <w:p>
            <w:pPr>
              <w:spacing w:after="0"/>
              <w:rPr>
                <w:sz w:val="1"/>
                <w:szCs w:val="1"/>
                <w:color w:val="auto"/>
              </w:rPr>
            </w:pPr>
          </w:p>
        </w:tc>
      </w:tr>
      <w:tr>
        <w:trPr>
          <w:trHeight w:val="25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974,703</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1,949,406</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417,730</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417,730</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162,469</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417,730</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148,545</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1,439,837</w:t>
            </w:r>
          </w:p>
        </w:tc>
        <w:tc>
          <w:tcPr>
            <w:tcW w:w="1220" w:type="dxa"/>
            <w:vAlign w:val="bottom"/>
          </w:tcPr>
          <w:p>
            <w:pPr>
              <w:jc w:val="right"/>
              <w:ind w:right="65"/>
              <w:spacing w:after="0"/>
              <w:rPr>
                <w:sz w:val="20"/>
                <w:szCs w:val="20"/>
                <w:color w:val="auto"/>
              </w:rPr>
            </w:pPr>
            <w:r>
              <w:rPr>
                <w:rFonts w:ascii="Arial" w:cs="Arial" w:eastAsia="Arial" w:hAnsi="Arial"/>
                <w:sz w:val="15"/>
                <w:szCs w:val="15"/>
                <w:color w:val="auto"/>
              </w:rPr>
              <w:t>1,439,837</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1,831,664</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1,302,301</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835,865</w:t>
            </w:r>
          </w:p>
        </w:tc>
        <w:tc>
          <w:tcPr>
            <w:tcW w:w="1220" w:type="dxa"/>
            <w:vAlign w:val="bottom"/>
          </w:tcPr>
          <w:p>
            <w:pPr>
              <w:jc w:val="right"/>
              <w:ind w:right="45"/>
              <w:spacing w:after="0"/>
              <w:rPr>
                <w:sz w:val="20"/>
                <w:szCs w:val="20"/>
                <w:color w:val="auto"/>
              </w:rPr>
            </w:pPr>
            <w:r>
              <w:rPr>
                <w:rFonts w:ascii="Arial" w:cs="Arial" w:eastAsia="Arial" w:hAnsi="Arial"/>
                <w:sz w:val="15"/>
                <w:szCs w:val="15"/>
                <w:color w:val="auto"/>
              </w:rPr>
              <w:t>835,865</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835,865</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835,865</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35,198</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53,820</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25,000</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25,000</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2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2,693,432</w:t>
            </w:r>
          </w:p>
        </w:tc>
        <w:tc>
          <w:tcPr>
            <w:tcW w:w="1220" w:type="dxa"/>
            <w:vAlign w:val="bottom"/>
          </w:tcPr>
          <w:p>
            <w:pPr>
              <w:jc w:val="right"/>
              <w:ind w:right="65"/>
              <w:spacing w:after="0"/>
              <w:rPr>
                <w:sz w:val="20"/>
                <w:szCs w:val="20"/>
                <w:color w:val="auto"/>
              </w:rPr>
            </w:pPr>
            <w:r>
              <w:rPr>
                <w:rFonts w:ascii="Arial" w:cs="Arial" w:eastAsia="Arial" w:hAnsi="Arial"/>
                <w:sz w:val="15"/>
                <w:szCs w:val="15"/>
                <w:color w:val="auto"/>
              </w:rPr>
              <w:t>2,693,432</w:t>
            </w:r>
          </w:p>
        </w:tc>
        <w:tc>
          <w:tcPr>
            <w:tcW w:w="1760" w:type="dxa"/>
            <w:vAlign w:val="bottom"/>
          </w:tcPr>
          <w:p>
            <w:pPr>
              <w:jc w:val="right"/>
              <w:ind w:right="46"/>
              <w:spacing w:after="0"/>
              <w:rPr>
                <w:sz w:val="20"/>
                <w:szCs w:val="20"/>
                <w:color w:val="auto"/>
              </w:rPr>
            </w:pPr>
            <w:r>
              <w:rPr>
                <w:rFonts w:ascii="Arial" w:cs="Arial" w:eastAsia="Arial" w:hAnsi="Arial"/>
                <w:sz w:val="15"/>
                <w:szCs w:val="15"/>
                <w:color w:val="auto"/>
              </w:rPr>
              <w:t>1,197,370</w:t>
            </w:r>
          </w:p>
        </w:tc>
        <w:tc>
          <w:tcPr>
            <w:tcW w:w="1460" w:type="dxa"/>
            <w:vAlign w:val="bottom"/>
          </w:tcPr>
          <w:p>
            <w:pPr>
              <w:jc w:val="right"/>
              <w:ind w:right="226"/>
              <w:spacing w:after="0"/>
              <w:rPr>
                <w:sz w:val="20"/>
                <w:szCs w:val="20"/>
                <w:color w:val="auto"/>
              </w:rPr>
            </w:pPr>
            <w:r>
              <w:rPr>
                <w:rFonts w:ascii="Arial" w:cs="Arial" w:eastAsia="Arial" w:hAnsi="Arial"/>
                <w:sz w:val="15"/>
                <w:szCs w:val="15"/>
                <w:color w:val="auto"/>
              </w:rPr>
              <w:t>5,113,485</w:t>
            </w:r>
          </w:p>
        </w:tc>
        <w:tc>
          <w:tcPr>
            <w:tcW w:w="1200" w:type="dxa"/>
            <w:vAlign w:val="bottom"/>
          </w:tcPr>
          <w:p>
            <w:pPr>
              <w:jc w:val="right"/>
              <w:ind w:right="505"/>
              <w:spacing w:after="0"/>
              <w:rPr>
                <w:sz w:val="20"/>
                <w:szCs w:val="20"/>
                <w:color w:val="auto"/>
              </w:rPr>
            </w:pPr>
            <w:r>
              <w:rPr>
                <w:rFonts w:ascii="Arial" w:cs="Arial" w:eastAsia="Arial" w:hAnsi="Arial"/>
                <w:sz w:val="15"/>
                <w:szCs w:val="15"/>
                <w:color w:val="auto"/>
              </w:rPr>
              <w:t>—</w:t>
            </w:r>
          </w:p>
        </w:tc>
        <w:tc>
          <w:tcPr>
            <w:tcW w:w="1080" w:type="dxa"/>
            <w:vAlign w:val="bottom"/>
          </w:tcPr>
          <w:p>
            <w:pPr>
              <w:ind w:left="58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2,286,711</w:t>
            </w:r>
          </w:p>
        </w:tc>
        <w:tc>
          <w:tcPr>
            <w:tcW w:w="0" w:type="dxa"/>
            <w:vAlign w:val="bottom"/>
          </w:tcPr>
          <w:p>
            <w:pPr>
              <w:spacing w:after="0"/>
              <w:rPr>
                <w:sz w:val="1"/>
                <w:szCs w:val="1"/>
                <w:color w:val="auto"/>
              </w:rPr>
            </w:pPr>
          </w:p>
        </w:tc>
      </w:tr>
      <w:tr>
        <w:trPr>
          <w:trHeight w:val="41"/>
        </w:trPr>
        <w:tc>
          <w:tcPr>
            <w:tcW w:w="202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220" w:type="dxa"/>
            <w:vAlign w:val="bottom"/>
            <w:tcBorders>
              <w:bottom w:val="single" w:sz="8" w:color="5D89B4"/>
            </w:tcBorders>
          </w:tcPr>
          <w:p>
            <w:pPr>
              <w:spacing w:after="0"/>
              <w:rPr>
                <w:sz w:val="3"/>
                <w:szCs w:val="3"/>
                <w:color w:val="auto"/>
              </w:rPr>
            </w:pPr>
          </w:p>
        </w:tc>
        <w:tc>
          <w:tcPr>
            <w:tcW w:w="1760" w:type="dxa"/>
            <w:vAlign w:val="bottom"/>
            <w:tcBorders>
              <w:bottom w:val="single" w:sz="8" w:color="5D89B4"/>
            </w:tcBorders>
          </w:tcPr>
          <w:p>
            <w:pPr>
              <w:spacing w:after="0"/>
              <w:rPr>
                <w:sz w:val="3"/>
                <w:szCs w:val="3"/>
                <w:color w:val="auto"/>
              </w:rPr>
            </w:pPr>
          </w:p>
        </w:tc>
        <w:tc>
          <w:tcPr>
            <w:tcW w:w="1460" w:type="dxa"/>
            <w:vAlign w:val="bottom"/>
            <w:tcBorders>
              <w:bottom w:val="single" w:sz="8" w:color="5D89B4"/>
            </w:tcBorders>
          </w:tcPr>
          <w:p>
            <w:pPr>
              <w:spacing w:after="0"/>
              <w:rPr>
                <w:sz w:val="3"/>
                <w:szCs w:val="3"/>
                <w:color w:val="auto"/>
              </w:rPr>
            </w:pPr>
          </w:p>
        </w:tc>
        <w:tc>
          <w:tcPr>
            <w:tcW w:w="1200" w:type="dxa"/>
            <w:vAlign w:val="bottom"/>
            <w:tcBorders>
              <w:bottom w:val="single" w:sz="8" w:color="5D89B4"/>
            </w:tcBorders>
          </w:tcPr>
          <w:p>
            <w:pPr>
              <w:spacing w:after="0"/>
              <w:rPr>
                <w:sz w:val="3"/>
                <w:szCs w:val="3"/>
                <w:color w:val="auto"/>
              </w:rPr>
            </w:pPr>
          </w:p>
        </w:tc>
        <w:tc>
          <w:tcPr>
            <w:tcW w:w="1080" w:type="dxa"/>
            <w:vAlign w:val="bottom"/>
            <w:tcBorders>
              <w:bottom w:val="single" w:sz="8" w:color="5D89B4"/>
            </w:tcBorders>
          </w:tcPr>
          <w:p>
            <w:pPr>
              <w:spacing w:after="0"/>
              <w:rPr>
                <w:sz w:val="3"/>
                <w:szCs w:val="3"/>
                <w:color w:val="auto"/>
              </w:rPr>
            </w:pPr>
          </w:p>
        </w:tc>
        <w:tc>
          <w:tcPr>
            <w:tcW w:w="10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00" w:right="260" w:hanging="420"/>
        <w:spacing w:after="0" w:line="280"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Mr. Buchband that replaced his previous agreement, which was set to expire on November 12, 2024. As of December 31, 2023, Mr. Buchband was eligible for retirement treatment under certain of his outstanding awards.</w:t>
      </w:r>
    </w:p>
    <w:p>
      <w:pPr>
        <w:spacing w:after="0" w:line="24" w:lineRule="exact"/>
        <w:rPr>
          <w:rFonts w:ascii="Arial" w:cs="Arial" w:eastAsia="Arial" w:hAnsi="Arial"/>
          <w:sz w:val="14"/>
          <w:szCs w:val="14"/>
          <w:color w:val="auto"/>
        </w:rPr>
      </w:pPr>
    </w:p>
    <w:p>
      <w:pPr>
        <w:ind w:left="600" w:right="360" w:hanging="420"/>
        <w:spacing w:after="0" w:line="280"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24" w:lineRule="exact"/>
        <w:rPr>
          <w:rFonts w:ascii="Arial" w:cs="Arial" w:eastAsia="Arial" w:hAnsi="Arial"/>
          <w:sz w:val="14"/>
          <w:szCs w:val="14"/>
          <w:color w:val="auto"/>
        </w:rPr>
      </w:pPr>
    </w:p>
    <w:p>
      <w:pPr>
        <w:jc w:val="both"/>
        <w:ind w:left="600" w:right="180" w:hanging="420"/>
        <w:spacing w:after="0" w:line="259"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 of the severance payment under Mr. Buchband’s severance agreement is equal to his annual base salary at the highest rate in effect during the term of the agreement (here, $556,973) and his target annual incentive for the fiscal year in which the termination occurs (here, $417,730). In a double-trigger scenario, the amount of his severance payment is multiplied by two.</w:t>
      </w:r>
    </w:p>
    <w:p>
      <w:pPr>
        <w:spacing w:after="0" w:line="39" w:lineRule="exact"/>
        <w:rPr>
          <w:rFonts w:ascii="Arial" w:cs="Arial" w:eastAsia="Arial" w:hAnsi="Arial"/>
          <w:sz w:val="14"/>
          <w:szCs w:val="14"/>
          <w:color w:val="auto"/>
        </w:rPr>
      </w:pPr>
    </w:p>
    <w:p>
      <w:pPr>
        <w:ind w:left="600" w:hanging="420"/>
        <w:spacing w:after="0" w:line="245"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2023 for the financial objectives and the target amount for the Strategic KPIs and ESG Goals. In the event of death, disability, or certain terminations following a change of control, the prorated incentive is based on the target incentive for the year of termination. In the event of retirement, the prorated incentive is based on the actual incentive award earned for 2023. No proration has been applied here as this table illustrates the effect of such a termination on December 31, 2023, immediately before the incentive was earned, so as not to understate the potential value of the benefit upon the applicable termination of employment. Note that an incentive amount has also been reported as 2023 compensation for him in the Summary Compensation Table, as well as in the Grants of Plan-Based Awards Table.</w:t>
      </w:r>
    </w:p>
    <w:p>
      <w:pPr>
        <w:spacing w:after="0" w:line="50" w:lineRule="exact"/>
        <w:rPr>
          <w:rFonts w:ascii="Arial" w:cs="Arial" w:eastAsia="Arial" w:hAnsi="Arial"/>
          <w:sz w:val="14"/>
          <w:szCs w:val="14"/>
          <w:color w:val="auto"/>
        </w:rPr>
      </w:pPr>
    </w:p>
    <w:p>
      <w:pPr>
        <w:ind w:left="600" w:right="20" w:hanging="420"/>
        <w:spacing w:after="0" w:line="259"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29, 2023 ($79.47), the last trading day of 2023, and the exercise price of each unvested stock option held by Mr. Buchband on such date. As of such date, the exercise price of each unvested option exceeded the closing stock price, resulting in the options being valued at zero dollars.</w:t>
      </w:r>
    </w:p>
    <w:p>
      <w:pPr>
        <w:spacing w:after="0" w:line="39" w:lineRule="exact"/>
        <w:rPr>
          <w:rFonts w:ascii="Arial" w:cs="Arial" w:eastAsia="Arial" w:hAnsi="Arial"/>
          <w:sz w:val="14"/>
          <w:szCs w:val="14"/>
          <w:color w:val="auto"/>
        </w:rPr>
      </w:pPr>
    </w:p>
    <w:p>
      <w:pPr>
        <w:ind w:left="600" w:right="100" w:hanging="420"/>
        <w:spacing w:after="0" w:line="245"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2022, and 2023 grants) using the closing stock price on December 29, 2023 ($79.47). In the case of a change of control, the payout is shown based on the number of shares earned based on actual performance for the 2021 award and assuming the Committee would determine the amount of shares earned relating to the 2022 and 2023 awards will equal the target award. In the case of a death or disability, the payout is shown based on the target awards. In the case of retirement, the prorated award payout is shown assuming actual performance for the awards (maximum for 2021 and assuming target level for 2022 and 2023 awards), where the awards are prorated based on the number of months of the performance period completed as of December 31, 2023. A full payout would only be applicable in the case of a retirement where the Committee had approved a succession plan and no such succession plan was approved for Mr. Buchband as of the date hereof.</w:t>
      </w:r>
    </w:p>
    <w:p>
      <w:pPr>
        <w:spacing w:after="0" w:line="50" w:lineRule="exact"/>
        <w:rPr>
          <w:rFonts w:ascii="Arial" w:cs="Arial" w:eastAsia="Arial" w:hAnsi="Arial"/>
          <w:sz w:val="14"/>
          <w:szCs w:val="14"/>
          <w:color w:val="auto"/>
        </w:rPr>
      </w:pPr>
    </w:p>
    <w:p>
      <w:pPr>
        <w:ind w:left="600" w:right="140" w:hanging="420"/>
        <w:spacing w:after="0" w:line="280" w:lineRule="auto"/>
        <w:tabs>
          <w:tab w:leader="none" w:pos="6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29, 2023 ($79.47).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72390</wp:posOffset>
            </wp:positionV>
            <wp:extent cx="69138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3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180"/>
        <w:spacing w:after="0" w:line="286" w:lineRule="auto"/>
        <w:rPr>
          <w:sz w:val="20"/>
          <w:szCs w:val="20"/>
          <w:color w:val="auto"/>
        </w:rPr>
      </w:pPr>
      <w:r>
        <w:rPr>
          <w:rFonts w:ascii="Arial" w:cs="Arial" w:eastAsia="Arial" w:hAnsi="Arial"/>
          <w:sz w:val="43"/>
          <w:szCs w:val="43"/>
          <w:b w:val="1"/>
          <w:bCs w:val="1"/>
          <w:color w:val="5D89B4"/>
        </w:rPr>
        <w:t>Compensation Policies and Practices as They Relate to Risk Management</w:t>
      </w:r>
    </w:p>
    <w:p>
      <w:pPr>
        <w:spacing w:after="0" w:line="155" w:lineRule="exact"/>
        <w:rPr>
          <w:sz w:val="20"/>
          <w:szCs w:val="20"/>
          <w:color w:val="auto"/>
        </w:rPr>
      </w:pPr>
    </w:p>
    <w:p>
      <w:pPr>
        <w:ind w:left="180" w:right="20"/>
        <w:spacing w:after="0" w:line="236" w:lineRule="auto"/>
        <w:rPr>
          <w:sz w:val="20"/>
          <w:szCs w:val="20"/>
          <w:color w:val="auto"/>
        </w:rPr>
      </w:pPr>
      <w:r>
        <w:rPr>
          <w:rFonts w:ascii="Arial" w:cs="Arial" w:eastAsia="Arial" w:hAnsi="Arial"/>
          <w:sz w:val="15"/>
          <w:szCs w:val="15"/>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people, culture and compensation committee and has determined there are no risks arising from our compensation policies and practices that are reasonably likely to have a material adverse effect on ManpowerGroup.</w:t>
      </w:r>
    </w:p>
    <w:p>
      <w:pPr>
        <w:spacing w:after="0" w:line="69" w:lineRule="exact"/>
        <w:rPr>
          <w:sz w:val="20"/>
          <w:szCs w:val="20"/>
          <w:color w:val="auto"/>
        </w:rPr>
      </w:pPr>
    </w:p>
    <w:p>
      <w:pPr>
        <w:ind w:left="180" w:right="60"/>
        <w:spacing w:after="0" w:line="241" w:lineRule="auto"/>
        <w:rPr>
          <w:sz w:val="20"/>
          <w:szCs w:val="20"/>
          <w:color w:val="auto"/>
        </w:rPr>
      </w:pPr>
      <w:r>
        <w:rPr>
          <w:rFonts w:ascii="Arial" w:cs="Arial" w:eastAsia="Arial" w:hAnsi="Arial"/>
          <w:sz w:val="15"/>
          <w:szCs w:val="15"/>
          <w:color w:val="auto"/>
        </w:rPr>
        <w:t>As ManpowerGroup operates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81" w:lineRule="exact"/>
        <w:rPr>
          <w:sz w:val="20"/>
          <w:szCs w:val="20"/>
          <w:color w:val="auto"/>
        </w:rPr>
      </w:pPr>
    </w:p>
    <w:p>
      <w:pPr>
        <w:ind w:left="400" w:right="140" w:hanging="220"/>
        <w:spacing w:after="0" w:line="259" w:lineRule="auto"/>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 general, each of our incentive plans has a threshold, target and outstanding payout level, which is not material to the Company, that is earned based on the results of the financial metrics.</w:t>
      </w:r>
    </w:p>
    <w:p>
      <w:pPr>
        <w:spacing w:after="0" w:line="68" w:lineRule="exact"/>
        <w:rPr>
          <w:rFonts w:ascii="Arial" w:cs="Arial" w:eastAsia="Arial" w:hAnsi="Arial"/>
          <w:sz w:val="15"/>
          <w:szCs w:val="15"/>
          <w:color w:val="auto"/>
        </w:rPr>
      </w:pPr>
    </w:p>
    <w:p>
      <w:pPr>
        <w:ind w:left="400" w:right="460" w:hanging="220"/>
        <w:spacing w:after="0" w:line="259" w:lineRule="auto"/>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annual incentive and PSU awards are capped at a maximum level such that employees cannot receive a bonus that is significant enough to create a significant risk to the Company.</w:t>
      </w:r>
    </w:p>
    <w:p>
      <w:pPr>
        <w:spacing w:after="0" w:line="68" w:lineRule="exact"/>
        <w:rPr>
          <w:rFonts w:ascii="Arial" w:cs="Arial" w:eastAsia="Arial" w:hAnsi="Arial"/>
          <w:sz w:val="15"/>
          <w:szCs w:val="15"/>
          <w:color w:val="auto"/>
        </w:rPr>
      </w:pPr>
    </w:p>
    <w:p>
      <w:pPr>
        <w:ind w:left="400" w:right="160" w:hanging="220"/>
        <w:spacing w:after="0" w:line="259" w:lineRule="auto"/>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68" w:lineRule="exact"/>
        <w:rPr>
          <w:rFonts w:ascii="Arial" w:cs="Arial" w:eastAsia="Arial" w:hAnsi="Arial"/>
          <w:sz w:val="15"/>
          <w:szCs w:val="15"/>
          <w:color w:val="auto"/>
        </w:rPr>
      </w:pPr>
    </w:p>
    <w:p>
      <w:pPr>
        <w:ind w:left="400" w:right="680" w:hanging="220"/>
        <w:spacing w:after="0" w:line="259" w:lineRule="auto"/>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spacing w:after="0" w:line="68" w:lineRule="exact"/>
        <w:rPr>
          <w:rFonts w:ascii="Arial" w:cs="Arial" w:eastAsia="Arial" w:hAnsi="Arial"/>
          <w:sz w:val="15"/>
          <w:szCs w:val="15"/>
          <w:color w:val="auto"/>
        </w:rPr>
      </w:pPr>
    </w:p>
    <w:p>
      <w:pPr>
        <w:ind w:left="400" w:hanging="220"/>
        <w:spacing w:after="0"/>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Each of the NEOs is subject to stock ownership guidelines.</w:t>
      </w:r>
    </w:p>
    <w:p>
      <w:pPr>
        <w:spacing w:after="0" w:line="107" w:lineRule="exact"/>
        <w:rPr>
          <w:rFonts w:ascii="Arial" w:cs="Arial" w:eastAsia="Arial" w:hAnsi="Arial"/>
          <w:sz w:val="15"/>
          <w:szCs w:val="15"/>
          <w:color w:val="auto"/>
        </w:rPr>
      </w:pPr>
    </w:p>
    <w:p>
      <w:pPr>
        <w:ind w:left="400" w:hanging="220"/>
        <w:spacing w:after="0" w:line="241" w:lineRule="auto"/>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We have adopted a clawback policy applicable to our NEOs as well as certain other senior leaders, adhering to the rules of the Securities and Exchange Commission (SEC) and the listing standards of the New York Stock Exchange (NYSE). In addition, we have adopted a more narrow broad-based compensation recovery policy applicable to all other employees.</w:t>
      </w:r>
    </w:p>
    <w:p>
      <w:pPr>
        <w:spacing w:after="0" w:line="80" w:lineRule="exact"/>
        <w:rPr>
          <w:rFonts w:ascii="Arial" w:cs="Arial" w:eastAsia="Arial" w:hAnsi="Arial"/>
          <w:sz w:val="15"/>
          <w:szCs w:val="15"/>
          <w:color w:val="auto"/>
        </w:rPr>
      </w:pPr>
    </w:p>
    <w:p>
      <w:pPr>
        <w:ind w:left="400" w:hanging="220"/>
        <w:spacing w:after="0"/>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We do not permit executives to engage in short-selling of ManpowerGroup securities or trading in puts and calls on ManpowerGroup securities.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We do not permit our NEOs to pledge shares of our common stock.</w:t>
      </w:r>
    </w:p>
    <w:p>
      <w:pPr>
        <w:spacing w:after="0" w:line="94" w:lineRule="exact"/>
        <w:rPr>
          <w:sz w:val="20"/>
          <w:szCs w:val="20"/>
          <w:color w:val="auto"/>
        </w:rPr>
      </w:pPr>
    </w:p>
    <w:p>
      <w:pPr>
        <w:ind w:left="180" w:right="80"/>
        <w:spacing w:after="0" w:line="259" w:lineRule="auto"/>
        <w:rPr>
          <w:sz w:val="20"/>
          <w:szCs w:val="20"/>
          <w:color w:val="auto"/>
        </w:rPr>
      </w:pPr>
      <w:r>
        <w:rPr>
          <w:rFonts w:ascii="Arial" w:cs="Arial" w:eastAsia="Arial" w:hAnsi="Arial"/>
          <w:sz w:val="15"/>
          <w:szCs w:val="15"/>
          <w:color w:val="auto"/>
        </w:rPr>
        <w:t>Based on the above factors, we do not believe our compensation policies and practices create risks that are reasonably likely to have a material adverse effect on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88265</wp:posOffset>
            </wp:positionV>
            <wp:extent cx="69138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CEO Pay Ratio</w:t>
      </w:r>
    </w:p>
    <w:p>
      <w:pPr>
        <w:spacing w:after="0" w:line="346" w:lineRule="exact"/>
        <w:rPr>
          <w:sz w:val="20"/>
          <w:szCs w:val="20"/>
          <w:color w:val="auto"/>
        </w:rPr>
      </w:pPr>
    </w:p>
    <w:p>
      <w:pPr>
        <w:ind w:left="180" w:right="560"/>
        <w:spacing w:after="0" w:line="259" w:lineRule="auto"/>
        <w:rPr>
          <w:sz w:val="20"/>
          <w:szCs w:val="20"/>
          <w:color w:val="auto"/>
        </w:rPr>
      </w:pPr>
      <w:r>
        <w:rPr>
          <w:rFonts w:ascii="Arial" w:cs="Arial" w:eastAsia="Arial" w:hAnsi="Arial"/>
          <w:sz w:val="15"/>
          <w:szCs w:val="15"/>
          <w:color w:val="auto"/>
        </w:rPr>
        <w:t>In accordance with the requirements of Item 402(u) of Regulation S-K, we have calculated a CEO Pay Ratio for 2023. This ratio is a reasonable estimate, calculated as described below.</w:t>
      </w:r>
    </w:p>
    <w:p>
      <w:pPr>
        <w:spacing w:after="0" w:line="261"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Overview</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As required under Item 402(u) of Regulation S-K, the median employee must be recalculated every three years. We last calculated our median employee in 2020.</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As such, we have recalculated our median employee for 2023, utilizing a similar process to that performed in 2020, which is described below.</w:t>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Measurement Date</w:t>
      </w:r>
    </w:p>
    <w:p>
      <w:pPr>
        <w:spacing w:after="0" w:line="120" w:lineRule="exact"/>
        <w:rPr>
          <w:sz w:val="20"/>
          <w:szCs w:val="20"/>
          <w:color w:val="auto"/>
        </w:rPr>
      </w:pPr>
    </w:p>
    <w:p>
      <w:pPr>
        <w:ind w:left="180" w:right="80"/>
        <w:spacing w:after="0" w:line="233" w:lineRule="auto"/>
        <w:rPr>
          <w:sz w:val="20"/>
          <w:szCs w:val="20"/>
          <w:color w:val="auto"/>
        </w:rPr>
      </w:pPr>
      <w:r>
        <w:rPr>
          <w:rFonts w:ascii="Arial" w:cs="Arial" w:eastAsia="Arial" w:hAnsi="Arial"/>
          <w:sz w:val="15"/>
          <w:szCs w:val="15"/>
          <w:color w:val="auto"/>
        </w:rPr>
        <w:t>We utilized a measurement date of October 1, 2023, which reflects an employee population of approximately 500,000 individuals worldwide as of the measurement date. It is important to note that 95% of this population comprises our “associates” — these are the employees on assignment that day with our clients within the approximately 75 countries and territories in which we operated in 2023.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Consistently Applied Compensation Measure</w:t>
      </w:r>
    </w:p>
    <w:p>
      <w:pPr>
        <w:spacing w:after="0" w:line="120" w:lineRule="exact"/>
        <w:rPr>
          <w:sz w:val="20"/>
          <w:szCs w:val="20"/>
          <w:color w:val="auto"/>
        </w:rPr>
      </w:pPr>
    </w:p>
    <w:p>
      <w:pPr>
        <w:ind w:left="180" w:right="120"/>
        <w:spacing w:after="0" w:line="233" w:lineRule="auto"/>
        <w:rPr>
          <w:sz w:val="20"/>
          <w:szCs w:val="20"/>
          <w:color w:val="auto"/>
        </w:rPr>
      </w:pPr>
      <w:r>
        <w:rPr>
          <w:rFonts w:ascii="Arial" w:cs="Arial" w:eastAsia="Arial" w:hAnsi="Arial"/>
          <w:sz w:val="15"/>
          <w:szCs w:val="15"/>
          <w:color w:val="auto"/>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in 2023, but not for our associates whose positions are seasonal or temporary in nature. From this, our median employee was identified as an associate in Spain whose total annual compensation was calculated in accordance with the requirements of the Summary Compensation Table as being $9,964. When calculated against Mr. Prising’s compensation for 2023 of $12,712,353 as reflected in the Summary Compensation Table, it yields a CEO Pay Ratio of 1,276:1.</w:t>
      </w:r>
    </w:p>
    <w:p>
      <w:pPr>
        <w:spacing w:after="0" w:line="276"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Calculation Excluding Associates</w:t>
      </w:r>
    </w:p>
    <w:p>
      <w:pPr>
        <w:spacing w:after="0" w:line="120" w:lineRule="exact"/>
        <w:rPr>
          <w:sz w:val="20"/>
          <w:szCs w:val="20"/>
          <w:color w:val="auto"/>
        </w:rPr>
      </w:pPr>
    </w:p>
    <w:p>
      <w:pPr>
        <w:ind w:left="180" w:right="20"/>
        <w:spacing w:after="0" w:line="236" w:lineRule="auto"/>
        <w:rPr>
          <w:sz w:val="20"/>
          <w:szCs w:val="20"/>
          <w:color w:val="auto"/>
        </w:rPr>
      </w:pPr>
      <w:r>
        <w:rPr>
          <w:rFonts w:ascii="Arial" w:cs="Arial" w:eastAsia="Arial" w:hAnsi="Arial"/>
          <w:sz w:val="15"/>
          <w:szCs w:val="15"/>
          <w:color w:val="auto"/>
        </w:rPr>
        <w:t>Supplementally, we have again calculated a CEO pay ratio excluding our associates for 2023. As noted above, most of the individuals who are counted as “employees” under Item 402(u) are in fact associates who are performing work for our clients on a temporary basis. For this supplemental calculation, our median employee as of the measurement date was an individual in Belgium whose annualized total compensation was $42,992 for 2023. Under this calculation, the CEO pay ratio is 296:1. We believe this is a more representative indication of how our CEO pay compares to that of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97155</wp:posOffset>
            </wp:positionV>
            <wp:extent cx="69138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70</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980"/>
          </w:cols>
          <w:pgMar w:left="320" w:top="480" w:right="5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Pay versus Performance</w:t>
      </w:r>
    </w:p>
    <w:p>
      <w:pPr>
        <w:spacing w:after="0" w:line="346" w:lineRule="exact"/>
        <w:rPr>
          <w:sz w:val="20"/>
          <w:szCs w:val="20"/>
          <w:color w:val="auto"/>
        </w:rPr>
      </w:pPr>
    </w:p>
    <w:p>
      <w:pPr>
        <w:ind w:left="180" w:right="40"/>
        <w:spacing w:after="0" w:line="236" w:lineRule="auto"/>
        <w:rPr>
          <w:sz w:val="20"/>
          <w:szCs w:val="20"/>
          <w:color w:val="auto"/>
        </w:rPr>
      </w:pPr>
      <w:r>
        <w:rPr>
          <w:rFonts w:ascii="Arial" w:cs="Arial" w:eastAsia="Arial" w:hAnsi="Arial"/>
          <w:sz w:val="15"/>
          <w:szCs w:val="15"/>
          <w:color w:val="auto"/>
        </w:rPr>
        <w:t>The following table sets forth the compensation for our Chief Executive Officer and the average compensation for our other named executive officers (“NEOs”), both as reported in the Summary Compensation Table (“SCT”) and with certain adjustments to reflect the “compensation actually paid” (“CAP”) to such individuals, as defined under SEC rules, for each of 2023, 2022, 2021 and 2020. The table also provides information on our cumulative total shareholder return (“TSR”), the cumulative TSR of our peer group, Net Income and Adjusted EBITA Margin over such years in accordance with SEC rules.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Pay versus Performance Table</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40" w:type="dxa"/>
            <w:vAlign w:val="bottom"/>
            <w:shd w:val="clear" w:color="auto" w:fill="EAEAEA"/>
          </w:tcPr>
          <w:p>
            <w:pPr>
              <w:spacing w:after="0"/>
              <w:rPr>
                <w:sz w:val="10"/>
                <w:szCs w:val="10"/>
                <w:color w:val="auto"/>
              </w:rPr>
            </w:pPr>
          </w:p>
        </w:tc>
        <w:tc>
          <w:tcPr>
            <w:tcW w:w="2040" w:type="dxa"/>
            <w:vAlign w:val="bottom"/>
            <w:gridSpan w:val="3"/>
            <w:shd w:val="clear" w:color="auto" w:fill="EAEAEA"/>
          </w:tcPr>
          <w:p>
            <w:pPr>
              <w:jc w:val="right"/>
              <w:ind w:right="278"/>
              <w:spacing w:after="0"/>
              <w:rPr>
                <w:sz w:val="20"/>
                <w:szCs w:val="20"/>
                <w:color w:val="auto"/>
              </w:rPr>
            </w:pPr>
            <w:r>
              <w:rPr>
                <w:rFonts w:ascii="Arial" w:cs="Arial" w:eastAsia="Arial" w:hAnsi="Arial"/>
                <w:sz w:val="11"/>
                <w:szCs w:val="11"/>
                <w:b w:val="1"/>
                <w:bCs w:val="1"/>
                <w:color w:val="5D89B4"/>
              </w:rPr>
              <w:t>VALUE OF INITIAL FIXED $100</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33"/>
        </w:trPr>
        <w:tc>
          <w:tcPr>
            <w:tcW w:w="2300" w:type="dxa"/>
            <w:vAlign w:val="bottom"/>
            <w:tcBorders>
              <w:bottom w:val="single" w:sz="8" w:color="EAEAEA"/>
            </w:tcBorders>
            <w:shd w:val="clear" w:color="auto" w:fill="EAEAEA"/>
          </w:tcPr>
          <w:p>
            <w:pPr>
              <w:spacing w:after="0"/>
              <w:rPr>
                <w:sz w:val="11"/>
                <w:szCs w:val="11"/>
                <w:color w:val="auto"/>
              </w:rPr>
            </w:pPr>
          </w:p>
        </w:tc>
        <w:tc>
          <w:tcPr>
            <w:tcW w:w="1180" w:type="dxa"/>
            <w:vAlign w:val="bottom"/>
            <w:tcBorders>
              <w:bottom w:val="single" w:sz="8" w:color="EAEAEA"/>
            </w:tcBorders>
            <w:shd w:val="clear" w:color="auto" w:fill="EAEAEA"/>
          </w:tcPr>
          <w:p>
            <w:pPr>
              <w:spacing w:after="0"/>
              <w:rPr>
                <w:sz w:val="11"/>
                <w:szCs w:val="11"/>
                <w:color w:val="auto"/>
              </w:rPr>
            </w:pPr>
          </w:p>
        </w:tc>
        <w:tc>
          <w:tcPr>
            <w:tcW w:w="240" w:type="dxa"/>
            <w:vAlign w:val="bottom"/>
            <w:tcBorders>
              <w:bottom w:val="single" w:sz="8" w:color="EAEAEA"/>
            </w:tcBorders>
            <w:shd w:val="clear" w:color="auto" w:fill="EAEAEA"/>
          </w:tcPr>
          <w:p>
            <w:pPr>
              <w:spacing w:after="0"/>
              <w:rPr>
                <w:sz w:val="11"/>
                <w:szCs w:val="11"/>
                <w:color w:val="auto"/>
              </w:rPr>
            </w:pPr>
          </w:p>
        </w:tc>
        <w:tc>
          <w:tcPr>
            <w:tcW w:w="900" w:type="dxa"/>
            <w:vAlign w:val="bottom"/>
            <w:tcBorders>
              <w:bottom w:val="single" w:sz="8" w:color="EAEAEA"/>
            </w:tcBorders>
            <w:shd w:val="clear" w:color="auto" w:fill="EAEAEA"/>
          </w:tcPr>
          <w:p>
            <w:pPr>
              <w:spacing w:after="0"/>
              <w:rPr>
                <w:sz w:val="11"/>
                <w:szCs w:val="11"/>
                <w:color w:val="auto"/>
              </w:rPr>
            </w:pPr>
          </w:p>
        </w:tc>
        <w:tc>
          <w:tcPr>
            <w:tcW w:w="260" w:type="dxa"/>
            <w:vAlign w:val="bottom"/>
            <w:tcBorders>
              <w:bottom w:val="single" w:sz="8" w:color="EAEAEA"/>
            </w:tcBorders>
            <w:shd w:val="clear" w:color="auto" w:fill="EAEAEA"/>
          </w:tcPr>
          <w:p>
            <w:pPr>
              <w:spacing w:after="0"/>
              <w:rPr>
                <w:sz w:val="11"/>
                <w:szCs w:val="11"/>
                <w:color w:val="auto"/>
              </w:rPr>
            </w:pPr>
          </w:p>
        </w:tc>
        <w:tc>
          <w:tcPr>
            <w:tcW w:w="860" w:type="dxa"/>
            <w:vAlign w:val="bottom"/>
            <w:tcBorders>
              <w:bottom w:val="single" w:sz="8" w:color="EAEAEA"/>
            </w:tcBorders>
            <w:shd w:val="clear" w:color="auto" w:fill="EAEAEA"/>
          </w:tcPr>
          <w:p>
            <w:pPr>
              <w:spacing w:after="0"/>
              <w:rPr>
                <w:sz w:val="11"/>
                <w:szCs w:val="11"/>
                <w:color w:val="auto"/>
              </w:rPr>
            </w:pPr>
          </w:p>
        </w:tc>
        <w:tc>
          <w:tcPr>
            <w:tcW w:w="260" w:type="dxa"/>
            <w:vAlign w:val="bottom"/>
            <w:tcBorders>
              <w:bottom w:val="single" w:sz="8" w:color="EAEAEA"/>
            </w:tcBorders>
            <w:shd w:val="clear" w:color="auto" w:fill="EAEAEA"/>
          </w:tcPr>
          <w:p>
            <w:pPr>
              <w:spacing w:after="0"/>
              <w:rPr>
                <w:sz w:val="11"/>
                <w:szCs w:val="11"/>
                <w:color w:val="auto"/>
              </w:rPr>
            </w:pPr>
          </w:p>
        </w:tc>
        <w:tc>
          <w:tcPr>
            <w:tcW w:w="780" w:type="dxa"/>
            <w:vAlign w:val="bottom"/>
            <w:tcBorders>
              <w:bottom w:val="single" w:sz="8" w:color="EAEAEA"/>
            </w:tcBorders>
            <w:shd w:val="clear" w:color="auto" w:fill="EAEAEA"/>
          </w:tcPr>
          <w:p>
            <w:pPr>
              <w:spacing w:after="0"/>
              <w:rPr>
                <w:sz w:val="11"/>
                <w:szCs w:val="11"/>
                <w:color w:val="auto"/>
              </w:rPr>
            </w:pPr>
          </w:p>
        </w:tc>
        <w:tc>
          <w:tcPr>
            <w:tcW w:w="340" w:type="dxa"/>
            <w:vAlign w:val="bottom"/>
            <w:tcBorders>
              <w:bottom w:val="single" w:sz="8" w:color="5D89B4"/>
            </w:tcBorders>
            <w:shd w:val="clear" w:color="auto" w:fill="EAEAEA"/>
          </w:tcPr>
          <w:p>
            <w:pPr>
              <w:spacing w:after="0"/>
              <w:rPr>
                <w:sz w:val="11"/>
                <w:szCs w:val="11"/>
                <w:color w:val="auto"/>
              </w:rPr>
            </w:pPr>
          </w:p>
        </w:tc>
        <w:tc>
          <w:tcPr>
            <w:tcW w:w="2040" w:type="dxa"/>
            <w:vAlign w:val="bottom"/>
            <w:tcBorders>
              <w:bottom w:val="single" w:sz="8" w:color="5D89B4"/>
            </w:tcBorders>
            <w:gridSpan w:val="3"/>
            <w:shd w:val="clear" w:color="auto" w:fill="EAEAEA"/>
          </w:tcPr>
          <w:p>
            <w:pPr>
              <w:jc w:val="right"/>
              <w:ind w:right="398"/>
              <w:spacing w:after="0"/>
              <w:rPr>
                <w:sz w:val="20"/>
                <w:szCs w:val="20"/>
                <w:color w:val="auto"/>
              </w:rPr>
            </w:pPr>
            <w:r>
              <w:rPr>
                <w:rFonts w:ascii="Arial" w:cs="Arial" w:eastAsia="Arial" w:hAnsi="Arial"/>
                <w:sz w:val="11"/>
                <w:szCs w:val="11"/>
                <w:b w:val="1"/>
                <w:bCs w:val="1"/>
                <w:color w:val="5D89B4"/>
              </w:rPr>
              <w:t>INVESTMENT BASED ON:</w:t>
            </w:r>
          </w:p>
        </w:tc>
        <w:tc>
          <w:tcPr>
            <w:tcW w:w="280" w:type="dxa"/>
            <w:vAlign w:val="bottom"/>
            <w:tcBorders>
              <w:bottom w:val="single" w:sz="8" w:color="EAEAEA"/>
            </w:tcBorders>
            <w:shd w:val="clear" w:color="auto" w:fill="EAEAEA"/>
          </w:tcPr>
          <w:p>
            <w:pPr>
              <w:spacing w:after="0"/>
              <w:rPr>
                <w:sz w:val="11"/>
                <w:szCs w:val="11"/>
                <w:color w:val="auto"/>
              </w:rPr>
            </w:pPr>
          </w:p>
        </w:tc>
        <w:tc>
          <w:tcPr>
            <w:tcW w:w="680" w:type="dxa"/>
            <w:vAlign w:val="bottom"/>
            <w:tcBorders>
              <w:bottom w:val="single" w:sz="8" w:color="EAEAEA"/>
            </w:tcBorders>
            <w:shd w:val="clear" w:color="auto" w:fill="EAEAEA"/>
          </w:tcPr>
          <w:p>
            <w:pPr>
              <w:spacing w:after="0"/>
              <w:rPr>
                <w:sz w:val="11"/>
                <w:szCs w:val="11"/>
                <w:color w:val="auto"/>
              </w:rPr>
            </w:pPr>
          </w:p>
        </w:tc>
        <w:tc>
          <w:tcPr>
            <w:tcW w:w="760" w:type="dxa"/>
            <w:vAlign w:val="bottom"/>
            <w:tcBorders>
              <w:bottom w:val="single" w:sz="8" w:color="EAEAEA"/>
            </w:tcBorders>
            <w:shd w:val="clear" w:color="auto" w:fill="EAEAEA"/>
          </w:tcPr>
          <w:p>
            <w:pPr>
              <w:spacing w:after="0"/>
              <w:rPr>
                <w:sz w:val="11"/>
                <w:szCs w:val="11"/>
                <w:color w:val="auto"/>
              </w:rPr>
            </w:pPr>
          </w:p>
        </w:tc>
      </w:tr>
      <w:tr>
        <w:trPr>
          <w:trHeight w:val="100"/>
        </w:trPr>
        <w:tc>
          <w:tcPr>
            <w:tcW w:w="2300" w:type="dxa"/>
            <w:vAlign w:val="bottom"/>
            <w:shd w:val="clear" w:color="auto" w:fill="EAEAEA"/>
          </w:tcPr>
          <w:p>
            <w:pPr>
              <w:spacing w:after="0"/>
              <w:rPr>
                <w:sz w:val="8"/>
                <w:szCs w:val="8"/>
                <w:color w:val="auto"/>
              </w:rPr>
            </w:pPr>
          </w:p>
        </w:tc>
        <w:tc>
          <w:tcPr>
            <w:tcW w:w="1180" w:type="dxa"/>
            <w:vAlign w:val="bottom"/>
            <w:shd w:val="clear" w:color="auto" w:fill="EAEAEA"/>
          </w:tcPr>
          <w:p>
            <w:pPr>
              <w:spacing w:after="0"/>
              <w:rPr>
                <w:sz w:val="8"/>
                <w:szCs w:val="8"/>
                <w:color w:val="auto"/>
              </w:rPr>
            </w:pPr>
          </w:p>
        </w:tc>
        <w:tc>
          <w:tcPr>
            <w:tcW w:w="240" w:type="dxa"/>
            <w:vAlign w:val="bottom"/>
            <w:shd w:val="clear" w:color="auto" w:fill="EAEAEA"/>
          </w:tcPr>
          <w:p>
            <w:pPr>
              <w:spacing w:after="0"/>
              <w:rPr>
                <w:sz w:val="8"/>
                <w:szCs w:val="8"/>
                <w:color w:val="auto"/>
              </w:rPr>
            </w:pPr>
          </w:p>
        </w:tc>
        <w:tc>
          <w:tcPr>
            <w:tcW w:w="900" w:type="dxa"/>
            <w:vAlign w:val="bottom"/>
            <w:shd w:val="clear" w:color="auto" w:fill="EAEAEA"/>
          </w:tcPr>
          <w:p>
            <w:pPr>
              <w:spacing w:after="0"/>
              <w:rPr>
                <w:sz w:val="8"/>
                <w:szCs w:val="8"/>
                <w:color w:val="auto"/>
              </w:rPr>
            </w:pPr>
          </w:p>
        </w:tc>
        <w:tc>
          <w:tcPr>
            <w:tcW w:w="260" w:type="dxa"/>
            <w:vAlign w:val="bottom"/>
            <w:shd w:val="clear" w:color="auto" w:fill="EAEAEA"/>
          </w:tcPr>
          <w:p>
            <w:pPr>
              <w:spacing w:after="0"/>
              <w:rPr>
                <w:sz w:val="8"/>
                <w:szCs w:val="8"/>
                <w:color w:val="auto"/>
              </w:rPr>
            </w:pPr>
          </w:p>
        </w:tc>
        <w:tc>
          <w:tcPr>
            <w:tcW w:w="860" w:type="dxa"/>
            <w:vAlign w:val="bottom"/>
            <w:shd w:val="clear" w:color="auto" w:fill="EAEAEA"/>
          </w:tcPr>
          <w:p>
            <w:pPr>
              <w:spacing w:after="0"/>
              <w:rPr>
                <w:sz w:val="8"/>
                <w:szCs w:val="8"/>
                <w:color w:val="auto"/>
              </w:rPr>
            </w:pPr>
          </w:p>
        </w:tc>
        <w:tc>
          <w:tcPr>
            <w:tcW w:w="260" w:type="dxa"/>
            <w:vAlign w:val="bottom"/>
            <w:shd w:val="clear" w:color="auto" w:fill="EAEAEA"/>
          </w:tcPr>
          <w:p>
            <w:pPr>
              <w:spacing w:after="0"/>
              <w:rPr>
                <w:sz w:val="8"/>
                <w:szCs w:val="8"/>
                <w:color w:val="auto"/>
              </w:rPr>
            </w:pPr>
          </w:p>
        </w:tc>
        <w:tc>
          <w:tcPr>
            <w:tcW w:w="780" w:type="dxa"/>
            <w:vAlign w:val="bottom"/>
            <w:shd w:val="clear" w:color="auto" w:fill="EAEAEA"/>
          </w:tcPr>
          <w:p>
            <w:pPr>
              <w:spacing w:after="0"/>
              <w:rPr>
                <w:sz w:val="8"/>
                <w:szCs w:val="8"/>
                <w:color w:val="auto"/>
              </w:rPr>
            </w:pPr>
          </w:p>
        </w:tc>
        <w:tc>
          <w:tcPr>
            <w:tcW w:w="340" w:type="dxa"/>
            <w:vAlign w:val="bottom"/>
            <w:shd w:val="clear" w:color="auto" w:fill="EAEAEA"/>
          </w:tcPr>
          <w:p>
            <w:pPr>
              <w:spacing w:after="0"/>
              <w:rPr>
                <w:sz w:val="8"/>
                <w:szCs w:val="8"/>
                <w:color w:val="auto"/>
              </w:rPr>
            </w:pPr>
          </w:p>
        </w:tc>
        <w:tc>
          <w:tcPr>
            <w:tcW w:w="1020" w:type="dxa"/>
            <w:vAlign w:val="bottom"/>
            <w:shd w:val="clear" w:color="auto" w:fill="EAEAEA"/>
          </w:tcPr>
          <w:p>
            <w:pPr>
              <w:spacing w:after="0"/>
              <w:rPr>
                <w:sz w:val="8"/>
                <w:szCs w:val="8"/>
                <w:color w:val="auto"/>
              </w:rPr>
            </w:pPr>
          </w:p>
        </w:tc>
        <w:tc>
          <w:tcPr>
            <w:tcW w:w="260" w:type="dxa"/>
            <w:vAlign w:val="bottom"/>
            <w:shd w:val="clear" w:color="auto" w:fill="EAEAEA"/>
          </w:tcPr>
          <w:p>
            <w:pPr>
              <w:spacing w:after="0"/>
              <w:rPr>
                <w:sz w:val="8"/>
                <w:szCs w:val="8"/>
                <w:color w:val="auto"/>
              </w:rPr>
            </w:pPr>
          </w:p>
        </w:tc>
        <w:tc>
          <w:tcPr>
            <w:tcW w:w="760" w:type="dxa"/>
            <w:vAlign w:val="bottom"/>
            <w:shd w:val="clear" w:color="auto" w:fill="EAEAEA"/>
          </w:tcPr>
          <w:p>
            <w:pPr>
              <w:jc w:val="right"/>
              <w:spacing w:after="0" w:line="101" w:lineRule="exact"/>
              <w:rPr>
                <w:sz w:val="20"/>
                <w:szCs w:val="20"/>
                <w:color w:val="auto"/>
              </w:rPr>
            </w:pPr>
            <w:r>
              <w:rPr>
                <w:rFonts w:ascii="Arial" w:cs="Arial" w:eastAsia="Arial" w:hAnsi="Arial"/>
                <w:sz w:val="11"/>
                <w:szCs w:val="11"/>
                <w:b w:val="1"/>
                <w:bCs w:val="1"/>
                <w:color w:val="5D89B4"/>
              </w:rPr>
              <w:t>S&amp;P</w:t>
            </w:r>
          </w:p>
        </w:tc>
        <w:tc>
          <w:tcPr>
            <w:tcW w:w="280" w:type="dxa"/>
            <w:vAlign w:val="bottom"/>
            <w:shd w:val="clear" w:color="auto" w:fill="EAEAEA"/>
          </w:tcPr>
          <w:p>
            <w:pPr>
              <w:spacing w:after="0"/>
              <w:rPr>
                <w:sz w:val="8"/>
                <w:szCs w:val="8"/>
                <w:color w:val="auto"/>
              </w:rPr>
            </w:pPr>
          </w:p>
        </w:tc>
        <w:tc>
          <w:tcPr>
            <w:tcW w:w="680" w:type="dxa"/>
            <w:vAlign w:val="bottom"/>
            <w:shd w:val="clear" w:color="auto" w:fill="EAEAEA"/>
          </w:tcPr>
          <w:p>
            <w:pPr>
              <w:spacing w:after="0"/>
              <w:rPr>
                <w:sz w:val="8"/>
                <w:szCs w:val="8"/>
                <w:color w:val="auto"/>
              </w:rPr>
            </w:pPr>
          </w:p>
        </w:tc>
        <w:tc>
          <w:tcPr>
            <w:tcW w:w="760" w:type="dxa"/>
            <w:vAlign w:val="bottom"/>
            <w:shd w:val="clear" w:color="auto" w:fill="EAEAEA"/>
          </w:tcPr>
          <w:p>
            <w:pPr>
              <w:spacing w:after="0"/>
              <w:rPr>
                <w:sz w:val="8"/>
                <w:szCs w:val="8"/>
                <w:color w:val="auto"/>
              </w:rPr>
            </w:pP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4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COMPOSITE</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4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w w:val="99"/>
              </w:rPr>
              <w:t>1500 HUMAN</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4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w w:val="97"/>
              </w:rPr>
              <w:t>RESOURCES</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6"/>
              <w:spacing w:after="0" w:line="120" w:lineRule="exact"/>
              <w:rPr>
                <w:sz w:val="20"/>
                <w:szCs w:val="20"/>
                <w:color w:val="auto"/>
              </w:rPr>
            </w:pPr>
            <w:r>
              <w:rPr>
                <w:rFonts w:ascii="Arial" w:cs="Arial" w:eastAsia="Arial" w:hAnsi="Arial"/>
                <w:sz w:val="11"/>
                <w:szCs w:val="11"/>
                <w:b w:val="1"/>
                <w:bCs w:val="1"/>
                <w:color w:val="5D89B4"/>
              </w:rPr>
              <w:t>AVERAGE</w:t>
            </w: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4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AND</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jc w:val="right"/>
              <w:ind w:right="56"/>
              <w:spacing w:after="0" w:line="120" w:lineRule="exact"/>
              <w:rPr>
                <w:sz w:val="20"/>
                <w:szCs w:val="20"/>
                <w:color w:val="auto"/>
              </w:rPr>
            </w:pPr>
            <w:r>
              <w:rPr>
                <w:rFonts w:ascii="Arial" w:cs="Arial" w:eastAsia="Arial" w:hAnsi="Arial"/>
                <w:sz w:val="11"/>
                <w:szCs w:val="11"/>
                <w:b w:val="1"/>
                <w:bCs w:val="1"/>
                <w:color w:val="5D89B4"/>
              </w:rPr>
              <w:t>SUMMARY</w:t>
            </w:r>
          </w:p>
        </w:tc>
        <w:tc>
          <w:tcPr>
            <w:tcW w:w="24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6"/>
              <w:spacing w:after="0" w:line="120" w:lineRule="exact"/>
              <w:rPr>
                <w:sz w:val="20"/>
                <w:szCs w:val="20"/>
                <w:color w:val="auto"/>
              </w:rPr>
            </w:pPr>
            <w:r>
              <w:rPr>
                <w:rFonts w:ascii="Arial" w:cs="Arial" w:eastAsia="Arial" w:hAnsi="Arial"/>
                <w:sz w:val="11"/>
                <w:szCs w:val="11"/>
                <w:b w:val="1"/>
                <w:bCs w:val="1"/>
                <w:color w:val="5D89B4"/>
              </w:rPr>
              <w:t>SUMMARY</w:t>
            </w: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AVERAGE</w:t>
            </w:r>
          </w:p>
        </w:tc>
        <w:tc>
          <w:tcPr>
            <w:tcW w:w="34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102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EMPLOYMENT</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jc w:val="right"/>
              <w:ind w:right="56"/>
              <w:spacing w:after="0" w:line="120" w:lineRule="exact"/>
              <w:rPr>
                <w:sz w:val="20"/>
                <w:szCs w:val="20"/>
                <w:color w:val="auto"/>
              </w:rPr>
            </w:pPr>
            <w:r>
              <w:rPr>
                <w:rFonts w:ascii="Arial" w:cs="Arial" w:eastAsia="Arial" w:hAnsi="Arial"/>
                <w:sz w:val="11"/>
                <w:szCs w:val="11"/>
                <w:b w:val="1"/>
                <w:bCs w:val="1"/>
                <w:color w:val="5D89B4"/>
              </w:rPr>
              <w:t>COMPENSATION</w:t>
            </w:r>
          </w:p>
        </w:tc>
        <w:tc>
          <w:tcPr>
            <w:tcW w:w="24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1120" w:type="dxa"/>
            <w:vAlign w:val="bottom"/>
            <w:gridSpan w:val="2"/>
            <w:shd w:val="clear" w:color="auto" w:fill="EAEAEA"/>
          </w:tcPr>
          <w:p>
            <w:pPr>
              <w:ind w:left="120"/>
              <w:spacing w:after="0" w:line="120" w:lineRule="exact"/>
              <w:rPr>
                <w:sz w:val="20"/>
                <w:szCs w:val="20"/>
                <w:color w:val="auto"/>
              </w:rPr>
            </w:pPr>
            <w:r>
              <w:rPr>
                <w:rFonts w:ascii="Arial" w:cs="Arial" w:eastAsia="Arial" w:hAnsi="Arial"/>
                <w:sz w:val="11"/>
                <w:szCs w:val="11"/>
                <w:b w:val="1"/>
                <w:bCs w:val="1"/>
                <w:color w:val="5D89B4"/>
              </w:rPr>
              <w:t>COMPENSATION</w:t>
            </w:r>
          </w:p>
        </w:tc>
        <w:tc>
          <w:tcPr>
            <w:tcW w:w="1040" w:type="dxa"/>
            <w:vAlign w:val="bottom"/>
            <w:gridSpan w:val="2"/>
            <w:shd w:val="clear" w:color="auto" w:fill="EAEAEA"/>
          </w:tcPr>
          <w:p>
            <w:pPr>
              <w:ind w:left="120"/>
              <w:spacing w:after="0" w:line="120" w:lineRule="exact"/>
              <w:rPr>
                <w:sz w:val="20"/>
                <w:szCs w:val="20"/>
                <w:color w:val="auto"/>
              </w:rPr>
            </w:pPr>
            <w:r>
              <w:rPr>
                <w:rFonts w:ascii="Arial" w:cs="Arial" w:eastAsia="Arial" w:hAnsi="Arial"/>
                <w:sz w:val="11"/>
                <w:szCs w:val="11"/>
                <w:b w:val="1"/>
                <w:bCs w:val="1"/>
                <w:color w:val="5D89B4"/>
              </w:rPr>
              <w:t>COMPENSATION</w:t>
            </w:r>
          </w:p>
        </w:tc>
        <w:tc>
          <w:tcPr>
            <w:tcW w:w="1360" w:type="dxa"/>
            <w:vAlign w:val="bottom"/>
            <w:gridSpan w:val="2"/>
            <w:shd w:val="clear" w:color="auto" w:fill="EAEAEA"/>
          </w:tcPr>
          <w:p>
            <w:pPr>
              <w:ind w:left="200"/>
              <w:spacing w:after="0" w:line="120" w:lineRule="exact"/>
              <w:rPr>
                <w:sz w:val="20"/>
                <w:szCs w:val="20"/>
                <w:color w:val="auto"/>
              </w:rPr>
            </w:pPr>
            <w:r>
              <w:rPr>
                <w:rFonts w:ascii="Arial" w:cs="Arial" w:eastAsia="Arial" w:hAnsi="Arial"/>
                <w:sz w:val="11"/>
                <w:szCs w:val="11"/>
                <w:b w:val="1"/>
                <w:bCs w:val="1"/>
                <w:color w:val="5D89B4"/>
              </w:rPr>
              <w:t>MANPOWERGROUP</w:t>
            </w:r>
          </w:p>
        </w:tc>
        <w:tc>
          <w:tcPr>
            <w:tcW w:w="26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SERVICES</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jc w:val="right"/>
              <w:ind w:right="56"/>
              <w:spacing w:after="0" w:line="120" w:lineRule="exact"/>
              <w:rPr>
                <w:sz w:val="20"/>
                <w:szCs w:val="20"/>
                <w:color w:val="auto"/>
              </w:rPr>
            </w:pPr>
            <w:r>
              <w:rPr>
                <w:rFonts w:ascii="Arial" w:cs="Arial" w:eastAsia="Arial" w:hAnsi="Arial"/>
                <w:sz w:val="11"/>
                <w:szCs w:val="11"/>
                <w:b w:val="1"/>
                <w:bCs w:val="1"/>
                <w:color w:val="5D89B4"/>
              </w:rPr>
              <w:t>TABLE (“SCT”)</w:t>
            </w:r>
          </w:p>
        </w:tc>
        <w:tc>
          <w:tcPr>
            <w:tcW w:w="1140" w:type="dxa"/>
            <w:vAlign w:val="bottom"/>
            <w:gridSpan w:val="2"/>
            <w:shd w:val="clear" w:color="auto" w:fill="EAEAEA"/>
          </w:tcPr>
          <w:p>
            <w:pPr>
              <w:ind w:left="140"/>
              <w:spacing w:after="0" w:line="120" w:lineRule="exact"/>
              <w:rPr>
                <w:sz w:val="20"/>
                <w:szCs w:val="20"/>
                <w:color w:val="auto"/>
              </w:rPr>
            </w:pPr>
            <w:r>
              <w:rPr>
                <w:rFonts w:ascii="Arial" w:cs="Arial" w:eastAsia="Arial" w:hAnsi="Arial"/>
                <w:sz w:val="11"/>
                <w:szCs w:val="11"/>
                <w:b w:val="1"/>
                <w:bCs w:val="1"/>
                <w:color w:val="5D89B4"/>
              </w:rPr>
              <w:t>COMPENSATION</w:t>
            </w: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6"/>
              <w:spacing w:after="0" w:line="120" w:lineRule="exact"/>
              <w:rPr>
                <w:sz w:val="20"/>
                <w:szCs w:val="20"/>
                <w:color w:val="auto"/>
              </w:rPr>
            </w:pPr>
            <w:r>
              <w:rPr>
                <w:rFonts w:ascii="Arial" w:cs="Arial" w:eastAsia="Arial" w:hAnsi="Arial"/>
                <w:sz w:val="11"/>
                <w:szCs w:val="11"/>
                <w:b w:val="1"/>
                <w:bCs w:val="1"/>
                <w:color w:val="5D89B4"/>
              </w:rPr>
              <w:t>TABLE FOR</w:t>
            </w:r>
          </w:p>
        </w:tc>
        <w:tc>
          <w:tcPr>
            <w:tcW w:w="104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ACTUALLY PAID</w:t>
            </w:r>
          </w:p>
        </w:tc>
        <w:tc>
          <w:tcPr>
            <w:tcW w:w="34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56"/>
              <w:spacing w:after="0" w:line="120" w:lineRule="exact"/>
              <w:rPr>
                <w:sz w:val="20"/>
                <w:szCs w:val="20"/>
                <w:color w:val="auto"/>
              </w:rPr>
            </w:pPr>
            <w:r>
              <w:rPr>
                <w:rFonts w:ascii="Arial" w:cs="Arial" w:eastAsia="Arial" w:hAnsi="Arial"/>
                <w:sz w:val="11"/>
                <w:szCs w:val="11"/>
                <w:b w:val="1"/>
                <w:bCs w:val="1"/>
                <w:color w:val="5D89B4"/>
              </w:rPr>
              <w:t>TOTAL</w:t>
            </w:r>
          </w:p>
        </w:tc>
        <w:tc>
          <w:tcPr>
            <w:tcW w:w="26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TOTAL</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jc w:val="right"/>
              <w:ind w:right="53"/>
              <w:spacing w:after="0" w:line="120" w:lineRule="exact"/>
              <w:rPr>
                <w:sz w:val="20"/>
                <w:szCs w:val="20"/>
                <w:color w:val="auto"/>
              </w:rPr>
            </w:pPr>
            <w:r>
              <w:rPr>
                <w:rFonts w:ascii="Arial" w:cs="Arial" w:eastAsia="Arial" w:hAnsi="Arial"/>
                <w:sz w:val="11"/>
                <w:szCs w:val="11"/>
                <w:b w:val="1"/>
                <w:bCs w:val="1"/>
                <w:color w:val="5D89B4"/>
              </w:rPr>
              <w:t>NET</w:t>
            </w: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ADJUSTED</w:t>
            </w:r>
          </w:p>
        </w:tc>
      </w:tr>
      <w:tr>
        <w:trPr>
          <w:trHeight w:val="120"/>
        </w:trPr>
        <w:tc>
          <w:tcPr>
            <w:tcW w:w="2300" w:type="dxa"/>
            <w:vAlign w:val="bottom"/>
            <w:shd w:val="clear" w:color="auto" w:fill="EAEAEA"/>
          </w:tcPr>
          <w:p>
            <w:pPr>
              <w:spacing w:after="0"/>
              <w:rPr>
                <w:sz w:val="10"/>
                <w:szCs w:val="10"/>
                <w:color w:val="auto"/>
              </w:rPr>
            </w:pPr>
          </w:p>
        </w:tc>
        <w:tc>
          <w:tcPr>
            <w:tcW w:w="1180" w:type="dxa"/>
            <w:vAlign w:val="bottom"/>
            <w:shd w:val="clear" w:color="auto" w:fill="EAEAEA"/>
          </w:tcPr>
          <w:p>
            <w:pPr>
              <w:jc w:val="right"/>
              <w:ind w:right="56"/>
              <w:spacing w:after="0" w:line="120" w:lineRule="exact"/>
              <w:rPr>
                <w:sz w:val="20"/>
                <w:szCs w:val="20"/>
                <w:color w:val="auto"/>
              </w:rPr>
            </w:pPr>
            <w:r>
              <w:rPr>
                <w:rFonts w:ascii="Arial" w:cs="Arial" w:eastAsia="Arial" w:hAnsi="Arial"/>
                <w:sz w:val="11"/>
                <w:szCs w:val="11"/>
                <w:b w:val="1"/>
                <w:bCs w:val="1"/>
                <w:color w:val="5D89B4"/>
              </w:rPr>
              <w:t>TOTAL FOR</w:t>
            </w:r>
          </w:p>
        </w:tc>
        <w:tc>
          <w:tcPr>
            <w:tcW w:w="1140" w:type="dxa"/>
            <w:vAlign w:val="bottom"/>
            <w:gridSpan w:val="2"/>
            <w:shd w:val="clear" w:color="auto" w:fill="EAEAEA"/>
          </w:tcPr>
          <w:p>
            <w:pPr>
              <w:jc w:val="right"/>
              <w:ind w:right="69"/>
              <w:spacing w:after="0" w:line="120" w:lineRule="exact"/>
              <w:rPr>
                <w:sz w:val="20"/>
                <w:szCs w:val="20"/>
                <w:color w:val="auto"/>
              </w:rPr>
            </w:pPr>
            <w:r>
              <w:rPr>
                <w:rFonts w:ascii="Arial" w:cs="Arial" w:eastAsia="Arial" w:hAnsi="Arial"/>
                <w:sz w:val="11"/>
                <w:szCs w:val="11"/>
                <w:b w:val="1"/>
                <w:bCs w:val="1"/>
                <w:color w:val="5D89B4"/>
              </w:rPr>
              <w:t>ACTUALLY PAID</w:t>
            </w:r>
          </w:p>
        </w:tc>
        <w:tc>
          <w:tcPr>
            <w:tcW w:w="26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6"/>
              <w:spacing w:after="0" w:line="120" w:lineRule="exact"/>
              <w:rPr>
                <w:sz w:val="20"/>
                <w:szCs w:val="20"/>
                <w:color w:val="auto"/>
              </w:rPr>
            </w:pPr>
            <w:r>
              <w:rPr>
                <w:rFonts w:ascii="Arial" w:cs="Arial" w:eastAsia="Arial" w:hAnsi="Arial"/>
                <w:sz w:val="11"/>
                <w:szCs w:val="11"/>
                <w:b w:val="1"/>
                <w:bCs w:val="1"/>
                <w:color w:val="5D89B4"/>
              </w:rPr>
              <w:t>NON-CEO</w:t>
            </w: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w w:val="99"/>
              </w:rPr>
              <w:t>TO NON-CEO</w:t>
            </w:r>
          </w:p>
        </w:tc>
        <w:tc>
          <w:tcPr>
            <w:tcW w:w="34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56"/>
              <w:spacing w:after="0" w:line="120" w:lineRule="exact"/>
              <w:rPr>
                <w:sz w:val="20"/>
                <w:szCs w:val="20"/>
                <w:color w:val="auto"/>
              </w:rPr>
            </w:pPr>
            <w:r>
              <w:rPr>
                <w:rFonts w:ascii="Arial" w:cs="Arial" w:eastAsia="Arial" w:hAnsi="Arial"/>
                <w:sz w:val="11"/>
                <w:szCs w:val="11"/>
                <w:b w:val="1"/>
                <w:bCs w:val="1"/>
                <w:color w:val="5D89B4"/>
              </w:rPr>
              <w:t>SHAREHOLDER</w:t>
            </w:r>
          </w:p>
        </w:tc>
        <w:tc>
          <w:tcPr>
            <w:tcW w:w="1020" w:type="dxa"/>
            <w:vAlign w:val="bottom"/>
            <w:gridSpan w:val="2"/>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SHAREHOLDER</w:t>
            </w:r>
          </w:p>
        </w:tc>
        <w:tc>
          <w:tcPr>
            <w:tcW w:w="280" w:type="dxa"/>
            <w:vAlign w:val="bottom"/>
            <w:shd w:val="clear" w:color="auto" w:fill="EAEAEA"/>
          </w:tcPr>
          <w:p>
            <w:pPr>
              <w:spacing w:after="0"/>
              <w:rPr>
                <w:sz w:val="10"/>
                <w:szCs w:val="10"/>
                <w:color w:val="auto"/>
              </w:rPr>
            </w:pPr>
          </w:p>
        </w:tc>
        <w:tc>
          <w:tcPr>
            <w:tcW w:w="680" w:type="dxa"/>
            <w:vAlign w:val="bottom"/>
            <w:shd w:val="clear" w:color="auto" w:fill="EAEAEA"/>
          </w:tcPr>
          <w:p>
            <w:pPr>
              <w:jc w:val="right"/>
              <w:ind w:right="53"/>
              <w:spacing w:after="0" w:line="120" w:lineRule="exact"/>
              <w:rPr>
                <w:sz w:val="20"/>
                <w:szCs w:val="20"/>
                <w:color w:val="auto"/>
              </w:rPr>
            </w:pPr>
            <w:r>
              <w:rPr>
                <w:rFonts w:ascii="Arial" w:cs="Arial" w:eastAsia="Arial" w:hAnsi="Arial"/>
                <w:sz w:val="11"/>
                <w:szCs w:val="11"/>
                <w:b w:val="1"/>
                <w:bCs w:val="1"/>
                <w:color w:val="5D89B4"/>
                <w:w w:val="93"/>
              </w:rPr>
              <w:t>INCOME(4)</w:t>
            </w:r>
          </w:p>
        </w:tc>
        <w:tc>
          <w:tcPr>
            <w:tcW w:w="760" w:type="dxa"/>
            <w:vAlign w:val="bottom"/>
            <w:shd w:val="clear" w:color="auto" w:fill="EAEAEA"/>
          </w:tcPr>
          <w:p>
            <w:pPr>
              <w:jc w:val="right"/>
              <w:spacing w:after="0" w:line="120" w:lineRule="exact"/>
              <w:rPr>
                <w:sz w:val="20"/>
                <w:szCs w:val="20"/>
                <w:color w:val="auto"/>
              </w:rPr>
            </w:pPr>
            <w:r>
              <w:rPr>
                <w:rFonts w:ascii="Arial" w:cs="Arial" w:eastAsia="Arial" w:hAnsi="Arial"/>
                <w:sz w:val="11"/>
                <w:szCs w:val="11"/>
                <w:b w:val="1"/>
                <w:bCs w:val="1"/>
                <w:color w:val="5D89B4"/>
              </w:rPr>
              <w:t>EBITA</w:t>
            </w:r>
          </w:p>
        </w:tc>
      </w:tr>
      <w:tr>
        <w:trPr>
          <w:trHeight w:val="133"/>
        </w:trPr>
        <w:tc>
          <w:tcPr>
            <w:tcW w:w="2300" w:type="dxa"/>
            <w:vAlign w:val="bottom"/>
            <w:shd w:val="clear" w:color="auto" w:fill="EAEAEA"/>
          </w:tcPr>
          <w:p>
            <w:pPr>
              <w:spacing w:after="0"/>
              <w:rPr>
                <w:sz w:val="20"/>
                <w:szCs w:val="20"/>
                <w:color w:val="auto"/>
              </w:rPr>
            </w:pPr>
            <w:r>
              <w:rPr>
                <w:rFonts w:ascii="Arial" w:cs="Arial" w:eastAsia="Arial" w:hAnsi="Arial"/>
                <w:sz w:val="11"/>
                <w:szCs w:val="11"/>
                <w:b w:val="1"/>
                <w:bCs w:val="1"/>
                <w:color w:val="5D89B4"/>
              </w:rPr>
              <w:t>  YEAR</w:t>
            </w:r>
          </w:p>
        </w:tc>
        <w:tc>
          <w:tcPr>
            <w:tcW w:w="1180" w:type="dxa"/>
            <w:vAlign w:val="bottom"/>
            <w:shd w:val="clear" w:color="auto" w:fill="EAEAEA"/>
          </w:tcPr>
          <w:p>
            <w:pPr>
              <w:jc w:val="right"/>
              <w:ind w:right="56"/>
              <w:spacing w:after="0"/>
              <w:rPr>
                <w:sz w:val="20"/>
                <w:szCs w:val="20"/>
                <w:color w:val="auto"/>
              </w:rPr>
            </w:pPr>
            <w:r>
              <w:rPr>
                <w:rFonts w:ascii="Arial" w:cs="Arial" w:eastAsia="Arial" w:hAnsi="Arial"/>
                <w:sz w:val="11"/>
                <w:szCs w:val="11"/>
                <w:b w:val="1"/>
                <w:bCs w:val="1"/>
                <w:color w:val="5D89B4"/>
              </w:rPr>
              <w:t>CEO(1)</w:t>
            </w:r>
          </w:p>
        </w:tc>
        <w:tc>
          <w:tcPr>
            <w:tcW w:w="240" w:type="dxa"/>
            <w:vAlign w:val="bottom"/>
            <w:shd w:val="clear" w:color="auto" w:fill="EAEAEA"/>
          </w:tcPr>
          <w:p>
            <w:pPr>
              <w:spacing w:after="0"/>
              <w:rPr>
                <w:sz w:val="11"/>
                <w:szCs w:val="11"/>
                <w:color w:val="auto"/>
              </w:rPr>
            </w:pPr>
          </w:p>
        </w:tc>
        <w:tc>
          <w:tcPr>
            <w:tcW w:w="900" w:type="dxa"/>
            <w:vAlign w:val="bottom"/>
            <w:shd w:val="clear" w:color="auto" w:fill="EAEAEA"/>
          </w:tcPr>
          <w:p>
            <w:pPr>
              <w:jc w:val="right"/>
              <w:ind w:right="69"/>
              <w:spacing w:after="0"/>
              <w:rPr>
                <w:sz w:val="20"/>
                <w:szCs w:val="20"/>
                <w:color w:val="auto"/>
              </w:rPr>
            </w:pPr>
            <w:r>
              <w:rPr>
                <w:rFonts w:ascii="Arial" w:cs="Arial" w:eastAsia="Arial" w:hAnsi="Arial"/>
                <w:sz w:val="11"/>
                <w:szCs w:val="11"/>
                <w:b w:val="1"/>
                <w:bCs w:val="1"/>
                <w:color w:val="5D89B4"/>
              </w:rPr>
              <w:t>TO CEO(2)</w:t>
            </w:r>
          </w:p>
        </w:tc>
        <w:tc>
          <w:tcPr>
            <w:tcW w:w="26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76"/>
              <w:spacing w:after="0"/>
              <w:rPr>
                <w:sz w:val="20"/>
                <w:szCs w:val="20"/>
                <w:color w:val="auto"/>
              </w:rPr>
            </w:pPr>
            <w:r>
              <w:rPr>
                <w:rFonts w:ascii="Arial" w:cs="Arial" w:eastAsia="Arial" w:hAnsi="Arial"/>
                <w:sz w:val="11"/>
                <w:szCs w:val="11"/>
                <w:b w:val="1"/>
                <w:bCs w:val="1"/>
                <w:color w:val="5D89B4"/>
              </w:rPr>
              <w:t>NEOs(1)</w:t>
            </w:r>
          </w:p>
        </w:tc>
        <w:tc>
          <w:tcPr>
            <w:tcW w:w="260" w:type="dxa"/>
            <w:vAlign w:val="bottom"/>
            <w:shd w:val="clear" w:color="auto" w:fill="EAEAEA"/>
          </w:tcPr>
          <w:p>
            <w:pPr>
              <w:spacing w:after="0"/>
              <w:rPr>
                <w:sz w:val="11"/>
                <w:szCs w:val="11"/>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NEOs(2)</w:t>
            </w:r>
          </w:p>
        </w:tc>
        <w:tc>
          <w:tcPr>
            <w:tcW w:w="340" w:type="dxa"/>
            <w:vAlign w:val="bottom"/>
            <w:shd w:val="clear" w:color="auto" w:fill="EAEAEA"/>
          </w:tcPr>
          <w:p>
            <w:pPr>
              <w:spacing w:after="0"/>
              <w:rPr>
                <w:sz w:val="11"/>
                <w:szCs w:val="11"/>
                <w:color w:val="auto"/>
              </w:rPr>
            </w:pPr>
          </w:p>
        </w:tc>
        <w:tc>
          <w:tcPr>
            <w:tcW w:w="1020" w:type="dxa"/>
            <w:vAlign w:val="bottom"/>
            <w:shd w:val="clear" w:color="auto" w:fill="EAEAEA"/>
          </w:tcPr>
          <w:p>
            <w:pPr>
              <w:jc w:val="right"/>
              <w:ind w:right="56"/>
              <w:spacing w:after="0"/>
              <w:rPr>
                <w:sz w:val="20"/>
                <w:szCs w:val="20"/>
                <w:color w:val="auto"/>
              </w:rPr>
            </w:pPr>
            <w:r>
              <w:rPr>
                <w:rFonts w:ascii="Arial" w:cs="Arial" w:eastAsia="Arial" w:hAnsi="Arial"/>
                <w:sz w:val="11"/>
                <w:szCs w:val="11"/>
                <w:b w:val="1"/>
                <w:bCs w:val="1"/>
                <w:color w:val="5D89B4"/>
              </w:rPr>
              <w:t>RETURN</w:t>
            </w:r>
          </w:p>
        </w:tc>
        <w:tc>
          <w:tcPr>
            <w:tcW w:w="260" w:type="dxa"/>
            <w:vAlign w:val="bottom"/>
            <w:shd w:val="clear" w:color="auto" w:fill="EAEAEA"/>
          </w:tcPr>
          <w:p>
            <w:pPr>
              <w:spacing w:after="0"/>
              <w:rPr>
                <w:sz w:val="11"/>
                <w:szCs w:val="11"/>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RETURN(3)</w:t>
            </w:r>
          </w:p>
        </w:tc>
        <w:tc>
          <w:tcPr>
            <w:tcW w:w="280" w:type="dxa"/>
            <w:vAlign w:val="bottom"/>
            <w:shd w:val="clear" w:color="auto" w:fill="EAEAEA"/>
          </w:tcPr>
          <w:p>
            <w:pPr>
              <w:spacing w:after="0"/>
              <w:rPr>
                <w:sz w:val="11"/>
                <w:szCs w:val="11"/>
                <w:color w:val="auto"/>
              </w:rPr>
            </w:pPr>
          </w:p>
        </w:tc>
        <w:tc>
          <w:tcPr>
            <w:tcW w:w="680" w:type="dxa"/>
            <w:vAlign w:val="bottom"/>
            <w:shd w:val="clear" w:color="auto" w:fill="EAEAEA"/>
          </w:tcPr>
          <w:p>
            <w:pPr>
              <w:jc w:val="right"/>
              <w:ind w:right="53"/>
              <w:spacing w:after="0"/>
              <w:rPr>
                <w:sz w:val="20"/>
                <w:szCs w:val="20"/>
                <w:color w:val="auto"/>
              </w:rPr>
            </w:pPr>
            <w:r>
              <w:rPr>
                <w:rFonts w:ascii="Arial" w:cs="Arial" w:eastAsia="Arial" w:hAnsi="Arial"/>
                <w:sz w:val="11"/>
                <w:szCs w:val="11"/>
                <w:b w:val="1"/>
                <w:bCs w:val="1"/>
                <w:color w:val="5D89B4"/>
              </w:rPr>
              <w:t>($000)</w:t>
            </w:r>
          </w:p>
        </w:tc>
        <w:tc>
          <w:tcPr>
            <w:tcW w:w="7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MARGIN(5)</w:t>
            </w:r>
          </w:p>
        </w:tc>
      </w:tr>
      <w:tr>
        <w:trPr>
          <w:trHeight w:val="160"/>
        </w:trPr>
        <w:tc>
          <w:tcPr>
            <w:tcW w:w="2300" w:type="dxa"/>
            <w:vAlign w:val="bottom"/>
            <w:shd w:val="clear" w:color="auto" w:fill="EAEAEA"/>
          </w:tcPr>
          <w:p>
            <w:pPr>
              <w:spacing w:after="0"/>
              <w:rPr>
                <w:sz w:val="20"/>
                <w:szCs w:val="20"/>
                <w:color w:val="auto"/>
              </w:rPr>
            </w:pPr>
            <w:r>
              <w:rPr>
                <w:rFonts w:ascii="Arial" w:cs="Arial" w:eastAsia="Arial" w:hAnsi="Arial"/>
                <w:sz w:val="14"/>
                <w:szCs w:val="14"/>
                <w:b w:val="1"/>
                <w:bCs w:val="1"/>
                <w:color w:val="5D89B4"/>
              </w:rPr>
              <w:t>  (a)</w:t>
            </w:r>
          </w:p>
        </w:tc>
        <w:tc>
          <w:tcPr>
            <w:tcW w:w="1180" w:type="dxa"/>
            <w:vAlign w:val="bottom"/>
            <w:shd w:val="clear" w:color="auto" w:fill="EAEAEA"/>
          </w:tcPr>
          <w:p>
            <w:pPr>
              <w:jc w:val="right"/>
              <w:ind w:right="56"/>
              <w:spacing w:after="0"/>
              <w:rPr>
                <w:sz w:val="20"/>
                <w:szCs w:val="20"/>
                <w:color w:val="auto"/>
              </w:rPr>
            </w:pPr>
            <w:r>
              <w:rPr>
                <w:rFonts w:ascii="Arial" w:cs="Arial" w:eastAsia="Arial" w:hAnsi="Arial"/>
                <w:sz w:val="14"/>
                <w:szCs w:val="14"/>
                <w:b w:val="1"/>
                <w:bCs w:val="1"/>
                <w:color w:val="5D89B4"/>
              </w:rPr>
              <w:t>(b)</w:t>
            </w:r>
          </w:p>
        </w:tc>
        <w:tc>
          <w:tcPr>
            <w:tcW w:w="24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69"/>
              <w:spacing w:after="0"/>
              <w:rPr>
                <w:sz w:val="20"/>
                <w:szCs w:val="20"/>
                <w:color w:val="auto"/>
              </w:rPr>
            </w:pPr>
            <w:r>
              <w:rPr>
                <w:rFonts w:ascii="Arial" w:cs="Arial" w:eastAsia="Arial" w:hAnsi="Arial"/>
                <w:sz w:val="14"/>
                <w:szCs w:val="14"/>
                <w:b w:val="1"/>
                <w:bCs w:val="1"/>
                <w:color w:val="5D89B4"/>
              </w:rPr>
              <w:t>(c)</w:t>
            </w:r>
          </w:p>
        </w:tc>
        <w:tc>
          <w:tcPr>
            <w:tcW w:w="260" w:type="dxa"/>
            <w:vAlign w:val="bottom"/>
            <w:shd w:val="clear" w:color="auto" w:fill="EAEAEA"/>
          </w:tcPr>
          <w:p>
            <w:pPr>
              <w:spacing w:after="0"/>
              <w:rPr>
                <w:sz w:val="13"/>
                <w:szCs w:val="13"/>
                <w:color w:val="auto"/>
              </w:rPr>
            </w:pPr>
          </w:p>
        </w:tc>
        <w:tc>
          <w:tcPr>
            <w:tcW w:w="860" w:type="dxa"/>
            <w:vAlign w:val="bottom"/>
            <w:shd w:val="clear" w:color="auto" w:fill="EAEAEA"/>
          </w:tcPr>
          <w:p>
            <w:pPr>
              <w:jc w:val="right"/>
              <w:ind w:right="76"/>
              <w:spacing w:after="0"/>
              <w:rPr>
                <w:sz w:val="20"/>
                <w:szCs w:val="20"/>
                <w:color w:val="auto"/>
              </w:rPr>
            </w:pPr>
            <w:r>
              <w:rPr>
                <w:rFonts w:ascii="Arial" w:cs="Arial" w:eastAsia="Arial" w:hAnsi="Arial"/>
                <w:sz w:val="14"/>
                <w:szCs w:val="14"/>
                <w:b w:val="1"/>
                <w:bCs w:val="1"/>
                <w:color w:val="5D89B4"/>
              </w:rPr>
              <w:t>(d)</w:t>
            </w:r>
          </w:p>
        </w:tc>
        <w:tc>
          <w:tcPr>
            <w:tcW w:w="260" w:type="dxa"/>
            <w:vAlign w:val="bottom"/>
            <w:shd w:val="clear" w:color="auto" w:fill="EAEAEA"/>
          </w:tcPr>
          <w:p>
            <w:pPr>
              <w:spacing w:after="0"/>
              <w:rPr>
                <w:sz w:val="13"/>
                <w:szCs w:val="13"/>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(e)</w:t>
            </w:r>
          </w:p>
        </w:tc>
        <w:tc>
          <w:tcPr>
            <w:tcW w:w="340" w:type="dxa"/>
            <w:vAlign w:val="bottom"/>
            <w:shd w:val="clear" w:color="auto" w:fill="EAEAEA"/>
          </w:tcPr>
          <w:p>
            <w:pPr>
              <w:spacing w:after="0"/>
              <w:rPr>
                <w:sz w:val="13"/>
                <w:szCs w:val="13"/>
                <w:color w:val="auto"/>
              </w:rPr>
            </w:pPr>
          </w:p>
        </w:tc>
        <w:tc>
          <w:tcPr>
            <w:tcW w:w="1020" w:type="dxa"/>
            <w:vAlign w:val="bottom"/>
            <w:shd w:val="clear" w:color="auto" w:fill="EAEAEA"/>
          </w:tcPr>
          <w:p>
            <w:pPr>
              <w:jc w:val="right"/>
              <w:ind w:right="56"/>
              <w:spacing w:after="0"/>
              <w:rPr>
                <w:sz w:val="20"/>
                <w:szCs w:val="20"/>
                <w:color w:val="auto"/>
              </w:rPr>
            </w:pPr>
            <w:r>
              <w:rPr>
                <w:rFonts w:ascii="Arial" w:cs="Arial" w:eastAsia="Arial" w:hAnsi="Arial"/>
                <w:sz w:val="14"/>
                <w:szCs w:val="14"/>
                <w:b w:val="1"/>
                <w:bCs w:val="1"/>
                <w:color w:val="5D89B4"/>
              </w:rPr>
              <w:t>(f)</w:t>
            </w:r>
          </w:p>
        </w:tc>
        <w:tc>
          <w:tcPr>
            <w:tcW w:w="260" w:type="dxa"/>
            <w:vAlign w:val="bottom"/>
            <w:shd w:val="clear" w:color="auto" w:fill="EAEAEA"/>
          </w:tcPr>
          <w:p>
            <w:pPr>
              <w:spacing w:after="0"/>
              <w:rPr>
                <w:sz w:val="13"/>
                <w:szCs w:val="13"/>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(g)</w:t>
            </w:r>
          </w:p>
        </w:tc>
        <w:tc>
          <w:tcPr>
            <w:tcW w:w="280" w:type="dxa"/>
            <w:vAlign w:val="bottom"/>
            <w:shd w:val="clear" w:color="auto" w:fill="EAEAEA"/>
          </w:tcPr>
          <w:p>
            <w:pPr>
              <w:spacing w:after="0"/>
              <w:rPr>
                <w:sz w:val="13"/>
                <w:szCs w:val="13"/>
                <w:color w:val="auto"/>
              </w:rPr>
            </w:pPr>
          </w:p>
        </w:tc>
        <w:tc>
          <w:tcPr>
            <w:tcW w:w="680" w:type="dxa"/>
            <w:vAlign w:val="bottom"/>
            <w:shd w:val="clear" w:color="auto" w:fill="EAEAEA"/>
          </w:tcPr>
          <w:p>
            <w:pPr>
              <w:jc w:val="right"/>
              <w:ind w:right="53"/>
              <w:spacing w:after="0"/>
              <w:rPr>
                <w:sz w:val="20"/>
                <w:szCs w:val="20"/>
                <w:color w:val="auto"/>
              </w:rPr>
            </w:pPr>
            <w:r>
              <w:rPr>
                <w:rFonts w:ascii="Arial" w:cs="Arial" w:eastAsia="Arial" w:hAnsi="Arial"/>
                <w:sz w:val="14"/>
                <w:szCs w:val="14"/>
                <w:b w:val="1"/>
                <w:bCs w:val="1"/>
                <w:color w:val="5D89B4"/>
              </w:rPr>
              <w:t>(h)</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(i)</w:t>
            </w:r>
          </w:p>
        </w:tc>
      </w:tr>
      <w:tr>
        <w:trPr>
          <w:trHeight w:val="248"/>
        </w:trPr>
        <w:tc>
          <w:tcPr>
            <w:tcW w:w="2300" w:type="dxa"/>
            <w:vAlign w:val="bottom"/>
          </w:tcPr>
          <w:p>
            <w:pPr>
              <w:jc w:val="right"/>
              <w:ind w:right="1852"/>
              <w:spacing w:after="0"/>
              <w:rPr>
                <w:sz w:val="20"/>
                <w:szCs w:val="20"/>
                <w:color w:val="auto"/>
              </w:rPr>
            </w:pPr>
            <w:r>
              <w:rPr>
                <w:rFonts w:ascii="Arial" w:cs="Arial" w:eastAsia="Arial" w:hAnsi="Arial"/>
                <w:sz w:val="14"/>
                <w:szCs w:val="14"/>
                <w:color w:val="auto"/>
              </w:rPr>
              <w:t>2023</w:t>
            </w:r>
          </w:p>
        </w:tc>
        <w:tc>
          <w:tcPr>
            <w:tcW w:w="1180" w:type="dxa"/>
            <w:vAlign w:val="bottom"/>
          </w:tcPr>
          <w:p>
            <w:pPr>
              <w:jc w:val="right"/>
              <w:ind w:right="56"/>
              <w:spacing w:after="0"/>
              <w:rPr>
                <w:sz w:val="20"/>
                <w:szCs w:val="20"/>
                <w:color w:val="auto"/>
              </w:rPr>
            </w:pPr>
            <w:r>
              <w:rPr>
                <w:rFonts w:ascii="Arial" w:cs="Arial" w:eastAsia="Arial" w:hAnsi="Arial"/>
                <w:sz w:val="15"/>
                <w:szCs w:val="15"/>
                <w:color w:val="auto"/>
              </w:rPr>
              <w:t>$ 12,712,353</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9,520,807</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6"/>
              <w:spacing w:after="0"/>
              <w:rPr>
                <w:sz w:val="20"/>
                <w:szCs w:val="20"/>
                <w:color w:val="auto"/>
              </w:rPr>
            </w:pPr>
            <w:r>
              <w:rPr>
                <w:rFonts w:ascii="Arial" w:cs="Arial" w:eastAsia="Arial" w:hAnsi="Arial"/>
                <w:sz w:val="15"/>
                <w:szCs w:val="15"/>
                <w:color w:val="auto"/>
              </w:rPr>
              <w:t>2,688,677</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2,123,502</w:t>
            </w:r>
          </w:p>
        </w:tc>
        <w:tc>
          <w:tcPr>
            <w:tcW w:w="340" w:type="dxa"/>
            <w:vAlign w:val="bottom"/>
          </w:tcPr>
          <w:p>
            <w:pPr>
              <w:ind w:lef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56"/>
              <w:spacing w:after="0"/>
              <w:rPr>
                <w:sz w:val="20"/>
                <w:szCs w:val="20"/>
                <w:color w:val="auto"/>
              </w:rPr>
            </w:pPr>
            <w:r>
              <w:rPr>
                <w:rFonts w:ascii="Arial" w:cs="Arial" w:eastAsia="Arial" w:hAnsi="Arial"/>
                <w:sz w:val="15"/>
                <w:szCs w:val="15"/>
                <w:color w:val="auto"/>
              </w:rPr>
              <w:t>92.56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121.22</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53"/>
              <w:spacing w:after="0"/>
              <w:rPr>
                <w:sz w:val="20"/>
                <w:szCs w:val="20"/>
                <w:color w:val="auto"/>
              </w:rPr>
            </w:pPr>
            <w:r>
              <w:rPr>
                <w:rFonts w:ascii="Arial" w:cs="Arial" w:eastAsia="Arial" w:hAnsi="Arial"/>
                <w:sz w:val="15"/>
                <w:szCs w:val="15"/>
                <w:color w:val="auto"/>
              </w:rPr>
              <w:t>88,800</w:t>
            </w:r>
          </w:p>
        </w:tc>
        <w:tc>
          <w:tcPr>
            <w:tcW w:w="760" w:type="dxa"/>
            <w:vAlign w:val="bottom"/>
          </w:tcPr>
          <w:p>
            <w:pPr>
              <w:jc w:val="right"/>
              <w:spacing w:after="0"/>
              <w:rPr>
                <w:sz w:val="20"/>
                <w:szCs w:val="20"/>
                <w:color w:val="auto"/>
              </w:rPr>
            </w:pPr>
            <w:r>
              <w:rPr>
                <w:rFonts w:ascii="Arial" w:cs="Arial" w:eastAsia="Arial" w:hAnsi="Arial"/>
                <w:sz w:val="15"/>
                <w:szCs w:val="15"/>
                <w:color w:val="auto"/>
              </w:rPr>
              <w:t>2.62%</w:t>
            </w:r>
          </w:p>
        </w:tc>
      </w:tr>
      <w:tr>
        <w:trPr>
          <w:trHeight w:val="45"/>
        </w:trPr>
        <w:tc>
          <w:tcPr>
            <w:tcW w:w="230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240" w:type="dxa"/>
            <w:vAlign w:val="bottom"/>
            <w:tcBorders>
              <w:bottom w:val="single" w:sz="8" w:color="5D89B4"/>
            </w:tcBorders>
          </w:tcPr>
          <w:p>
            <w:pPr>
              <w:spacing w:after="0"/>
              <w:rPr>
                <w:sz w:val="3"/>
                <w:szCs w:val="3"/>
                <w:color w:val="auto"/>
              </w:rPr>
            </w:pPr>
          </w:p>
        </w:tc>
        <w:tc>
          <w:tcPr>
            <w:tcW w:w="90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2300" w:type="dxa"/>
            <w:vAlign w:val="bottom"/>
          </w:tcPr>
          <w:p>
            <w:pPr>
              <w:jc w:val="right"/>
              <w:ind w:right="1852"/>
              <w:spacing w:after="0"/>
              <w:rPr>
                <w:sz w:val="20"/>
                <w:szCs w:val="20"/>
                <w:color w:val="auto"/>
              </w:rPr>
            </w:pPr>
            <w:r>
              <w:rPr>
                <w:rFonts w:ascii="Arial" w:cs="Arial" w:eastAsia="Arial" w:hAnsi="Arial"/>
                <w:sz w:val="14"/>
                <w:szCs w:val="14"/>
                <w:color w:val="auto"/>
              </w:rPr>
              <w:t>2022</w:t>
            </w:r>
          </w:p>
        </w:tc>
        <w:tc>
          <w:tcPr>
            <w:tcW w:w="1180" w:type="dxa"/>
            <w:vAlign w:val="bottom"/>
          </w:tcPr>
          <w:p>
            <w:pPr>
              <w:jc w:val="right"/>
              <w:ind w:right="56"/>
              <w:spacing w:after="0"/>
              <w:rPr>
                <w:sz w:val="20"/>
                <w:szCs w:val="20"/>
                <w:color w:val="auto"/>
              </w:rPr>
            </w:pPr>
            <w:r>
              <w:rPr>
                <w:rFonts w:ascii="Arial" w:cs="Arial" w:eastAsia="Arial" w:hAnsi="Arial"/>
                <w:sz w:val="15"/>
                <w:szCs w:val="15"/>
                <w:color w:val="auto"/>
              </w:rPr>
              <w:t>$ 13,123,985</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3,873,368</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6"/>
              <w:spacing w:after="0"/>
              <w:rPr>
                <w:sz w:val="20"/>
                <w:szCs w:val="20"/>
                <w:color w:val="auto"/>
              </w:rPr>
            </w:pPr>
            <w:r>
              <w:rPr>
                <w:rFonts w:ascii="Arial" w:cs="Arial" w:eastAsia="Arial" w:hAnsi="Arial"/>
                <w:sz w:val="15"/>
                <w:szCs w:val="15"/>
                <w:color w:val="auto"/>
              </w:rPr>
              <w:t>4,202,631</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2,336,378</w:t>
            </w:r>
          </w:p>
        </w:tc>
        <w:tc>
          <w:tcPr>
            <w:tcW w:w="340" w:type="dxa"/>
            <w:vAlign w:val="bottom"/>
          </w:tcPr>
          <w:p>
            <w:pPr>
              <w:ind w:lef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56"/>
              <w:spacing w:after="0"/>
              <w:rPr>
                <w:sz w:val="20"/>
                <w:szCs w:val="20"/>
                <w:color w:val="auto"/>
              </w:rPr>
            </w:pPr>
            <w:r>
              <w:rPr>
                <w:rFonts w:ascii="Arial" w:cs="Arial" w:eastAsia="Arial" w:hAnsi="Arial"/>
                <w:sz w:val="15"/>
                <w:szCs w:val="15"/>
                <w:color w:val="auto"/>
              </w:rPr>
              <w:t>93.08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113.87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53"/>
              <w:spacing w:after="0"/>
              <w:rPr>
                <w:sz w:val="20"/>
                <w:szCs w:val="20"/>
                <w:color w:val="auto"/>
              </w:rPr>
            </w:pPr>
            <w:r>
              <w:rPr>
                <w:rFonts w:ascii="Arial" w:cs="Arial" w:eastAsia="Arial" w:hAnsi="Arial"/>
                <w:sz w:val="15"/>
                <w:szCs w:val="15"/>
                <w:color w:val="auto"/>
                <w:w w:val="99"/>
              </w:rPr>
              <w:t>373,800</w:t>
            </w:r>
          </w:p>
        </w:tc>
        <w:tc>
          <w:tcPr>
            <w:tcW w:w="760" w:type="dxa"/>
            <w:vAlign w:val="bottom"/>
          </w:tcPr>
          <w:p>
            <w:pPr>
              <w:jc w:val="right"/>
              <w:spacing w:after="0"/>
              <w:rPr>
                <w:sz w:val="20"/>
                <w:szCs w:val="20"/>
                <w:color w:val="auto"/>
              </w:rPr>
            </w:pPr>
            <w:r>
              <w:rPr>
                <w:rFonts w:ascii="Arial" w:cs="Arial" w:eastAsia="Arial" w:hAnsi="Arial"/>
                <w:sz w:val="15"/>
                <w:szCs w:val="15"/>
                <w:color w:val="auto"/>
              </w:rPr>
              <w:t>3.51%</w:t>
            </w:r>
          </w:p>
        </w:tc>
      </w:tr>
      <w:tr>
        <w:trPr>
          <w:trHeight w:val="45"/>
        </w:trPr>
        <w:tc>
          <w:tcPr>
            <w:tcW w:w="230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240" w:type="dxa"/>
            <w:vAlign w:val="bottom"/>
            <w:tcBorders>
              <w:bottom w:val="single" w:sz="8" w:color="5D89B4"/>
            </w:tcBorders>
          </w:tcPr>
          <w:p>
            <w:pPr>
              <w:spacing w:after="0"/>
              <w:rPr>
                <w:sz w:val="3"/>
                <w:szCs w:val="3"/>
                <w:color w:val="auto"/>
              </w:rPr>
            </w:pPr>
          </w:p>
        </w:tc>
        <w:tc>
          <w:tcPr>
            <w:tcW w:w="90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2300" w:type="dxa"/>
            <w:vAlign w:val="bottom"/>
          </w:tcPr>
          <w:p>
            <w:pPr>
              <w:jc w:val="right"/>
              <w:ind w:right="1852"/>
              <w:spacing w:after="0"/>
              <w:rPr>
                <w:sz w:val="20"/>
                <w:szCs w:val="20"/>
                <w:color w:val="auto"/>
              </w:rPr>
            </w:pPr>
            <w:r>
              <w:rPr>
                <w:rFonts w:ascii="Arial" w:cs="Arial" w:eastAsia="Arial" w:hAnsi="Arial"/>
                <w:sz w:val="14"/>
                <w:szCs w:val="14"/>
                <w:color w:val="auto"/>
              </w:rPr>
              <w:t>2021</w:t>
            </w:r>
          </w:p>
        </w:tc>
        <w:tc>
          <w:tcPr>
            <w:tcW w:w="1180" w:type="dxa"/>
            <w:vAlign w:val="bottom"/>
          </w:tcPr>
          <w:p>
            <w:pPr>
              <w:jc w:val="right"/>
              <w:ind w:right="56"/>
              <w:spacing w:after="0"/>
              <w:rPr>
                <w:sz w:val="20"/>
                <w:szCs w:val="20"/>
                <w:color w:val="auto"/>
              </w:rPr>
            </w:pPr>
            <w:r>
              <w:rPr>
                <w:rFonts w:ascii="Arial" w:cs="Arial" w:eastAsia="Arial" w:hAnsi="Arial"/>
                <w:sz w:val="15"/>
                <w:szCs w:val="15"/>
                <w:color w:val="auto"/>
              </w:rPr>
              <w:t>$ 18,787,835</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w w:val="98"/>
              </w:rPr>
              <w:t>30,986,274</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6"/>
              <w:spacing w:after="0"/>
              <w:rPr>
                <w:sz w:val="20"/>
                <w:szCs w:val="20"/>
                <w:color w:val="auto"/>
              </w:rPr>
            </w:pPr>
            <w:r>
              <w:rPr>
                <w:rFonts w:ascii="Arial" w:cs="Arial" w:eastAsia="Arial" w:hAnsi="Arial"/>
                <w:sz w:val="15"/>
                <w:szCs w:val="15"/>
                <w:color w:val="auto"/>
              </w:rPr>
              <w:t>3,902,692</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5,936,072</w:t>
            </w:r>
          </w:p>
        </w:tc>
        <w:tc>
          <w:tcPr>
            <w:tcW w:w="340" w:type="dxa"/>
            <w:vAlign w:val="bottom"/>
          </w:tcPr>
          <w:p>
            <w:pPr>
              <w:ind w:lef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56"/>
              <w:spacing w:after="0"/>
              <w:rPr>
                <w:sz w:val="20"/>
                <w:szCs w:val="20"/>
                <w:color w:val="auto"/>
              </w:rPr>
            </w:pPr>
            <w:r>
              <w:rPr>
                <w:rFonts w:ascii="Arial" w:cs="Arial" w:eastAsia="Arial" w:hAnsi="Arial"/>
                <w:sz w:val="15"/>
                <w:szCs w:val="15"/>
                <w:color w:val="auto"/>
              </w:rPr>
              <w:t>105.53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152.43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53"/>
              <w:spacing w:after="0"/>
              <w:rPr>
                <w:sz w:val="20"/>
                <w:szCs w:val="20"/>
                <w:color w:val="auto"/>
              </w:rPr>
            </w:pPr>
            <w:r>
              <w:rPr>
                <w:rFonts w:ascii="Arial" w:cs="Arial" w:eastAsia="Arial" w:hAnsi="Arial"/>
                <w:sz w:val="15"/>
                <w:szCs w:val="15"/>
                <w:color w:val="auto"/>
                <w:w w:val="99"/>
              </w:rPr>
              <w:t>382,400</w:t>
            </w:r>
          </w:p>
        </w:tc>
        <w:tc>
          <w:tcPr>
            <w:tcW w:w="760" w:type="dxa"/>
            <w:vAlign w:val="bottom"/>
          </w:tcPr>
          <w:p>
            <w:pPr>
              <w:jc w:val="right"/>
              <w:spacing w:after="0"/>
              <w:rPr>
                <w:sz w:val="20"/>
                <w:szCs w:val="20"/>
                <w:color w:val="auto"/>
              </w:rPr>
            </w:pPr>
            <w:r>
              <w:rPr>
                <w:rFonts w:ascii="Arial" w:cs="Arial" w:eastAsia="Arial" w:hAnsi="Arial"/>
                <w:sz w:val="15"/>
                <w:szCs w:val="15"/>
                <w:color w:val="auto"/>
              </w:rPr>
              <w:t>3.10%</w:t>
            </w:r>
          </w:p>
        </w:tc>
      </w:tr>
      <w:tr>
        <w:trPr>
          <w:trHeight w:val="45"/>
        </w:trPr>
        <w:tc>
          <w:tcPr>
            <w:tcW w:w="2300" w:type="dxa"/>
            <w:vAlign w:val="bottom"/>
            <w:tcBorders>
              <w:bottom w:val="single" w:sz="8" w:color="5D89B4"/>
            </w:tcBorders>
          </w:tcPr>
          <w:p>
            <w:pPr>
              <w:spacing w:after="0"/>
              <w:rPr>
                <w:sz w:val="3"/>
                <w:szCs w:val="3"/>
                <w:color w:val="auto"/>
              </w:rPr>
            </w:pPr>
          </w:p>
        </w:tc>
        <w:tc>
          <w:tcPr>
            <w:tcW w:w="1180" w:type="dxa"/>
            <w:vAlign w:val="bottom"/>
            <w:tcBorders>
              <w:bottom w:val="single" w:sz="8" w:color="5D89B4"/>
            </w:tcBorders>
          </w:tcPr>
          <w:p>
            <w:pPr>
              <w:spacing w:after="0"/>
              <w:rPr>
                <w:sz w:val="3"/>
                <w:szCs w:val="3"/>
                <w:color w:val="auto"/>
              </w:rPr>
            </w:pPr>
          </w:p>
        </w:tc>
        <w:tc>
          <w:tcPr>
            <w:tcW w:w="240" w:type="dxa"/>
            <w:vAlign w:val="bottom"/>
            <w:tcBorders>
              <w:bottom w:val="single" w:sz="8" w:color="5D89B4"/>
            </w:tcBorders>
          </w:tcPr>
          <w:p>
            <w:pPr>
              <w:spacing w:after="0"/>
              <w:rPr>
                <w:sz w:val="3"/>
                <w:szCs w:val="3"/>
                <w:color w:val="auto"/>
              </w:rPr>
            </w:pPr>
          </w:p>
        </w:tc>
        <w:tc>
          <w:tcPr>
            <w:tcW w:w="90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102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r>
      <w:tr>
        <w:trPr>
          <w:trHeight w:val="228"/>
        </w:trPr>
        <w:tc>
          <w:tcPr>
            <w:tcW w:w="2300" w:type="dxa"/>
            <w:vAlign w:val="bottom"/>
          </w:tcPr>
          <w:p>
            <w:pPr>
              <w:jc w:val="right"/>
              <w:ind w:right="1852"/>
              <w:spacing w:after="0"/>
              <w:rPr>
                <w:sz w:val="20"/>
                <w:szCs w:val="20"/>
                <w:color w:val="auto"/>
              </w:rPr>
            </w:pPr>
            <w:r>
              <w:rPr>
                <w:rFonts w:ascii="Arial" w:cs="Arial" w:eastAsia="Arial" w:hAnsi="Arial"/>
                <w:sz w:val="14"/>
                <w:szCs w:val="14"/>
                <w:color w:val="auto"/>
              </w:rPr>
              <w:t>2020</w:t>
            </w:r>
          </w:p>
        </w:tc>
        <w:tc>
          <w:tcPr>
            <w:tcW w:w="1180" w:type="dxa"/>
            <w:vAlign w:val="bottom"/>
          </w:tcPr>
          <w:p>
            <w:pPr>
              <w:jc w:val="right"/>
              <w:ind w:right="56"/>
              <w:spacing w:after="0"/>
              <w:rPr>
                <w:sz w:val="20"/>
                <w:szCs w:val="20"/>
                <w:color w:val="auto"/>
              </w:rPr>
            </w:pPr>
            <w:r>
              <w:rPr>
                <w:rFonts w:ascii="Arial" w:cs="Arial" w:eastAsia="Arial" w:hAnsi="Arial"/>
                <w:sz w:val="15"/>
                <w:szCs w:val="15"/>
                <w:color w:val="auto"/>
              </w:rPr>
              <w:t>$ 11,903,571</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6,028,110</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6"/>
              <w:spacing w:after="0"/>
              <w:rPr>
                <w:sz w:val="20"/>
                <w:szCs w:val="20"/>
                <w:color w:val="auto"/>
              </w:rPr>
            </w:pPr>
            <w:r>
              <w:rPr>
                <w:rFonts w:ascii="Arial" w:cs="Arial" w:eastAsia="Arial" w:hAnsi="Arial"/>
                <w:sz w:val="15"/>
                <w:szCs w:val="15"/>
                <w:color w:val="auto"/>
              </w:rPr>
              <w:t>2,400,468</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1,512,063</w:t>
            </w:r>
          </w:p>
        </w:tc>
        <w:tc>
          <w:tcPr>
            <w:tcW w:w="340" w:type="dxa"/>
            <w:vAlign w:val="bottom"/>
          </w:tcPr>
          <w:p>
            <w:pPr>
              <w:ind w:lef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56"/>
              <w:spacing w:after="0"/>
              <w:rPr>
                <w:sz w:val="20"/>
                <w:szCs w:val="20"/>
                <w:color w:val="auto"/>
              </w:rPr>
            </w:pPr>
            <w:r>
              <w:rPr>
                <w:rFonts w:ascii="Arial" w:cs="Arial" w:eastAsia="Arial" w:hAnsi="Arial"/>
                <w:sz w:val="15"/>
                <w:szCs w:val="15"/>
                <w:color w:val="auto"/>
              </w:rPr>
              <w:t>95.47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100.85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53"/>
              <w:spacing w:after="0"/>
              <w:rPr>
                <w:sz w:val="20"/>
                <w:szCs w:val="20"/>
                <w:color w:val="auto"/>
              </w:rPr>
            </w:pPr>
            <w:r>
              <w:rPr>
                <w:rFonts w:ascii="Arial" w:cs="Arial" w:eastAsia="Arial" w:hAnsi="Arial"/>
                <w:sz w:val="15"/>
                <w:szCs w:val="15"/>
                <w:color w:val="auto"/>
              </w:rPr>
              <w:t>23,800</w:t>
            </w:r>
          </w:p>
        </w:tc>
        <w:tc>
          <w:tcPr>
            <w:tcW w:w="760" w:type="dxa"/>
            <w:vAlign w:val="bottom"/>
          </w:tcPr>
          <w:p>
            <w:pPr>
              <w:jc w:val="right"/>
              <w:spacing w:after="0"/>
              <w:rPr>
                <w:sz w:val="20"/>
                <w:szCs w:val="20"/>
                <w:color w:val="auto"/>
              </w:rPr>
            </w:pPr>
            <w:r>
              <w:rPr>
                <w:rFonts w:ascii="Arial" w:cs="Arial" w:eastAsia="Arial" w:hAnsi="Arial"/>
                <w:sz w:val="15"/>
                <w:szCs w:val="15"/>
                <w:color w:val="auto"/>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28575</wp:posOffset>
            </wp:positionV>
            <wp:extent cx="69138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101" w:lineRule="exact"/>
        <w:rPr>
          <w:sz w:val="20"/>
          <w:szCs w:val="20"/>
          <w:color w:val="auto"/>
        </w:rPr>
      </w:pPr>
    </w:p>
    <w:p>
      <w:pPr>
        <w:ind w:left="600" w:right="720" w:hanging="420"/>
        <w:spacing w:after="0" w:line="259" w:lineRule="auto"/>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Compensation for our CEO, Jonas Prising, reflects the amounts reported in the “Summary Compensation Table” for the respective years. Average compensation for non-CEOs includes the following NEOs: John McGinnis, Michelle Nettles, and Richard Buchband.</w:t>
      </w:r>
    </w:p>
    <w:p>
      <w:pPr>
        <w:spacing w:after="0" w:line="28" w:lineRule="exact"/>
        <w:rPr>
          <w:rFonts w:ascii="Arial" w:cs="Arial" w:eastAsia="Arial" w:hAnsi="Arial"/>
          <w:sz w:val="15"/>
          <w:szCs w:val="15"/>
          <w:color w:val="auto"/>
        </w:rPr>
      </w:pPr>
    </w:p>
    <w:p>
      <w:pPr>
        <w:ind w:left="600" w:right="60" w:hanging="420"/>
        <w:spacing w:after="0" w:line="231" w:lineRule="auto"/>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Compensation “actually paid” for the CEO and average compensation “actually paid” for our non-CEOs in each of 2023, 2022, 2021 and 2020 reflects the respective amounts set forth in columns (b) and (d) of the table above, adjusted as set forth in the tables below, as determined in accordance with SEC rules. The dollar amounts reflected in columns (b) and (d) of the table above do not reflect the actual amount of compensation earned by or paid to the CEO and our other NEOs during the applicable year. For information regarding the decisions made by our People, Culture and Compensation Committee in regard to the CEO’s and our other NEOs’ compensation for fiscal year 2023, see the “Compensation Discussion and Analysis” section of this Proxy Statement.</w:t>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CEO SCT Total to CAP Reconciliation:</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480" w:type="dxa"/>
            <w:vAlign w:val="bottom"/>
            <w:shd w:val="clear" w:color="auto" w:fill="EAEAEA"/>
          </w:tcPr>
          <w:p>
            <w:pPr>
              <w:spacing w:after="0"/>
              <w:rPr>
                <w:sz w:val="20"/>
                <w:szCs w:val="20"/>
                <w:color w:val="auto"/>
              </w:rPr>
            </w:pPr>
            <w:r>
              <w:rPr>
                <w:rFonts w:ascii="Arial" w:cs="Arial" w:eastAsia="Arial" w:hAnsi="Arial"/>
                <w:sz w:val="14"/>
                <w:szCs w:val="14"/>
                <w:b w:val="1"/>
                <w:bCs w:val="1"/>
                <w:color w:val="5D89B4"/>
              </w:rPr>
              <w:t>   CEO: Mr. Prising</w:t>
            </w:r>
          </w:p>
        </w:tc>
        <w:tc>
          <w:tcPr>
            <w:tcW w:w="340" w:type="dxa"/>
            <w:vAlign w:val="bottom"/>
            <w:shd w:val="clear" w:color="auto" w:fill="EAEAEA"/>
          </w:tcPr>
          <w:p>
            <w:pPr>
              <w:spacing w:after="0"/>
              <w:rPr>
                <w:sz w:val="14"/>
                <w:szCs w:val="14"/>
                <w:color w:val="auto"/>
              </w:rPr>
            </w:pPr>
          </w:p>
        </w:tc>
        <w:tc>
          <w:tcPr>
            <w:tcW w:w="260" w:type="dxa"/>
            <w:vAlign w:val="bottom"/>
            <w:shd w:val="clear" w:color="auto" w:fill="EAEAEA"/>
          </w:tcPr>
          <w:p>
            <w:pPr>
              <w:spacing w:after="0"/>
              <w:rPr>
                <w:sz w:val="14"/>
                <w:szCs w:val="14"/>
                <w:color w:val="auto"/>
              </w:rPr>
            </w:pPr>
          </w:p>
        </w:tc>
        <w:tc>
          <w:tcPr>
            <w:tcW w:w="96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2023</w:t>
            </w:r>
          </w:p>
        </w:tc>
        <w:tc>
          <w:tcPr>
            <w:tcW w:w="180" w:type="dxa"/>
            <w:vAlign w:val="bottom"/>
            <w:shd w:val="clear" w:color="auto" w:fill="EAEAEA"/>
          </w:tcPr>
          <w:p>
            <w:pPr>
              <w:spacing w:after="0"/>
              <w:rPr>
                <w:sz w:val="14"/>
                <w:szCs w:val="14"/>
                <w:color w:val="auto"/>
              </w:rPr>
            </w:pPr>
          </w:p>
        </w:tc>
        <w:tc>
          <w:tcPr>
            <w:tcW w:w="94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2022</w:t>
            </w:r>
          </w:p>
        </w:tc>
        <w:tc>
          <w:tcPr>
            <w:tcW w:w="200" w:type="dxa"/>
            <w:vAlign w:val="bottom"/>
            <w:shd w:val="clear" w:color="auto" w:fill="EAEAEA"/>
          </w:tcPr>
          <w:p>
            <w:pPr>
              <w:spacing w:after="0"/>
              <w:rPr>
                <w:sz w:val="14"/>
                <w:szCs w:val="14"/>
                <w:color w:val="auto"/>
              </w:rPr>
            </w:pPr>
          </w:p>
        </w:tc>
        <w:tc>
          <w:tcPr>
            <w:tcW w:w="96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2021</w:t>
            </w:r>
          </w:p>
        </w:tc>
        <w:tc>
          <w:tcPr>
            <w:tcW w:w="200" w:type="dxa"/>
            <w:vAlign w:val="bottom"/>
            <w:shd w:val="clear" w:color="auto" w:fill="EAEAEA"/>
          </w:tcPr>
          <w:p>
            <w:pPr>
              <w:spacing w:after="0"/>
              <w:rPr>
                <w:sz w:val="14"/>
                <w:szCs w:val="14"/>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2020</w:t>
            </w:r>
          </w:p>
        </w:tc>
        <w:tc>
          <w:tcPr>
            <w:tcW w:w="0" w:type="dxa"/>
            <w:vAlign w:val="bottom"/>
          </w:tcPr>
          <w:p>
            <w:pPr>
              <w:spacing w:after="0"/>
              <w:rPr>
                <w:sz w:val="1"/>
                <w:szCs w:val="1"/>
                <w:color w:val="auto"/>
              </w:rPr>
            </w:pPr>
          </w:p>
        </w:tc>
      </w:tr>
      <w:tr>
        <w:trPr>
          <w:trHeight w:val="248"/>
        </w:trPr>
        <w:tc>
          <w:tcPr>
            <w:tcW w:w="400" w:type="dxa"/>
            <w:vAlign w:val="bottom"/>
          </w:tcPr>
          <w:p>
            <w:pPr>
              <w:spacing w:after="0"/>
              <w:rPr>
                <w:sz w:val="21"/>
                <w:szCs w:val="21"/>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Total Compensation as reported in SCT</w:t>
            </w:r>
          </w:p>
        </w:tc>
        <w:tc>
          <w:tcPr>
            <w:tcW w:w="3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12,712,353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13,123,985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18,787,835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11,903,571</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5820" w:type="dxa"/>
            <w:vAlign w:val="bottom"/>
            <w:tcBorders>
              <w:bottom w:val="single" w:sz="8" w:color="5D89B4"/>
            </w:tcBorders>
            <w:gridSpan w:val="2"/>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Arial" w:cs="Arial" w:eastAsia="Arial" w:hAnsi="Arial"/>
                <w:sz w:val="14"/>
                <w:szCs w:val="14"/>
                <w:color w:val="auto"/>
              </w:rPr>
              <w:t>Subtract grant date fair value of equity awards granted during fiscal year reported in SCT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(10,400,015)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(10,000,045)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(14,000,045)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(10,000,012)</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548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Add fair value of equity compensation granted in current year – value at year-end</w:t>
            </w: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8,021,263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7,316,198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25,650,278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9,176,116</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548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Add dividends accrued on unvested shares/share units</w:t>
            </w:r>
          </w:p>
        </w:tc>
        <w:tc>
          <w:tcPr>
            <w:tcW w:w="3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950,508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356,656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164,080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131,390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5820" w:type="dxa"/>
            <w:vAlign w:val="bottom"/>
            <w:tcBorders>
              <w:bottom w:val="single" w:sz="8" w:color="5D89B4"/>
            </w:tcBorders>
            <w:gridSpan w:val="2"/>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5820" w:type="dxa"/>
            <w:vAlign w:val="bottom"/>
            <w:gridSpan w:val="2"/>
          </w:tcPr>
          <w:p>
            <w:pPr>
              <w:ind w:left="100"/>
              <w:spacing w:after="0"/>
              <w:rPr>
                <w:sz w:val="20"/>
                <w:szCs w:val="20"/>
                <w:color w:val="auto"/>
              </w:rPr>
            </w:pPr>
            <w:r>
              <w:rPr>
                <w:rFonts w:ascii="Arial" w:cs="Arial" w:eastAsia="Arial" w:hAnsi="Arial"/>
                <w:sz w:val="14"/>
                <w:szCs w:val="14"/>
                <w:color w:val="auto"/>
              </w:rPr>
              <w:t>Add/subtract change in fair value from end of prior fiscal year to end of current fiscal year</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(2,546,612)</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(4,469,463)</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212,830</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(3,943,945)</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for awards made in prior fiscal years that were unvested at end of current fiscal year</w:t>
            </w:r>
          </w:p>
        </w:tc>
        <w:tc>
          <w:tcPr>
            <w:tcW w:w="3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5820" w:type="dxa"/>
            <w:vAlign w:val="bottom"/>
            <w:tcBorders>
              <w:bottom w:val="single" w:sz="8" w:color="5D89B4"/>
            </w:tcBorders>
            <w:gridSpan w:val="2"/>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5820" w:type="dxa"/>
            <w:vAlign w:val="bottom"/>
            <w:gridSpan w:val="2"/>
          </w:tcPr>
          <w:p>
            <w:pPr>
              <w:ind w:left="100"/>
              <w:spacing w:after="0"/>
              <w:rPr>
                <w:sz w:val="20"/>
                <w:szCs w:val="20"/>
                <w:color w:val="auto"/>
              </w:rPr>
            </w:pPr>
            <w:r>
              <w:rPr>
                <w:rFonts w:ascii="Arial" w:cs="Arial" w:eastAsia="Arial" w:hAnsi="Arial"/>
                <w:sz w:val="14"/>
                <w:szCs w:val="14"/>
                <w:color w:val="auto"/>
              </w:rPr>
              <w:t>Add/subtract change in fair value from end of prior fiscal year to vesting date for awards</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783,310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ind w:right="45"/>
              <w:spacing w:after="0"/>
              <w:rPr>
                <w:sz w:val="20"/>
                <w:szCs w:val="20"/>
                <w:color w:val="auto"/>
              </w:rPr>
            </w:pPr>
            <w:r>
              <w:rPr>
                <w:rFonts w:ascii="Arial" w:cs="Arial" w:eastAsia="Arial" w:hAnsi="Arial"/>
                <w:sz w:val="15"/>
                <w:szCs w:val="15"/>
                <w:color w:val="auto"/>
              </w:rPr>
              <w:t>1,955,816</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171,296</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(621,509)</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made in prior fiscal years that vested during current fiscal year</w:t>
            </w:r>
          </w:p>
        </w:tc>
        <w:tc>
          <w:tcPr>
            <w:tcW w:w="3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5820" w:type="dxa"/>
            <w:vAlign w:val="bottom"/>
            <w:tcBorders>
              <w:bottom w:val="single" w:sz="8" w:color="5D89B4"/>
            </w:tcBorders>
            <w:gridSpan w:val="2"/>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5820" w:type="dxa"/>
            <w:vAlign w:val="bottom"/>
            <w:gridSpan w:val="2"/>
          </w:tcPr>
          <w:p>
            <w:pPr>
              <w:ind w:left="100"/>
              <w:spacing w:after="0"/>
              <w:rPr>
                <w:sz w:val="20"/>
                <w:szCs w:val="20"/>
                <w:color w:val="auto"/>
              </w:rPr>
            </w:pPr>
            <w:r>
              <w:rPr>
                <w:rFonts w:ascii="Arial" w:cs="Arial" w:eastAsia="Arial" w:hAnsi="Arial"/>
                <w:sz w:val="14"/>
                <w:szCs w:val="14"/>
                <w:color w:val="auto"/>
              </w:rPr>
              <w:t>Subtract fair value of forfeited awards determined at end of prior year for awards made in</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(4,409,779)</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(617,501)</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5480" w:type="dxa"/>
            <w:vAlign w:val="bottom"/>
          </w:tcPr>
          <w:p>
            <w:pPr>
              <w:ind w:left="100"/>
              <w:spacing w:after="0"/>
              <w:rPr>
                <w:sz w:val="20"/>
                <w:szCs w:val="20"/>
                <w:color w:val="auto"/>
              </w:rPr>
            </w:pPr>
            <w:r>
              <w:rPr>
                <w:rFonts w:ascii="Arial" w:cs="Arial" w:eastAsia="Arial" w:hAnsi="Arial"/>
                <w:sz w:val="14"/>
                <w:szCs w:val="14"/>
                <w:color w:val="auto"/>
              </w:rPr>
              <w:t>prior fiscal years that were forfeited during current fiscal year</w:t>
            </w:r>
          </w:p>
        </w:tc>
        <w:tc>
          <w:tcPr>
            <w:tcW w:w="3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5480" w:type="dxa"/>
            <w:vAlign w:val="bottom"/>
            <w:tcBorders>
              <w:bottom w:val="single" w:sz="8" w:color="5D89B4"/>
            </w:tcBorders>
          </w:tcPr>
          <w:p>
            <w:pPr>
              <w:spacing w:after="0"/>
              <w:rPr>
                <w:sz w:val="3"/>
                <w:szCs w:val="3"/>
                <w:color w:val="auto"/>
              </w:rPr>
            </w:pPr>
          </w:p>
        </w:tc>
        <w:tc>
          <w:tcPr>
            <w:tcW w:w="340" w:type="dxa"/>
            <w:vAlign w:val="bottom"/>
            <w:tcBorders>
              <w:bottom w:val="single" w:sz="8" w:color="5D89B4"/>
            </w:tcBorders>
          </w:tcPr>
          <w:p>
            <w:pPr>
              <w:spacing w:after="0"/>
              <w:rPr>
                <w:sz w:val="3"/>
                <w:szCs w:val="3"/>
                <w:color w:val="auto"/>
              </w:rPr>
            </w:pPr>
          </w:p>
        </w:tc>
        <w:tc>
          <w:tcPr>
            <w:tcW w:w="26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9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Arial" w:cs="Arial" w:eastAsia="Arial" w:hAnsi="Arial"/>
                <w:sz w:val="14"/>
                <w:szCs w:val="14"/>
                <w:b w:val="1"/>
                <w:bCs w:val="1"/>
                <w:color w:val="5D89B4"/>
              </w:rPr>
              <w:t>Compensation Actually Paid to CEO</w:t>
            </w:r>
          </w:p>
        </w:tc>
        <w:tc>
          <w:tcPr>
            <w:tcW w:w="3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9,520,807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3,873,368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30,986,274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6,028,110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5480" w:type="dxa"/>
            <w:vAlign w:val="bottom"/>
            <w:tcBorders>
              <w:bottom w:val="single" w:sz="8" w:color="5D89B4"/>
            </w:tcBorders>
          </w:tcPr>
          <w:p>
            <w:pPr>
              <w:spacing w:after="0"/>
              <w:rPr>
                <w:sz w:val="3"/>
                <w:szCs w:val="3"/>
                <w:color w:val="auto"/>
              </w:rPr>
            </w:pPr>
          </w:p>
        </w:tc>
        <w:tc>
          <w:tcPr>
            <w:tcW w:w="2680" w:type="dxa"/>
            <w:vAlign w:val="bottom"/>
            <w:tcBorders>
              <w:bottom w:val="single" w:sz="8" w:color="5D89B4"/>
            </w:tcBorders>
            <w:gridSpan w:val="5"/>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880" w:type="dxa"/>
            <w:vAlign w:val="bottom"/>
            <w:tcBorders>
              <w:bottom w:val="single" w:sz="8" w:color="5D89B4"/>
            </w:tcBorders>
            <w:gridSpan w:val="2"/>
          </w:tcPr>
          <w:p>
            <w:pPr>
              <w:spacing w:after="0"/>
              <w:rPr>
                <w:sz w:val="14"/>
                <w:szCs w:val="14"/>
                <w:color w:val="auto"/>
              </w:rPr>
            </w:pPr>
          </w:p>
        </w:tc>
        <w:tc>
          <w:tcPr>
            <w:tcW w:w="2680" w:type="dxa"/>
            <w:vAlign w:val="bottom"/>
            <w:tcBorders>
              <w:bottom w:val="single" w:sz="8" w:color="5D89B4"/>
            </w:tcBorders>
            <w:gridSpan w:val="5"/>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960" w:type="dxa"/>
            <w:vAlign w:val="bottom"/>
            <w:tcBorders>
              <w:bottom w:val="single" w:sz="8" w:color="5D89B4"/>
            </w:tcBorders>
          </w:tcPr>
          <w:p>
            <w:pPr>
              <w:spacing w:after="0"/>
              <w:rPr>
                <w:sz w:val="14"/>
                <w:szCs w:val="14"/>
                <w:color w:val="auto"/>
              </w:rPr>
            </w:pPr>
          </w:p>
        </w:tc>
        <w:tc>
          <w:tcPr>
            <w:tcW w:w="200" w:type="dxa"/>
            <w:vAlign w:val="bottom"/>
            <w:tcBorders>
              <w:bottom w:val="single" w:sz="8" w:color="5D89B4"/>
            </w:tcBorders>
          </w:tcPr>
          <w:p>
            <w:pPr>
              <w:spacing w:after="0"/>
              <w:rPr>
                <w:sz w:val="14"/>
                <w:szCs w:val="14"/>
                <w:color w:val="auto"/>
              </w:rPr>
            </w:pPr>
          </w:p>
        </w:tc>
        <w:tc>
          <w:tcPr>
            <w:tcW w:w="96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5880" w:type="dxa"/>
            <w:vAlign w:val="bottom"/>
            <w:gridSpan w:val="2"/>
          </w:tcPr>
          <w:p>
            <w:pPr>
              <w:jc w:val="right"/>
              <w:ind w:right="249"/>
              <w:spacing w:after="0"/>
              <w:rPr>
                <w:sz w:val="20"/>
                <w:szCs w:val="20"/>
                <w:color w:val="auto"/>
              </w:rPr>
            </w:pPr>
            <w:r>
              <w:rPr>
                <w:rFonts w:ascii="Arial" w:cs="Arial" w:eastAsia="Arial" w:hAnsi="Arial"/>
                <w:sz w:val="20"/>
                <w:szCs w:val="20"/>
                <w:b w:val="1"/>
                <w:bCs w:val="1"/>
                <w:color w:val="5D89B4"/>
              </w:rPr>
              <w:t>71</w:t>
            </w:r>
          </w:p>
        </w:tc>
        <w:tc>
          <w:tcPr>
            <w:tcW w:w="2680" w:type="dxa"/>
            <w:vAlign w:val="bottom"/>
            <w:gridSpan w:val="5"/>
          </w:tcPr>
          <w:p>
            <w:pPr>
              <w:jc w:val="right"/>
              <w:ind w:right="825"/>
              <w:spacing w:after="0"/>
              <w:rPr>
                <w:sz w:val="20"/>
                <w:szCs w:val="20"/>
                <w:color w:val="auto"/>
              </w:rPr>
            </w:pPr>
            <w:r>
              <w:rPr>
                <w:rFonts w:ascii="Arial" w:cs="Arial" w:eastAsia="Arial" w:hAnsi="Arial"/>
                <w:sz w:val="16"/>
                <w:szCs w:val="16"/>
                <w:b w:val="1"/>
                <w:bCs w:val="1"/>
                <w:color w:val="BFBFBF"/>
              </w:rPr>
              <w:t>2024 Proxy Statement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-155575</wp:posOffset>
            </wp:positionV>
            <wp:extent cx="932180" cy="169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PAY VERSUS PERFORMANCE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Average Non-CEO SCT Total to CAP Reconciliation:</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80" w:type="dxa"/>
            <w:vAlign w:val="bottom"/>
            <w:shd w:val="clear" w:color="auto" w:fill="EAEAEA"/>
          </w:tcPr>
          <w:p>
            <w:pPr>
              <w:spacing w:after="0"/>
              <w:rPr>
                <w:sz w:val="20"/>
                <w:szCs w:val="20"/>
                <w:color w:val="auto"/>
              </w:rPr>
            </w:pPr>
            <w:r>
              <w:rPr>
                <w:rFonts w:ascii="Arial" w:cs="Arial" w:eastAsia="Arial" w:hAnsi="Arial"/>
                <w:sz w:val="14"/>
                <w:szCs w:val="14"/>
                <w:b w:val="1"/>
                <w:bCs w:val="1"/>
                <w:color w:val="5D89B4"/>
              </w:rPr>
              <w:t>   Non-CEO NEOs (Average)</w:t>
            </w:r>
          </w:p>
        </w:tc>
        <w:tc>
          <w:tcPr>
            <w:tcW w:w="200" w:type="dxa"/>
            <w:vAlign w:val="bottom"/>
            <w:shd w:val="clear" w:color="auto" w:fill="EAEAEA"/>
          </w:tcPr>
          <w:p>
            <w:pPr>
              <w:spacing w:after="0"/>
              <w:rPr>
                <w:sz w:val="14"/>
                <w:szCs w:val="14"/>
                <w:color w:val="auto"/>
              </w:rPr>
            </w:pPr>
          </w:p>
        </w:tc>
        <w:tc>
          <w:tcPr>
            <w:tcW w:w="88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2023</w:t>
            </w:r>
          </w:p>
        </w:tc>
        <w:tc>
          <w:tcPr>
            <w:tcW w:w="180" w:type="dxa"/>
            <w:vAlign w:val="bottom"/>
            <w:shd w:val="clear" w:color="auto" w:fill="EAEAEA"/>
          </w:tcPr>
          <w:p>
            <w:pPr>
              <w:spacing w:after="0"/>
              <w:rPr>
                <w:sz w:val="14"/>
                <w:szCs w:val="14"/>
                <w:color w:val="auto"/>
              </w:rPr>
            </w:pPr>
          </w:p>
        </w:tc>
        <w:tc>
          <w:tcPr>
            <w:tcW w:w="86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2022</w:t>
            </w:r>
          </w:p>
        </w:tc>
        <w:tc>
          <w:tcPr>
            <w:tcW w:w="180" w:type="dxa"/>
            <w:vAlign w:val="bottom"/>
            <w:shd w:val="clear" w:color="auto" w:fill="EAEAEA"/>
          </w:tcPr>
          <w:p>
            <w:pPr>
              <w:spacing w:after="0"/>
              <w:rPr>
                <w:sz w:val="14"/>
                <w:szCs w:val="14"/>
                <w:color w:val="auto"/>
              </w:rPr>
            </w:pPr>
          </w:p>
        </w:tc>
        <w:tc>
          <w:tcPr>
            <w:tcW w:w="860" w:type="dxa"/>
            <w:vAlign w:val="bottom"/>
            <w:shd w:val="clear" w:color="auto" w:fill="EAEAEA"/>
          </w:tcPr>
          <w:p>
            <w:pPr>
              <w:jc w:val="right"/>
              <w:ind w:right="25"/>
              <w:spacing w:after="0"/>
              <w:rPr>
                <w:sz w:val="20"/>
                <w:szCs w:val="20"/>
                <w:color w:val="auto"/>
              </w:rPr>
            </w:pPr>
            <w:r>
              <w:rPr>
                <w:rFonts w:ascii="Arial" w:cs="Arial" w:eastAsia="Arial" w:hAnsi="Arial"/>
                <w:sz w:val="14"/>
                <w:szCs w:val="14"/>
                <w:b w:val="1"/>
                <w:bCs w:val="1"/>
                <w:color w:val="5D89B4"/>
              </w:rPr>
              <w:t>2021</w:t>
            </w:r>
          </w:p>
        </w:tc>
        <w:tc>
          <w:tcPr>
            <w:tcW w:w="180" w:type="dxa"/>
            <w:vAlign w:val="bottom"/>
            <w:shd w:val="clear" w:color="auto" w:fill="EAEAEA"/>
          </w:tcPr>
          <w:p>
            <w:pPr>
              <w:spacing w:after="0"/>
              <w:rPr>
                <w:sz w:val="14"/>
                <w:szCs w:val="14"/>
                <w:color w:val="auto"/>
              </w:rPr>
            </w:pPr>
          </w:p>
        </w:tc>
        <w:tc>
          <w:tcPr>
            <w:tcW w:w="860" w:type="dxa"/>
            <w:vAlign w:val="bottom"/>
            <w:shd w:val="clear" w:color="auto" w:fill="EAEAEA"/>
          </w:tcPr>
          <w:p>
            <w:pPr>
              <w:jc w:val="right"/>
              <w:ind w:right="5"/>
              <w:spacing w:after="0"/>
              <w:rPr>
                <w:sz w:val="20"/>
                <w:szCs w:val="20"/>
                <w:color w:val="auto"/>
              </w:rPr>
            </w:pPr>
            <w:r>
              <w:rPr>
                <w:rFonts w:ascii="Arial" w:cs="Arial" w:eastAsia="Arial" w:hAnsi="Arial"/>
                <w:sz w:val="14"/>
                <w:szCs w:val="14"/>
                <w:b w:val="1"/>
                <w:bCs w:val="1"/>
                <w:color w:val="5D89B4"/>
              </w:rPr>
              <w:t>2020</w:t>
            </w:r>
          </w:p>
        </w:tc>
        <w:tc>
          <w:tcPr>
            <w:tcW w:w="0" w:type="dxa"/>
            <w:vAlign w:val="bottom"/>
          </w:tcPr>
          <w:p>
            <w:pPr>
              <w:spacing w:after="0"/>
              <w:rPr>
                <w:sz w:val="1"/>
                <w:szCs w:val="1"/>
                <w:color w:val="auto"/>
              </w:rPr>
            </w:pPr>
          </w:p>
        </w:tc>
      </w:tr>
      <w:tr>
        <w:trPr>
          <w:trHeight w:val="248"/>
        </w:trPr>
        <w:tc>
          <w:tcPr>
            <w:tcW w:w="6280" w:type="dxa"/>
            <w:vAlign w:val="bottom"/>
          </w:tcPr>
          <w:p>
            <w:pPr>
              <w:ind w:left="120"/>
              <w:spacing w:after="0"/>
              <w:rPr>
                <w:sz w:val="20"/>
                <w:szCs w:val="20"/>
                <w:color w:val="auto"/>
              </w:rPr>
            </w:pPr>
            <w:r>
              <w:rPr>
                <w:rFonts w:ascii="Arial" w:cs="Arial" w:eastAsia="Arial" w:hAnsi="Arial"/>
                <w:sz w:val="14"/>
                <w:szCs w:val="14"/>
                <w:color w:val="auto"/>
              </w:rPr>
              <w:t>Total Compensation as reported in SCT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2,688,677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4,202,631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3,902,692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2,400,468</w:t>
            </w:r>
          </w:p>
        </w:tc>
        <w:tc>
          <w:tcPr>
            <w:tcW w:w="0" w:type="dxa"/>
            <w:vAlign w:val="bottom"/>
          </w:tcPr>
          <w:p>
            <w:pPr>
              <w:spacing w:after="0"/>
              <w:rPr>
                <w:sz w:val="1"/>
                <w:szCs w:val="1"/>
                <w:color w:val="auto"/>
              </w:rPr>
            </w:pPr>
          </w:p>
        </w:tc>
      </w:tr>
      <w:tr>
        <w:trPr>
          <w:trHeight w:val="45"/>
        </w:trPr>
        <w:tc>
          <w:tcPr>
            <w:tcW w:w="628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280" w:type="dxa"/>
            <w:vAlign w:val="bottom"/>
          </w:tcPr>
          <w:p>
            <w:pPr>
              <w:ind w:left="120"/>
              <w:spacing w:after="0"/>
              <w:rPr>
                <w:sz w:val="20"/>
                <w:szCs w:val="20"/>
                <w:color w:val="auto"/>
              </w:rPr>
            </w:pPr>
            <w:r>
              <w:rPr>
                <w:rFonts w:ascii="Arial" w:cs="Arial" w:eastAsia="Arial" w:hAnsi="Arial"/>
                <w:sz w:val="14"/>
                <w:szCs w:val="14"/>
                <w:color w:val="auto"/>
              </w:rPr>
              <w:t>Subtract grant date fair value of equity awards granted during fiscal year reported in SCT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(1,750,006)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(3,000,006)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(2,240,139)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(1,600,079)</w:t>
            </w:r>
          </w:p>
        </w:tc>
        <w:tc>
          <w:tcPr>
            <w:tcW w:w="0" w:type="dxa"/>
            <w:vAlign w:val="bottom"/>
          </w:tcPr>
          <w:p>
            <w:pPr>
              <w:spacing w:after="0"/>
              <w:rPr>
                <w:sz w:val="1"/>
                <w:szCs w:val="1"/>
                <w:color w:val="auto"/>
              </w:rPr>
            </w:pPr>
          </w:p>
        </w:tc>
      </w:tr>
      <w:tr>
        <w:trPr>
          <w:trHeight w:val="45"/>
        </w:trPr>
        <w:tc>
          <w:tcPr>
            <w:tcW w:w="628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280" w:type="dxa"/>
            <w:vAlign w:val="bottom"/>
          </w:tcPr>
          <w:p>
            <w:pPr>
              <w:ind w:left="120"/>
              <w:spacing w:after="0"/>
              <w:rPr>
                <w:sz w:val="20"/>
                <w:szCs w:val="20"/>
                <w:color w:val="auto"/>
              </w:rPr>
            </w:pPr>
            <w:r>
              <w:rPr>
                <w:rFonts w:ascii="Arial" w:cs="Arial" w:eastAsia="Arial" w:hAnsi="Arial"/>
                <w:sz w:val="14"/>
                <w:szCs w:val="14"/>
                <w:color w:val="auto"/>
              </w:rPr>
              <w:t>Add fair value of equity compensation granted in current year – value at year-end</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1,349,736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2,229,006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4,104,263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1,468,252</w:t>
            </w:r>
          </w:p>
        </w:tc>
        <w:tc>
          <w:tcPr>
            <w:tcW w:w="0" w:type="dxa"/>
            <w:vAlign w:val="bottom"/>
          </w:tcPr>
          <w:p>
            <w:pPr>
              <w:spacing w:after="0"/>
              <w:rPr>
                <w:sz w:val="1"/>
                <w:szCs w:val="1"/>
                <w:color w:val="auto"/>
              </w:rPr>
            </w:pPr>
          </w:p>
        </w:tc>
      </w:tr>
      <w:tr>
        <w:trPr>
          <w:trHeight w:val="45"/>
        </w:trPr>
        <w:tc>
          <w:tcPr>
            <w:tcW w:w="628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280" w:type="dxa"/>
            <w:vAlign w:val="bottom"/>
          </w:tcPr>
          <w:p>
            <w:pPr>
              <w:ind w:left="120"/>
              <w:spacing w:after="0"/>
              <w:rPr>
                <w:sz w:val="20"/>
                <w:szCs w:val="20"/>
                <w:color w:val="auto"/>
              </w:rPr>
            </w:pPr>
            <w:r>
              <w:rPr>
                <w:rFonts w:ascii="Arial" w:cs="Arial" w:eastAsia="Arial" w:hAnsi="Arial"/>
                <w:sz w:val="14"/>
                <w:szCs w:val="14"/>
                <w:color w:val="auto"/>
              </w:rPr>
              <w:t>Add dividends accrued on unvested shares/share units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191,332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96,802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32,353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37,362</w:t>
            </w:r>
          </w:p>
        </w:tc>
        <w:tc>
          <w:tcPr>
            <w:tcW w:w="0" w:type="dxa"/>
            <w:vAlign w:val="bottom"/>
          </w:tcPr>
          <w:p>
            <w:pPr>
              <w:spacing w:after="0"/>
              <w:rPr>
                <w:sz w:val="1"/>
                <w:szCs w:val="1"/>
                <w:color w:val="auto"/>
              </w:rPr>
            </w:pPr>
          </w:p>
        </w:tc>
      </w:tr>
      <w:tr>
        <w:trPr>
          <w:trHeight w:val="45"/>
        </w:trPr>
        <w:tc>
          <w:tcPr>
            <w:tcW w:w="628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120"/>
              <w:spacing w:after="0"/>
              <w:rPr>
                <w:sz w:val="20"/>
                <w:szCs w:val="20"/>
                <w:color w:val="auto"/>
              </w:rPr>
            </w:pPr>
            <w:r>
              <w:rPr>
                <w:rFonts w:ascii="Arial" w:cs="Arial" w:eastAsia="Arial" w:hAnsi="Arial"/>
                <w:sz w:val="14"/>
                <w:szCs w:val="14"/>
                <w:color w:val="auto"/>
              </w:rPr>
              <w:t>Add/subtract change in fair value from end of prior fiscal year to end of current fiscal year for</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5"/>
              <w:spacing w:after="0"/>
              <w:rPr>
                <w:sz w:val="20"/>
                <w:szCs w:val="20"/>
                <w:color w:val="auto"/>
              </w:rPr>
            </w:pPr>
            <w:r>
              <w:rPr>
                <w:rFonts w:ascii="Arial" w:cs="Arial" w:eastAsia="Arial" w:hAnsi="Arial"/>
                <w:sz w:val="15"/>
                <w:szCs w:val="15"/>
                <w:color w:val="auto"/>
              </w:rPr>
              <w:t>(471,350)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(728,235)</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5"/>
              <w:spacing w:after="0"/>
              <w:rPr>
                <w:sz w:val="20"/>
                <w:szCs w:val="20"/>
                <w:color w:val="auto"/>
              </w:rPr>
            </w:pPr>
            <w:r>
              <w:rPr>
                <w:rFonts w:ascii="Arial" w:cs="Arial" w:eastAsia="Arial" w:hAnsi="Arial"/>
                <w:sz w:val="15"/>
                <w:szCs w:val="15"/>
                <w:color w:val="auto"/>
              </w:rPr>
              <w:t>48,243</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(614,567)</w:t>
            </w:r>
          </w:p>
        </w:tc>
        <w:tc>
          <w:tcPr>
            <w:tcW w:w="0" w:type="dxa"/>
            <w:vAlign w:val="bottom"/>
          </w:tcPr>
          <w:p>
            <w:pPr>
              <w:spacing w:after="0"/>
              <w:rPr>
                <w:sz w:val="1"/>
                <w:szCs w:val="1"/>
                <w:color w:val="auto"/>
              </w:rPr>
            </w:pPr>
          </w:p>
        </w:tc>
      </w:tr>
      <w:tr>
        <w:trPr>
          <w:trHeight w:val="191"/>
        </w:trPr>
        <w:tc>
          <w:tcPr>
            <w:tcW w:w="6280" w:type="dxa"/>
            <w:vAlign w:val="bottom"/>
          </w:tcPr>
          <w:p>
            <w:pPr>
              <w:ind w:left="120"/>
              <w:spacing w:after="0"/>
              <w:rPr>
                <w:sz w:val="20"/>
                <w:szCs w:val="20"/>
                <w:color w:val="auto"/>
              </w:rPr>
            </w:pPr>
            <w:r>
              <w:rPr>
                <w:rFonts w:ascii="Arial" w:cs="Arial" w:eastAsia="Arial" w:hAnsi="Arial"/>
                <w:sz w:val="14"/>
                <w:szCs w:val="14"/>
                <w:color w:val="auto"/>
              </w:rPr>
              <w:t>awards made in prior fiscal years that were unvested at end of current fiscal year</w:t>
            </w: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28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120"/>
              <w:spacing w:after="0"/>
              <w:rPr>
                <w:sz w:val="20"/>
                <w:szCs w:val="20"/>
                <w:color w:val="auto"/>
              </w:rPr>
            </w:pPr>
            <w:r>
              <w:rPr>
                <w:rFonts w:ascii="Arial" w:cs="Arial" w:eastAsia="Arial" w:hAnsi="Arial"/>
                <w:sz w:val="14"/>
                <w:szCs w:val="14"/>
                <w:color w:val="auto"/>
              </w:rPr>
              <w:t>Add/subtract change in fair value from end of prior fiscal year to vesting date for awards made in</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5"/>
              <w:spacing w:after="0"/>
              <w:rPr>
                <w:sz w:val="20"/>
                <w:szCs w:val="20"/>
                <w:color w:val="auto"/>
              </w:rPr>
            </w:pPr>
            <w:r>
              <w:rPr>
                <w:rFonts w:ascii="Arial" w:cs="Arial" w:eastAsia="Arial" w:hAnsi="Arial"/>
                <w:sz w:val="15"/>
                <w:szCs w:val="15"/>
                <w:color w:val="auto"/>
              </w:rPr>
              <w:t>115,113</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45"/>
              <w:spacing w:after="0"/>
              <w:rPr>
                <w:sz w:val="20"/>
                <w:szCs w:val="20"/>
                <w:color w:val="auto"/>
              </w:rPr>
            </w:pPr>
            <w:r>
              <w:rPr>
                <w:rFonts w:ascii="Arial" w:cs="Arial" w:eastAsia="Arial" w:hAnsi="Arial"/>
                <w:sz w:val="15"/>
                <w:szCs w:val="15"/>
                <w:color w:val="auto"/>
              </w:rPr>
              <w:t>241,767</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5"/>
              <w:spacing w:after="0"/>
              <w:rPr>
                <w:sz w:val="20"/>
                <w:szCs w:val="20"/>
                <w:color w:val="auto"/>
              </w:rPr>
            </w:pPr>
            <w:r>
              <w:rPr>
                <w:rFonts w:ascii="Arial" w:cs="Arial" w:eastAsia="Arial" w:hAnsi="Arial"/>
                <w:sz w:val="15"/>
                <w:szCs w:val="15"/>
                <w:color w:val="auto"/>
              </w:rPr>
              <w:t>88,660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(104,606)</w:t>
            </w:r>
          </w:p>
        </w:tc>
        <w:tc>
          <w:tcPr>
            <w:tcW w:w="0" w:type="dxa"/>
            <w:vAlign w:val="bottom"/>
          </w:tcPr>
          <w:p>
            <w:pPr>
              <w:spacing w:after="0"/>
              <w:rPr>
                <w:sz w:val="1"/>
                <w:szCs w:val="1"/>
                <w:color w:val="auto"/>
              </w:rPr>
            </w:pPr>
          </w:p>
        </w:tc>
      </w:tr>
      <w:tr>
        <w:trPr>
          <w:trHeight w:val="191"/>
        </w:trPr>
        <w:tc>
          <w:tcPr>
            <w:tcW w:w="6280" w:type="dxa"/>
            <w:vAlign w:val="bottom"/>
          </w:tcPr>
          <w:p>
            <w:pPr>
              <w:ind w:left="120"/>
              <w:spacing w:after="0"/>
              <w:rPr>
                <w:sz w:val="20"/>
                <w:szCs w:val="20"/>
                <w:color w:val="auto"/>
              </w:rPr>
            </w:pPr>
            <w:r>
              <w:rPr>
                <w:rFonts w:ascii="Arial" w:cs="Arial" w:eastAsia="Arial" w:hAnsi="Arial"/>
                <w:sz w:val="14"/>
                <w:szCs w:val="14"/>
                <w:color w:val="auto"/>
              </w:rPr>
              <w:t>prior fiscal years that vested during current fiscal year</w:t>
            </w: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28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120"/>
              <w:spacing w:after="0"/>
              <w:rPr>
                <w:sz w:val="20"/>
                <w:szCs w:val="20"/>
                <w:color w:val="auto"/>
              </w:rPr>
            </w:pPr>
            <w:r>
              <w:rPr>
                <w:rFonts w:ascii="Arial" w:cs="Arial" w:eastAsia="Arial" w:hAnsi="Arial"/>
                <w:sz w:val="14"/>
                <w:szCs w:val="14"/>
                <w:color w:val="auto"/>
              </w:rPr>
              <w:t>Subtract fair value of forfeited awards determined at end of prior year for awards made in prior</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(705,587)</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(74,767)</w:t>
            </w:r>
          </w:p>
        </w:tc>
        <w:tc>
          <w:tcPr>
            <w:tcW w:w="0" w:type="dxa"/>
            <w:vAlign w:val="bottom"/>
          </w:tcPr>
          <w:p>
            <w:pPr>
              <w:spacing w:after="0"/>
              <w:rPr>
                <w:sz w:val="1"/>
                <w:szCs w:val="1"/>
                <w:color w:val="auto"/>
              </w:rPr>
            </w:pPr>
          </w:p>
        </w:tc>
      </w:tr>
      <w:tr>
        <w:trPr>
          <w:trHeight w:val="191"/>
        </w:trPr>
        <w:tc>
          <w:tcPr>
            <w:tcW w:w="6280" w:type="dxa"/>
            <w:vAlign w:val="bottom"/>
          </w:tcPr>
          <w:p>
            <w:pPr>
              <w:ind w:left="120"/>
              <w:spacing w:after="0"/>
              <w:rPr>
                <w:sz w:val="20"/>
                <w:szCs w:val="20"/>
                <w:color w:val="auto"/>
              </w:rPr>
            </w:pPr>
            <w:r>
              <w:rPr>
                <w:rFonts w:ascii="Arial" w:cs="Arial" w:eastAsia="Arial" w:hAnsi="Arial"/>
                <w:sz w:val="14"/>
                <w:szCs w:val="14"/>
                <w:color w:val="auto"/>
              </w:rPr>
              <w:t>fiscal years that were forfeited during current fiscal year</w:t>
            </w: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28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180" w:type="dxa"/>
            <w:vAlign w:val="bottom"/>
            <w:tcBorders>
              <w:bottom w:val="single" w:sz="8" w:color="5D89B4"/>
            </w:tcBorders>
          </w:tcPr>
          <w:p>
            <w:pPr>
              <w:spacing w:after="0"/>
              <w:rPr>
                <w:sz w:val="3"/>
                <w:szCs w:val="3"/>
                <w:color w:val="auto"/>
              </w:rPr>
            </w:pPr>
          </w:p>
        </w:tc>
        <w:tc>
          <w:tcPr>
            <w:tcW w:w="86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280" w:type="dxa"/>
            <w:vAlign w:val="bottom"/>
          </w:tcPr>
          <w:p>
            <w:pPr>
              <w:ind w:left="120"/>
              <w:spacing w:after="0"/>
              <w:rPr>
                <w:sz w:val="20"/>
                <w:szCs w:val="20"/>
                <w:color w:val="auto"/>
              </w:rPr>
            </w:pPr>
            <w:r>
              <w:rPr>
                <w:rFonts w:ascii="Arial" w:cs="Arial" w:eastAsia="Arial" w:hAnsi="Arial"/>
                <w:sz w:val="14"/>
                <w:szCs w:val="14"/>
                <w:b w:val="1"/>
                <w:bCs w:val="1"/>
                <w:color w:val="5D89B4"/>
              </w:rPr>
              <w:t>Compensation Actually Paid to Non-CEO NEOs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2,123,502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2,336,378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5,936,072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1,512,063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26035</wp:posOffset>
            </wp:positionV>
            <wp:extent cx="665924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659245" cy="8255"/>
                    </a:xfrm>
                    <a:prstGeom prst="rect">
                      <a:avLst/>
                    </a:prstGeom>
                    <a:noFill/>
                  </pic:spPr>
                </pic:pic>
              </a:graphicData>
            </a:graphic>
          </wp:anchor>
        </w:drawing>
      </w:r>
    </w:p>
    <w:p>
      <w:pPr>
        <w:spacing w:after="0" w:line="97" w:lineRule="exact"/>
        <w:rPr>
          <w:sz w:val="20"/>
          <w:szCs w:val="20"/>
          <w:color w:val="auto"/>
        </w:rPr>
      </w:pPr>
    </w:p>
    <w:p>
      <w:pPr>
        <w:ind w:left="600" w:right="300" w:hanging="420"/>
        <w:spacing w:after="0" w:line="236" w:lineRule="auto"/>
        <w:tabs>
          <w:tab w:leader="none" w:pos="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TSR is cumulative (assuming $100 was invested on December 31, 2019) for the measurement periods beginning on December 31, 2019 and ending on December 31 of each of 2023, 2022, 2021 and 2020, respectively, calculated in accordance with Item 201(e) of Regulation S-K. The peer group for purposes of this table is the same as for the Shareholder Return Performance Presentation of the Company’s Annual Reports on Form 10-K for the year ended December 31, 2023. Historic stock price performance is not necessarily indicative of future stock performance.</w:t>
      </w:r>
    </w:p>
    <w:p>
      <w:pPr>
        <w:spacing w:after="0" w:line="42" w:lineRule="exact"/>
        <w:rPr>
          <w:rFonts w:ascii="Arial" w:cs="Arial" w:eastAsia="Arial" w:hAnsi="Arial"/>
          <w:sz w:val="15"/>
          <w:szCs w:val="15"/>
          <w:color w:val="auto"/>
        </w:rPr>
      </w:pPr>
    </w:p>
    <w:p>
      <w:pPr>
        <w:ind w:left="600" w:right="60" w:hanging="420"/>
        <w:spacing w:after="0" w:line="259" w:lineRule="auto"/>
        <w:tabs>
          <w:tab w:leader="none" w:pos="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Reflects “Net Income” in the Company’s Consolidated Statements of Income included in the Company’s Annual Reports on Form 10-K for each of the years ended December 31, 2023, 2022, 2021 and 2020.</w:t>
      </w:r>
    </w:p>
    <w:p>
      <w:pPr>
        <w:spacing w:after="0" w:line="28" w:lineRule="exact"/>
        <w:rPr>
          <w:rFonts w:ascii="Arial" w:cs="Arial" w:eastAsia="Arial" w:hAnsi="Arial"/>
          <w:sz w:val="15"/>
          <w:szCs w:val="15"/>
          <w:color w:val="auto"/>
        </w:rPr>
      </w:pPr>
    </w:p>
    <w:p>
      <w:pPr>
        <w:ind w:left="600" w:right="20" w:hanging="420"/>
        <w:spacing w:after="0" w:line="236" w:lineRule="auto"/>
        <w:tabs>
          <w:tab w:leader="none" w:pos="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Adjusted EBITA Margin is the financial measure from the tabular list of Company Performance Metrics below which in the Company’s assessment represents the most important financial measure used by the Company to link compensation and performance. Adjusted EBITA Margin as used in this Proxy Statement is a non-GAAP financial measure. Refer to page 48 for further discussion on this measure, including a reconciliation of Adjusted EBITA Margin to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88900</wp:posOffset>
            </wp:positionV>
            <wp:extent cx="69138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PAY VERSUS PERFORMANCE</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5D89B4"/>
        </w:rPr>
        <w:t>Most Important Financial Performance Measures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unranked list below represents ManpowerGroup’s most important measures used to link compensation to performance:</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306"/>
        </w:trPr>
        <w:tc>
          <w:tcPr>
            <w:tcW w:w="3140" w:type="dxa"/>
            <w:vAlign w:val="bottom"/>
            <w:shd w:val="clear" w:color="auto" w:fill="EAEAEA"/>
          </w:tcPr>
          <w:p>
            <w:pPr>
              <w:spacing w:after="0"/>
              <w:rPr>
                <w:sz w:val="24"/>
                <w:szCs w:val="24"/>
                <w:color w:val="auto"/>
              </w:rPr>
            </w:pPr>
          </w:p>
        </w:tc>
        <w:tc>
          <w:tcPr>
            <w:tcW w:w="7740" w:type="dxa"/>
            <w:vAlign w:val="bottom"/>
            <w:shd w:val="clear" w:color="auto" w:fill="EAEAEA"/>
          </w:tcPr>
          <w:p>
            <w:pPr>
              <w:ind w:left="880"/>
              <w:spacing w:after="0"/>
              <w:rPr>
                <w:sz w:val="20"/>
                <w:szCs w:val="20"/>
                <w:color w:val="auto"/>
              </w:rPr>
            </w:pPr>
            <w:r>
              <w:rPr>
                <w:rFonts w:ascii="Arial" w:cs="Arial" w:eastAsia="Arial" w:hAnsi="Arial"/>
                <w:sz w:val="18"/>
                <w:szCs w:val="18"/>
                <w:b w:val="1"/>
                <w:bCs w:val="1"/>
                <w:color w:val="5D89B4"/>
              </w:rPr>
              <w:t>Company Performance Metrics(1)</w:t>
            </w:r>
          </w:p>
        </w:tc>
      </w:tr>
      <w:tr>
        <w:trPr>
          <w:trHeight w:val="147"/>
        </w:trPr>
        <w:tc>
          <w:tcPr>
            <w:tcW w:w="3140" w:type="dxa"/>
            <w:vAlign w:val="bottom"/>
            <w:shd w:val="clear" w:color="auto" w:fill="EAEAEA"/>
          </w:tcPr>
          <w:p>
            <w:pPr>
              <w:spacing w:after="0"/>
              <w:rPr>
                <w:sz w:val="12"/>
                <w:szCs w:val="12"/>
                <w:color w:val="auto"/>
              </w:rPr>
            </w:pPr>
          </w:p>
        </w:tc>
        <w:tc>
          <w:tcPr>
            <w:tcW w:w="7740" w:type="dxa"/>
            <w:vAlign w:val="bottom"/>
            <w:shd w:val="clear" w:color="auto" w:fill="EAEAEA"/>
          </w:tcPr>
          <w:p>
            <w:pPr>
              <w:spacing w:after="0"/>
              <w:rPr>
                <w:sz w:val="12"/>
                <w:szCs w:val="12"/>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Adjusted EBITA Margin</w:t>
            </w:r>
          </w:p>
        </w:tc>
        <w:tc>
          <w:tcPr>
            <w:tcW w:w="7740" w:type="dxa"/>
            <w:vAlign w:val="bottom"/>
          </w:tcPr>
          <w:p>
            <w:pPr>
              <w:ind w:left="242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Return on Invested Capital</w:t>
            </w:r>
          </w:p>
        </w:tc>
      </w:tr>
      <w:tr>
        <w:trPr>
          <w:trHeight w:val="20"/>
        </w:trPr>
        <w:tc>
          <w:tcPr>
            <w:tcW w:w="3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07"/>
        </w:trPr>
        <w:tc>
          <w:tcPr>
            <w:tcW w:w="3140" w:type="dxa"/>
            <w:vAlign w:val="bottom"/>
            <w:tcBorders>
              <w:bottom w:val="single" w:sz="8" w:color="EAEAEA"/>
            </w:tcBorders>
            <w:shd w:val="clear" w:color="auto" w:fill="EAEAEA"/>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Adjusted EPS</w:t>
            </w:r>
          </w:p>
        </w:tc>
        <w:tc>
          <w:tcPr>
            <w:tcW w:w="7740" w:type="dxa"/>
            <w:vAlign w:val="bottom"/>
            <w:tcBorders>
              <w:bottom w:val="single" w:sz="8" w:color="EAEAEA"/>
            </w:tcBorders>
            <w:shd w:val="clear" w:color="auto" w:fill="EAEAEA"/>
          </w:tcPr>
          <w:p>
            <w:pPr>
              <w:ind w:left="2420"/>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Revenue</w:t>
            </w:r>
          </w:p>
        </w:tc>
      </w:tr>
      <w:tr>
        <w:trPr>
          <w:trHeight w:val="207"/>
        </w:trPr>
        <w:tc>
          <w:tcPr>
            <w:tcW w:w="31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Strategic KPIs and ESG Goals</w:t>
            </w:r>
          </w:p>
        </w:tc>
        <w:tc>
          <w:tcPr>
            <w:tcW w:w="7740" w:type="dxa"/>
            <w:vAlign w:val="bottom"/>
          </w:tcPr>
          <w:p>
            <w:pPr>
              <w:spacing w:after="0"/>
              <w:rPr>
                <w:sz w:val="17"/>
                <w:szCs w:val="17"/>
                <w:color w:val="auto"/>
              </w:rPr>
            </w:pPr>
          </w:p>
        </w:tc>
      </w:tr>
    </w:tbl>
    <w:p>
      <w:pPr>
        <w:spacing w:after="0" w:line="123" w:lineRule="exact"/>
        <w:rPr>
          <w:sz w:val="20"/>
          <w:szCs w:val="20"/>
          <w:color w:val="auto"/>
        </w:rPr>
      </w:pPr>
    </w:p>
    <w:p>
      <w:pPr>
        <w:ind w:left="600" w:right="40" w:hanging="420"/>
        <w:spacing w:after="0" w:line="259" w:lineRule="auto"/>
        <w:tabs>
          <w:tab w:leader="none" w:pos="6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For further information regarding these company performance metrics and their function in the Company’s executive compensation program, please see the “Compensation Discussion and Analysis” section of this Proxy Statement.</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D89B4"/>
        </w:rPr>
        <w:t>Relationship between CAP and Company Performance</w:t>
      </w:r>
    </w:p>
    <w:p>
      <w:pPr>
        <w:spacing w:after="0" w:line="109" w:lineRule="exact"/>
        <w:rPr>
          <w:sz w:val="20"/>
          <w:szCs w:val="20"/>
          <w:color w:val="auto"/>
        </w:rPr>
      </w:pPr>
    </w:p>
    <w:p>
      <w:pPr>
        <w:ind w:left="180" w:right="160"/>
        <w:spacing w:after="0" w:line="280" w:lineRule="auto"/>
        <w:rPr>
          <w:sz w:val="20"/>
          <w:szCs w:val="20"/>
          <w:color w:val="auto"/>
        </w:rPr>
      </w:pPr>
      <w:r>
        <w:rPr>
          <w:rFonts w:ascii="Arial" w:cs="Arial" w:eastAsia="Arial" w:hAnsi="Arial"/>
          <w:sz w:val="14"/>
          <w:szCs w:val="14"/>
          <w:color w:val="auto"/>
        </w:rPr>
        <w:t>Below are graphs showing the relationship of compensation “actually paid” to our Chief Executive Officer and other NEOs in 2023, 2022, 2021 and 2020 to (1) TSR of both ManpowerGroup and the S&amp;P 1500 Human Resources &amp; Employment Services (HRES) Index, (2) our net income and (3) our EBITA Margin.</w:t>
      </w:r>
    </w:p>
    <w:p>
      <w:pPr>
        <w:spacing w:after="0" w:line="51" w:lineRule="exact"/>
        <w:rPr>
          <w:sz w:val="20"/>
          <w:szCs w:val="20"/>
          <w:color w:val="auto"/>
        </w:rPr>
      </w:pPr>
    </w:p>
    <w:p>
      <w:pPr>
        <w:ind w:left="180" w:right="160"/>
        <w:spacing w:after="0" w:line="249" w:lineRule="auto"/>
        <w:rPr>
          <w:sz w:val="20"/>
          <w:szCs w:val="20"/>
          <w:color w:val="auto"/>
        </w:rPr>
      </w:pPr>
      <w:r>
        <w:rPr>
          <w:rFonts w:ascii="Arial" w:cs="Arial" w:eastAsia="Arial" w:hAnsi="Arial"/>
          <w:sz w:val="14"/>
          <w:szCs w:val="14"/>
          <w:color w:val="auto"/>
        </w:rPr>
        <w:t>Compensation “actually paid,”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For a discussion of how our People, Culture and Compensation Committee assessed the Company’s performance and our NEO’s pay each year, see “Compensation Discussion and Analysis” in this proxy statement and in the proxy statements for 2022, 2021 and 2020.</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CAP vs. TSR</w:t>
      </w:r>
    </w:p>
    <w:p>
      <w:pPr>
        <w:spacing w:after="0" w:line="109" w:lineRule="exact"/>
        <w:rPr>
          <w:sz w:val="20"/>
          <w:szCs w:val="20"/>
          <w:color w:val="auto"/>
        </w:rPr>
      </w:pPr>
    </w:p>
    <w:p>
      <w:pPr>
        <w:ind w:left="180" w:right="140"/>
        <w:spacing w:after="0" w:line="259" w:lineRule="auto"/>
        <w:rPr>
          <w:sz w:val="20"/>
          <w:szCs w:val="20"/>
          <w:color w:val="auto"/>
        </w:rPr>
      </w:pPr>
      <w:r>
        <w:rPr>
          <w:rFonts w:ascii="Arial" w:cs="Arial" w:eastAsia="Arial" w:hAnsi="Arial"/>
          <w:sz w:val="14"/>
          <w:szCs w:val="14"/>
          <w:color w:val="auto"/>
        </w:rPr>
        <w:t>As shown in the chart below, the CEO and other NEOs’ CAP amounts are aligned with the Company’s TSR. The Company’s lower TSR in 2020, 2022, and 2023 relative to the S&amp;P 1500 Human Resources &amp; Employment Services (HRES) Index aligned with lower CAP for the CEO and NEOs, while stronger performance in 2021 resulted in higher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132715</wp:posOffset>
            </wp:positionV>
            <wp:extent cx="6913880" cy="29737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13880" cy="297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PAY VERSUS PERFORMANCE</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CAP vs. GAAP Net Income</w:t>
      </w:r>
    </w:p>
    <w:p>
      <w:pPr>
        <w:spacing w:after="0" w:line="109" w:lineRule="exact"/>
        <w:rPr>
          <w:sz w:val="20"/>
          <w:szCs w:val="20"/>
          <w:color w:val="auto"/>
        </w:rPr>
      </w:pPr>
    </w:p>
    <w:p>
      <w:pPr>
        <w:ind w:left="180"/>
        <w:spacing w:after="0" w:line="280" w:lineRule="auto"/>
        <w:rPr>
          <w:sz w:val="20"/>
          <w:szCs w:val="20"/>
          <w:color w:val="auto"/>
        </w:rPr>
      </w:pPr>
      <w:r>
        <w:rPr>
          <w:rFonts w:ascii="Arial" w:cs="Arial" w:eastAsia="Arial" w:hAnsi="Arial"/>
          <w:sz w:val="14"/>
          <w:szCs w:val="14"/>
          <w:color w:val="auto"/>
        </w:rPr>
        <w:t>The Company’s Net Income fell in 2023, as did CAP for non-CEO NEOs. The CEO’s CAP grew year-over-year, but was still less than the amount disclosed in the Summary Compensation Table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123190</wp:posOffset>
            </wp:positionV>
            <wp:extent cx="4693920" cy="28638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693920" cy="286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CAP vs. Company Selected Measure</w:t>
      </w:r>
    </w:p>
    <w:p>
      <w:pPr>
        <w:spacing w:after="0" w:line="109" w:lineRule="exact"/>
        <w:rPr>
          <w:sz w:val="20"/>
          <w:szCs w:val="20"/>
          <w:color w:val="auto"/>
        </w:rPr>
      </w:pPr>
    </w:p>
    <w:p>
      <w:pPr>
        <w:ind w:left="180" w:right="160"/>
        <w:spacing w:after="0" w:line="280" w:lineRule="auto"/>
        <w:rPr>
          <w:sz w:val="20"/>
          <w:szCs w:val="20"/>
          <w:color w:val="auto"/>
        </w:rPr>
      </w:pPr>
      <w:r>
        <w:rPr>
          <w:rFonts w:ascii="Arial" w:cs="Arial" w:eastAsia="Arial" w:hAnsi="Arial"/>
          <w:sz w:val="14"/>
          <w:szCs w:val="14"/>
          <w:color w:val="auto"/>
        </w:rPr>
        <w:t>The Company’s EBITA Margin decreased in 2023, which aligns with the Non-CEO NEOs’ lower CAP in 2023 compared to 2022. The CEO’s CAP was higher in 2023, but was less than the amount disclosed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3300730</wp:posOffset>
            </wp:positionV>
            <wp:extent cx="69138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913880" cy="825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106045</wp:posOffset>
            </wp:positionV>
            <wp:extent cx="4702175" cy="28638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702175" cy="286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960"/>
          </w:cols>
          <w:pgMar w:left="320" w:top="480" w:right="6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Audit Committee Report</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Charter and Responsibilities</w:t>
      </w:r>
    </w:p>
    <w:p>
      <w:pPr>
        <w:spacing w:after="0" w:line="98" w:lineRule="exact"/>
        <w:rPr>
          <w:sz w:val="20"/>
          <w:szCs w:val="20"/>
          <w:color w:val="auto"/>
        </w:rPr>
      </w:pPr>
    </w:p>
    <w:p>
      <w:pPr>
        <w:ind w:left="180"/>
        <w:spacing w:after="0" w:line="230" w:lineRule="auto"/>
        <w:rPr>
          <w:sz w:val="20"/>
          <w:szCs w:val="20"/>
          <w:color w:val="auto"/>
        </w:rPr>
      </w:pPr>
      <w:r>
        <w:rPr>
          <w:rFonts w:ascii="Arial" w:cs="Arial" w:eastAsia="Arial" w:hAnsi="Arial"/>
          <w:sz w:val="15"/>
          <w:szCs w:val="15"/>
          <w:color w:val="auto"/>
        </w:rPr>
        <w:t>We have an audit committee that consists entirely of independent directors, each of whom meets the independence requirements set forth by the New York Stock Exchange and the SEC. The board of directors has adopted a charter for the audit committee, which is available on our web site at http://investor.manpowergroup.com/governance.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2023 Activity</w:t>
      </w:r>
    </w:p>
    <w:p>
      <w:pPr>
        <w:spacing w:after="0" w:line="98" w:lineRule="exact"/>
        <w:rPr>
          <w:sz w:val="20"/>
          <w:szCs w:val="20"/>
          <w:color w:val="auto"/>
        </w:rPr>
      </w:pPr>
    </w:p>
    <w:p>
      <w:pPr>
        <w:jc w:val="both"/>
        <w:ind w:left="180" w:right="80"/>
        <w:spacing w:after="0" w:line="241" w:lineRule="auto"/>
        <w:rPr>
          <w:sz w:val="20"/>
          <w:szCs w:val="20"/>
          <w:color w:val="auto"/>
        </w:rPr>
      </w:pPr>
      <w:r>
        <w:rPr>
          <w:rFonts w:ascii="Arial" w:cs="Arial" w:eastAsia="Arial" w:hAnsi="Arial"/>
          <w:sz w:val="15"/>
          <w:szCs w:val="15"/>
          <w:color w:val="auto"/>
        </w:rPr>
        <w:t>In 2023, the audit committee met four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41" w:lineRule="exact"/>
        <w:rPr>
          <w:sz w:val="20"/>
          <w:szCs w:val="20"/>
          <w:color w:val="auto"/>
        </w:rPr>
      </w:pPr>
    </w:p>
    <w:p>
      <w:pPr>
        <w:ind w:left="400" w:hanging="220"/>
        <w:spacing w:after="0" w:line="259" w:lineRule="auto"/>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financial statements for full year 2022 and each of the first three quarters of 2023, including the disclosures under “Management’s Discussion and Analysis of Financial Condition and Results of Operations;”</w:t>
      </w:r>
    </w:p>
    <w:p>
      <w:pPr>
        <w:spacing w:after="0" w:line="28"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compliance with and reporting under Section 404 of the Sarbanes-Oxley Act of 2002 and the related auditing standards;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independent auditors’ material written communications with management;</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annual internal and external audit plans and the internal and external staffing resources available to carry out our audit plans;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internal audit results;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enterprise risk management framework, including financial and operational risks;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certain risk matters including the Company’s risk profile, data privacy risk, and technology and cybersecurity risk;</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impact of new accounting pronouncements;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current tax matters affecting us, including reporting compliance, audit activity and tax planning;</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litigation and regulatory matters;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compliance with our code of business conduct and ethics, our anti-corruption policy, and our policy on gifts, entertainment and sponsorships;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compliance with our Policy Regarding the Retention of Former Employees of Independent Auditors and Independent Auditor Services Policy; and</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self-evaluation of the committee.</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audit committee met four times in private session with Deloitte &amp; Touche LLP (“Deloitte”) and met four times in private session with the head of internal audit.</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purpose of the private sessions is to allow the participants to raise any concerns they may have and to discuss other topics in a confidential setting.</w:t>
      </w:r>
    </w:p>
    <w:p>
      <w:pPr>
        <w:spacing w:after="0" w:line="80" w:lineRule="exact"/>
        <w:rPr>
          <w:sz w:val="20"/>
          <w:szCs w:val="20"/>
          <w:color w:val="auto"/>
        </w:rPr>
      </w:pPr>
    </w:p>
    <w:p>
      <w:pPr>
        <w:ind w:left="180" w:right="140"/>
        <w:spacing w:after="0" w:line="241" w:lineRule="auto"/>
        <w:rPr>
          <w:sz w:val="20"/>
          <w:szCs w:val="20"/>
          <w:color w:val="auto"/>
        </w:rPr>
      </w:pPr>
      <w:r>
        <w:rPr>
          <w:rFonts w:ascii="Arial" w:cs="Arial" w:eastAsia="Arial" w:hAnsi="Arial"/>
          <w:sz w:val="15"/>
          <w:szCs w:val="15"/>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prior to the quarterly release of earnings.</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Fiscal Year 2023 Financial Statements</w:t>
      </w:r>
    </w:p>
    <w:p>
      <w:pPr>
        <w:spacing w:after="0" w:line="98" w:lineRule="exact"/>
        <w:rPr>
          <w:sz w:val="20"/>
          <w:szCs w:val="20"/>
          <w:color w:val="auto"/>
        </w:rPr>
      </w:pPr>
    </w:p>
    <w:p>
      <w:pPr>
        <w:jc w:val="both"/>
        <w:ind w:left="180" w:right="340"/>
        <w:spacing w:after="0" w:line="241" w:lineRule="auto"/>
        <w:rPr>
          <w:sz w:val="20"/>
          <w:szCs w:val="20"/>
          <w:color w:val="auto"/>
        </w:rPr>
      </w:pPr>
      <w:r>
        <w:rPr>
          <w:rFonts w:ascii="Arial" w:cs="Arial" w:eastAsia="Arial" w:hAnsi="Arial"/>
          <w:sz w:val="15"/>
          <w:szCs w:val="15"/>
          <w:color w:val="auto"/>
        </w:rPr>
        <w:t>In February 2024, the independent auditors and members of senior management reviewed and discussed the audited financial statements for the fiscal year ended December 31, 2023 with the audit committee, together with our disclosures under “Management’s Discussion and Analysis of Financial Condition and Results of Operations.” This discussion included, among other things:</w:t>
      </w:r>
    </w:p>
    <w:p>
      <w:pPr>
        <w:spacing w:after="0" w:line="41" w:lineRule="exact"/>
        <w:rPr>
          <w:sz w:val="20"/>
          <w:szCs w:val="20"/>
          <w:color w:val="auto"/>
        </w:rPr>
      </w:pPr>
    </w:p>
    <w:p>
      <w:pPr>
        <w:ind w:left="400" w:hanging="220"/>
        <w:spacing w:after="0"/>
        <w:tabs>
          <w:tab w:leader="none" w:pos="4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critical accounting policies and practices used in the preparation of our financial statements;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judgmental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113030</wp:posOffset>
            </wp:positionV>
            <wp:extent cx="69138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960"/>
          </w:cols>
          <w:pgMar w:left="320" w:top="480" w:right="6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AUDIT COMMITTEE REPORT</w:t>
      </w:r>
    </w:p>
    <w:p>
      <w:pPr>
        <w:spacing w:after="0" w:line="146" w:lineRule="exact"/>
        <w:rPr>
          <w:sz w:val="20"/>
          <w:szCs w:val="20"/>
          <w:color w:val="auto"/>
        </w:rPr>
      </w:pPr>
    </w:p>
    <w:p>
      <w:pPr>
        <w:ind w:left="400" w:hanging="220"/>
        <w:spacing w:after="0"/>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effect of regulatory and accounting pronouncements on our financial statements, including the adoption of significant accounting standards;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confirmation that there were no unrecorded material audit adjustments proposed by the independent auditors;</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confirmation that there were no matters of significant disagreement between management and the independent auditors arising during the audit;</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critical audit matters disclosed in the independent auditors’ opinion;</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other matters required to be discussed by the applicable requirements of the Public Company Accounting Oversight Board (“PCAOB”) and the SEC;</w:t>
      </w:r>
    </w:p>
    <w:p>
      <w:pPr>
        <w:spacing w:after="0" w:line="67" w:lineRule="exact"/>
        <w:rPr>
          <w:rFonts w:ascii="Arial" w:cs="Arial" w:eastAsia="Arial" w:hAnsi="Arial"/>
          <w:sz w:val="15"/>
          <w:szCs w:val="15"/>
          <w:color w:val="auto"/>
        </w:rPr>
      </w:pPr>
    </w:p>
    <w:p>
      <w:pPr>
        <w:ind w:left="400" w:hanging="220"/>
        <w:spacing w:after="0"/>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other matters required to be discussed by PCAOB Ethics and Independence Rule 3526, </w:t>
      </w:r>
      <w:r>
        <w:rPr>
          <w:rFonts w:ascii="Arial" w:cs="Arial" w:eastAsia="Arial" w:hAnsi="Arial"/>
          <w:sz w:val="15"/>
          <w:szCs w:val="15"/>
          <w:i w:val="1"/>
          <w:iCs w:val="1"/>
          <w:color w:val="auto"/>
        </w:rPr>
        <w:t>Communication with Audit Committees Concerning Independence;</w:t>
      </w:r>
      <w:r>
        <w:rPr>
          <w:rFonts w:ascii="Arial" w:cs="Arial" w:eastAsia="Arial" w:hAnsi="Arial"/>
          <w:sz w:val="15"/>
          <w:szCs w:val="15"/>
          <w:color w:val="auto"/>
        </w:rPr>
        <w:t xml:space="preserve"> and</w:t>
      </w:r>
    </w:p>
    <w:p>
      <w:pPr>
        <w:spacing w:after="0" w:line="67" w:lineRule="exact"/>
        <w:rPr>
          <w:rFonts w:ascii="Arial" w:cs="Arial" w:eastAsia="Arial" w:hAnsi="Arial"/>
          <w:sz w:val="15"/>
          <w:szCs w:val="15"/>
          <w:color w:val="auto"/>
        </w:rPr>
      </w:pPr>
    </w:p>
    <w:p>
      <w:pPr>
        <w:ind w:left="400" w:right="40" w:hanging="220"/>
        <w:spacing w:after="0" w:line="241" w:lineRule="auto"/>
        <w:tabs>
          <w:tab w:leader="none" w:pos="4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matters relating to Section 404 of the Sarbanes-Oxley Act, including the management report on internal control over financial reporting for 2023 and the independent auditors’ report with respect to the effectiveness of our internal control over financial reporting and management’s assessment of the effectiveness of our internal control over financial reporting.</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At this meeting, the audit committee met in separate private sessions with the independent auditors, the head of internal audit and management.</w:t>
      </w:r>
    </w:p>
    <w:p>
      <w:pPr>
        <w:spacing w:after="0" w:line="134" w:lineRule="exact"/>
        <w:rPr>
          <w:sz w:val="20"/>
          <w:szCs w:val="20"/>
          <w:color w:val="auto"/>
        </w:rPr>
      </w:pPr>
    </w:p>
    <w:p>
      <w:pPr>
        <w:ind w:left="180" w:right="100"/>
        <w:spacing w:after="0" w:line="259" w:lineRule="auto"/>
        <w:rPr>
          <w:sz w:val="20"/>
          <w:szCs w:val="20"/>
          <w:color w:val="auto"/>
        </w:rPr>
      </w:pPr>
      <w:r>
        <w:rPr>
          <w:rFonts w:ascii="Arial" w:cs="Arial" w:eastAsia="Arial" w:hAnsi="Arial"/>
          <w:sz w:val="15"/>
          <w:szCs w:val="15"/>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2023.</w:t>
      </w:r>
    </w:p>
    <w:p>
      <w:pPr>
        <w:spacing w:after="0" w:line="95" w:lineRule="exact"/>
        <w:rPr>
          <w:sz w:val="20"/>
          <w:szCs w:val="20"/>
          <w:color w:val="auto"/>
        </w:rPr>
      </w:pPr>
    </w:p>
    <w:p>
      <w:pPr>
        <w:ind w:left="180" w:right="80"/>
        <w:spacing w:after="0" w:line="231" w:lineRule="auto"/>
        <w:rPr>
          <w:sz w:val="20"/>
          <w:szCs w:val="20"/>
          <w:color w:val="auto"/>
        </w:rPr>
      </w:pPr>
      <w:r>
        <w:rPr>
          <w:rFonts w:ascii="Arial" w:cs="Arial" w:eastAsia="Arial" w:hAnsi="Arial"/>
          <w:sz w:val="15"/>
          <w:szCs w:val="15"/>
          <w:color w:val="auto"/>
        </w:rPr>
        <w:t>The audit committee has also received the written disclosures and confirmation from Deloitte required by PCAOB Ethics and Independence Rule 3526 and discussed with Deloitte their independence. In particular, at each regular meeting during 2023 and at the meeting in February 2024 the audit committee reviewed and discussed the non-audit services provided by Deloitte to us as described below. The audit committee has considered whether the provision of the non-audit services is compatible with the independence of Deloitte and satisfied itself as to the auditor’s independence. The audit committee believes that Deloitte has been objective and impartial in conducting the 2023 audit and believes that the provision of these services has not adversely affected the integrity of our audit and financial reporting processes.</w:t>
      </w:r>
    </w:p>
    <w:p>
      <w:pPr>
        <w:spacing w:after="0" w:line="98" w:lineRule="exact"/>
        <w:rPr>
          <w:sz w:val="20"/>
          <w:szCs w:val="20"/>
          <w:color w:val="auto"/>
        </w:rPr>
      </w:pPr>
    </w:p>
    <w:p>
      <w:pPr>
        <w:ind w:left="180" w:right="20"/>
        <w:spacing w:after="0" w:line="233" w:lineRule="auto"/>
        <w:rPr>
          <w:sz w:val="20"/>
          <w:szCs w:val="20"/>
          <w:color w:val="auto"/>
        </w:rPr>
      </w:pPr>
      <w:r>
        <w:rPr>
          <w:rFonts w:ascii="Arial" w:cs="Arial" w:eastAsia="Arial" w:hAnsi="Arial"/>
          <w:sz w:val="15"/>
          <w:szCs w:val="15"/>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The Audit Committee</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Paul Read, Chair</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Jean-Philippe Courtois</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John F. Ferraro</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Patricia Hemingway Hall</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110490</wp:posOffset>
            </wp:positionV>
            <wp:extent cx="69138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9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Fees Billed by Deloitte</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This table presents fees for professional audit and other services billed by Deloitte and related entities for 2023 and 2022, which consist of the following:</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86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YEAR ENDED DECEMBER 31,</w:t>
            </w:r>
          </w:p>
        </w:tc>
        <w:tc>
          <w:tcPr>
            <w:tcW w:w="200" w:type="dxa"/>
            <w:vAlign w:val="bottom"/>
            <w:tcBorders>
              <w:bottom w:val="single" w:sz="8" w:color="EAEAEA"/>
            </w:tcBorders>
            <w:shd w:val="clear" w:color="auto" w:fill="EAEAEA"/>
          </w:tcPr>
          <w:p>
            <w:pPr>
              <w:spacing w:after="0"/>
              <w:rPr>
                <w:sz w:val="23"/>
                <w:szCs w:val="23"/>
                <w:color w:val="auto"/>
              </w:rPr>
            </w:pPr>
          </w:p>
        </w:tc>
        <w:tc>
          <w:tcPr>
            <w:tcW w:w="960" w:type="dxa"/>
            <w:vAlign w:val="bottom"/>
            <w:tcBorders>
              <w:bottom w:val="single" w:sz="8" w:color="EAEAEA"/>
            </w:tcBorders>
            <w:shd w:val="clear" w:color="auto" w:fill="EAEAEA"/>
          </w:tcPr>
          <w:p>
            <w:pPr>
              <w:jc w:val="right"/>
              <w:ind w:right="205"/>
              <w:spacing w:after="0"/>
              <w:rPr>
                <w:sz w:val="20"/>
                <w:szCs w:val="20"/>
                <w:color w:val="auto"/>
              </w:rPr>
            </w:pPr>
            <w:r>
              <w:rPr>
                <w:rFonts w:ascii="Arial" w:cs="Arial" w:eastAsia="Arial" w:hAnsi="Arial"/>
                <w:sz w:val="14"/>
                <w:szCs w:val="14"/>
                <w:b w:val="1"/>
                <w:bCs w:val="1"/>
                <w:color w:val="5D89B4"/>
              </w:rPr>
              <w:t>2023</w:t>
            </w:r>
          </w:p>
        </w:tc>
        <w:tc>
          <w:tcPr>
            <w:tcW w:w="360" w:type="dxa"/>
            <w:vAlign w:val="bottom"/>
            <w:tcBorders>
              <w:bottom w:val="single" w:sz="8" w:color="EAEAEA"/>
            </w:tcBorders>
            <w:shd w:val="clear" w:color="auto" w:fill="EAEAEA"/>
          </w:tcPr>
          <w:p>
            <w:pPr>
              <w:spacing w:after="0"/>
              <w:rPr>
                <w:sz w:val="23"/>
                <w:szCs w:val="23"/>
                <w:color w:val="auto"/>
              </w:rPr>
            </w:pPr>
          </w:p>
        </w:tc>
        <w:tc>
          <w:tcPr>
            <w:tcW w:w="7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2022</w:t>
            </w:r>
          </w:p>
        </w:tc>
      </w:tr>
      <w:tr>
        <w:trPr>
          <w:trHeight w:val="252"/>
        </w:trPr>
        <w:tc>
          <w:tcPr>
            <w:tcW w:w="8640" w:type="dxa"/>
            <w:vAlign w:val="bottom"/>
          </w:tcPr>
          <w:p>
            <w:pPr>
              <w:ind w:left="80"/>
              <w:spacing w:after="0"/>
              <w:rPr>
                <w:sz w:val="20"/>
                <w:szCs w:val="20"/>
                <w:color w:val="auto"/>
              </w:rPr>
            </w:pPr>
            <w:r>
              <w:rPr>
                <w:rFonts w:ascii="Arial" w:cs="Arial" w:eastAsia="Arial" w:hAnsi="Arial"/>
                <w:sz w:val="14"/>
                <w:szCs w:val="14"/>
                <w:b w:val="1"/>
                <w:bCs w:val="1"/>
                <w:color w:val="auto"/>
              </w:rPr>
              <w:t>Audit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rPr>
                <w:sz w:val="20"/>
                <w:szCs w:val="20"/>
                <w:color w:val="auto"/>
              </w:rPr>
            </w:pPr>
            <w:r>
              <w:rPr>
                <w:rFonts w:ascii="Arial" w:cs="Arial" w:eastAsia="Arial" w:hAnsi="Arial"/>
                <w:sz w:val="15"/>
                <w:szCs w:val="15"/>
                <w:color w:val="auto"/>
                <w:w w:val="98"/>
              </w:rPr>
              <w:t>8,170,000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8"/>
              </w:rPr>
              <w:t>7,828,000</w:t>
            </w:r>
          </w:p>
        </w:tc>
      </w:tr>
      <w:tr>
        <w:trPr>
          <w:trHeight w:val="41"/>
        </w:trPr>
        <w:tc>
          <w:tcPr>
            <w:tcW w:w="86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360" w:type="dxa"/>
            <w:vAlign w:val="bottom"/>
            <w:tcBorders>
              <w:bottom w:val="single" w:sz="8" w:color="5D89B4"/>
            </w:tcBorders>
          </w:tcPr>
          <w:p>
            <w:pPr>
              <w:spacing w:after="0"/>
              <w:rPr>
                <w:sz w:val="3"/>
                <w:szCs w:val="3"/>
                <w:color w:val="auto"/>
              </w:rPr>
            </w:pPr>
          </w:p>
        </w:tc>
        <w:tc>
          <w:tcPr>
            <w:tcW w:w="720" w:type="dxa"/>
            <w:vAlign w:val="bottom"/>
            <w:tcBorders>
              <w:bottom w:val="single" w:sz="8" w:color="5D89B4"/>
            </w:tcBorders>
          </w:tcPr>
          <w:p>
            <w:pPr>
              <w:spacing w:after="0"/>
              <w:rPr>
                <w:sz w:val="3"/>
                <w:szCs w:val="3"/>
                <w:color w:val="auto"/>
              </w:rPr>
            </w:pPr>
          </w:p>
        </w:tc>
      </w:tr>
      <w:tr>
        <w:trPr>
          <w:trHeight w:val="232"/>
        </w:trPr>
        <w:tc>
          <w:tcPr>
            <w:tcW w:w="8640" w:type="dxa"/>
            <w:vAlign w:val="bottom"/>
          </w:tcPr>
          <w:p>
            <w:pPr>
              <w:ind w:left="80"/>
              <w:spacing w:after="0"/>
              <w:rPr>
                <w:sz w:val="20"/>
                <w:szCs w:val="20"/>
                <w:color w:val="auto"/>
              </w:rPr>
            </w:pPr>
            <w:r>
              <w:rPr>
                <w:rFonts w:ascii="Arial" w:cs="Arial" w:eastAsia="Arial" w:hAnsi="Arial"/>
                <w:sz w:val="14"/>
                <w:szCs w:val="14"/>
                <w:b w:val="1"/>
                <w:bCs w:val="1"/>
                <w:color w:val="auto"/>
              </w:rPr>
              <w:t>Audit-Related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rPr>
                <w:sz w:val="20"/>
                <w:szCs w:val="20"/>
                <w:color w:val="auto"/>
              </w:rPr>
            </w:pPr>
            <w:r>
              <w:rPr>
                <w:rFonts w:ascii="Arial" w:cs="Arial" w:eastAsia="Arial" w:hAnsi="Arial"/>
                <w:sz w:val="15"/>
                <w:szCs w:val="15"/>
                <w:color w:val="auto"/>
              </w:rPr>
              <w:t>152,000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393,000</w:t>
            </w:r>
          </w:p>
        </w:tc>
      </w:tr>
      <w:tr>
        <w:trPr>
          <w:trHeight w:val="41"/>
        </w:trPr>
        <w:tc>
          <w:tcPr>
            <w:tcW w:w="86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360" w:type="dxa"/>
            <w:vAlign w:val="bottom"/>
            <w:tcBorders>
              <w:bottom w:val="single" w:sz="8" w:color="5D89B4"/>
            </w:tcBorders>
          </w:tcPr>
          <w:p>
            <w:pPr>
              <w:spacing w:after="0"/>
              <w:rPr>
                <w:sz w:val="3"/>
                <w:szCs w:val="3"/>
                <w:color w:val="auto"/>
              </w:rPr>
            </w:pPr>
          </w:p>
        </w:tc>
        <w:tc>
          <w:tcPr>
            <w:tcW w:w="720" w:type="dxa"/>
            <w:vAlign w:val="bottom"/>
            <w:tcBorders>
              <w:bottom w:val="single" w:sz="8" w:color="5D89B4"/>
            </w:tcBorders>
          </w:tcPr>
          <w:p>
            <w:pPr>
              <w:spacing w:after="0"/>
              <w:rPr>
                <w:sz w:val="3"/>
                <w:szCs w:val="3"/>
                <w:color w:val="auto"/>
              </w:rPr>
            </w:pPr>
          </w:p>
        </w:tc>
      </w:tr>
      <w:tr>
        <w:trPr>
          <w:trHeight w:val="232"/>
        </w:trPr>
        <w:tc>
          <w:tcPr>
            <w:tcW w:w="8640" w:type="dxa"/>
            <w:vAlign w:val="bottom"/>
          </w:tcPr>
          <w:p>
            <w:pPr>
              <w:ind w:left="80"/>
              <w:spacing w:after="0"/>
              <w:rPr>
                <w:sz w:val="20"/>
                <w:szCs w:val="20"/>
                <w:color w:val="auto"/>
              </w:rPr>
            </w:pPr>
            <w:r>
              <w:rPr>
                <w:rFonts w:ascii="Arial" w:cs="Arial" w:eastAsia="Arial" w:hAnsi="Arial"/>
                <w:sz w:val="14"/>
                <w:szCs w:val="14"/>
                <w:b w:val="1"/>
                <w:bCs w:val="1"/>
                <w:color w:val="auto"/>
              </w:rPr>
              <w:t>Tax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rPr>
                <w:sz w:val="20"/>
                <w:szCs w:val="20"/>
                <w:color w:val="auto"/>
              </w:rPr>
            </w:pPr>
            <w:r>
              <w:rPr>
                <w:rFonts w:ascii="Arial" w:cs="Arial" w:eastAsia="Arial" w:hAnsi="Arial"/>
                <w:sz w:val="15"/>
                <w:szCs w:val="15"/>
                <w:color w:val="auto"/>
              </w:rPr>
              <w:t>810,000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904,000</w:t>
            </w:r>
          </w:p>
        </w:tc>
      </w:tr>
      <w:tr>
        <w:trPr>
          <w:trHeight w:val="41"/>
        </w:trPr>
        <w:tc>
          <w:tcPr>
            <w:tcW w:w="86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360" w:type="dxa"/>
            <w:vAlign w:val="bottom"/>
            <w:tcBorders>
              <w:bottom w:val="single" w:sz="8" w:color="5D89B4"/>
            </w:tcBorders>
          </w:tcPr>
          <w:p>
            <w:pPr>
              <w:spacing w:after="0"/>
              <w:rPr>
                <w:sz w:val="3"/>
                <w:szCs w:val="3"/>
                <w:color w:val="auto"/>
              </w:rPr>
            </w:pPr>
          </w:p>
        </w:tc>
        <w:tc>
          <w:tcPr>
            <w:tcW w:w="720" w:type="dxa"/>
            <w:vAlign w:val="bottom"/>
            <w:tcBorders>
              <w:bottom w:val="single" w:sz="8" w:color="5D89B4"/>
            </w:tcBorders>
          </w:tcPr>
          <w:p>
            <w:pPr>
              <w:spacing w:after="0"/>
              <w:rPr>
                <w:sz w:val="3"/>
                <w:szCs w:val="3"/>
                <w:color w:val="auto"/>
              </w:rPr>
            </w:pPr>
          </w:p>
        </w:tc>
      </w:tr>
      <w:tr>
        <w:trPr>
          <w:trHeight w:val="232"/>
        </w:trPr>
        <w:tc>
          <w:tcPr>
            <w:tcW w:w="8640" w:type="dxa"/>
            <w:vAlign w:val="bottom"/>
          </w:tcPr>
          <w:p>
            <w:pPr>
              <w:ind w:left="80"/>
              <w:spacing w:after="0"/>
              <w:rPr>
                <w:sz w:val="20"/>
                <w:szCs w:val="20"/>
                <w:color w:val="auto"/>
              </w:rPr>
            </w:pPr>
            <w:r>
              <w:rPr>
                <w:rFonts w:ascii="Arial" w:cs="Arial" w:eastAsia="Arial" w:hAnsi="Arial"/>
                <w:sz w:val="14"/>
                <w:szCs w:val="14"/>
                <w:b w:val="1"/>
                <w:bCs w:val="1"/>
                <w:color w:val="auto"/>
              </w:rPr>
              <w:t>All Other Fees</w:t>
            </w:r>
          </w:p>
        </w:tc>
        <w:tc>
          <w:tcPr>
            <w:tcW w:w="200" w:type="dxa"/>
            <w:vAlign w:val="bottom"/>
          </w:tcPr>
          <w:p>
            <w:pPr>
              <w:spacing w:after="0"/>
              <w:rPr>
                <w:sz w:val="20"/>
                <w:szCs w:val="20"/>
                <w:color w:val="auto"/>
              </w:rPr>
            </w:pPr>
          </w:p>
        </w:tc>
        <w:tc>
          <w:tcPr>
            <w:tcW w:w="96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41"/>
        </w:trPr>
        <w:tc>
          <w:tcPr>
            <w:tcW w:w="86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360" w:type="dxa"/>
            <w:vAlign w:val="bottom"/>
            <w:tcBorders>
              <w:bottom w:val="single" w:sz="8" w:color="5D89B4"/>
            </w:tcBorders>
          </w:tcPr>
          <w:p>
            <w:pPr>
              <w:spacing w:after="0"/>
              <w:rPr>
                <w:sz w:val="3"/>
                <w:szCs w:val="3"/>
                <w:color w:val="auto"/>
              </w:rPr>
            </w:pPr>
          </w:p>
        </w:tc>
        <w:tc>
          <w:tcPr>
            <w:tcW w:w="720" w:type="dxa"/>
            <w:vAlign w:val="bottom"/>
            <w:tcBorders>
              <w:bottom w:val="single" w:sz="8" w:color="5D89B4"/>
            </w:tcBorders>
          </w:tcPr>
          <w:p>
            <w:pPr>
              <w:spacing w:after="0"/>
              <w:rPr>
                <w:sz w:val="3"/>
                <w:szCs w:val="3"/>
                <w:color w:val="auto"/>
              </w:rPr>
            </w:pPr>
          </w:p>
        </w:tc>
      </w:tr>
      <w:tr>
        <w:trPr>
          <w:trHeight w:val="232"/>
        </w:trPr>
        <w:tc>
          <w:tcPr>
            <w:tcW w:w="864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rPr>
                <w:sz w:val="20"/>
                <w:szCs w:val="20"/>
                <w:color w:val="auto"/>
              </w:rPr>
            </w:pPr>
            <w:r>
              <w:rPr>
                <w:rFonts w:ascii="Arial" w:cs="Arial" w:eastAsia="Arial" w:hAnsi="Arial"/>
                <w:sz w:val="15"/>
                <w:szCs w:val="15"/>
                <w:color w:val="auto"/>
                <w:w w:val="98"/>
              </w:rPr>
              <w:t>9,132,000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8"/>
              </w:rPr>
              <w:t>9,125,000</w:t>
            </w:r>
          </w:p>
        </w:tc>
      </w:tr>
      <w:tr>
        <w:trPr>
          <w:trHeight w:val="41"/>
        </w:trPr>
        <w:tc>
          <w:tcPr>
            <w:tcW w:w="8640" w:type="dxa"/>
            <w:vAlign w:val="bottom"/>
            <w:tcBorders>
              <w:bottom w:val="single" w:sz="8" w:color="5D89B4"/>
            </w:tcBorders>
          </w:tcPr>
          <w:p>
            <w:pPr>
              <w:spacing w:after="0"/>
              <w:rPr>
                <w:sz w:val="3"/>
                <w:szCs w:val="3"/>
                <w:color w:val="auto"/>
              </w:rPr>
            </w:pPr>
          </w:p>
        </w:tc>
        <w:tc>
          <w:tcPr>
            <w:tcW w:w="200" w:type="dxa"/>
            <w:vAlign w:val="bottom"/>
            <w:tcBorders>
              <w:bottom w:val="single" w:sz="8" w:color="5D89B4"/>
            </w:tcBorders>
          </w:tcPr>
          <w:p>
            <w:pPr>
              <w:spacing w:after="0"/>
              <w:rPr>
                <w:sz w:val="3"/>
                <w:szCs w:val="3"/>
                <w:color w:val="auto"/>
              </w:rPr>
            </w:pPr>
          </w:p>
        </w:tc>
        <w:tc>
          <w:tcPr>
            <w:tcW w:w="960" w:type="dxa"/>
            <w:vAlign w:val="bottom"/>
            <w:tcBorders>
              <w:bottom w:val="single" w:sz="8" w:color="5D89B4"/>
            </w:tcBorders>
          </w:tcPr>
          <w:p>
            <w:pPr>
              <w:spacing w:after="0"/>
              <w:rPr>
                <w:sz w:val="3"/>
                <w:szCs w:val="3"/>
                <w:color w:val="auto"/>
              </w:rPr>
            </w:pPr>
          </w:p>
        </w:tc>
        <w:tc>
          <w:tcPr>
            <w:tcW w:w="360" w:type="dxa"/>
            <w:vAlign w:val="bottom"/>
            <w:tcBorders>
              <w:bottom w:val="single" w:sz="8" w:color="5D89B4"/>
            </w:tcBorders>
          </w:tcPr>
          <w:p>
            <w:pPr>
              <w:spacing w:after="0"/>
              <w:rPr>
                <w:sz w:val="3"/>
                <w:szCs w:val="3"/>
                <w:color w:val="auto"/>
              </w:rPr>
            </w:pPr>
          </w:p>
        </w:tc>
        <w:tc>
          <w:tcPr>
            <w:tcW w:w="720" w:type="dxa"/>
            <w:vAlign w:val="bottom"/>
            <w:tcBorders>
              <w:bottom w:val="single" w:sz="8" w:color="5D89B4"/>
            </w:tcBorders>
          </w:tcPr>
          <w:p>
            <w:pPr>
              <w:spacing w:after="0"/>
              <w:rPr>
                <w:sz w:val="3"/>
                <w:szCs w:val="3"/>
                <w:color w:val="auto"/>
              </w:rPr>
            </w:pPr>
          </w:p>
        </w:tc>
      </w:tr>
    </w:tbl>
    <w:p>
      <w:pPr>
        <w:spacing w:after="0" w:line="30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Audit Fees</w:t>
      </w:r>
    </w:p>
    <w:p>
      <w:pPr>
        <w:spacing w:after="0" w:line="98" w:lineRule="exact"/>
        <w:rPr>
          <w:sz w:val="20"/>
          <w:szCs w:val="20"/>
          <w:color w:val="auto"/>
        </w:rPr>
      </w:pPr>
    </w:p>
    <w:p>
      <w:pPr>
        <w:ind w:left="180" w:right="140"/>
        <w:spacing w:after="0" w:line="241" w:lineRule="auto"/>
        <w:rPr>
          <w:sz w:val="20"/>
          <w:szCs w:val="20"/>
          <w:color w:val="auto"/>
        </w:rPr>
      </w:pPr>
      <w:r>
        <w:rPr>
          <w:rFonts w:ascii="Arial" w:cs="Arial" w:eastAsia="Arial" w:hAnsi="Arial"/>
          <w:sz w:val="15"/>
          <w:szCs w:val="15"/>
          <w:color w:val="auto"/>
        </w:rPr>
        <w:t>These amounts represent the aggregate fees billed by Deloitte for the audit of our financial statements and attestation of our certification of our internal control over financial reporting for 2023 and 2022, respectively, and the review of the financial statements included in our Quarterly Reports on Form 10-Q for each year, all of which were approved by the audit committee.</w:t>
      </w:r>
    </w:p>
    <w:p>
      <w:pPr>
        <w:spacing w:after="0" w:line="28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Audit-Related Fees</w:t>
      </w:r>
    </w:p>
    <w:p>
      <w:pPr>
        <w:spacing w:after="0" w:line="98" w:lineRule="exact"/>
        <w:rPr>
          <w:sz w:val="20"/>
          <w:szCs w:val="20"/>
          <w:color w:val="auto"/>
        </w:rPr>
      </w:pPr>
    </w:p>
    <w:p>
      <w:pPr>
        <w:ind w:left="180" w:right="20"/>
        <w:spacing w:after="0" w:line="231" w:lineRule="auto"/>
        <w:rPr>
          <w:sz w:val="20"/>
          <w:szCs w:val="20"/>
          <w:color w:val="auto"/>
        </w:rPr>
      </w:pPr>
      <w:r>
        <w:rPr>
          <w:rFonts w:ascii="Arial" w:cs="Arial" w:eastAsia="Arial" w:hAnsi="Arial"/>
          <w:sz w:val="15"/>
          <w:szCs w:val="15"/>
          <w:color w:val="auto"/>
        </w:rPr>
        <w:t>These amounts consist of assurance and related services that are reasonably related to the performance of the audit or review of our consolidated financial statements or internal control over financial reporting. For 2023, these services included certifications and attestation reports related to certain financial and non-financial information for specific client requirements and government subsidies for certain of our foreign subsidiaries and other miscellaneous services. For 2022, these services included certifications and attestation reports related to certain financial and non-financial information for specific client requirements and government subsidies for certain of our foreign subsidiaries, sustainability advisory services related to advice and recommendations regarding management’s ESG program and other miscellaneous services.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Tax Fees</w:t>
      </w:r>
    </w:p>
    <w:p>
      <w:pPr>
        <w:spacing w:after="0" w:line="98" w:lineRule="exact"/>
        <w:rPr>
          <w:sz w:val="20"/>
          <w:szCs w:val="20"/>
          <w:color w:val="auto"/>
        </w:rPr>
      </w:pPr>
    </w:p>
    <w:p>
      <w:pPr>
        <w:ind w:left="180" w:right="180"/>
        <w:spacing w:after="0" w:line="236" w:lineRule="auto"/>
        <w:rPr>
          <w:sz w:val="20"/>
          <w:szCs w:val="20"/>
          <w:color w:val="auto"/>
        </w:rPr>
      </w:pPr>
      <w:r>
        <w:rPr>
          <w:rFonts w:ascii="Arial" w:cs="Arial" w:eastAsia="Arial" w:hAnsi="Arial"/>
          <w:sz w:val="15"/>
          <w:szCs w:val="15"/>
          <w:color w:val="auto"/>
        </w:rPr>
        <w:t>Tax fees generally consist of tax compliance and return preparation and tax planning and advice. For 2023, these services included U.S. federal, state, local and international tax research and consultation services, services related to U.S. foreign tax credit and expense apportionment research and consultation and tax compliance and transfer pricing services. For 2022, these services included U.S. federal, state, local and international tax research and consultation services, services related to U.S. foreign tax credit and expense apportionment research and consultation and tax compliance and transfer pricing services.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5D89B4"/>
        </w:rPr>
        <w:t>All Other Fees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All other fees consist of permitted services other than those that meet the criteria above. There were no other fees incurred for 2023 and 2022.</w:t>
      </w:r>
    </w:p>
    <w:p>
      <w:pPr>
        <w:spacing w:after="0" w:line="389"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Independent Auditor Services Policy</w:t>
      </w:r>
    </w:p>
    <w:p>
      <w:pPr>
        <w:spacing w:after="0" w:line="346" w:lineRule="exact"/>
        <w:rPr>
          <w:sz w:val="20"/>
          <w:szCs w:val="20"/>
          <w:color w:val="auto"/>
        </w:rPr>
      </w:pPr>
    </w:p>
    <w:p>
      <w:pPr>
        <w:ind w:left="180" w:right="160"/>
        <w:spacing w:after="0" w:line="236" w:lineRule="auto"/>
        <w:rPr>
          <w:sz w:val="20"/>
          <w:szCs w:val="20"/>
          <w:color w:val="auto"/>
        </w:rPr>
      </w:pPr>
      <w:r>
        <w:rPr>
          <w:rFonts w:ascii="Arial" w:cs="Arial" w:eastAsia="Arial" w:hAnsi="Arial"/>
          <w:sz w:val="15"/>
          <w:szCs w:val="15"/>
          <w:color w:val="auto"/>
        </w:rPr>
        <w:t>We have an Independent Auditor Services Policy that we review on an annual basis. The policy sets forth the types of services that we may and may not engage our auditors to provide, the approval requirements for permitted services and related disclosure and reporting standards. A copy of the policy is available on our web site at http://investor.manpowergroup.com/governance. Each of the services described under the headings “Audit-Related Fees” and “Tax Fees” was approved during 2023 and 2022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97155</wp:posOffset>
            </wp:positionV>
            <wp:extent cx="69138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Security Ownership of Certain Beneficial Owners</w:t>
      </w:r>
    </w:p>
    <w:p>
      <w:pPr>
        <w:spacing w:after="0" w:line="346" w:lineRule="exact"/>
        <w:rPr>
          <w:sz w:val="20"/>
          <w:szCs w:val="20"/>
          <w:color w:val="auto"/>
        </w:rPr>
      </w:pPr>
    </w:p>
    <w:p>
      <w:pPr>
        <w:ind w:left="180" w:right="80"/>
        <w:spacing w:after="0" w:line="259" w:lineRule="auto"/>
        <w:rPr>
          <w:sz w:val="20"/>
          <w:szCs w:val="20"/>
          <w:color w:val="auto"/>
        </w:rPr>
      </w:pPr>
      <w:r>
        <w:rPr>
          <w:rFonts w:ascii="Arial" w:cs="Arial" w:eastAsia="Arial" w:hAnsi="Arial"/>
          <w:sz w:val="15"/>
          <w:szCs w:val="15"/>
          <w:color w:val="auto"/>
        </w:rPr>
        <w:t>The following table lists as of the record date (except as noted below) information as to the persons believed by us to be beneficial owners of more than 5% of our outstanding common stock:</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260" w:type="dxa"/>
            <w:vAlign w:val="bottom"/>
            <w:vMerge w:val="restart"/>
            <w:shd w:val="clear" w:color="auto" w:fill="EAEAEA"/>
          </w:tcPr>
          <w:p>
            <w:pPr>
              <w:ind w:left="80"/>
              <w:spacing w:after="0"/>
              <w:rPr>
                <w:sz w:val="20"/>
                <w:szCs w:val="20"/>
                <w:color w:val="auto"/>
              </w:rPr>
            </w:pPr>
            <w:r>
              <w:rPr>
                <w:rFonts w:ascii="Arial" w:cs="Arial" w:eastAsia="Arial" w:hAnsi="Arial"/>
                <w:sz w:val="14"/>
                <w:szCs w:val="14"/>
                <w:b w:val="1"/>
                <w:bCs w:val="1"/>
                <w:color w:val="5D89B4"/>
              </w:rPr>
              <w:t>NAME AND ADDRESS OF</w:t>
            </w:r>
          </w:p>
        </w:tc>
        <w:tc>
          <w:tcPr>
            <w:tcW w:w="3740" w:type="dxa"/>
            <w:vAlign w:val="bottom"/>
            <w:shd w:val="clear" w:color="auto" w:fill="EAEAEA"/>
          </w:tcPr>
          <w:p>
            <w:pPr>
              <w:spacing w:after="0"/>
              <w:rPr>
                <w:sz w:val="18"/>
                <w:szCs w:val="18"/>
                <w:color w:val="auto"/>
              </w:rPr>
            </w:pPr>
          </w:p>
        </w:tc>
        <w:tc>
          <w:tcPr>
            <w:tcW w:w="188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 </w:t>
            </w:r>
          </w:p>
        </w:tc>
        <w:tc>
          <w:tcPr>
            <w:tcW w:w="0" w:type="dxa"/>
            <w:vAlign w:val="bottom"/>
          </w:tcPr>
          <w:p>
            <w:pPr>
              <w:spacing w:after="0"/>
              <w:rPr>
                <w:sz w:val="1"/>
                <w:szCs w:val="1"/>
                <w:color w:val="auto"/>
              </w:rPr>
            </w:pPr>
          </w:p>
        </w:tc>
      </w:tr>
      <w:tr>
        <w:trPr>
          <w:trHeight w:val="147"/>
        </w:trPr>
        <w:tc>
          <w:tcPr>
            <w:tcW w:w="5260" w:type="dxa"/>
            <w:vAlign w:val="bottom"/>
            <w:vMerge w:val="continue"/>
            <w:shd w:val="clear" w:color="auto" w:fill="EAEAEA"/>
          </w:tcPr>
          <w:p>
            <w:pPr>
              <w:spacing w:after="0"/>
              <w:rPr>
                <w:sz w:val="12"/>
                <w:szCs w:val="12"/>
                <w:color w:val="auto"/>
              </w:rPr>
            </w:pPr>
          </w:p>
        </w:tc>
        <w:tc>
          <w:tcPr>
            <w:tcW w:w="3740" w:type="dxa"/>
            <w:vAlign w:val="bottom"/>
            <w:shd w:val="clear" w:color="auto" w:fill="EAEAEA"/>
          </w:tcPr>
          <w:p>
            <w:pPr>
              <w:jc w:val="right"/>
              <w:ind w:right="646"/>
              <w:spacing w:after="0" w:line="147" w:lineRule="exact"/>
              <w:rPr>
                <w:sz w:val="20"/>
                <w:szCs w:val="20"/>
                <w:color w:val="auto"/>
              </w:rPr>
            </w:pPr>
            <w:r>
              <w:rPr>
                <w:rFonts w:ascii="Arial" w:cs="Arial" w:eastAsia="Arial" w:hAnsi="Arial"/>
                <w:sz w:val="14"/>
                <w:szCs w:val="14"/>
                <w:b w:val="1"/>
                <w:bCs w:val="1"/>
                <w:color w:val="5D89B4"/>
              </w:rPr>
              <w:t>AMOUNT AND NATURE OF</w:t>
            </w:r>
          </w:p>
        </w:tc>
        <w:tc>
          <w:tcPr>
            <w:tcW w:w="1880" w:type="dxa"/>
            <w:vAlign w:val="bottom"/>
            <w:shd w:val="clear" w:color="auto" w:fill="EAEAEA"/>
          </w:tcPr>
          <w:p>
            <w:pPr>
              <w:jc w:val="right"/>
              <w:ind w:right="366"/>
              <w:spacing w:after="0" w:line="147" w:lineRule="exact"/>
              <w:rPr>
                <w:sz w:val="20"/>
                <w:szCs w:val="20"/>
                <w:color w:val="auto"/>
              </w:rPr>
            </w:pPr>
            <w:r>
              <w:rPr>
                <w:rFonts w:ascii="Arial" w:cs="Arial" w:eastAsia="Arial" w:hAnsi="Arial"/>
                <w:sz w:val="14"/>
                <w:szCs w:val="14"/>
                <w:b w:val="1"/>
                <w:bCs w:val="1"/>
                <w:color w:val="5D89B4"/>
              </w:rPr>
              <w:t>PERCENT OF</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BENEFICIAL OWNERS</w:t>
            </w:r>
          </w:p>
        </w:tc>
        <w:tc>
          <w:tcPr>
            <w:tcW w:w="3740" w:type="dxa"/>
            <w:vAlign w:val="bottom"/>
            <w:tcBorders>
              <w:bottom w:val="single" w:sz="8" w:color="EAEAEA"/>
            </w:tcBorders>
            <w:shd w:val="clear" w:color="auto" w:fill="EAEAEA"/>
          </w:tcPr>
          <w:p>
            <w:pPr>
              <w:jc w:val="right"/>
              <w:ind w:right="646"/>
              <w:spacing w:after="0"/>
              <w:rPr>
                <w:sz w:val="20"/>
                <w:szCs w:val="20"/>
                <w:color w:val="auto"/>
              </w:rPr>
            </w:pPr>
            <w:r>
              <w:rPr>
                <w:rFonts w:ascii="Arial" w:cs="Arial" w:eastAsia="Arial" w:hAnsi="Arial"/>
                <w:sz w:val="14"/>
                <w:szCs w:val="14"/>
                <w:b w:val="1"/>
                <w:bCs w:val="1"/>
                <w:color w:val="5D89B4"/>
              </w:rPr>
              <w:t>BENEFICIAL OWNERSHIP</w:t>
            </w:r>
          </w:p>
        </w:tc>
        <w:tc>
          <w:tcPr>
            <w:tcW w:w="188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 xml:space="preserve">  CLASS(1) </w:t>
            </w:r>
          </w:p>
        </w:tc>
        <w:tc>
          <w:tcPr>
            <w:tcW w:w="0" w:type="dxa"/>
            <w:vAlign w:val="bottom"/>
          </w:tcPr>
          <w:p>
            <w:pPr>
              <w:spacing w:after="0"/>
              <w:rPr>
                <w:sz w:val="1"/>
                <w:szCs w:val="1"/>
                <w:color w:val="auto"/>
              </w:rPr>
            </w:pPr>
          </w:p>
        </w:tc>
      </w:tr>
      <w:tr>
        <w:trPr>
          <w:trHeight w:val="218"/>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Vanguard Group, Inc.</w:t>
            </w: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100 Vanguard Boulevard</w:t>
            </w:r>
          </w:p>
        </w:tc>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Malvern, PA 19355</w:t>
            </w:r>
          </w:p>
        </w:tc>
        <w:tc>
          <w:tcPr>
            <w:tcW w:w="3740" w:type="dxa"/>
            <w:vAlign w:val="bottom"/>
          </w:tcPr>
          <w:p>
            <w:pPr>
              <w:jc w:val="right"/>
              <w:ind w:right="466"/>
              <w:spacing w:after="0"/>
              <w:rPr>
                <w:sz w:val="20"/>
                <w:szCs w:val="20"/>
                <w:color w:val="auto"/>
              </w:rPr>
            </w:pPr>
            <w:r>
              <w:rPr>
                <w:rFonts w:ascii="Arial" w:cs="Arial" w:eastAsia="Arial" w:hAnsi="Arial"/>
                <w:sz w:val="15"/>
                <w:szCs w:val="15"/>
                <w:color w:val="auto"/>
              </w:rPr>
              <w:t>6,912,219(2)</w:t>
            </w:r>
          </w:p>
        </w:tc>
        <w:tc>
          <w:tcPr>
            <w:tcW w:w="1880" w:type="dxa"/>
            <w:vAlign w:val="bottom"/>
          </w:tcPr>
          <w:p>
            <w:pPr>
              <w:jc w:val="right"/>
              <w:ind w:right="166"/>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45"/>
        </w:trPr>
        <w:tc>
          <w:tcPr>
            <w:tcW w:w="5260" w:type="dxa"/>
            <w:vAlign w:val="bottom"/>
            <w:tcBorders>
              <w:bottom w:val="single" w:sz="8" w:color="5D89B4"/>
            </w:tcBorders>
          </w:tcPr>
          <w:p>
            <w:pPr>
              <w:spacing w:after="0"/>
              <w:rPr>
                <w:sz w:val="3"/>
                <w:szCs w:val="3"/>
                <w:color w:val="auto"/>
              </w:rPr>
            </w:pPr>
          </w:p>
        </w:tc>
        <w:tc>
          <w:tcPr>
            <w:tcW w:w="374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BlackRock, Inc.</w:t>
            </w: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50 Hudson Yards</w:t>
            </w:r>
          </w:p>
        </w:tc>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New York, NY 10001</w:t>
            </w:r>
          </w:p>
        </w:tc>
        <w:tc>
          <w:tcPr>
            <w:tcW w:w="3740" w:type="dxa"/>
            <w:vAlign w:val="bottom"/>
          </w:tcPr>
          <w:p>
            <w:pPr>
              <w:jc w:val="right"/>
              <w:ind w:right="466"/>
              <w:spacing w:after="0"/>
              <w:rPr>
                <w:sz w:val="20"/>
                <w:szCs w:val="20"/>
                <w:color w:val="auto"/>
              </w:rPr>
            </w:pPr>
            <w:r>
              <w:rPr>
                <w:rFonts w:ascii="Arial" w:cs="Arial" w:eastAsia="Arial" w:hAnsi="Arial"/>
                <w:sz w:val="15"/>
                <w:szCs w:val="15"/>
                <w:color w:val="auto"/>
              </w:rPr>
              <w:t>5,075,345(3)</w:t>
            </w:r>
          </w:p>
        </w:tc>
        <w:tc>
          <w:tcPr>
            <w:tcW w:w="1880" w:type="dxa"/>
            <w:vAlign w:val="bottom"/>
          </w:tcPr>
          <w:p>
            <w:pPr>
              <w:jc w:val="right"/>
              <w:ind w:right="166"/>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45"/>
        </w:trPr>
        <w:tc>
          <w:tcPr>
            <w:tcW w:w="5260" w:type="dxa"/>
            <w:vAlign w:val="bottom"/>
            <w:tcBorders>
              <w:bottom w:val="single" w:sz="8" w:color="5D89B4"/>
            </w:tcBorders>
          </w:tcPr>
          <w:p>
            <w:pPr>
              <w:spacing w:after="0"/>
              <w:rPr>
                <w:sz w:val="3"/>
                <w:szCs w:val="3"/>
                <w:color w:val="auto"/>
              </w:rPr>
            </w:pPr>
          </w:p>
        </w:tc>
        <w:tc>
          <w:tcPr>
            <w:tcW w:w="374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Victory Capital Management Inc.</w:t>
            </w: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4900 Tiedeman Rd., 4th Floor</w:t>
            </w:r>
          </w:p>
        </w:tc>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Brooklyn, OH 44144</w:t>
            </w:r>
          </w:p>
        </w:tc>
        <w:tc>
          <w:tcPr>
            <w:tcW w:w="3740" w:type="dxa"/>
            <w:vAlign w:val="bottom"/>
          </w:tcPr>
          <w:p>
            <w:pPr>
              <w:jc w:val="right"/>
              <w:ind w:right="466"/>
              <w:spacing w:after="0"/>
              <w:rPr>
                <w:sz w:val="20"/>
                <w:szCs w:val="20"/>
                <w:color w:val="auto"/>
              </w:rPr>
            </w:pPr>
            <w:r>
              <w:rPr>
                <w:rFonts w:ascii="Arial" w:cs="Arial" w:eastAsia="Arial" w:hAnsi="Arial"/>
                <w:sz w:val="15"/>
                <w:szCs w:val="15"/>
                <w:color w:val="auto"/>
              </w:rPr>
              <w:t>3,759,889(4)</w:t>
            </w:r>
          </w:p>
        </w:tc>
        <w:tc>
          <w:tcPr>
            <w:tcW w:w="1880" w:type="dxa"/>
            <w:vAlign w:val="bottom"/>
          </w:tcPr>
          <w:p>
            <w:pPr>
              <w:jc w:val="right"/>
              <w:ind w:right="166"/>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45"/>
        </w:trPr>
        <w:tc>
          <w:tcPr>
            <w:tcW w:w="5260" w:type="dxa"/>
            <w:vAlign w:val="bottom"/>
            <w:tcBorders>
              <w:bottom w:val="single" w:sz="8" w:color="5D89B4"/>
            </w:tcBorders>
          </w:tcPr>
          <w:p>
            <w:pPr>
              <w:spacing w:after="0"/>
              <w:rPr>
                <w:sz w:val="3"/>
                <w:szCs w:val="3"/>
                <w:color w:val="auto"/>
              </w:rPr>
            </w:pPr>
          </w:p>
        </w:tc>
        <w:tc>
          <w:tcPr>
            <w:tcW w:w="374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Capital World Investors</w:t>
            </w: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333 South Hope Street, 55th Floor</w:t>
            </w:r>
          </w:p>
        </w:tc>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Los Angeles, CA 90071</w:t>
            </w:r>
          </w:p>
        </w:tc>
        <w:tc>
          <w:tcPr>
            <w:tcW w:w="3740" w:type="dxa"/>
            <w:vAlign w:val="bottom"/>
          </w:tcPr>
          <w:p>
            <w:pPr>
              <w:jc w:val="right"/>
              <w:ind w:right="466"/>
              <w:spacing w:after="0"/>
              <w:rPr>
                <w:sz w:val="20"/>
                <w:szCs w:val="20"/>
                <w:color w:val="auto"/>
              </w:rPr>
            </w:pPr>
            <w:r>
              <w:rPr>
                <w:rFonts w:ascii="Arial" w:cs="Arial" w:eastAsia="Arial" w:hAnsi="Arial"/>
                <w:sz w:val="15"/>
                <w:szCs w:val="15"/>
                <w:color w:val="auto"/>
              </w:rPr>
              <w:t>3,039,033(5)</w:t>
            </w:r>
          </w:p>
        </w:tc>
        <w:tc>
          <w:tcPr>
            <w:tcW w:w="1880" w:type="dxa"/>
            <w:vAlign w:val="bottom"/>
          </w:tcPr>
          <w:p>
            <w:pPr>
              <w:jc w:val="right"/>
              <w:ind w:right="166"/>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45"/>
        </w:trPr>
        <w:tc>
          <w:tcPr>
            <w:tcW w:w="5260" w:type="dxa"/>
            <w:vAlign w:val="bottom"/>
            <w:tcBorders>
              <w:bottom w:val="single" w:sz="8" w:color="5D89B4"/>
            </w:tcBorders>
          </w:tcPr>
          <w:p>
            <w:pPr>
              <w:spacing w:after="0"/>
              <w:rPr>
                <w:sz w:val="3"/>
                <w:szCs w:val="3"/>
                <w:color w:val="auto"/>
              </w:rPr>
            </w:pPr>
          </w:p>
        </w:tc>
        <w:tc>
          <w:tcPr>
            <w:tcW w:w="3740" w:type="dxa"/>
            <w:vAlign w:val="bottom"/>
            <w:tcBorders>
              <w:bottom w:val="single" w:sz="8" w:color="5D89B4"/>
            </w:tcBorders>
          </w:tcPr>
          <w:p>
            <w:pPr>
              <w:spacing w:after="0"/>
              <w:rPr>
                <w:sz w:val="3"/>
                <w:szCs w:val="3"/>
                <w:color w:val="auto"/>
              </w:rPr>
            </w:pPr>
          </w:p>
        </w:tc>
        <w:tc>
          <w:tcPr>
            <w:tcW w:w="188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600" w:hanging="420"/>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48,380,478 shares of common stock outstanding as of the record date.</w:t>
      </w:r>
    </w:p>
    <w:p>
      <w:pPr>
        <w:spacing w:after="0" w:line="79" w:lineRule="exact"/>
        <w:rPr>
          <w:rFonts w:ascii="Arial" w:cs="Arial" w:eastAsia="Arial" w:hAnsi="Arial"/>
          <w:sz w:val="14"/>
          <w:szCs w:val="14"/>
          <w:color w:val="auto"/>
        </w:rPr>
      </w:pPr>
    </w:p>
    <w:p>
      <w:pPr>
        <w:ind w:left="600" w:right="260" w:hanging="420"/>
        <w:spacing w:after="0" w:line="259"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13, 2024. According to this Schedule 13G, these securities are owned by various individual and institutional investors for which Vanguard Group, Inc. (“Vanguard”) serves as investment advisor. Vanguard has shared voting power with respect to 29,618 shares held, sole dispositive power with respect to 6,827,824 shares held and shared dispositive power with respect to 84,395 shares held.</w:t>
      </w:r>
    </w:p>
    <w:p>
      <w:pPr>
        <w:spacing w:after="0" w:line="39" w:lineRule="exact"/>
        <w:rPr>
          <w:rFonts w:ascii="Arial" w:cs="Arial" w:eastAsia="Arial" w:hAnsi="Arial"/>
          <w:sz w:val="14"/>
          <w:szCs w:val="14"/>
          <w:color w:val="auto"/>
        </w:rPr>
      </w:pPr>
    </w:p>
    <w:p>
      <w:pPr>
        <w:ind w:left="600" w:right="40" w:hanging="420"/>
        <w:spacing w:after="0" w:line="245"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March 7, 2024 by BlackRock, Inc. on its behalf and on behalf of its following affiliates: BlackRock Life Limited, BlackRock Advisors, LLC, Aperio Group, LLC, BlackRock (Netherlands) B.V., BlackRock Fund Advisors,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Advisors (UK) Limited, BlackRock Fund Managers Ltd. According to this Schedule 13G, these securities are owned of record by BlackRock, Inc. BlackRock, Inc. has sole voting power with respect to 4,852,241 shares held and sole dispositive power with respect to 5,075,345 shares held.</w:t>
      </w:r>
    </w:p>
    <w:p>
      <w:pPr>
        <w:spacing w:after="0" w:line="90" w:lineRule="exact"/>
        <w:rPr>
          <w:rFonts w:ascii="Arial" w:cs="Arial" w:eastAsia="Arial" w:hAnsi="Arial"/>
          <w:sz w:val="14"/>
          <w:szCs w:val="14"/>
          <w:color w:val="auto"/>
        </w:rPr>
      </w:pPr>
    </w:p>
    <w:p>
      <w:pPr>
        <w:ind w:left="600" w:right="80" w:hanging="420"/>
        <w:spacing w:after="0" w:line="249"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6, 2024. According to this Schedule 13G, 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therein, and no client has the right to receive or the power to direct the receipt of dividends from, or the proceeds from the sale of, more than 5% of such class. Victory has sole voting power with respect to 3,696,389 shares held and sole dispositive power with respect to 3,759,889 shares held.</w:t>
      </w:r>
    </w:p>
    <w:p>
      <w:pPr>
        <w:spacing w:after="0" w:line="85" w:lineRule="exact"/>
        <w:rPr>
          <w:rFonts w:ascii="Arial" w:cs="Arial" w:eastAsia="Arial" w:hAnsi="Arial"/>
          <w:sz w:val="14"/>
          <w:szCs w:val="14"/>
          <w:color w:val="auto"/>
        </w:rPr>
      </w:pPr>
    </w:p>
    <w:p>
      <w:pPr>
        <w:ind w:left="600" w:right="240" w:hanging="420"/>
        <w:spacing w:after="0" w:line="246"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9, 2024. According to this Schedule 13G, these securities are owned by Capital World Investors (“CWI”),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has sole voting power with respect to 3,039,033 shares held and sole dispositive power with respect to 3,039,033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97155</wp:posOffset>
            </wp:positionV>
            <wp:extent cx="69138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1"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1040"/>
        <w:spacing w:after="0" w:line="286" w:lineRule="auto"/>
        <w:rPr>
          <w:sz w:val="20"/>
          <w:szCs w:val="20"/>
          <w:color w:val="auto"/>
        </w:rPr>
      </w:pPr>
      <w:r>
        <w:rPr>
          <w:rFonts w:ascii="Arial" w:cs="Arial" w:eastAsia="Arial" w:hAnsi="Arial"/>
          <w:sz w:val="43"/>
          <w:szCs w:val="43"/>
          <w:b w:val="1"/>
          <w:bCs w:val="1"/>
          <w:color w:val="5D89B4"/>
        </w:rPr>
        <w:t>Beneficial Ownership of Directors and Executive Officers</w:t>
      </w:r>
    </w:p>
    <w:p>
      <w:pPr>
        <w:spacing w:after="0" w:line="155" w:lineRule="exact"/>
        <w:rPr>
          <w:sz w:val="20"/>
          <w:szCs w:val="20"/>
          <w:color w:val="auto"/>
        </w:rPr>
      </w:pPr>
    </w:p>
    <w:p>
      <w:pPr>
        <w:ind w:left="180" w:right="120"/>
        <w:spacing w:after="0" w:line="241" w:lineRule="auto"/>
        <w:rPr>
          <w:sz w:val="20"/>
          <w:szCs w:val="20"/>
          <w:color w:val="auto"/>
        </w:rPr>
      </w:pPr>
      <w:r>
        <w:rPr>
          <w:rFonts w:ascii="Arial" w:cs="Arial" w:eastAsia="Arial" w:hAnsi="Arial"/>
          <w:sz w:val="15"/>
          <w:szCs w:val="15"/>
          <w:color w:val="auto"/>
        </w:rPr>
        <w:t>Set forth in the table below, as of February 23, 2024,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23, 2024 by such persons.</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4980" w:type="dxa"/>
            <w:vAlign w:val="bottom"/>
            <w:shd w:val="clear" w:color="auto" w:fill="EAEAEA"/>
          </w:tcPr>
          <w:p>
            <w:pPr>
              <w:spacing w:after="0"/>
              <w:rPr>
                <w:sz w:val="18"/>
                <w:szCs w:val="18"/>
                <w:color w:val="auto"/>
              </w:rPr>
            </w:pPr>
          </w:p>
        </w:tc>
        <w:tc>
          <w:tcPr>
            <w:tcW w:w="2360" w:type="dxa"/>
            <w:vAlign w:val="bottom"/>
            <w:shd w:val="clear" w:color="auto" w:fill="EAEAEA"/>
          </w:tcPr>
          <w:p>
            <w:pPr>
              <w:jc w:val="right"/>
              <w:ind w:right="325"/>
              <w:spacing w:after="0"/>
              <w:rPr>
                <w:sz w:val="20"/>
                <w:szCs w:val="20"/>
                <w:color w:val="auto"/>
              </w:rPr>
            </w:pPr>
            <w:r>
              <w:rPr>
                <w:rFonts w:ascii="Arial" w:cs="Arial" w:eastAsia="Arial" w:hAnsi="Arial"/>
                <w:sz w:val="14"/>
                <w:szCs w:val="14"/>
                <w:b w:val="1"/>
                <w:bCs w:val="1"/>
                <w:color w:val="5D89B4"/>
              </w:rPr>
              <w:t>COMMON STOCK</w:t>
            </w:r>
          </w:p>
        </w:tc>
        <w:tc>
          <w:tcPr>
            <w:tcW w:w="1980" w:type="dxa"/>
            <w:vAlign w:val="bottom"/>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RIGHT TO</w:t>
            </w:r>
          </w:p>
        </w:tc>
        <w:tc>
          <w:tcPr>
            <w:tcW w:w="1560" w:type="dxa"/>
            <w:vAlign w:val="bottom"/>
            <w:shd w:val="clear" w:color="auto" w:fill="EAEAEA"/>
          </w:tcPr>
          <w:p>
            <w:pPr>
              <w:spacing w:after="0"/>
              <w:rPr>
                <w:sz w:val="18"/>
                <w:szCs w:val="18"/>
                <w:color w:val="auto"/>
              </w:rPr>
            </w:pPr>
          </w:p>
        </w:tc>
      </w:tr>
      <w:tr>
        <w:trPr>
          <w:trHeight w:val="160"/>
        </w:trPr>
        <w:tc>
          <w:tcPr>
            <w:tcW w:w="4980" w:type="dxa"/>
            <w:vAlign w:val="bottom"/>
            <w:shd w:val="clear" w:color="auto" w:fill="EAEAEA"/>
          </w:tcPr>
          <w:p>
            <w:pPr>
              <w:spacing w:after="0"/>
              <w:rPr>
                <w:sz w:val="13"/>
                <w:szCs w:val="13"/>
                <w:color w:val="auto"/>
              </w:rPr>
            </w:pPr>
          </w:p>
        </w:tc>
        <w:tc>
          <w:tcPr>
            <w:tcW w:w="2360" w:type="dxa"/>
            <w:vAlign w:val="bottom"/>
            <w:shd w:val="clear" w:color="auto" w:fill="EAEAEA"/>
          </w:tcPr>
          <w:p>
            <w:pPr>
              <w:jc w:val="right"/>
              <w:ind w:right="325"/>
              <w:spacing w:after="0"/>
              <w:rPr>
                <w:sz w:val="20"/>
                <w:szCs w:val="20"/>
                <w:color w:val="auto"/>
              </w:rPr>
            </w:pPr>
            <w:r>
              <w:rPr>
                <w:rFonts w:ascii="Arial" w:cs="Arial" w:eastAsia="Arial" w:hAnsi="Arial"/>
                <w:sz w:val="14"/>
                <w:szCs w:val="14"/>
                <w:b w:val="1"/>
                <w:bCs w:val="1"/>
                <w:color w:val="5D89B4"/>
              </w:rPr>
              <w:t>BENEFICIALLY</w:t>
            </w:r>
          </w:p>
        </w:tc>
        <w:tc>
          <w:tcPr>
            <w:tcW w:w="1980" w:type="dxa"/>
            <w:vAlign w:val="bottom"/>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ACQUIRE COMMON</w:t>
            </w:r>
          </w:p>
        </w:tc>
        <w:tc>
          <w:tcPr>
            <w:tcW w:w="1560" w:type="dxa"/>
            <w:vAlign w:val="bottom"/>
            <w:shd w:val="clear" w:color="auto" w:fill="EAEAEA"/>
          </w:tcPr>
          <w:p>
            <w:pPr>
              <w:jc w:val="right"/>
              <w:ind w:right="365"/>
              <w:spacing w:after="0"/>
              <w:rPr>
                <w:sz w:val="20"/>
                <w:szCs w:val="20"/>
                <w:color w:val="auto"/>
              </w:rPr>
            </w:pPr>
            <w:r>
              <w:rPr>
                <w:rFonts w:ascii="Arial" w:cs="Arial" w:eastAsia="Arial" w:hAnsi="Arial"/>
                <w:sz w:val="14"/>
                <w:szCs w:val="14"/>
                <w:b w:val="1"/>
                <w:bCs w:val="1"/>
                <w:color w:val="5D89B4"/>
              </w:rPr>
              <w:t>PERCENT OF</w:t>
            </w:r>
          </w:p>
        </w:tc>
      </w:tr>
      <w:tr>
        <w:trPr>
          <w:trHeight w:val="216"/>
        </w:trPr>
        <w:tc>
          <w:tcPr>
            <w:tcW w:w="49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BENEFICIAL OWNER</w:t>
            </w:r>
          </w:p>
        </w:tc>
        <w:tc>
          <w:tcPr>
            <w:tcW w:w="2360" w:type="dxa"/>
            <w:vAlign w:val="bottom"/>
            <w:tcBorders>
              <w:bottom w:val="single" w:sz="8" w:color="EAEAEA"/>
            </w:tcBorders>
            <w:shd w:val="clear" w:color="auto" w:fill="EAEAEA"/>
          </w:tcPr>
          <w:p>
            <w:pPr>
              <w:jc w:val="right"/>
              <w:ind w:right="325"/>
              <w:spacing w:after="0"/>
              <w:rPr>
                <w:sz w:val="20"/>
                <w:szCs w:val="20"/>
                <w:color w:val="auto"/>
              </w:rPr>
            </w:pPr>
            <w:r>
              <w:rPr>
                <w:rFonts w:ascii="Arial" w:cs="Arial" w:eastAsia="Arial" w:hAnsi="Arial"/>
                <w:sz w:val="14"/>
                <w:szCs w:val="14"/>
                <w:b w:val="1"/>
                <w:bCs w:val="1"/>
                <w:color w:val="5D89B4"/>
              </w:rPr>
              <w:t>OWNED(1)(3)</w:t>
            </w:r>
          </w:p>
        </w:tc>
        <w:tc>
          <w:tcPr>
            <w:tcW w:w="198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STOCK(1)(2)</w:t>
            </w:r>
          </w:p>
        </w:tc>
        <w:tc>
          <w:tcPr>
            <w:tcW w:w="1560" w:type="dxa"/>
            <w:vAlign w:val="bottom"/>
            <w:tcBorders>
              <w:bottom w:val="single" w:sz="8" w:color="EAEAEA"/>
            </w:tcBorders>
            <w:shd w:val="clear" w:color="auto" w:fill="EAEAEA"/>
          </w:tcPr>
          <w:p>
            <w:pPr>
              <w:jc w:val="right"/>
              <w:ind w:right="365"/>
              <w:spacing w:after="0"/>
              <w:rPr>
                <w:sz w:val="20"/>
                <w:szCs w:val="20"/>
                <w:color w:val="auto"/>
              </w:rPr>
            </w:pPr>
            <w:r>
              <w:rPr>
                <w:rFonts w:ascii="Arial" w:cs="Arial" w:eastAsia="Arial" w:hAnsi="Arial"/>
                <w:sz w:val="14"/>
                <w:szCs w:val="14"/>
                <w:b w:val="1"/>
                <w:bCs w:val="1"/>
                <w:color w:val="5D89B4"/>
              </w:rPr>
              <w:t>CLASS</w:t>
            </w:r>
          </w:p>
        </w:tc>
      </w:tr>
      <w:tr>
        <w:trPr>
          <w:trHeight w:val="25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990,639</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553,387</w:t>
            </w:r>
          </w:p>
        </w:tc>
        <w:tc>
          <w:tcPr>
            <w:tcW w:w="1560" w:type="dxa"/>
            <w:vAlign w:val="bottom"/>
          </w:tcPr>
          <w:p>
            <w:pPr>
              <w:jc w:val="right"/>
              <w:ind w:right="245"/>
              <w:spacing w:after="0"/>
              <w:rPr>
                <w:sz w:val="20"/>
                <w:szCs w:val="20"/>
                <w:color w:val="auto"/>
              </w:rPr>
            </w:pPr>
            <w:r>
              <w:rPr>
                <w:rFonts w:ascii="Arial" w:cs="Arial" w:eastAsia="Arial" w:hAnsi="Arial"/>
                <w:sz w:val="15"/>
                <w:szCs w:val="15"/>
                <w:color w:val="auto"/>
              </w:rPr>
              <w:t>2.0%</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61,275</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41,155</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2,237</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31,450</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2,265</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16,527</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4,085</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196,265</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133,626</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57,923</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28,380</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10,752</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Muriel Pénicaud</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18,290</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30,337</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16,495</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365"/>
              <w:spacing w:after="0"/>
              <w:rPr>
                <w:sz w:val="20"/>
                <w:szCs w:val="20"/>
                <w:color w:val="auto"/>
              </w:rPr>
            </w:pPr>
            <w:r>
              <w:rPr>
                <w:rFonts w:ascii="Arial" w:cs="Arial" w:eastAsia="Arial" w:hAnsi="Arial"/>
                <w:sz w:val="15"/>
                <w:szCs w:val="15"/>
                <w:color w:val="auto"/>
              </w:rPr>
              <w:t>*</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r>
        <w:trPr>
          <w:trHeight w:val="232"/>
        </w:trPr>
        <w:tc>
          <w:tcPr>
            <w:tcW w:w="4980" w:type="dxa"/>
            <w:vAlign w:val="bottom"/>
          </w:tcPr>
          <w:p>
            <w:pPr>
              <w:ind w:left="80"/>
              <w:spacing w:after="0"/>
              <w:rPr>
                <w:sz w:val="20"/>
                <w:szCs w:val="20"/>
                <w:color w:val="auto"/>
              </w:rPr>
            </w:pPr>
            <w:r>
              <w:rPr>
                <w:rFonts w:ascii="Arial" w:cs="Arial" w:eastAsia="Arial" w:hAnsi="Arial"/>
                <w:sz w:val="14"/>
                <w:szCs w:val="14"/>
                <w:b w:val="1"/>
                <w:bCs w:val="1"/>
                <w:color w:val="auto"/>
              </w:rPr>
              <w:t>All directors and executive officers as a group (15 persons)</w:t>
            </w:r>
          </w:p>
        </w:tc>
        <w:tc>
          <w:tcPr>
            <w:tcW w:w="2360" w:type="dxa"/>
            <w:vAlign w:val="bottom"/>
          </w:tcPr>
          <w:p>
            <w:pPr>
              <w:jc w:val="right"/>
              <w:ind w:right="325"/>
              <w:spacing w:after="0"/>
              <w:rPr>
                <w:sz w:val="20"/>
                <w:szCs w:val="20"/>
                <w:color w:val="auto"/>
              </w:rPr>
            </w:pPr>
            <w:r>
              <w:rPr>
                <w:rFonts w:ascii="Arial" w:cs="Arial" w:eastAsia="Arial" w:hAnsi="Arial"/>
                <w:sz w:val="15"/>
                <w:szCs w:val="15"/>
                <w:color w:val="auto"/>
              </w:rPr>
              <w:t>1,438,540</w:t>
            </w:r>
          </w:p>
        </w:tc>
        <w:tc>
          <w:tcPr>
            <w:tcW w:w="1980" w:type="dxa"/>
            <w:vAlign w:val="bottom"/>
          </w:tcPr>
          <w:p>
            <w:pPr>
              <w:jc w:val="right"/>
              <w:ind w:right="125"/>
              <w:spacing w:after="0"/>
              <w:rPr>
                <w:sz w:val="20"/>
                <w:szCs w:val="20"/>
                <w:color w:val="auto"/>
              </w:rPr>
            </w:pPr>
            <w:r>
              <w:rPr>
                <w:rFonts w:ascii="Arial" w:cs="Arial" w:eastAsia="Arial" w:hAnsi="Arial"/>
                <w:sz w:val="15"/>
                <w:szCs w:val="15"/>
                <w:color w:val="auto"/>
              </w:rPr>
              <w:t>756,548</w:t>
            </w:r>
          </w:p>
        </w:tc>
        <w:tc>
          <w:tcPr>
            <w:tcW w:w="1560" w:type="dxa"/>
            <w:vAlign w:val="bottom"/>
          </w:tcPr>
          <w:p>
            <w:pPr>
              <w:jc w:val="right"/>
              <w:ind w:right="245"/>
              <w:spacing w:after="0"/>
              <w:rPr>
                <w:sz w:val="20"/>
                <w:szCs w:val="20"/>
                <w:color w:val="auto"/>
              </w:rPr>
            </w:pPr>
            <w:r>
              <w:rPr>
                <w:rFonts w:ascii="Arial" w:cs="Arial" w:eastAsia="Arial" w:hAnsi="Arial"/>
                <w:sz w:val="15"/>
                <w:szCs w:val="15"/>
                <w:color w:val="auto"/>
              </w:rPr>
              <w:t>3.0%</w:t>
            </w:r>
          </w:p>
        </w:tc>
      </w:tr>
      <w:tr>
        <w:trPr>
          <w:trHeight w:val="41"/>
        </w:trPr>
        <w:tc>
          <w:tcPr>
            <w:tcW w:w="4980" w:type="dxa"/>
            <w:vAlign w:val="bottom"/>
            <w:tcBorders>
              <w:bottom w:val="single" w:sz="8" w:color="5D89B4"/>
            </w:tcBorders>
          </w:tcPr>
          <w:p>
            <w:pPr>
              <w:spacing w:after="0"/>
              <w:rPr>
                <w:sz w:val="3"/>
                <w:szCs w:val="3"/>
                <w:color w:val="auto"/>
              </w:rPr>
            </w:pPr>
          </w:p>
        </w:tc>
        <w:tc>
          <w:tcPr>
            <w:tcW w:w="236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56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hanging="420"/>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6" w:lineRule="exact"/>
        <w:rPr>
          <w:sz w:val="20"/>
          <w:szCs w:val="20"/>
          <w:color w:val="auto"/>
        </w:rPr>
      </w:pPr>
    </w:p>
    <w:p>
      <w:pPr>
        <w:ind w:left="600" w:right="120" w:hanging="420"/>
        <w:spacing w:after="0" w:line="280"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80645</wp:posOffset>
            </wp:positionV>
            <wp:extent cx="69138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3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BENEFICIAL OWNERSHIP OF DIRECTORS AND EXECUTIVE OFFICERS</w:t>
      </w:r>
    </w:p>
    <w:p>
      <w:pPr>
        <w:spacing w:after="0" w:line="154" w:lineRule="exact"/>
        <w:rPr>
          <w:sz w:val="20"/>
          <w:szCs w:val="20"/>
          <w:color w:val="auto"/>
        </w:rPr>
      </w:pPr>
    </w:p>
    <w:p>
      <w:pPr>
        <w:ind w:left="600" w:hanging="420"/>
        <w:spacing w:after="0" w:line="259"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p>
    <w:p>
      <w:pPr>
        <w:spacing w:after="0" w:line="209"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7380" w:type="dxa"/>
            <w:vAlign w:val="bottom"/>
            <w:shd w:val="clear" w:color="auto" w:fill="EAEAEA"/>
          </w:tcPr>
          <w:p>
            <w:pPr>
              <w:spacing w:after="0"/>
              <w:rPr>
                <w:sz w:val="18"/>
                <w:szCs w:val="18"/>
                <w:color w:val="auto"/>
              </w:rPr>
            </w:pPr>
          </w:p>
        </w:tc>
        <w:tc>
          <w:tcPr>
            <w:tcW w:w="262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VESTED DEFERRED</w:t>
            </w:r>
          </w:p>
        </w:tc>
      </w:tr>
      <w:tr>
        <w:trPr>
          <w:trHeight w:val="216"/>
        </w:trPr>
        <w:tc>
          <w:tcPr>
            <w:tcW w:w="73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6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w:t>
            </w:r>
          </w:p>
        </w:tc>
      </w:tr>
      <w:tr>
        <w:trPr>
          <w:trHeight w:val="25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620" w:type="dxa"/>
            <w:vAlign w:val="bottom"/>
          </w:tcPr>
          <w:p>
            <w:pPr>
              <w:jc w:val="right"/>
              <w:spacing w:after="0"/>
              <w:rPr>
                <w:sz w:val="20"/>
                <w:szCs w:val="20"/>
                <w:color w:val="auto"/>
              </w:rPr>
            </w:pPr>
            <w:r>
              <w:rPr>
                <w:rFonts w:ascii="Arial" w:cs="Arial" w:eastAsia="Arial" w:hAnsi="Arial"/>
                <w:sz w:val="15"/>
                <w:szCs w:val="15"/>
                <w:color w:val="auto"/>
              </w:rPr>
              <w:t>4,110</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620" w:type="dxa"/>
            <w:vAlign w:val="bottom"/>
          </w:tcPr>
          <w:p>
            <w:pPr>
              <w:jc w:val="right"/>
              <w:spacing w:after="0"/>
              <w:rPr>
                <w:sz w:val="20"/>
                <w:szCs w:val="20"/>
                <w:color w:val="auto"/>
              </w:rPr>
            </w:pPr>
            <w:r>
              <w:rPr>
                <w:rFonts w:ascii="Arial" w:cs="Arial" w:eastAsia="Arial" w:hAnsi="Arial"/>
                <w:sz w:val="15"/>
                <w:szCs w:val="15"/>
                <w:color w:val="auto"/>
              </w:rPr>
              <w:t>31,637</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620" w:type="dxa"/>
            <w:vAlign w:val="bottom"/>
          </w:tcPr>
          <w:p>
            <w:pPr>
              <w:jc w:val="right"/>
              <w:spacing w:after="0"/>
              <w:rPr>
                <w:sz w:val="20"/>
                <w:szCs w:val="20"/>
                <w:color w:val="auto"/>
              </w:rPr>
            </w:pPr>
            <w:r>
              <w:rPr>
                <w:rFonts w:ascii="Arial" w:cs="Arial" w:eastAsia="Arial" w:hAnsi="Arial"/>
                <w:sz w:val="15"/>
                <w:szCs w:val="15"/>
                <w:color w:val="auto"/>
              </w:rPr>
              <w:t>20,719</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620" w:type="dxa"/>
            <w:vAlign w:val="bottom"/>
          </w:tcPr>
          <w:p>
            <w:pPr>
              <w:jc w:val="right"/>
              <w:spacing w:after="0"/>
              <w:rPr>
                <w:sz w:val="20"/>
                <w:szCs w:val="20"/>
                <w:color w:val="auto"/>
              </w:rPr>
            </w:pPr>
            <w:r>
              <w:rPr>
                <w:rFonts w:ascii="Arial" w:cs="Arial" w:eastAsia="Arial" w:hAnsi="Arial"/>
                <w:sz w:val="15"/>
                <w:szCs w:val="15"/>
                <w:color w:val="auto"/>
              </w:rPr>
              <w:t>10,472</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620" w:type="dxa"/>
            <w:vAlign w:val="bottom"/>
          </w:tcPr>
          <w:p>
            <w:pPr>
              <w:jc w:val="right"/>
              <w:spacing w:after="0"/>
              <w:rPr>
                <w:sz w:val="20"/>
                <w:szCs w:val="20"/>
                <w:color w:val="auto"/>
              </w:rPr>
            </w:pPr>
            <w:r>
              <w:rPr>
                <w:rFonts w:ascii="Arial" w:cs="Arial" w:eastAsia="Arial" w:hAnsi="Arial"/>
                <w:sz w:val="15"/>
                <w:szCs w:val="15"/>
                <w:color w:val="auto"/>
              </w:rPr>
              <w:t>4,793</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620" w:type="dxa"/>
            <w:vAlign w:val="bottom"/>
          </w:tcPr>
          <w:p>
            <w:pPr>
              <w:jc w:val="right"/>
              <w:spacing w:after="0"/>
              <w:rPr>
                <w:sz w:val="20"/>
                <w:szCs w:val="20"/>
                <w:color w:val="auto"/>
              </w:rPr>
            </w:pPr>
            <w:r>
              <w:rPr>
                <w:rFonts w:ascii="Arial" w:cs="Arial" w:eastAsia="Arial" w:hAnsi="Arial"/>
                <w:sz w:val="15"/>
                <w:szCs w:val="15"/>
                <w:color w:val="auto"/>
              </w:rPr>
              <w:t>19,168</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620" w:type="dxa"/>
            <w:vAlign w:val="bottom"/>
          </w:tcPr>
          <w:p>
            <w:pPr>
              <w:jc w:val="right"/>
              <w:spacing w:after="0"/>
              <w:rPr>
                <w:sz w:val="20"/>
                <w:szCs w:val="20"/>
                <w:color w:val="auto"/>
              </w:rPr>
            </w:pPr>
            <w:r>
              <w:rPr>
                <w:rFonts w:ascii="Arial" w:cs="Arial" w:eastAsia="Arial" w:hAnsi="Arial"/>
                <w:sz w:val="15"/>
                <w:szCs w:val="15"/>
                <w:color w:val="auto"/>
              </w:rPr>
              <w:t>5,616</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Muriel Pénicaud</w:t>
            </w:r>
          </w:p>
        </w:tc>
        <w:tc>
          <w:tcPr>
            <w:tcW w:w="2620" w:type="dxa"/>
            <w:vAlign w:val="bottom"/>
          </w:tcPr>
          <w:p>
            <w:pPr>
              <w:jc w:val="right"/>
              <w:spacing w:after="0"/>
              <w:rPr>
                <w:sz w:val="20"/>
                <w:szCs w:val="20"/>
                <w:color w:val="auto"/>
              </w:rPr>
            </w:pPr>
            <w:r>
              <w:rPr>
                <w:rFonts w:ascii="Arial" w:cs="Arial" w:eastAsia="Arial" w:hAnsi="Arial"/>
                <w:sz w:val="15"/>
                <w:szCs w:val="15"/>
                <w:color w:val="auto"/>
              </w:rPr>
              <w:t>2,298</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620" w:type="dxa"/>
            <w:vAlign w:val="bottom"/>
          </w:tcPr>
          <w:p>
            <w:pPr>
              <w:jc w:val="right"/>
              <w:spacing w:after="0"/>
              <w:rPr>
                <w:sz w:val="20"/>
                <w:szCs w:val="20"/>
                <w:color w:val="auto"/>
              </w:rPr>
            </w:pPr>
            <w:r>
              <w:rPr>
                <w:rFonts w:ascii="Arial" w:cs="Arial" w:eastAsia="Arial" w:hAnsi="Arial"/>
                <w:sz w:val="15"/>
                <w:szCs w:val="15"/>
                <w:color w:val="auto"/>
              </w:rPr>
              <w:t>1,506</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r>
        <w:trPr>
          <w:trHeight w:val="232"/>
        </w:trPr>
        <w:tc>
          <w:tcPr>
            <w:tcW w:w="738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620" w:type="dxa"/>
            <w:vAlign w:val="bottom"/>
          </w:tcPr>
          <w:p>
            <w:pPr>
              <w:jc w:val="right"/>
              <w:spacing w:after="0"/>
              <w:rPr>
                <w:sz w:val="20"/>
                <w:szCs w:val="20"/>
                <w:color w:val="auto"/>
              </w:rPr>
            </w:pPr>
            <w:r>
              <w:rPr>
                <w:rFonts w:ascii="Arial" w:cs="Arial" w:eastAsia="Arial" w:hAnsi="Arial"/>
                <w:sz w:val="15"/>
                <w:szCs w:val="15"/>
                <w:color w:val="auto"/>
              </w:rPr>
              <w:t>4,110</w:t>
            </w:r>
          </w:p>
        </w:tc>
      </w:tr>
      <w:tr>
        <w:trPr>
          <w:trHeight w:val="41"/>
        </w:trPr>
        <w:tc>
          <w:tcPr>
            <w:tcW w:w="7380" w:type="dxa"/>
            <w:vAlign w:val="bottom"/>
            <w:tcBorders>
              <w:bottom w:val="single" w:sz="8" w:color="5D89B4"/>
            </w:tcBorders>
          </w:tcPr>
          <w:p>
            <w:pPr>
              <w:spacing w:after="0"/>
              <w:rPr>
                <w:sz w:val="3"/>
                <w:szCs w:val="3"/>
                <w:color w:val="auto"/>
              </w:rPr>
            </w:pPr>
          </w:p>
        </w:tc>
        <w:tc>
          <w:tcPr>
            <w:tcW w:w="262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hanging="420"/>
        <w:spacing w:after="0" w:line="259" w:lineRule="auto"/>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table does not include 2,265 unvested shares of deferred stock, which will be settled in shares of ManpowerGroup common stock on a one-for-one basis, held by each of Mr. Courtois, Mr. Downe, Mr. Gipson, Ms. Howard, Mr. Payne, Ms. Pénicaud, and Mr. Van Handel that were issued under the 2011 Plan and the Terms and Conditions on January 1, 2024. These shares of deferred stock vest in equal quarterly installments during 2024.</w:t>
      </w:r>
    </w:p>
    <w:p>
      <w:pPr>
        <w:spacing w:after="0" w:line="79" w:lineRule="exact"/>
        <w:rPr>
          <w:sz w:val="20"/>
          <w:szCs w:val="20"/>
          <w:color w:val="auto"/>
        </w:rPr>
      </w:pPr>
    </w:p>
    <w:p>
      <w:pPr>
        <w:ind w:left="600" w:hanging="420"/>
        <w:spacing w:after="0"/>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vested RSUs.</w:t>
      </w:r>
    </w:p>
    <w:p>
      <w:pPr>
        <w:spacing w:after="0" w:line="119" w:lineRule="exact"/>
        <w:rPr>
          <w:rFonts w:ascii="Arial" w:cs="Arial" w:eastAsia="Arial" w:hAnsi="Arial"/>
          <w:sz w:val="14"/>
          <w:szCs w:val="14"/>
          <w:color w:val="auto"/>
        </w:rPr>
      </w:pPr>
    </w:p>
    <w:p>
      <w:pPr>
        <w:ind w:left="600" w:hanging="420"/>
        <w:spacing w:after="0"/>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49"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6680" w:type="dxa"/>
            <w:vAlign w:val="bottom"/>
            <w:shd w:val="clear" w:color="auto" w:fill="EAEAEA"/>
          </w:tcPr>
          <w:p>
            <w:pPr>
              <w:spacing w:after="0"/>
              <w:rPr>
                <w:sz w:val="18"/>
                <w:szCs w:val="18"/>
                <w:color w:val="auto"/>
              </w:rPr>
            </w:pPr>
          </w:p>
        </w:tc>
        <w:tc>
          <w:tcPr>
            <w:tcW w:w="332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UNVESTED RESTRICTED</w:t>
            </w:r>
          </w:p>
        </w:tc>
      </w:tr>
      <w:tr>
        <w:trPr>
          <w:trHeight w:val="216"/>
        </w:trPr>
        <w:tc>
          <w:tcPr>
            <w:tcW w:w="6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33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w:t>
            </w:r>
          </w:p>
        </w:tc>
      </w:tr>
      <w:tr>
        <w:trPr>
          <w:trHeight w:val="252"/>
        </w:trPr>
        <w:tc>
          <w:tcPr>
            <w:tcW w:w="6680" w:type="dxa"/>
            <w:vAlign w:val="bottom"/>
          </w:tcPr>
          <w:p>
            <w:pPr>
              <w:ind w:left="80"/>
              <w:spacing w:after="0"/>
              <w:rPr>
                <w:sz w:val="20"/>
                <w:szCs w:val="20"/>
                <w:color w:val="auto"/>
              </w:rPr>
            </w:pPr>
            <w:r>
              <w:rPr>
                <w:rFonts w:ascii="Arial" w:cs="Arial" w:eastAsia="Arial" w:hAnsi="Arial"/>
                <w:sz w:val="14"/>
                <w:szCs w:val="14"/>
                <w:b w:val="1"/>
                <w:bCs w:val="1"/>
                <w:color w:val="auto"/>
              </w:rPr>
              <w:t>John Ferraro</w:t>
            </w:r>
          </w:p>
        </w:tc>
        <w:tc>
          <w:tcPr>
            <w:tcW w:w="3320" w:type="dxa"/>
            <w:vAlign w:val="bottom"/>
          </w:tcPr>
          <w:p>
            <w:pPr>
              <w:jc w:val="right"/>
              <w:spacing w:after="0"/>
              <w:rPr>
                <w:sz w:val="20"/>
                <w:szCs w:val="20"/>
                <w:color w:val="auto"/>
              </w:rPr>
            </w:pPr>
            <w:r>
              <w:rPr>
                <w:rFonts w:ascii="Arial" w:cs="Arial" w:eastAsia="Arial" w:hAnsi="Arial"/>
                <w:sz w:val="15"/>
                <w:szCs w:val="15"/>
                <w:color w:val="auto"/>
              </w:rPr>
              <w:t>2,265</w:t>
            </w:r>
          </w:p>
        </w:tc>
      </w:tr>
      <w:tr>
        <w:trPr>
          <w:trHeight w:val="41"/>
        </w:trPr>
        <w:tc>
          <w:tcPr>
            <w:tcW w:w="6680" w:type="dxa"/>
            <w:vAlign w:val="bottom"/>
            <w:tcBorders>
              <w:bottom w:val="single" w:sz="8" w:color="5D89B4"/>
            </w:tcBorders>
          </w:tcPr>
          <w:p>
            <w:pPr>
              <w:spacing w:after="0"/>
              <w:rPr>
                <w:sz w:val="3"/>
                <w:szCs w:val="3"/>
                <w:color w:val="auto"/>
              </w:rPr>
            </w:pPr>
          </w:p>
        </w:tc>
        <w:tc>
          <w:tcPr>
            <w:tcW w:w="3320" w:type="dxa"/>
            <w:vAlign w:val="bottom"/>
            <w:tcBorders>
              <w:bottom w:val="single" w:sz="8" w:color="5D89B4"/>
            </w:tcBorders>
          </w:tcPr>
          <w:p>
            <w:pPr>
              <w:spacing w:after="0"/>
              <w:rPr>
                <w:sz w:val="3"/>
                <w:szCs w:val="3"/>
                <w:color w:val="auto"/>
              </w:rPr>
            </w:pPr>
          </w:p>
        </w:tc>
      </w:tr>
      <w:tr>
        <w:trPr>
          <w:trHeight w:val="232"/>
        </w:trPr>
        <w:tc>
          <w:tcPr>
            <w:tcW w:w="668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3320" w:type="dxa"/>
            <w:vAlign w:val="bottom"/>
          </w:tcPr>
          <w:p>
            <w:pPr>
              <w:jc w:val="right"/>
              <w:spacing w:after="0"/>
              <w:rPr>
                <w:sz w:val="20"/>
                <w:szCs w:val="20"/>
                <w:color w:val="auto"/>
              </w:rPr>
            </w:pPr>
            <w:r>
              <w:rPr>
                <w:rFonts w:ascii="Arial" w:cs="Arial" w:eastAsia="Arial" w:hAnsi="Arial"/>
                <w:sz w:val="15"/>
                <w:szCs w:val="15"/>
                <w:color w:val="auto"/>
              </w:rPr>
              <w:t>2,265</w:t>
            </w:r>
          </w:p>
        </w:tc>
      </w:tr>
      <w:tr>
        <w:trPr>
          <w:trHeight w:val="41"/>
        </w:trPr>
        <w:tc>
          <w:tcPr>
            <w:tcW w:w="6680" w:type="dxa"/>
            <w:vAlign w:val="bottom"/>
            <w:tcBorders>
              <w:bottom w:val="single" w:sz="8" w:color="5D89B4"/>
            </w:tcBorders>
          </w:tcPr>
          <w:p>
            <w:pPr>
              <w:spacing w:after="0"/>
              <w:rPr>
                <w:sz w:val="3"/>
                <w:szCs w:val="3"/>
                <w:color w:val="auto"/>
              </w:rPr>
            </w:pPr>
          </w:p>
        </w:tc>
        <w:tc>
          <w:tcPr>
            <w:tcW w:w="3320" w:type="dxa"/>
            <w:vAlign w:val="bottom"/>
            <w:tcBorders>
              <w:bottom w:val="single" w:sz="8" w:color="5D89B4"/>
            </w:tcBorders>
          </w:tcPr>
          <w:p>
            <w:pPr>
              <w:spacing w:after="0"/>
              <w:rPr>
                <w:sz w:val="3"/>
                <w:szCs w:val="3"/>
                <w:color w:val="auto"/>
              </w:rPr>
            </w:pPr>
          </w:p>
        </w:tc>
      </w:tr>
      <w:tr>
        <w:trPr>
          <w:trHeight w:val="232"/>
        </w:trPr>
        <w:tc>
          <w:tcPr>
            <w:tcW w:w="668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3320" w:type="dxa"/>
            <w:vAlign w:val="bottom"/>
          </w:tcPr>
          <w:p>
            <w:pPr>
              <w:jc w:val="right"/>
              <w:spacing w:after="0"/>
              <w:rPr>
                <w:sz w:val="20"/>
                <w:szCs w:val="20"/>
                <w:color w:val="auto"/>
              </w:rPr>
            </w:pPr>
            <w:r>
              <w:rPr>
                <w:rFonts w:ascii="Arial" w:cs="Arial" w:eastAsia="Arial" w:hAnsi="Arial"/>
                <w:sz w:val="15"/>
                <w:szCs w:val="15"/>
                <w:color w:val="auto"/>
              </w:rPr>
              <w:t>2,265</w:t>
            </w:r>
          </w:p>
        </w:tc>
      </w:tr>
      <w:tr>
        <w:trPr>
          <w:trHeight w:val="41"/>
        </w:trPr>
        <w:tc>
          <w:tcPr>
            <w:tcW w:w="6680" w:type="dxa"/>
            <w:vAlign w:val="bottom"/>
            <w:tcBorders>
              <w:bottom w:val="single" w:sz="8" w:color="5D89B4"/>
            </w:tcBorders>
          </w:tcPr>
          <w:p>
            <w:pPr>
              <w:spacing w:after="0"/>
              <w:rPr>
                <w:sz w:val="3"/>
                <w:szCs w:val="3"/>
                <w:color w:val="auto"/>
              </w:rPr>
            </w:pPr>
          </w:p>
        </w:tc>
        <w:tc>
          <w:tcPr>
            <w:tcW w:w="3320" w:type="dxa"/>
            <w:vAlign w:val="bottom"/>
            <w:tcBorders>
              <w:bottom w:val="single" w:sz="8" w:color="5D89B4"/>
            </w:tcBorders>
          </w:tcPr>
          <w:p>
            <w:pPr>
              <w:spacing w:after="0"/>
              <w:rPr>
                <w:sz w:val="3"/>
                <w:szCs w:val="3"/>
                <w:color w:val="auto"/>
              </w:rPr>
            </w:pPr>
          </w:p>
        </w:tc>
      </w:tr>
      <w:tr>
        <w:trPr>
          <w:trHeight w:val="232"/>
        </w:trPr>
        <w:tc>
          <w:tcPr>
            <w:tcW w:w="668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3320" w:type="dxa"/>
            <w:vAlign w:val="bottom"/>
          </w:tcPr>
          <w:p>
            <w:pPr>
              <w:jc w:val="right"/>
              <w:spacing w:after="0"/>
              <w:rPr>
                <w:sz w:val="20"/>
                <w:szCs w:val="20"/>
                <w:color w:val="auto"/>
              </w:rPr>
            </w:pPr>
            <w:r>
              <w:rPr>
                <w:rFonts w:ascii="Arial" w:cs="Arial" w:eastAsia="Arial" w:hAnsi="Arial"/>
                <w:sz w:val="15"/>
                <w:szCs w:val="15"/>
                <w:color w:val="auto"/>
              </w:rPr>
              <w:t>2,265</w:t>
            </w:r>
          </w:p>
        </w:tc>
      </w:tr>
      <w:tr>
        <w:trPr>
          <w:trHeight w:val="41"/>
        </w:trPr>
        <w:tc>
          <w:tcPr>
            <w:tcW w:w="6680" w:type="dxa"/>
            <w:vAlign w:val="bottom"/>
            <w:tcBorders>
              <w:bottom w:val="single" w:sz="8" w:color="5D89B4"/>
            </w:tcBorders>
          </w:tcPr>
          <w:p>
            <w:pPr>
              <w:spacing w:after="0"/>
              <w:rPr>
                <w:sz w:val="3"/>
                <w:szCs w:val="3"/>
                <w:color w:val="auto"/>
              </w:rPr>
            </w:pPr>
          </w:p>
        </w:tc>
        <w:tc>
          <w:tcPr>
            <w:tcW w:w="3320" w:type="dxa"/>
            <w:vAlign w:val="bottom"/>
            <w:tcBorders>
              <w:bottom w:val="single" w:sz="8" w:color="5D89B4"/>
            </w:tcBorders>
          </w:tcPr>
          <w:p>
            <w:pPr>
              <w:spacing w:after="0"/>
              <w:rPr>
                <w:sz w:val="3"/>
                <w:szCs w:val="3"/>
                <w:color w:val="auto"/>
              </w:rPr>
            </w:pPr>
          </w:p>
        </w:tc>
      </w:tr>
    </w:tbl>
    <w:p>
      <w:pPr>
        <w:spacing w:after="0" w:line="111" w:lineRule="exact"/>
        <w:rPr>
          <w:sz w:val="20"/>
          <w:szCs w:val="20"/>
          <w:color w:val="auto"/>
        </w:rPr>
      </w:pPr>
    </w:p>
    <w:p>
      <w:pPr>
        <w:ind w:left="600" w:hanging="420"/>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107315</wp:posOffset>
            </wp:positionV>
            <wp:extent cx="69138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8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80</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20"/>
          </w:cols>
          <w:pgMar w:left="320" w:top="480" w:right="5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1. Election of Directors</w:t>
      </w:r>
    </w:p>
    <w:p>
      <w:pPr>
        <w:spacing w:after="0" w:line="346" w:lineRule="exact"/>
        <w:rPr>
          <w:sz w:val="20"/>
          <w:szCs w:val="20"/>
          <w:color w:val="auto"/>
        </w:rPr>
      </w:pPr>
    </w:p>
    <w:p>
      <w:pPr>
        <w:ind w:left="180" w:right="160"/>
        <w:spacing w:after="0" w:line="241" w:lineRule="auto"/>
        <w:rPr>
          <w:sz w:val="20"/>
          <w:szCs w:val="20"/>
          <w:color w:val="auto"/>
        </w:rPr>
      </w:pPr>
      <w:r>
        <w:rPr>
          <w:rFonts w:ascii="Arial" w:cs="Arial" w:eastAsia="Arial" w:hAnsi="Arial"/>
          <w:sz w:val="15"/>
          <w:szCs w:val="15"/>
          <w:color w:val="auto"/>
        </w:rPr>
        <w:t>Our articles of incorporation provide that our board of directors will consist of three to fifteen members. Following the departure of William Downe at the 2024 annual meeting of shareholders, our board of directors will consist of eleven members. All directors are elected annually to serve until the next annual meeting of shareholders and until the directors’ successors are duly elected and shall qualify.</w:t>
      </w:r>
    </w:p>
    <w:p>
      <w:pPr>
        <w:spacing w:after="0" w:line="108" w:lineRule="exact"/>
        <w:rPr>
          <w:sz w:val="20"/>
          <w:szCs w:val="20"/>
          <w:color w:val="auto"/>
        </w:rPr>
      </w:pPr>
    </w:p>
    <w:p>
      <w:pPr>
        <w:ind w:left="180" w:right="100"/>
        <w:spacing w:after="0" w:line="236" w:lineRule="auto"/>
        <w:rPr>
          <w:sz w:val="20"/>
          <w:szCs w:val="20"/>
          <w:color w:val="auto"/>
        </w:rPr>
      </w:pPr>
      <w:r>
        <w:rPr>
          <w:rFonts w:ascii="Arial" w:cs="Arial" w:eastAsia="Arial" w:hAnsi="Arial"/>
          <w:sz w:val="15"/>
          <w:szCs w:val="15"/>
          <w:color w:val="auto"/>
        </w:rPr>
        <w:t>The governance and sustainability committee considers candidates who are recommended by its members, by other board members, by shareholders, and by management, as well as those identified by third-party search firms retained to assist in identifying and evaluating possible candidates. The board of directors will appoint additional directors, in accordance with our articles of incorporation, based upon the recommendation of the governance and sustainability committee and subject to re-election by our shareholders at the next annual meeting of shareholders.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The following individuals are being nominated as directors, each for a one-year term expiring at the 2025 annual meeting of shareholders:</w:t>
      </w:r>
    </w:p>
    <w:p>
      <w:pPr>
        <w:spacing w:after="0" w:line="257"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2280" w:type="dxa"/>
            <w:vAlign w:val="bottom"/>
            <w:shd w:val="clear" w:color="auto" w:fill="EAEAEA"/>
          </w:tcPr>
          <w:p>
            <w:pPr>
              <w:spacing w:after="0"/>
              <w:rPr>
                <w:sz w:val="18"/>
                <w:szCs w:val="18"/>
                <w:color w:val="auto"/>
              </w:rPr>
            </w:pPr>
          </w:p>
        </w:tc>
        <w:tc>
          <w:tcPr>
            <w:tcW w:w="680" w:type="dxa"/>
            <w:vAlign w:val="bottom"/>
            <w:shd w:val="clear" w:color="auto" w:fill="EAEAEA"/>
          </w:tcPr>
          <w:p>
            <w:pPr>
              <w:spacing w:after="0"/>
              <w:rPr>
                <w:sz w:val="18"/>
                <w:szCs w:val="18"/>
                <w:color w:val="auto"/>
              </w:rPr>
            </w:pPr>
          </w:p>
        </w:tc>
        <w:tc>
          <w:tcPr>
            <w:tcW w:w="980" w:type="dxa"/>
            <w:vAlign w:val="bottom"/>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w:t>
            </w:r>
          </w:p>
        </w:tc>
        <w:tc>
          <w:tcPr>
            <w:tcW w:w="6940" w:type="dxa"/>
            <w:vAlign w:val="bottom"/>
            <w:shd w:val="clear" w:color="auto" w:fill="EAEAEA"/>
          </w:tcPr>
          <w:p>
            <w:pPr>
              <w:spacing w:after="0"/>
              <w:rPr>
                <w:sz w:val="18"/>
                <w:szCs w:val="18"/>
                <w:color w:val="auto"/>
              </w:rPr>
            </w:pPr>
          </w:p>
        </w:tc>
      </w:tr>
      <w:tr>
        <w:trPr>
          <w:trHeight w:val="216"/>
        </w:trPr>
        <w:tc>
          <w:tcPr>
            <w:tcW w:w="22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68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4"/>
                <w:szCs w:val="14"/>
                <w:b w:val="1"/>
                <w:bCs w:val="1"/>
                <w:color w:val="5D89B4"/>
              </w:rPr>
              <w:t>AGE</w:t>
            </w:r>
          </w:p>
        </w:tc>
        <w:tc>
          <w:tcPr>
            <w:tcW w:w="9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rPr>
              <w:t>SINCE</w:t>
            </w:r>
          </w:p>
        </w:tc>
        <w:tc>
          <w:tcPr>
            <w:tcW w:w="69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D89B4"/>
              </w:rPr>
              <w:t>PRINCIPAL OCCUPATION</w:t>
            </w:r>
          </w:p>
        </w:tc>
      </w:tr>
      <w:tr>
        <w:trPr>
          <w:trHeight w:val="27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Jean-Philippe Courtois</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63</w:t>
            </w:r>
          </w:p>
        </w:tc>
        <w:tc>
          <w:tcPr>
            <w:tcW w:w="980" w:type="dxa"/>
            <w:vAlign w:val="bottom"/>
          </w:tcPr>
          <w:p>
            <w:pPr>
              <w:jc w:val="center"/>
              <w:spacing w:after="0"/>
              <w:rPr>
                <w:sz w:val="20"/>
                <w:szCs w:val="20"/>
                <w:color w:val="auto"/>
              </w:rPr>
            </w:pPr>
            <w:r>
              <w:rPr>
                <w:rFonts w:ascii="Arial" w:cs="Arial" w:eastAsia="Arial" w:hAnsi="Arial"/>
                <w:sz w:val="15"/>
                <w:szCs w:val="15"/>
                <w:color w:val="auto"/>
              </w:rPr>
              <w:t>2020</w:t>
            </w:r>
          </w:p>
        </w:tc>
        <w:tc>
          <w:tcPr>
            <w:tcW w:w="6940" w:type="dxa"/>
            <w:vAlign w:val="bottom"/>
          </w:tcPr>
          <w:p>
            <w:pPr>
              <w:ind w:left="100"/>
              <w:spacing w:after="0"/>
              <w:rPr>
                <w:sz w:val="20"/>
                <w:szCs w:val="20"/>
                <w:color w:val="auto"/>
              </w:rPr>
            </w:pPr>
            <w:r>
              <w:rPr>
                <w:rFonts w:ascii="Arial" w:cs="Arial" w:eastAsia="Arial" w:hAnsi="Arial"/>
                <w:sz w:val="15"/>
                <w:szCs w:val="15"/>
                <w:color w:val="auto"/>
              </w:rPr>
              <w:t>Executive Vice President, National Transformation Partnerships, Microsoft Corporation</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John F. Ferraro</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68</w:t>
            </w:r>
          </w:p>
        </w:tc>
        <w:tc>
          <w:tcPr>
            <w:tcW w:w="980" w:type="dxa"/>
            <w:vAlign w:val="bottom"/>
          </w:tcPr>
          <w:p>
            <w:pPr>
              <w:jc w:val="center"/>
              <w:spacing w:after="0"/>
              <w:rPr>
                <w:sz w:val="20"/>
                <w:szCs w:val="20"/>
                <w:color w:val="auto"/>
              </w:rPr>
            </w:pPr>
            <w:r>
              <w:rPr>
                <w:rFonts w:ascii="Arial" w:cs="Arial" w:eastAsia="Arial" w:hAnsi="Arial"/>
                <w:sz w:val="15"/>
                <w:szCs w:val="15"/>
                <w:color w:val="auto"/>
              </w:rPr>
              <w:t>2016</w:t>
            </w:r>
          </w:p>
        </w:tc>
        <w:tc>
          <w:tcPr>
            <w:tcW w:w="6940" w:type="dxa"/>
            <w:vAlign w:val="bottom"/>
          </w:tcPr>
          <w:p>
            <w:pPr>
              <w:ind w:left="100"/>
              <w:spacing w:after="0"/>
              <w:rPr>
                <w:sz w:val="20"/>
                <w:szCs w:val="20"/>
                <w:color w:val="auto"/>
              </w:rPr>
            </w:pPr>
            <w:r>
              <w:rPr>
                <w:rFonts w:ascii="Arial" w:cs="Arial" w:eastAsia="Arial" w:hAnsi="Arial"/>
                <w:sz w:val="15"/>
                <w:szCs w:val="15"/>
                <w:color w:val="auto"/>
              </w:rPr>
              <w:t>Former Global Chief Operating Officer, Ernst &amp; Young</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William P. Gipson</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66</w:t>
            </w:r>
          </w:p>
        </w:tc>
        <w:tc>
          <w:tcPr>
            <w:tcW w:w="980" w:type="dxa"/>
            <w:vAlign w:val="bottom"/>
          </w:tcPr>
          <w:p>
            <w:pPr>
              <w:jc w:val="center"/>
              <w:spacing w:after="0"/>
              <w:rPr>
                <w:sz w:val="20"/>
                <w:szCs w:val="20"/>
                <w:color w:val="auto"/>
              </w:rPr>
            </w:pPr>
            <w:r>
              <w:rPr>
                <w:rFonts w:ascii="Arial" w:cs="Arial" w:eastAsia="Arial" w:hAnsi="Arial"/>
                <w:sz w:val="15"/>
                <w:szCs w:val="15"/>
                <w:color w:val="auto"/>
              </w:rPr>
              <w:t>2020</w:t>
            </w:r>
          </w:p>
        </w:tc>
        <w:tc>
          <w:tcPr>
            <w:tcW w:w="6940" w:type="dxa"/>
            <w:vAlign w:val="bottom"/>
          </w:tcPr>
          <w:p>
            <w:pPr>
              <w:ind w:left="100"/>
              <w:spacing w:after="0"/>
              <w:rPr>
                <w:sz w:val="20"/>
                <w:szCs w:val="20"/>
                <w:color w:val="auto"/>
              </w:rPr>
            </w:pPr>
            <w:r>
              <w:rPr>
                <w:rFonts w:ascii="Arial" w:cs="Arial" w:eastAsia="Arial" w:hAnsi="Arial"/>
                <w:sz w:val="15"/>
                <w:szCs w:val="15"/>
                <w:color w:val="auto"/>
              </w:rPr>
              <w:t>Former President, Enterprise Packaging Transformation, Procter &amp; Gamble</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Patricia Hemingway Hall</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71</w:t>
            </w:r>
          </w:p>
        </w:tc>
        <w:tc>
          <w:tcPr>
            <w:tcW w:w="980" w:type="dxa"/>
            <w:vAlign w:val="bottom"/>
          </w:tcPr>
          <w:p>
            <w:pPr>
              <w:jc w:val="center"/>
              <w:spacing w:after="0"/>
              <w:rPr>
                <w:sz w:val="20"/>
                <w:szCs w:val="20"/>
                <w:color w:val="auto"/>
              </w:rPr>
            </w:pPr>
            <w:r>
              <w:rPr>
                <w:rFonts w:ascii="Arial" w:cs="Arial" w:eastAsia="Arial" w:hAnsi="Arial"/>
                <w:sz w:val="15"/>
                <w:szCs w:val="15"/>
                <w:color w:val="auto"/>
                <w:w w:val="95"/>
              </w:rPr>
              <w:t>2011</w:t>
            </w:r>
          </w:p>
        </w:tc>
        <w:tc>
          <w:tcPr>
            <w:tcW w:w="6940" w:type="dxa"/>
            <w:vAlign w:val="bottom"/>
          </w:tcPr>
          <w:p>
            <w:pPr>
              <w:ind w:left="100"/>
              <w:spacing w:after="0"/>
              <w:rPr>
                <w:sz w:val="20"/>
                <w:szCs w:val="20"/>
                <w:color w:val="auto"/>
              </w:rPr>
            </w:pPr>
            <w:r>
              <w:rPr>
                <w:rFonts w:ascii="Arial" w:cs="Arial" w:eastAsia="Arial" w:hAnsi="Arial"/>
                <w:sz w:val="15"/>
                <w:szCs w:val="15"/>
                <w:color w:val="auto"/>
              </w:rPr>
              <w:t>Former President and Chief Executive Officer, Health Care Service Corporation</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Julie M. Howard</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61</w:t>
            </w:r>
          </w:p>
        </w:tc>
        <w:tc>
          <w:tcPr>
            <w:tcW w:w="980" w:type="dxa"/>
            <w:vAlign w:val="bottom"/>
          </w:tcPr>
          <w:p>
            <w:pPr>
              <w:jc w:val="center"/>
              <w:spacing w:after="0"/>
              <w:rPr>
                <w:sz w:val="20"/>
                <w:szCs w:val="20"/>
                <w:color w:val="auto"/>
              </w:rPr>
            </w:pPr>
            <w:r>
              <w:rPr>
                <w:rFonts w:ascii="Arial" w:cs="Arial" w:eastAsia="Arial" w:hAnsi="Arial"/>
                <w:sz w:val="15"/>
                <w:szCs w:val="15"/>
                <w:color w:val="auto"/>
              </w:rPr>
              <w:t>2016</w:t>
            </w:r>
          </w:p>
        </w:tc>
        <w:tc>
          <w:tcPr>
            <w:tcW w:w="6940" w:type="dxa"/>
            <w:vAlign w:val="bottom"/>
          </w:tcPr>
          <w:p>
            <w:pPr>
              <w:ind w:left="100"/>
              <w:spacing w:after="0"/>
              <w:rPr>
                <w:sz w:val="20"/>
                <w:szCs w:val="20"/>
                <w:color w:val="auto"/>
              </w:rPr>
            </w:pPr>
            <w:r>
              <w:rPr>
                <w:rFonts w:ascii="Arial" w:cs="Arial" w:eastAsia="Arial" w:hAnsi="Arial"/>
                <w:sz w:val="15"/>
                <w:szCs w:val="15"/>
                <w:color w:val="auto"/>
              </w:rPr>
              <w:t>Former Chief Executive Officer, Riveron Consulting, LLC.</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Ulice Payne, Jr.</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68</w:t>
            </w:r>
          </w:p>
        </w:tc>
        <w:tc>
          <w:tcPr>
            <w:tcW w:w="980" w:type="dxa"/>
            <w:vAlign w:val="bottom"/>
          </w:tcPr>
          <w:p>
            <w:pPr>
              <w:jc w:val="center"/>
              <w:spacing w:after="0"/>
              <w:rPr>
                <w:sz w:val="20"/>
                <w:szCs w:val="20"/>
                <w:color w:val="auto"/>
              </w:rPr>
            </w:pPr>
            <w:r>
              <w:rPr>
                <w:rFonts w:ascii="Arial" w:cs="Arial" w:eastAsia="Arial" w:hAnsi="Arial"/>
                <w:sz w:val="15"/>
                <w:szCs w:val="15"/>
                <w:color w:val="auto"/>
              </w:rPr>
              <w:t>2007</w:t>
            </w:r>
          </w:p>
        </w:tc>
        <w:tc>
          <w:tcPr>
            <w:tcW w:w="6940" w:type="dxa"/>
            <w:vAlign w:val="bottom"/>
          </w:tcPr>
          <w:p>
            <w:pPr>
              <w:ind w:left="100"/>
              <w:spacing w:after="0"/>
              <w:rPr>
                <w:sz w:val="20"/>
                <w:szCs w:val="20"/>
                <w:color w:val="auto"/>
              </w:rPr>
            </w:pPr>
            <w:r>
              <w:rPr>
                <w:rFonts w:ascii="Arial" w:cs="Arial" w:eastAsia="Arial" w:hAnsi="Arial"/>
                <w:sz w:val="15"/>
                <w:szCs w:val="15"/>
                <w:color w:val="auto"/>
              </w:rPr>
              <w:t>President and Managing Member, Addison-Clifton, LLC</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Muriel Pénicaud</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68</w:t>
            </w:r>
          </w:p>
        </w:tc>
        <w:tc>
          <w:tcPr>
            <w:tcW w:w="980" w:type="dxa"/>
            <w:vAlign w:val="bottom"/>
          </w:tcPr>
          <w:p>
            <w:pPr>
              <w:jc w:val="center"/>
              <w:spacing w:after="0"/>
              <w:rPr>
                <w:sz w:val="20"/>
                <w:szCs w:val="20"/>
                <w:color w:val="auto"/>
              </w:rPr>
            </w:pPr>
            <w:r>
              <w:rPr>
                <w:rFonts w:ascii="Arial" w:cs="Arial" w:eastAsia="Arial" w:hAnsi="Arial"/>
                <w:sz w:val="15"/>
                <w:szCs w:val="15"/>
                <w:color w:val="auto"/>
              </w:rPr>
              <w:t>2022</w:t>
            </w:r>
          </w:p>
        </w:tc>
        <w:tc>
          <w:tcPr>
            <w:tcW w:w="6940" w:type="dxa"/>
            <w:vAlign w:val="bottom"/>
          </w:tcPr>
          <w:p>
            <w:pPr>
              <w:ind w:left="100"/>
              <w:spacing w:after="0"/>
              <w:rPr>
                <w:sz w:val="20"/>
                <w:szCs w:val="20"/>
                <w:color w:val="auto"/>
              </w:rPr>
            </w:pPr>
            <w:r>
              <w:rPr>
                <w:rFonts w:ascii="Arial" w:cs="Arial" w:eastAsia="Arial" w:hAnsi="Arial"/>
                <w:sz w:val="15"/>
                <w:szCs w:val="15"/>
                <w:color w:val="auto"/>
              </w:rPr>
              <w:t>Former Minister of Labor for France</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59</w:t>
            </w:r>
          </w:p>
        </w:tc>
        <w:tc>
          <w:tcPr>
            <w:tcW w:w="980" w:type="dxa"/>
            <w:vAlign w:val="bottom"/>
          </w:tcPr>
          <w:p>
            <w:pPr>
              <w:jc w:val="center"/>
              <w:spacing w:after="0"/>
              <w:rPr>
                <w:sz w:val="20"/>
                <w:szCs w:val="20"/>
                <w:color w:val="auto"/>
              </w:rPr>
            </w:pPr>
            <w:r>
              <w:rPr>
                <w:rFonts w:ascii="Arial" w:cs="Arial" w:eastAsia="Arial" w:hAnsi="Arial"/>
                <w:sz w:val="15"/>
                <w:szCs w:val="15"/>
                <w:color w:val="auto"/>
              </w:rPr>
              <w:t>2014</w:t>
            </w:r>
          </w:p>
        </w:tc>
        <w:tc>
          <w:tcPr>
            <w:tcW w:w="6940" w:type="dxa"/>
            <w:vAlign w:val="bottom"/>
          </w:tcPr>
          <w:p>
            <w:pPr>
              <w:ind w:left="100"/>
              <w:spacing w:after="0"/>
              <w:rPr>
                <w:sz w:val="20"/>
                <w:szCs w:val="20"/>
                <w:color w:val="auto"/>
              </w:rPr>
            </w:pPr>
            <w:r>
              <w:rPr>
                <w:rFonts w:ascii="Arial" w:cs="Arial" w:eastAsia="Arial" w:hAnsi="Arial"/>
                <w:sz w:val="15"/>
                <w:szCs w:val="15"/>
                <w:color w:val="auto"/>
              </w:rPr>
              <w:t>Chairman and Chief Executive Officer, ManpowerGroup</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Paul Read</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57</w:t>
            </w:r>
          </w:p>
        </w:tc>
        <w:tc>
          <w:tcPr>
            <w:tcW w:w="980" w:type="dxa"/>
            <w:vAlign w:val="bottom"/>
          </w:tcPr>
          <w:p>
            <w:pPr>
              <w:jc w:val="center"/>
              <w:spacing w:after="0"/>
              <w:rPr>
                <w:sz w:val="20"/>
                <w:szCs w:val="20"/>
                <w:color w:val="auto"/>
              </w:rPr>
            </w:pPr>
            <w:r>
              <w:rPr>
                <w:rFonts w:ascii="Arial" w:cs="Arial" w:eastAsia="Arial" w:hAnsi="Arial"/>
                <w:sz w:val="15"/>
                <w:szCs w:val="15"/>
                <w:color w:val="auto"/>
              </w:rPr>
              <w:t>2014</w:t>
            </w:r>
          </w:p>
        </w:tc>
        <w:tc>
          <w:tcPr>
            <w:tcW w:w="6940" w:type="dxa"/>
            <w:vAlign w:val="bottom"/>
          </w:tcPr>
          <w:p>
            <w:pPr>
              <w:ind w:left="100"/>
              <w:spacing w:after="0"/>
              <w:rPr>
                <w:sz w:val="20"/>
                <w:szCs w:val="20"/>
                <w:color w:val="auto"/>
              </w:rPr>
            </w:pPr>
            <w:r>
              <w:rPr>
                <w:rFonts w:ascii="Arial" w:cs="Arial" w:eastAsia="Arial" w:hAnsi="Arial"/>
                <w:sz w:val="15"/>
                <w:szCs w:val="15"/>
                <w:color w:val="auto"/>
              </w:rPr>
              <w:t>Former President and Chief Operating Officer, Ingram Micro, Inc.</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Elizabeth P. Sartain</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69</w:t>
            </w:r>
          </w:p>
        </w:tc>
        <w:tc>
          <w:tcPr>
            <w:tcW w:w="980" w:type="dxa"/>
            <w:vAlign w:val="bottom"/>
          </w:tcPr>
          <w:p>
            <w:pPr>
              <w:jc w:val="center"/>
              <w:spacing w:after="0"/>
              <w:rPr>
                <w:sz w:val="20"/>
                <w:szCs w:val="20"/>
                <w:color w:val="auto"/>
              </w:rPr>
            </w:pPr>
            <w:r>
              <w:rPr>
                <w:rFonts w:ascii="Arial" w:cs="Arial" w:eastAsia="Arial" w:hAnsi="Arial"/>
                <w:sz w:val="15"/>
                <w:szCs w:val="15"/>
                <w:color w:val="auto"/>
              </w:rPr>
              <w:t>2010</w:t>
            </w:r>
          </w:p>
        </w:tc>
        <w:tc>
          <w:tcPr>
            <w:tcW w:w="6940" w:type="dxa"/>
            <w:vAlign w:val="bottom"/>
          </w:tcPr>
          <w:p>
            <w:pPr>
              <w:ind w:left="100"/>
              <w:spacing w:after="0"/>
              <w:rPr>
                <w:sz w:val="20"/>
                <w:szCs w:val="20"/>
                <w:color w:val="auto"/>
              </w:rPr>
            </w:pPr>
            <w:r>
              <w:rPr>
                <w:rFonts w:ascii="Arial" w:cs="Arial" w:eastAsia="Arial" w:hAnsi="Arial"/>
                <w:sz w:val="15"/>
                <w:szCs w:val="15"/>
                <w:color w:val="auto"/>
              </w:rPr>
              <w:t>Independent Human Resource Advisor and Consultant</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r>
        <w:trPr>
          <w:trHeight w:val="25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Michael J. Van Handel</w:t>
            </w: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64</w:t>
            </w:r>
          </w:p>
        </w:tc>
        <w:tc>
          <w:tcPr>
            <w:tcW w:w="980" w:type="dxa"/>
            <w:vAlign w:val="bottom"/>
          </w:tcPr>
          <w:p>
            <w:pPr>
              <w:jc w:val="center"/>
              <w:spacing w:after="0"/>
              <w:rPr>
                <w:sz w:val="20"/>
                <w:szCs w:val="20"/>
                <w:color w:val="auto"/>
              </w:rPr>
            </w:pPr>
            <w:r>
              <w:rPr>
                <w:rFonts w:ascii="Arial" w:cs="Arial" w:eastAsia="Arial" w:hAnsi="Arial"/>
                <w:sz w:val="15"/>
                <w:szCs w:val="15"/>
                <w:color w:val="auto"/>
              </w:rPr>
              <w:t>2017</w:t>
            </w:r>
          </w:p>
        </w:tc>
        <w:tc>
          <w:tcPr>
            <w:tcW w:w="6940" w:type="dxa"/>
            <w:vAlign w:val="bottom"/>
          </w:tcPr>
          <w:p>
            <w:pPr>
              <w:ind w:left="100"/>
              <w:spacing w:after="0"/>
              <w:rPr>
                <w:sz w:val="20"/>
                <w:szCs w:val="20"/>
                <w:color w:val="auto"/>
              </w:rPr>
            </w:pPr>
            <w:r>
              <w:rPr>
                <w:rFonts w:ascii="Arial" w:cs="Arial" w:eastAsia="Arial" w:hAnsi="Arial"/>
                <w:sz w:val="15"/>
                <w:szCs w:val="15"/>
                <w:color w:val="auto"/>
              </w:rPr>
              <w:t>Former Senior Executive Vice President, ManpowerGroup</w:t>
            </w:r>
          </w:p>
        </w:tc>
      </w:tr>
      <w:tr>
        <w:trPr>
          <w:trHeight w:val="45"/>
        </w:trPr>
        <w:tc>
          <w:tcPr>
            <w:tcW w:w="2280" w:type="dxa"/>
            <w:vAlign w:val="bottom"/>
            <w:tcBorders>
              <w:bottom w:val="single" w:sz="8" w:color="5D89B4"/>
            </w:tcBorders>
          </w:tcPr>
          <w:p>
            <w:pPr>
              <w:spacing w:after="0"/>
              <w:rPr>
                <w:sz w:val="3"/>
                <w:szCs w:val="3"/>
                <w:color w:val="auto"/>
              </w:rPr>
            </w:pPr>
          </w:p>
        </w:tc>
        <w:tc>
          <w:tcPr>
            <w:tcW w:w="680" w:type="dxa"/>
            <w:vAlign w:val="bottom"/>
            <w:tcBorders>
              <w:bottom w:val="single" w:sz="8" w:color="5D89B4"/>
            </w:tcBorders>
          </w:tcPr>
          <w:p>
            <w:pPr>
              <w:spacing w:after="0"/>
              <w:rPr>
                <w:sz w:val="3"/>
                <w:szCs w:val="3"/>
                <w:color w:val="auto"/>
              </w:rPr>
            </w:pPr>
          </w:p>
        </w:tc>
        <w:tc>
          <w:tcPr>
            <w:tcW w:w="980" w:type="dxa"/>
            <w:vAlign w:val="bottom"/>
            <w:tcBorders>
              <w:bottom w:val="single" w:sz="8" w:color="5D89B4"/>
            </w:tcBorders>
          </w:tcPr>
          <w:p>
            <w:pPr>
              <w:spacing w:after="0"/>
              <w:rPr>
                <w:sz w:val="3"/>
                <w:szCs w:val="3"/>
                <w:color w:val="auto"/>
              </w:rPr>
            </w:pPr>
          </w:p>
        </w:tc>
        <w:tc>
          <w:tcPr>
            <w:tcW w:w="6940" w:type="dxa"/>
            <w:vAlign w:val="bottom"/>
            <w:tcBorders>
              <w:bottom w:val="single" w:sz="8" w:color="5D89B4"/>
            </w:tcBorders>
          </w:tcPr>
          <w:p>
            <w:pPr>
              <w:spacing w:after="0"/>
              <w:rPr>
                <w:sz w:val="3"/>
                <w:szCs w:val="3"/>
                <w:color w:val="auto"/>
              </w:rPr>
            </w:pPr>
          </w:p>
        </w:tc>
      </w:tr>
    </w:tbl>
    <w:p>
      <w:pPr>
        <w:spacing w:after="0" w:line="196" w:lineRule="exact"/>
        <w:rPr>
          <w:sz w:val="20"/>
          <w:szCs w:val="20"/>
          <w:color w:val="auto"/>
        </w:rPr>
      </w:pPr>
    </w:p>
    <w:p>
      <w:pPr>
        <w:ind w:left="180" w:right="100"/>
        <w:spacing w:after="0" w:line="259" w:lineRule="auto"/>
        <w:rPr>
          <w:sz w:val="20"/>
          <w:szCs w:val="20"/>
          <w:color w:val="auto"/>
        </w:rPr>
      </w:pPr>
      <w:r>
        <w:rPr>
          <w:rFonts w:ascii="Arial" w:cs="Arial" w:eastAsia="Arial" w:hAnsi="Arial"/>
          <w:sz w:val="15"/>
          <w:szCs w:val="15"/>
          <w:color w:val="auto"/>
        </w:rPr>
        <w:t>The governance and sustainability committee reviewed the qualifications of the directors listed above who are seeking re-election and recommended to the board of directors that each be elected to serve for an additional one-year term. The board of directors has confirmed the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88265</wp:posOffset>
            </wp:positionV>
            <wp:extent cx="69138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81</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ELECTION OF DIRECTORS</w:t>
      </w:r>
    </w:p>
    <w:p>
      <w:pPr>
        <w:spacing w:after="0" w:line="146" w:lineRule="exact"/>
        <w:rPr>
          <w:sz w:val="20"/>
          <w:szCs w:val="20"/>
          <w:color w:val="auto"/>
        </w:rPr>
      </w:pPr>
    </w:p>
    <w:p>
      <w:pPr>
        <w:ind w:left="180"/>
        <w:spacing w:after="0" w:line="230" w:lineRule="auto"/>
        <w:rPr>
          <w:sz w:val="20"/>
          <w:szCs w:val="20"/>
          <w:color w:val="auto"/>
        </w:rPr>
      </w:pPr>
      <w:r>
        <w:rPr>
          <w:rFonts w:ascii="Arial" w:cs="Arial" w:eastAsia="Arial" w:hAnsi="Arial"/>
          <w:sz w:val="15"/>
          <w:szCs w:val="15"/>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governance and sustainability committee. The governance and sustainability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governance and sustainability committee and publicly disclose its decision, and the rationale behind its decision, within 90 days from the date of the announcement of the final results of balloting for the election.</w:t>
      </w:r>
    </w:p>
    <w:p>
      <w:pPr>
        <w:spacing w:after="0" w:line="2" w:lineRule="exact"/>
        <w:rPr>
          <w:sz w:val="20"/>
          <w:szCs w:val="20"/>
          <w:color w:val="auto"/>
        </w:rPr>
      </w:pPr>
    </w:p>
    <w:p>
      <w:pPr>
        <w:ind w:left="1540" w:right="620" w:hanging="1360"/>
        <w:spacing w:after="0" w:line="199" w:lineRule="auto"/>
        <w:rPr>
          <w:sz w:val="20"/>
          <w:szCs w:val="20"/>
          <w:color w:val="auto"/>
        </w:rPr>
      </w:pPr>
      <w:r>
        <w:rPr>
          <w:rFonts w:ascii="Arial" w:cs="Arial" w:eastAsia="Arial" w:hAnsi="Arial"/>
          <w:sz w:val="102"/>
          <w:szCs w:val="102"/>
          <w:color w:val="5D89B4"/>
        </w:rPr>
        <w:t xml:space="preserve">1: </w:t>
      </w:r>
      <w:r>
        <w:rPr>
          <w:rFonts w:ascii="Arial" w:cs="Arial" w:eastAsia="Arial" w:hAnsi="Arial"/>
          <w:sz w:val="30"/>
          <w:szCs w:val="30"/>
          <w:b w:val="1"/>
          <w:bCs w:val="1"/>
          <w:color w:val="5D89B4"/>
        </w:rPr>
        <w:t>The board of directors recommends you vote FOR the</w:t>
      </w:r>
      <w:r>
        <w:rPr>
          <w:rFonts w:ascii="Arial" w:cs="Arial" w:eastAsia="Arial" w:hAnsi="Arial"/>
          <w:sz w:val="102"/>
          <w:szCs w:val="102"/>
          <w:color w:val="5D89B4"/>
        </w:rPr>
        <w:t xml:space="preserve"> </w:t>
      </w:r>
      <w:r>
        <w:rPr>
          <w:rFonts w:ascii="Arial" w:cs="Arial" w:eastAsia="Arial" w:hAnsi="Arial"/>
          <w:sz w:val="30"/>
          <w:szCs w:val="30"/>
          <w:b w:val="1"/>
          <w:bCs w:val="1"/>
          <w:color w:val="5D89B4"/>
        </w:rPr>
        <w:t>election of each of the nominees listed above,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73025</wp:posOffset>
            </wp:positionV>
            <wp:extent cx="69138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3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82</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2. Ratification of Independent Auditors</w:t>
      </w:r>
    </w:p>
    <w:p>
      <w:pPr>
        <w:spacing w:after="0" w:line="346" w:lineRule="exact"/>
        <w:rPr>
          <w:sz w:val="20"/>
          <w:szCs w:val="20"/>
          <w:color w:val="auto"/>
        </w:rPr>
      </w:pPr>
    </w:p>
    <w:p>
      <w:pPr>
        <w:ind w:left="180"/>
        <w:spacing w:after="0" w:line="236" w:lineRule="auto"/>
        <w:rPr>
          <w:sz w:val="20"/>
          <w:szCs w:val="20"/>
          <w:color w:val="auto"/>
        </w:rPr>
      </w:pPr>
      <w:r>
        <w:rPr>
          <w:rFonts w:ascii="Arial" w:cs="Arial" w:eastAsia="Arial" w:hAnsi="Arial"/>
          <w:sz w:val="15"/>
          <w:szCs w:val="15"/>
          <w:color w:val="auto"/>
        </w:rPr>
        <w:t>The audit committee of the board of directors has appointed Deloitte &amp; Touche LLP to audit our consolidated financial statements for the fiscal year ending December 31, 2024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09" w:lineRule="exact"/>
        <w:rPr>
          <w:sz w:val="20"/>
          <w:szCs w:val="20"/>
          <w:color w:val="auto"/>
        </w:rPr>
      </w:pPr>
    </w:p>
    <w:p>
      <w:pPr>
        <w:ind w:left="180" w:right="60"/>
        <w:spacing w:after="0" w:line="259" w:lineRule="auto"/>
        <w:rPr>
          <w:sz w:val="20"/>
          <w:szCs w:val="20"/>
          <w:color w:val="auto"/>
        </w:rPr>
      </w:pPr>
      <w:r>
        <w:rPr>
          <w:rFonts w:ascii="Arial" w:cs="Arial" w:eastAsia="Arial" w:hAnsi="Arial"/>
          <w:sz w:val="15"/>
          <w:szCs w:val="15"/>
          <w:color w:val="auto"/>
        </w:rPr>
        <w:t>If the shareholders do not ratify the appointment of Deloitte &amp; Touche LLP, the audit committee will take such action into account in reconsidering the appointment of our independent auditors for the fiscal year ending December 31, 2024.</w:t>
      </w:r>
    </w:p>
    <w:p>
      <w:pPr>
        <w:spacing w:after="0" w:line="81" w:lineRule="exact"/>
        <w:rPr>
          <w:sz w:val="20"/>
          <w:szCs w:val="20"/>
          <w:color w:val="auto"/>
        </w:rPr>
      </w:pPr>
    </w:p>
    <w:p>
      <w:pPr>
        <w:ind w:left="180" w:right="140"/>
        <w:spacing w:after="0" w:line="241" w:lineRule="auto"/>
        <w:rPr>
          <w:sz w:val="20"/>
          <w:szCs w:val="20"/>
          <w:color w:val="auto"/>
        </w:rPr>
      </w:pPr>
      <w:r>
        <w:rPr>
          <w:rFonts w:ascii="Arial" w:cs="Arial" w:eastAsia="Arial" w:hAnsi="Arial"/>
          <w:sz w:val="15"/>
          <w:szCs w:val="15"/>
          <w:color w:val="auto"/>
        </w:rPr>
        <w:t>The affirmative vote of a majority of the votes cast on this proposal shall constitute ratification of Deloitte &amp; Touche LLP as our independent auditors for the fiscal year ending December 31, 2024. Abstentions and broker non-votes will not be counted as votes cast and, therefore, will have no impact on the approval of the proposal.</w:t>
      </w:r>
    </w:p>
    <w:p>
      <w:pPr>
        <w:spacing w:after="0" w:line="200" w:lineRule="exact"/>
        <w:rPr>
          <w:sz w:val="20"/>
          <w:szCs w:val="20"/>
          <w:color w:val="auto"/>
        </w:rPr>
      </w:pPr>
    </w:p>
    <w:p>
      <w:pPr>
        <w:spacing w:after="0" w:line="239" w:lineRule="exact"/>
        <w:rPr>
          <w:sz w:val="20"/>
          <w:szCs w:val="20"/>
          <w:color w:val="auto"/>
        </w:rPr>
      </w:pPr>
    </w:p>
    <w:p>
      <w:pPr>
        <w:ind w:left="180" w:right="80" w:firstLine="1801"/>
        <w:spacing w:after="0" w:line="183" w:lineRule="auto"/>
        <w:rPr>
          <w:sz w:val="20"/>
          <w:szCs w:val="20"/>
          <w:color w:val="auto"/>
        </w:rPr>
      </w:pPr>
      <w:r>
        <w:rPr>
          <w:rFonts w:ascii="Arial" w:cs="Arial" w:eastAsia="Arial" w:hAnsi="Arial"/>
          <w:sz w:val="26"/>
          <w:szCs w:val="26"/>
          <w:b w:val="1"/>
          <w:bCs w:val="1"/>
          <w:color w:val="5D89B4"/>
        </w:rPr>
        <w:t xml:space="preserve">The board of directors recommends you vote FOR the </w:t>
      </w:r>
      <w:r>
        <w:rPr>
          <w:rFonts w:ascii="Arial" w:cs="Arial" w:eastAsia="Arial" w:hAnsi="Arial"/>
          <w:sz w:val="46"/>
          <w:szCs w:val="46"/>
          <w:color w:val="5D89B4"/>
        </w:rPr>
        <w:t xml:space="preserve">2: </w:t>
      </w:r>
      <w:r>
        <w:rPr>
          <w:rFonts w:ascii="Arial" w:cs="Arial" w:eastAsia="Arial" w:hAnsi="Arial"/>
          <w:sz w:val="26"/>
          <w:szCs w:val="26"/>
          <w:b w:val="1"/>
          <w:bCs w:val="1"/>
          <w:color w:val="5D89B4"/>
        </w:rPr>
        <w:t>ratification of the appointment of Deloitte &amp; Touche LLP</w:t>
      </w:r>
    </w:p>
    <w:p>
      <w:pPr>
        <w:spacing w:after="0" w:line="1" w:lineRule="exact"/>
        <w:rPr>
          <w:sz w:val="20"/>
          <w:szCs w:val="20"/>
          <w:color w:val="auto"/>
        </w:rPr>
      </w:pPr>
    </w:p>
    <w:p>
      <w:pPr>
        <w:ind w:left="1980" w:right="400"/>
        <w:spacing w:after="0" w:line="250" w:lineRule="auto"/>
        <w:rPr>
          <w:sz w:val="20"/>
          <w:szCs w:val="20"/>
          <w:color w:val="auto"/>
        </w:rPr>
      </w:pPr>
      <w:r>
        <w:rPr>
          <w:rFonts w:ascii="Arial" w:cs="Arial" w:eastAsia="Arial" w:hAnsi="Arial"/>
          <w:sz w:val="34"/>
          <w:szCs w:val="34"/>
          <w:b w:val="1"/>
          <w:bCs w:val="1"/>
          <w:color w:val="5D89B4"/>
        </w:rPr>
        <w:t>as our independent auditors for the fiscal year ending December 31, 2024,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71120</wp:posOffset>
            </wp:positionV>
            <wp:extent cx="69138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3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83</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20"/>
          </w:cols>
          <w:pgMar w:left="320" w:top="480"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right="60"/>
        <w:spacing w:after="0" w:line="286" w:lineRule="auto"/>
        <w:tabs>
          <w:tab w:leader="none" w:pos="655" w:val="left"/>
        </w:tabs>
        <w:numPr>
          <w:ilvl w:val="0"/>
          <w:numId w:val="73"/>
        </w:numPr>
        <w:rPr>
          <w:rFonts w:ascii="Arial" w:cs="Arial" w:eastAsia="Arial" w:hAnsi="Arial"/>
          <w:sz w:val="43"/>
          <w:szCs w:val="43"/>
          <w:b w:val="1"/>
          <w:bCs w:val="1"/>
          <w:color w:val="5D89B4"/>
        </w:rPr>
      </w:pPr>
      <w:r>
        <w:rPr>
          <w:rFonts w:ascii="Arial" w:cs="Arial" w:eastAsia="Arial" w:hAnsi="Arial"/>
          <w:sz w:val="43"/>
          <w:szCs w:val="43"/>
          <w:b w:val="1"/>
          <w:bCs w:val="1"/>
          <w:color w:val="5D89B4"/>
        </w:rPr>
        <w:t>Advisory Vote on Approval of the Compensation of Named Executive Officers</w:t>
      </w:r>
    </w:p>
    <w:p>
      <w:pPr>
        <w:spacing w:after="0" w:line="155" w:lineRule="exact"/>
        <w:rPr>
          <w:sz w:val="20"/>
          <w:szCs w:val="20"/>
          <w:color w:val="auto"/>
        </w:rPr>
      </w:pPr>
    </w:p>
    <w:p>
      <w:pPr>
        <w:ind w:left="180" w:right="100"/>
        <w:spacing w:after="0" w:line="236" w:lineRule="auto"/>
        <w:rPr>
          <w:sz w:val="20"/>
          <w:szCs w:val="20"/>
          <w:color w:val="auto"/>
        </w:rPr>
      </w:pPr>
      <w:r>
        <w:rPr>
          <w:rFonts w:ascii="Arial" w:cs="Arial" w:eastAsia="Arial" w:hAnsi="Arial"/>
          <w:sz w:val="15"/>
          <w:szCs w:val="15"/>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09" w:lineRule="exact"/>
        <w:rPr>
          <w:sz w:val="20"/>
          <w:szCs w:val="20"/>
          <w:color w:val="auto"/>
        </w:rPr>
      </w:pPr>
    </w:p>
    <w:p>
      <w:pPr>
        <w:ind w:left="180" w:right="20"/>
        <w:spacing w:after="0" w:line="270" w:lineRule="auto"/>
        <w:rPr>
          <w:sz w:val="20"/>
          <w:szCs w:val="20"/>
          <w:color w:val="auto"/>
        </w:rPr>
      </w:pPr>
      <w:r>
        <w:rPr>
          <w:rFonts w:ascii="Arial" w:cs="Arial" w:eastAsia="Arial" w:hAnsi="Arial"/>
          <w:sz w:val="15"/>
          <w:szCs w:val="15"/>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66" w:lineRule="exact"/>
        <w:rPr>
          <w:sz w:val="20"/>
          <w:szCs w:val="20"/>
          <w:color w:val="auto"/>
        </w:rPr>
      </w:pPr>
    </w:p>
    <w:p>
      <w:pPr>
        <w:ind w:left="180"/>
        <w:spacing w:after="0" w:line="233" w:lineRule="auto"/>
        <w:rPr>
          <w:sz w:val="20"/>
          <w:szCs w:val="20"/>
          <w:color w:val="auto"/>
        </w:rPr>
      </w:pPr>
      <w:r>
        <w:rPr>
          <w:rFonts w:ascii="Arial" w:cs="Arial" w:eastAsia="Arial" w:hAnsi="Arial"/>
          <w:sz w:val="15"/>
          <w:szCs w:val="15"/>
          <w:color w:val="auto"/>
        </w:rPr>
        <w:t>ManpowerGroup derives approximately 84% of its revenues from outside the United States, with the largest portions coming from the company’s operating segments in Southern Europe (45%), Northern Europe (20%) and Asia Pacific Middle East (12%). Our business is truly global in nature and complexity. Through our global network of over 2,100 offices in approximately 75 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p>
    <w:p>
      <w:pPr>
        <w:spacing w:after="0" w:line="177" w:lineRule="exact"/>
        <w:rPr>
          <w:sz w:val="20"/>
          <w:szCs w:val="20"/>
          <w:color w:val="auto"/>
        </w:rPr>
      </w:pPr>
    </w:p>
    <w:p>
      <w:pPr>
        <w:jc w:val="both"/>
        <w:ind w:left="180" w:right="100"/>
        <w:spacing w:after="0" w:line="236" w:lineRule="auto"/>
        <w:rPr>
          <w:sz w:val="20"/>
          <w:szCs w:val="20"/>
          <w:color w:val="auto"/>
        </w:rPr>
      </w:pPr>
      <w:r>
        <w:rPr>
          <w:rFonts w:ascii="Arial" w:cs="Arial" w:eastAsia="Arial" w:hAnsi="Arial"/>
          <w:sz w:val="15"/>
          <w:szCs w:val="15"/>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75" w:lineRule="exact"/>
        <w:rPr>
          <w:sz w:val="20"/>
          <w:szCs w:val="20"/>
          <w:color w:val="auto"/>
        </w:rPr>
      </w:pPr>
    </w:p>
    <w:p>
      <w:pPr>
        <w:ind w:left="180" w:right="100"/>
        <w:spacing w:after="0" w:line="236" w:lineRule="auto"/>
        <w:rPr>
          <w:sz w:val="20"/>
          <w:szCs w:val="20"/>
          <w:color w:val="auto"/>
        </w:rPr>
      </w:pPr>
      <w:r>
        <w:rPr>
          <w:rFonts w:ascii="Arial" w:cs="Arial" w:eastAsia="Arial" w:hAnsi="Arial"/>
          <w:sz w:val="15"/>
          <w:szCs w:val="15"/>
          <w:color w:val="auto"/>
        </w:rPr>
        <w:t>Compensation packages for the executive officers generally include, as short-term arrangements, a base salary and an annual incentive bonus, and for long-term focus and value accumulation, PSUs, and RSUs. The use of stock options was discontinued in 2022.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75" w:lineRule="exact"/>
        <w:rPr>
          <w:sz w:val="20"/>
          <w:szCs w:val="20"/>
          <w:color w:val="auto"/>
        </w:rPr>
      </w:pPr>
    </w:p>
    <w:p>
      <w:pPr>
        <w:ind w:left="180" w:right="20"/>
        <w:spacing w:after="0" w:line="229" w:lineRule="auto"/>
        <w:rPr>
          <w:sz w:val="20"/>
          <w:szCs w:val="20"/>
          <w:color w:val="auto"/>
        </w:rPr>
      </w:pPr>
      <w:r>
        <w:rPr>
          <w:rFonts w:ascii="Arial" w:cs="Arial" w:eastAsia="Arial" w:hAnsi="Arial"/>
          <w:sz w:val="15"/>
          <w:szCs w:val="15"/>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EBITA Margin Percent, which aligns with how the Company measures performance and also focuses executive officers on the long-term profitability of the Company. The PSUs may be modified within specified bounds based on whether strategic objectives have been achieved during the PSU performance period. In addition, a substantial portion of the annual incentive award paid to the executive officers is based on achievement of earnings per share, return on invested capital and revenue for the year. Earnings per share focuses our executive officers on producing financial results that align with the interests of our shareholders, return on invested capital incentivizes our executive officers to manage our accounts receivable and other capital investments carefully in order to maximize capital deployed, and revenue keeps our NEOs focused on top-line growth, in addition to profitability.</w:t>
      </w:r>
    </w:p>
    <w:p>
      <w:pPr>
        <w:spacing w:after="0" w:line="178" w:lineRule="exact"/>
        <w:rPr>
          <w:sz w:val="20"/>
          <w:szCs w:val="20"/>
          <w:color w:val="auto"/>
        </w:rPr>
      </w:pPr>
    </w:p>
    <w:p>
      <w:pPr>
        <w:ind w:left="180" w:right="60"/>
        <w:spacing w:after="0" w:line="241" w:lineRule="auto"/>
        <w:rPr>
          <w:sz w:val="20"/>
          <w:szCs w:val="20"/>
          <w:color w:val="auto"/>
        </w:rPr>
      </w:pPr>
      <w:r>
        <w:rPr>
          <w:rFonts w:ascii="Arial" w:cs="Arial" w:eastAsia="Arial" w:hAnsi="Arial"/>
          <w:sz w:val="15"/>
          <w:szCs w:val="15"/>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the award level is correspondingly reduced or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96520</wp:posOffset>
            </wp:positionV>
            <wp:extent cx="69138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7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84</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80"/>
        <w:spacing w:after="0"/>
        <w:rPr>
          <w:sz w:val="20"/>
          <w:szCs w:val="20"/>
          <w:color w:val="auto"/>
        </w:rPr>
      </w:pPr>
      <w:r>
        <w:rPr>
          <w:rFonts w:ascii="Arial" w:cs="Arial" w:eastAsia="Arial" w:hAnsi="Arial"/>
          <w:sz w:val="15"/>
          <w:szCs w:val="15"/>
          <w:b w:val="1"/>
          <w:bCs w:val="1"/>
          <w:color w:val="5D89B4"/>
        </w:rPr>
        <w:t>ADVISORY VOTE ON APPROVAL OF THE COMPENSATION OF NAMED EXECUTIVE OFFICERS</w:t>
      </w:r>
    </w:p>
    <w:p>
      <w:pPr>
        <w:spacing w:after="0" w:line="158" w:lineRule="exact"/>
        <w:rPr>
          <w:sz w:val="20"/>
          <w:szCs w:val="20"/>
          <w:color w:val="auto"/>
        </w:rPr>
      </w:pPr>
    </w:p>
    <w:p>
      <w:pPr>
        <w:ind w:left="180" w:right="120"/>
        <w:spacing w:after="0" w:line="241" w:lineRule="auto"/>
        <w:rPr>
          <w:sz w:val="20"/>
          <w:szCs w:val="20"/>
          <w:color w:val="auto"/>
        </w:rPr>
      </w:pPr>
      <w:r>
        <w:rPr>
          <w:rFonts w:ascii="Arial" w:cs="Arial" w:eastAsia="Arial" w:hAnsi="Arial"/>
          <w:sz w:val="15"/>
          <w:szCs w:val="15"/>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PSUs which are earned only to the extent the company achieves a pre-established level of performance tied to a designated performance metric, EBITA Margin Percent.</w:t>
      </w:r>
    </w:p>
    <w:p>
      <w:pPr>
        <w:spacing w:after="0" w:line="94" w:lineRule="exact"/>
        <w:rPr>
          <w:sz w:val="20"/>
          <w:szCs w:val="20"/>
          <w:color w:val="auto"/>
        </w:rPr>
      </w:pPr>
    </w:p>
    <w:p>
      <w:pPr>
        <w:ind w:left="180" w:right="60"/>
        <w:spacing w:after="0" w:line="236" w:lineRule="auto"/>
        <w:rPr>
          <w:sz w:val="20"/>
          <w:szCs w:val="20"/>
          <w:color w:val="auto"/>
        </w:rPr>
      </w:pPr>
      <w:r>
        <w:rPr>
          <w:rFonts w:ascii="Arial" w:cs="Arial" w:eastAsia="Arial" w:hAnsi="Arial"/>
          <w:sz w:val="15"/>
          <w:szCs w:val="15"/>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people, culture and compensation committee will take into account the outcome of the vote when considering future executive compensation arrangements.</w:t>
      </w:r>
    </w:p>
    <w:p>
      <w:pPr>
        <w:spacing w:after="0" w:line="200" w:lineRule="exact"/>
        <w:rPr>
          <w:sz w:val="20"/>
          <w:szCs w:val="20"/>
          <w:color w:val="auto"/>
        </w:rPr>
      </w:pPr>
    </w:p>
    <w:p>
      <w:pPr>
        <w:spacing w:after="0" w:line="240" w:lineRule="exact"/>
        <w:rPr>
          <w:sz w:val="20"/>
          <w:szCs w:val="20"/>
          <w:color w:val="auto"/>
        </w:rPr>
      </w:pPr>
    </w:p>
    <w:p>
      <w:pPr>
        <w:ind w:left="180" w:firstLine="1801"/>
        <w:spacing w:after="0" w:line="183" w:lineRule="auto"/>
        <w:rPr>
          <w:sz w:val="20"/>
          <w:szCs w:val="20"/>
          <w:color w:val="auto"/>
        </w:rPr>
      </w:pPr>
      <w:r>
        <w:rPr>
          <w:rFonts w:ascii="Arial" w:cs="Arial" w:eastAsia="Arial" w:hAnsi="Arial"/>
          <w:sz w:val="26"/>
          <w:szCs w:val="26"/>
          <w:b w:val="1"/>
          <w:bCs w:val="1"/>
          <w:color w:val="5D89B4"/>
        </w:rPr>
        <w:t xml:space="preserve">The board of directors recommends that you vote FOR </w:t>
      </w:r>
      <w:r>
        <w:rPr>
          <w:rFonts w:ascii="Arial" w:cs="Arial" w:eastAsia="Arial" w:hAnsi="Arial"/>
          <w:sz w:val="46"/>
          <w:szCs w:val="46"/>
          <w:u w:val="single" w:color="auto"/>
          <w:color w:val="5D89B4"/>
        </w:rPr>
        <w:t xml:space="preserve">3: </w:t>
      </w:r>
      <w:r>
        <w:rPr>
          <w:rFonts w:ascii="Arial" w:cs="Arial" w:eastAsia="Arial" w:hAnsi="Arial"/>
          <w:sz w:val="26"/>
          <w:szCs w:val="26"/>
          <w:b w:val="1"/>
          <w:bCs w:val="1"/>
          <w:u w:val="single" w:color="auto"/>
          <w:color w:val="5D89B4"/>
        </w:rPr>
        <w:t>the proposal to approve the compensation of our named</w:t>
      </w:r>
    </w:p>
    <w:p>
      <w:pPr>
        <w:spacing w:after="0" w:line="1" w:lineRule="exact"/>
        <w:rPr>
          <w:sz w:val="20"/>
          <w:szCs w:val="20"/>
          <w:color w:val="auto"/>
        </w:rPr>
      </w:pPr>
    </w:p>
    <w:p>
      <w:pPr>
        <w:ind w:left="1980" w:right="980"/>
        <w:spacing w:after="0" w:line="262" w:lineRule="auto"/>
        <w:rPr>
          <w:sz w:val="20"/>
          <w:szCs w:val="20"/>
          <w:color w:val="auto"/>
        </w:rPr>
      </w:pPr>
      <w:r>
        <w:rPr>
          <w:rFonts w:ascii="Arial" w:cs="Arial" w:eastAsia="Arial" w:hAnsi="Arial"/>
          <w:sz w:val="34"/>
          <w:szCs w:val="34"/>
          <w:b w:val="1"/>
          <w:bCs w:val="1"/>
          <w:color w:val="5D89B4"/>
        </w:rPr>
        <w:t>executive officers, and your proxy will be so voted unless you specify otherwise.</w:t>
      </w:r>
    </w:p>
    <w:p>
      <w:pPr>
        <w:spacing w:after="0" w:line="27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85</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Date, Time, and Place of Meeting</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D89B4"/>
        </w:rPr>
        <w:t xml:space="preserve">Date: </w:t>
      </w:r>
      <w:r>
        <w:rPr>
          <w:rFonts w:ascii="Arial" w:cs="Arial" w:eastAsia="Arial" w:hAnsi="Arial"/>
          <w:sz w:val="18"/>
          <w:szCs w:val="18"/>
          <w:color w:val="000000"/>
        </w:rPr>
        <w:t>May 3, 2024</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5D89B4"/>
        </w:rPr>
        <w:t xml:space="preserve">Time: </w:t>
      </w:r>
      <w:r>
        <w:rPr>
          <w:rFonts w:ascii="Arial" w:cs="Arial" w:eastAsia="Arial" w:hAnsi="Arial"/>
          <w:sz w:val="18"/>
          <w:szCs w:val="18"/>
          <w:color w:val="000000"/>
        </w:rPr>
        <w:t>8:00 a.m. CDT</w:t>
      </w:r>
    </w:p>
    <w:p>
      <w:pPr>
        <w:ind w:left="180"/>
        <w:spacing w:after="0"/>
        <w:rPr>
          <w:sz w:val="20"/>
          <w:szCs w:val="20"/>
          <w:color w:val="auto"/>
        </w:rPr>
      </w:pPr>
      <w:r>
        <w:rPr>
          <w:rFonts w:ascii="Arial" w:cs="Arial" w:eastAsia="Arial" w:hAnsi="Arial"/>
          <w:sz w:val="18"/>
          <w:szCs w:val="18"/>
          <w:b w:val="1"/>
          <w:bCs w:val="1"/>
          <w:color w:val="5D89B4"/>
        </w:rPr>
        <w:t xml:space="preserve">Virtual Meeting Access: </w:t>
      </w:r>
      <w:r>
        <w:rPr>
          <w:rFonts w:ascii="Arial" w:cs="Arial" w:eastAsia="Arial" w:hAnsi="Arial"/>
          <w:sz w:val="18"/>
          <w:szCs w:val="18"/>
          <w:color w:val="000000"/>
        </w:rPr>
        <w:t>www.meetnow.global/MPJX244</w:t>
      </w:r>
    </w:p>
    <w:p>
      <w:pPr>
        <w:spacing w:after="0" w:line="150" w:lineRule="exact"/>
        <w:rPr>
          <w:sz w:val="20"/>
          <w:szCs w:val="20"/>
          <w:color w:val="auto"/>
        </w:rPr>
      </w:pPr>
    </w:p>
    <w:p>
      <w:pPr>
        <w:ind w:left="180" w:right="240"/>
        <w:spacing w:after="0" w:line="241" w:lineRule="auto"/>
        <w:rPr>
          <w:sz w:val="20"/>
          <w:szCs w:val="20"/>
          <w:color w:val="auto"/>
        </w:rPr>
      </w:pPr>
      <w:r>
        <w:rPr>
          <w:rFonts w:ascii="Arial" w:cs="Arial" w:eastAsia="Arial" w:hAnsi="Arial"/>
          <w:sz w:val="15"/>
          <w:szCs w:val="15"/>
          <w:color w:val="auto"/>
        </w:rPr>
        <w:t>This proxy statement and form of proxy were first made available to shareholders on or about March 7, 2024. This proxy statement relates to the solicitation of proxies by the board of directors of ManpowerGroup Inc. for the purposes set forth in this proxy statement and in the accompanying notice of annual meeting of shareholders.</w:t>
      </w:r>
    </w:p>
    <w:p>
      <w:pPr>
        <w:spacing w:after="0" w:line="148" w:lineRule="exact"/>
        <w:rPr>
          <w:sz w:val="20"/>
          <w:szCs w:val="20"/>
          <w:color w:val="auto"/>
        </w:rPr>
      </w:pPr>
    </w:p>
    <w:p>
      <w:pPr>
        <w:jc w:val="both"/>
        <w:ind w:left="180" w:right="80"/>
        <w:spacing w:after="0" w:line="241" w:lineRule="auto"/>
        <w:rPr>
          <w:sz w:val="20"/>
          <w:szCs w:val="20"/>
          <w:color w:val="auto"/>
        </w:rPr>
      </w:pPr>
      <w:r>
        <w:rPr>
          <w:rFonts w:ascii="Arial" w:cs="Arial" w:eastAsia="Arial" w:hAnsi="Arial"/>
          <w:sz w:val="15"/>
          <w:szCs w:val="15"/>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Proxy Materials are Available on the Internet</w:t>
      </w:r>
    </w:p>
    <w:p>
      <w:pPr>
        <w:spacing w:after="0" w:line="346" w:lineRule="exact"/>
        <w:rPr>
          <w:sz w:val="20"/>
          <w:szCs w:val="20"/>
          <w:color w:val="auto"/>
        </w:rPr>
      </w:pPr>
    </w:p>
    <w:p>
      <w:pPr>
        <w:ind w:left="180" w:right="140"/>
        <w:spacing w:after="0" w:line="233" w:lineRule="auto"/>
        <w:rPr>
          <w:sz w:val="20"/>
          <w:szCs w:val="20"/>
          <w:color w:val="auto"/>
        </w:rPr>
      </w:pPr>
      <w:r>
        <w:rPr>
          <w:rFonts w:ascii="Arial" w:cs="Arial" w:eastAsia="Arial" w:hAnsi="Arial"/>
          <w:sz w:val="15"/>
          <w:szCs w:val="15"/>
          <w:color w:val="auto"/>
        </w:rPr>
        <w:t>Under rules adopted by the Securities and Exchange Commission, ManpowerGroup is making this proxy statement and other annual meeting materials available on the Internet instead of mailing a printed copy of these materials to each shareholder. The Notice is being mailed to shareholders commencing on or about March 21, 2024. Shareholders who receive a Notice of Internet Availability of Proxy Materials (the “Notice”) by mail will not receive a printed copy of these materials.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97" w:lineRule="exact"/>
        <w:rPr>
          <w:sz w:val="20"/>
          <w:szCs w:val="20"/>
          <w:color w:val="auto"/>
        </w:rPr>
      </w:pPr>
    </w:p>
    <w:p>
      <w:pPr>
        <w:ind w:left="180" w:right="240"/>
        <w:spacing w:after="0" w:line="270" w:lineRule="auto"/>
        <w:rPr>
          <w:sz w:val="20"/>
          <w:szCs w:val="20"/>
          <w:color w:val="auto"/>
        </w:rPr>
      </w:pPr>
      <w:r>
        <w:rPr>
          <w:rFonts w:ascii="Arial" w:cs="Arial" w:eastAsia="Arial" w:hAnsi="Arial"/>
          <w:sz w:val="15"/>
          <w:szCs w:val="15"/>
          <w:b w:val="1"/>
          <w:bCs w:val="1"/>
          <w:color w:val="auto"/>
        </w:rPr>
        <w:t>If you received the Notice by mail and would prefer to receive a printed copy of ManpowerGroup’s proxy materials, please follow the instructions for requesting printed copies included in the Notice.</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Participating in the Annual Meeting</w:t>
      </w:r>
    </w:p>
    <w:p>
      <w:pPr>
        <w:spacing w:after="0" w:line="346" w:lineRule="exact"/>
        <w:rPr>
          <w:sz w:val="20"/>
          <w:szCs w:val="20"/>
          <w:color w:val="auto"/>
        </w:rPr>
      </w:pPr>
    </w:p>
    <w:p>
      <w:pPr>
        <w:ind w:left="180" w:right="20"/>
        <w:spacing w:after="0" w:line="241" w:lineRule="auto"/>
        <w:rPr>
          <w:sz w:val="20"/>
          <w:szCs w:val="20"/>
          <w:color w:val="auto"/>
        </w:rPr>
      </w:pPr>
      <w:r>
        <w:rPr>
          <w:rFonts w:ascii="Arial" w:cs="Arial" w:eastAsia="Arial" w:hAnsi="Arial"/>
          <w:sz w:val="15"/>
          <w:szCs w:val="15"/>
          <w:color w:val="auto"/>
        </w:rPr>
        <w:t>This year’s annual meeting will be held over the web in a virtual meeting format. Conducting the meeting virtually will ensure shareholder participation and facilitate participation. ManpowerGroup shareholders as of the close of business on February 23, 2024 are entitled to attend and vote and ask questions at the annual meeting.</w:t>
      </w:r>
    </w:p>
    <w:p>
      <w:pPr>
        <w:spacing w:after="0" w:line="148" w:lineRule="exact"/>
        <w:rPr>
          <w:sz w:val="20"/>
          <w:szCs w:val="20"/>
          <w:color w:val="auto"/>
        </w:rPr>
      </w:pPr>
    </w:p>
    <w:p>
      <w:pPr>
        <w:ind w:left="180" w:right="80"/>
        <w:spacing w:after="0" w:line="236" w:lineRule="auto"/>
        <w:rPr>
          <w:sz w:val="20"/>
          <w:szCs w:val="20"/>
          <w:color w:val="auto"/>
        </w:rPr>
      </w:pPr>
      <w:r>
        <w:rPr>
          <w:rFonts w:ascii="Arial" w:cs="Arial" w:eastAsia="Arial" w:hAnsi="Arial"/>
          <w:sz w:val="15"/>
          <w:szCs w:val="15"/>
          <w:color w:val="auto"/>
        </w:rPr>
        <w:t>Shareholders can begin asking questions approximately five days in advance of the meeting as well as during the meeting by accessing the virtual meeting site. We will answer as many questions as possible during the live webcast Q&amp;A session, as time permits. Only pertinent questions to the Company and the matters of the meeting will be answered. Any pertinent questions of the meeting that are not answered during the Annual Meeting will be addressed and posted to the Company’s website as soon as practical after the meeting.</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Whether or not you participate in the virtual annual meeting, ManpowerGroup urges you to vote and submit your proxy in advance of the meeting.</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ManpowerGroup shareholders can access the meeting at www.meetnow.global/MPJX244.</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5D89B4"/>
        </w:rPr>
        <w:t>Registered Shareholders</w:t>
      </w:r>
    </w:p>
    <w:p>
      <w:pPr>
        <w:spacing w:after="0" w:line="78" w:lineRule="exact"/>
        <w:rPr>
          <w:sz w:val="20"/>
          <w:szCs w:val="20"/>
          <w:color w:val="auto"/>
        </w:rPr>
      </w:pPr>
    </w:p>
    <w:p>
      <w:pPr>
        <w:ind w:left="180" w:right="280"/>
        <w:spacing w:after="0" w:line="259" w:lineRule="auto"/>
        <w:rPr>
          <w:sz w:val="20"/>
          <w:szCs w:val="20"/>
          <w:color w:val="auto"/>
        </w:rPr>
      </w:pPr>
      <w:r>
        <w:rPr>
          <w:rFonts w:ascii="Arial" w:cs="Arial" w:eastAsia="Arial" w:hAnsi="Arial"/>
          <w:sz w:val="15"/>
          <w:szCs w:val="15"/>
          <w:color w:val="auto"/>
        </w:rPr>
        <w:t>If you are a registered shareholder, to attend and vote, follow the instructions on the meeting website and enter the control number found on your proxy card or notice, or email you received.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5D89B4"/>
        </w:rPr>
        <w:t>Beneficial Shareholders</w:t>
      </w:r>
    </w:p>
    <w:p>
      <w:pPr>
        <w:spacing w:after="0" w:line="64" w:lineRule="exact"/>
        <w:rPr>
          <w:sz w:val="20"/>
          <w:szCs w:val="20"/>
          <w:color w:val="auto"/>
        </w:rPr>
      </w:pPr>
    </w:p>
    <w:p>
      <w:pPr>
        <w:jc w:val="both"/>
        <w:ind w:left="180"/>
        <w:spacing w:after="0" w:line="236" w:lineRule="auto"/>
        <w:rPr>
          <w:sz w:val="20"/>
          <w:szCs w:val="20"/>
          <w:color w:val="auto"/>
        </w:rPr>
      </w:pPr>
      <w:r>
        <w:rPr>
          <w:rFonts w:ascii="Arial" w:cs="Arial" w:eastAsia="Arial" w:hAnsi="Arial"/>
          <w:sz w:val="15"/>
          <w:szCs w:val="15"/>
          <w:color w:val="auto"/>
        </w:rPr>
        <w:t>If you are a beneficial shareholder, you must register in advance to attend and vote at the 2024 Annual Meeting. To register to attend you must submit proof of your proxy power (legal proxy) reflecting your ManpowerGroup Inc. holdings along with your name and email address to Computershare. Requests for registration must be labeled as “Legal Proxy” and be received no later than 5:00 p.m., Eastern Time, on April 30, 2024. You will receive a confirmation email from Computershare of your registration and will be issued a control number that will allow you to attend and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97155</wp:posOffset>
            </wp:positionV>
            <wp:extent cx="69138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6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86</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SOLICITING PROXIES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Requests for registration should be directed to Computershare at the following:</w:t>
      </w:r>
    </w:p>
    <w:p>
      <w:pPr>
        <w:spacing w:after="0" w:line="113" w:lineRule="exact"/>
        <w:rPr>
          <w:sz w:val="20"/>
          <w:szCs w:val="20"/>
          <w:color w:val="auto"/>
        </w:rPr>
      </w:pPr>
    </w:p>
    <w:p>
      <w:pPr>
        <w:ind w:left="2260" w:right="1740" w:hanging="1307"/>
        <w:spacing w:after="0" w:line="259" w:lineRule="auto"/>
        <w:tabs>
          <w:tab w:leader="none" w:pos="2240" w:val="left"/>
        </w:tabs>
        <w:rPr>
          <w:sz w:val="20"/>
          <w:szCs w:val="20"/>
          <w:color w:val="auto"/>
        </w:rPr>
      </w:pPr>
      <w:r>
        <w:rPr>
          <w:rFonts w:ascii="Arial" w:cs="Arial" w:eastAsia="Arial" w:hAnsi="Arial"/>
          <w:sz w:val="15"/>
          <w:szCs w:val="15"/>
          <w:u w:val="single" w:color="auto"/>
          <w:color w:val="auto"/>
        </w:rPr>
        <w:t>By email</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xml:space="preserve">Forward the email from your broker granting you a Legal Proxy, or attach an image of your Legal Proxy, to </w:t>
      </w:r>
      <w:r>
        <w:rPr>
          <w:rFonts w:ascii="Arial" w:cs="Arial" w:eastAsia="Arial" w:hAnsi="Arial"/>
          <w:sz w:val="15"/>
          <w:szCs w:val="15"/>
          <w:u w:val="single" w:color="auto"/>
          <w:color w:val="auto"/>
        </w:rPr>
        <w:t>legalproxy@computershare.com</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920" w:type="dxa"/>
            <w:vAlign w:val="bottom"/>
            <w:gridSpan w:val="2"/>
          </w:tcPr>
          <w:p>
            <w:pPr>
              <w:spacing w:after="0"/>
              <w:rPr>
                <w:sz w:val="20"/>
                <w:szCs w:val="20"/>
                <w:color w:val="auto"/>
              </w:rPr>
            </w:pPr>
            <w:r>
              <w:rPr>
                <w:rFonts w:ascii="Arial" w:cs="Arial" w:eastAsia="Arial" w:hAnsi="Arial"/>
                <w:sz w:val="15"/>
                <w:szCs w:val="15"/>
                <w:color w:val="auto"/>
              </w:rPr>
              <w:t>By mail:</w:t>
            </w:r>
          </w:p>
        </w:tc>
        <w:tc>
          <w:tcPr>
            <w:tcW w:w="2340" w:type="dxa"/>
            <w:vAlign w:val="bottom"/>
          </w:tcPr>
          <w:p>
            <w:pPr>
              <w:ind w:left="380"/>
              <w:spacing w:after="0"/>
              <w:rPr>
                <w:sz w:val="20"/>
                <w:szCs w:val="20"/>
                <w:color w:val="auto"/>
              </w:rPr>
            </w:pPr>
            <w:r>
              <w:rPr>
                <w:rFonts w:ascii="Arial" w:cs="Arial" w:eastAsia="Arial" w:hAnsi="Arial"/>
                <w:sz w:val="15"/>
                <w:szCs w:val="15"/>
                <w:color w:val="auto"/>
              </w:rPr>
              <w:t>Computershare</w:t>
            </w:r>
          </w:p>
        </w:tc>
      </w:tr>
      <w:tr>
        <w:trPr>
          <w:trHeight w:val="136"/>
        </w:trPr>
        <w:tc>
          <w:tcPr>
            <w:tcW w:w="4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340" w:type="dxa"/>
            <w:vAlign w:val="bottom"/>
          </w:tcPr>
          <w:p>
            <w:pPr>
              <w:ind w:left="380"/>
              <w:spacing w:after="0" w:line="136" w:lineRule="exact"/>
              <w:rPr>
                <w:sz w:val="20"/>
                <w:szCs w:val="20"/>
                <w:color w:val="auto"/>
              </w:rPr>
            </w:pPr>
            <w:r>
              <w:rPr>
                <w:rFonts w:ascii="Arial" w:cs="Arial" w:eastAsia="Arial" w:hAnsi="Arial"/>
                <w:sz w:val="15"/>
                <w:szCs w:val="15"/>
                <w:color w:val="auto"/>
                <w:w w:val="99"/>
              </w:rPr>
              <w:t>ManpowerGroup Legal Proxy</w:t>
            </w:r>
          </w:p>
        </w:tc>
      </w:tr>
      <w:tr>
        <w:trPr>
          <w:trHeight w:val="160"/>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40" w:type="dxa"/>
            <w:vAlign w:val="bottom"/>
          </w:tcPr>
          <w:p>
            <w:pPr>
              <w:ind w:left="380"/>
              <w:spacing w:after="0" w:line="160" w:lineRule="exact"/>
              <w:rPr>
                <w:sz w:val="20"/>
                <w:szCs w:val="20"/>
                <w:color w:val="auto"/>
              </w:rPr>
            </w:pPr>
            <w:r>
              <w:rPr>
                <w:rFonts w:ascii="Arial" w:cs="Arial" w:eastAsia="Arial" w:hAnsi="Arial"/>
                <w:sz w:val="15"/>
                <w:szCs w:val="15"/>
                <w:color w:val="auto"/>
              </w:rPr>
              <w:t>P.O. Box 43001</w:t>
            </w:r>
          </w:p>
        </w:tc>
      </w:tr>
      <w:tr>
        <w:trPr>
          <w:trHeight w:val="199"/>
        </w:trPr>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ind w:left="380"/>
              <w:spacing w:after="0"/>
              <w:rPr>
                <w:sz w:val="20"/>
                <w:szCs w:val="20"/>
                <w:color w:val="auto"/>
              </w:rPr>
            </w:pPr>
            <w:r>
              <w:rPr>
                <w:rFonts w:ascii="Arial" w:cs="Arial" w:eastAsia="Arial" w:hAnsi="Arial"/>
                <w:sz w:val="15"/>
                <w:szCs w:val="15"/>
                <w:color w:val="auto"/>
              </w:rPr>
              <w:t>Providence, RI 02940-3001</w:t>
            </w:r>
          </w:p>
        </w:tc>
      </w:tr>
    </w:tbl>
    <w:p>
      <w:pPr>
        <w:spacing w:after="0" w:line="148" w:lineRule="exact"/>
        <w:rPr>
          <w:sz w:val="20"/>
          <w:szCs w:val="20"/>
          <w:color w:val="auto"/>
        </w:rPr>
      </w:pPr>
    </w:p>
    <w:p>
      <w:pPr>
        <w:ind w:left="180" w:right="60"/>
        <w:spacing w:after="0" w:line="259" w:lineRule="auto"/>
        <w:rPr>
          <w:sz w:val="20"/>
          <w:szCs w:val="20"/>
          <w:color w:val="auto"/>
        </w:rPr>
      </w:pPr>
      <w:r>
        <w:rPr>
          <w:rFonts w:ascii="Arial" w:cs="Arial" w:eastAsia="Arial" w:hAnsi="Arial"/>
          <w:sz w:val="15"/>
          <w:szCs w:val="15"/>
          <w:color w:val="auto"/>
        </w:rPr>
        <w:t>A list of shareholders of record will be available during the virtual Annual Meeting for inspection by shareholders for any legally valid purpose related to the Annual Meeting at www.meetnow.global/MPJX244.</w:t>
      </w:r>
    </w:p>
    <w:p>
      <w:pPr>
        <w:spacing w:after="0" w:line="121" w:lineRule="exact"/>
        <w:rPr>
          <w:sz w:val="20"/>
          <w:szCs w:val="20"/>
          <w:color w:val="auto"/>
        </w:rPr>
      </w:pPr>
    </w:p>
    <w:p>
      <w:pPr>
        <w:jc w:val="both"/>
        <w:ind w:left="180" w:right="480"/>
        <w:spacing w:after="0" w:line="241" w:lineRule="auto"/>
        <w:rPr>
          <w:sz w:val="20"/>
          <w:szCs w:val="20"/>
          <w:color w:val="auto"/>
        </w:rPr>
      </w:pPr>
      <w:r>
        <w:rPr>
          <w:rFonts w:ascii="Arial" w:cs="Arial" w:eastAsia="Arial" w:hAnsi="Arial"/>
          <w:sz w:val="15"/>
          <w:szCs w:val="15"/>
          <w:color w:val="auto"/>
        </w:rPr>
        <w:t>The annual meeting will begin promptly at 8:00 a.m. Central Time on Friday, May 3, 2024. We encourage you to access the meeting before it begins. Online check-in will start shortly before the meeting, and you should allow ample time for the check-in procedures. If you require technical assistance, a link on the meeting page will provide further assistance or you may call 1-800-874-1547.</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Soliciting Proxies</w:t>
      </w:r>
    </w:p>
    <w:p>
      <w:pPr>
        <w:spacing w:after="0" w:line="346" w:lineRule="exact"/>
        <w:rPr>
          <w:sz w:val="20"/>
          <w:szCs w:val="20"/>
          <w:color w:val="auto"/>
        </w:rPr>
      </w:pPr>
    </w:p>
    <w:p>
      <w:pPr>
        <w:jc w:val="both"/>
        <w:ind w:left="180" w:right="20"/>
        <w:spacing w:after="0" w:line="241" w:lineRule="auto"/>
        <w:rPr>
          <w:sz w:val="20"/>
          <w:szCs w:val="20"/>
          <w:color w:val="auto"/>
        </w:rPr>
      </w:pPr>
      <w:r>
        <w:rPr>
          <w:rFonts w:ascii="Arial" w:cs="Arial" w:eastAsia="Arial" w:hAnsi="Arial"/>
          <w:sz w:val="15"/>
          <w:szCs w:val="15"/>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$20,000 plus expenses.</w:t>
      </w:r>
    </w:p>
    <w:p>
      <w:pPr>
        <w:spacing w:after="0" w:line="174" w:lineRule="exact"/>
        <w:rPr>
          <w:sz w:val="20"/>
          <w:szCs w:val="20"/>
          <w:color w:val="auto"/>
        </w:rPr>
      </w:pPr>
    </w:p>
    <w:p>
      <w:pPr>
        <w:ind w:left="180" w:right="260"/>
        <w:spacing w:after="0" w:line="259" w:lineRule="auto"/>
        <w:rPr>
          <w:sz w:val="20"/>
          <w:szCs w:val="20"/>
          <w:color w:val="auto"/>
        </w:rPr>
      </w:pPr>
      <w:r>
        <w:rPr>
          <w:rFonts w:ascii="Arial" w:cs="Arial" w:eastAsia="Arial" w:hAnsi="Arial"/>
          <w:sz w:val="15"/>
          <w:szCs w:val="15"/>
          <w:color w:val="auto"/>
        </w:rPr>
        <w:t>Only shareholders of record at the close of business on February 23, 2024 are entitled to notice of and to vote the shares of our common stock, $.01 par value, registered in their name at the annual meeting. As of the record date, we had outstanding 48,380,478 shares of common stock.</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Vote Required and Voting Standards</w:t>
      </w:r>
    </w:p>
    <w:p>
      <w:pPr>
        <w:spacing w:after="0" w:line="346" w:lineRule="exact"/>
        <w:rPr>
          <w:sz w:val="20"/>
          <w:szCs w:val="20"/>
          <w:color w:val="auto"/>
        </w:rPr>
      </w:pPr>
    </w:p>
    <w:p>
      <w:pPr>
        <w:ind w:left="180" w:right="40"/>
        <w:spacing w:after="0" w:line="236" w:lineRule="auto"/>
        <w:rPr>
          <w:sz w:val="20"/>
          <w:szCs w:val="20"/>
          <w:color w:val="auto"/>
        </w:rPr>
      </w:pPr>
      <w:r>
        <w:rPr>
          <w:rFonts w:ascii="Arial" w:cs="Arial" w:eastAsia="Arial" w:hAnsi="Arial"/>
          <w:sz w:val="15"/>
          <w:szCs w:val="15"/>
          <w:color w:val="auto"/>
        </w:rPr>
        <w:t>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97155</wp:posOffset>
            </wp:positionV>
            <wp:extent cx="69138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7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87</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VOTE REQUIRED AND VOTING STANDARDS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summarizes the votes required for passage of each proposal and the effect of abstentions and non-broker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155575</wp:posOffset>
            </wp:positionV>
            <wp:extent cx="1855470" cy="2882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855470" cy="288290"/>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5D89B4"/>
        </w:rPr>
        <w:t>PROPOSAL</w:t>
      </w:r>
    </w:p>
    <w:p>
      <w:pPr>
        <w:spacing w:after="0" w:line="124" w:lineRule="exact"/>
        <w:rPr>
          <w:sz w:val="20"/>
          <w:szCs w:val="20"/>
          <w:color w:val="auto"/>
        </w:rPr>
      </w:pPr>
    </w:p>
    <w:p>
      <w:pPr>
        <w:ind w:left="260"/>
        <w:spacing w:after="0" w:line="241" w:lineRule="auto"/>
        <w:rPr>
          <w:sz w:val="20"/>
          <w:szCs w:val="20"/>
          <w:color w:val="auto"/>
        </w:rPr>
      </w:pPr>
      <w:r>
        <w:rPr>
          <w:rFonts w:ascii="Arial" w:cs="Arial" w:eastAsia="Arial" w:hAnsi="Arial"/>
          <w:sz w:val="15"/>
          <w:szCs w:val="15"/>
          <w:color w:val="auto"/>
        </w:rPr>
        <w:t>To elect eleven individuals nominated by the Board of Directors of ManpowerGroup to serve until 2025 as directors;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540" w:type="dxa"/>
            <w:vAlign w:val="bottom"/>
            <w:shd w:val="clear" w:color="auto" w:fill="EAEAEA"/>
          </w:tcPr>
          <w:p>
            <w:pPr>
              <w:ind w:left="1040"/>
              <w:spacing w:after="0"/>
              <w:rPr>
                <w:sz w:val="20"/>
                <w:szCs w:val="20"/>
                <w:color w:val="auto"/>
              </w:rPr>
            </w:pPr>
            <w:r>
              <w:rPr>
                <w:rFonts w:ascii="Arial" w:cs="Arial" w:eastAsia="Arial" w:hAnsi="Arial"/>
                <w:sz w:val="14"/>
                <w:szCs w:val="14"/>
                <w:b w:val="1"/>
                <w:bCs w:val="1"/>
                <w:color w:val="5D89B4"/>
              </w:rPr>
              <w:t>VOTES REQUIRED FOR</w:t>
            </w:r>
          </w:p>
        </w:tc>
        <w:tc>
          <w:tcPr>
            <w:tcW w:w="2420" w:type="dxa"/>
            <w:vAlign w:val="bottom"/>
            <w:shd w:val="clear" w:color="auto" w:fill="EAEAEA"/>
          </w:tcPr>
          <w:p>
            <w:pPr>
              <w:spacing w:after="0"/>
              <w:rPr>
                <w:sz w:val="18"/>
                <w:szCs w:val="18"/>
                <w:color w:val="auto"/>
              </w:rPr>
            </w:pPr>
          </w:p>
        </w:tc>
        <w:tc>
          <w:tcPr>
            <w:tcW w:w="2000" w:type="dxa"/>
            <w:vAlign w:val="bottom"/>
            <w:shd w:val="clear" w:color="auto" w:fill="EAEAEA"/>
          </w:tcPr>
          <w:p>
            <w:pPr>
              <w:spacing w:after="0"/>
              <w:rPr>
                <w:sz w:val="18"/>
                <w:szCs w:val="18"/>
                <w:color w:val="auto"/>
              </w:rPr>
            </w:pPr>
          </w:p>
        </w:tc>
      </w:tr>
      <w:tr>
        <w:trPr>
          <w:trHeight w:val="216"/>
        </w:trPr>
        <w:tc>
          <w:tcPr>
            <w:tcW w:w="3540" w:type="dxa"/>
            <w:vAlign w:val="bottom"/>
            <w:tcBorders>
              <w:bottom w:val="single" w:sz="8" w:color="EAEAEA"/>
            </w:tcBorders>
            <w:shd w:val="clear" w:color="auto" w:fill="EAEAEA"/>
          </w:tcPr>
          <w:p>
            <w:pPr>
              <w:jc w:val="center"/>
              <w:ind w:left="7"/>
              <w:spacing w:after="0"/>
              <w:rPr>
                <w:sz w:val="20"/>
                <w:szCs w:val="20"/>
                <w:color w:val="auto"/>
              </w:rPr>
            </w:pPr>
            <w:r>
              <w:rPr>
                <w:rFonts w:ascii="Arial" w:cs="Arial" w:eastAsia="Arial" w:hAnsi="Arial"/>
                <w:sz w:val="14"/>
                <w:szCs w:val="14"/>
                <w:b w:val="1"/>
                <w:bCs w:val="1"/>
                <w:color w:val="5D89B4"/>
              </w:rPr>
              <w:t>APPROVAL</w:t>
            </w:r>
          </w:p>
        </w:tc>
        <w:tc>
          <w:tcPr>
            <w:tcW w:w="2420" w:type="dxa"/>
            <w:vAlign w:val="bottom"/>
            <w:tcBorders>
              <w:bottom w:val="single" w:sz="8" w:color="EAEAEA"/>
            </w:tcBorders>
            <w:shd w:val="clear" w:color="auto" w:fill="EAEAEA"/>
          </w:tcPr>
          <w:p>
            <w:pPr>
              <w:jc w:val="center"/>
              <w:ind w:left="287"/>
              <w:spacing w:after="0"/>
              <w:rPr>
                <w:sz w:val="20"/>
                <w:szCs w:val="20"/>
                <w:color w:val="auto"/>
              </w:rPr>
            </w:pPr>
            <w:r>
              <w:rPr>
                <w:rFonts w:ascii="Arial" w:cs="Arial" w:eastAsia="Arial" w:hAnsi="Arial"/>
                <w:sz w:val="14"/>
                <w:szCs w:val="14"/>
                <w:b w:val="1"/>
                <w:bCs w:val="1"/>
                <w:color w:val="5D89B4"/>
              </w:rPr>
              <w:t>ABSTENTIONS</w:t>
            </w:r>
          </w:p>
        </w:tc>
        <w:tc>
          <w:tcPr>
            <w:tcW w:w="2000" w:type="dxa"/>
            <w:vAlign w:val="bottom"/>
            <w:tcBorders>
              <w:bottom w:val="single" w:sz="8" w:color="EAEAEA"/>
            </w:tcBorders>
            <w:shd w:val="clear" w:color="auto" w:fill="EAEAEA"/>
          </w:tcPr>
          <w:p>
            <w:pPr>
              <w:jc w:val="center"/>
              <w:ind w:left="427"/>
              <w:spacing w:after="0"/>
              <w:rPr>
                <w:sz w:val="20"/>
                <w:szCs w:val="20"/>
                <w:color w:val="auto"/>
              </w:rPr>
            </w:pPr>
            <w:r>
              <w:rPr>
                <w:rFonts w:ascii="Arial" w:cs="Arial" w:eastAsia="Arial" w:hAnsi="Arial"/>
                <w:sz w:val="14"/>
                <w:szCs w:val="14"/>
                <w:b w:val="1"/>
                <w:bCs w:val="1"/>
                <w:color w:val="5D89B4"/>
              </w:rPr>
              <w:t>BROKER NON-VOTES</w:t>
            </w:r>
          </w:p>
        </w:tc>
      </w:tr>
      <w:tr>
        <w:trPr>
          <w:trHeight w:val="435"/>
        </w:trPr>
        <w:tc>
          <w:tcPr>
            <w:tcW w:w="3540" w:type="dxa"/>
            <w:vAlign w:val="bottom"/>
          </w:tcPr>
          <w:p>
            <w:pPr>
              <w:jc w:val="center"/>
              <w:ind w:left="7"/>
              <w:spacing w:after="0"/>
              <w:rPr>
                <w:sz w:val="20"/>
                <w:szCs w:val="20"/>
                <w:color w:val="auto"/>
              </w:rPr>
            </w:pPr>
            <w:r>
              <w:rPr>
                <w:rFonts w:ascii="Arial" w:cs="Arial" w:eastAsia="Arial" w:hAnsi="Arial"/>
                <w:sz w:val="15"/>
                <w:szCs w:val="15"/>
                <w:color w:val="auto"/>
              </w:rPr>
              <w:t>Majority of votes cast</w:t>
            </w:r>
          </w:p>
        </w:tc>
        <w:tc>
          <w:tcPr>
            <w:tcW w:w="2420" w:type="dxa"/>
            <w:vAlign w:val="bottom"/>
          </w:tcPr>
          <w:p>
            <w:pPr>
              <w:jc w:val="center"/>
              <w:ind w:left="287"/>
              <w:spacing w:after="0"/>
              <w:rPr>
                <w:sz w:val="20"/>
                <w:szCs w:val="20"/>
                <w:color w:val="auto"/>
              </w:rPr>
            </w:pPr>
            <w:r>
              <w:rPr>
                <w:rFonts w:ascii="Arial" w:cs="Arial" w:eastAsia="Arial" w:hAnsi="Arial"/>
                <w:sz w:val="15"/>
                <w:szCs w:val="15"/>
                <w:color w:val="auto"/>
              </w:rPr>
              <w:t>Not voted</w:t>
            </w:r>
          </w:p>
        </w:tc>
        <w:tc>
          <w:tcPr>
            <w:tcW w:w="2000" w:type="dxa"/>
            <w:vAlign w:val="bottom"/>
          </w:tcPr>
          <w:p>
            <w:pPr>
              <w:jc w:val="center"/>
              <w:ind w:left="447"/>
              <w:spacing w:after="0"/>
              <w:rPr>
                <w:sz w:val="20"/>
                <w:szCs w:val="20"/>
                <w:color w:val="auto"/>
              </w:rPr>
            </w:pPr>
            <w:r>
              <w:rPr>
                <w:rFonts w:ascii="Arial" w:cs="Arial" w:eastAsia="Arial" w:hAnsi="Arial"/>
                <w:sz w:val="15"/>
                <w:szCs w:val="15"/>
                <w:color w:val="auto"/>
                <w:w w:val="99"/>
              </w:rPr>
              <w:t>Not voted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113665</wp:posOffset>
            </wp:positionV>
            <wp:extent cx="69138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3060" w:space="40"/>
            <w:col w:w="7960"/>
          </w:cols>
          <w:pgMar w:left="320" w:top="480" w:right="519" w:bottom="1440" w:gutter="0" w:footer="0" w:header="0"/>
          <w:type w:val="continuous"/>
        </w:sectPr>
      </w:pP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440" w:type="dxa"/>
            <w:vAlign w:val="bottom"/>
          </w:tcPr>
          <w:p>
            <w:pPr>
              <w:ind w:left="80"/>
              <w:spacing w:after="0"/>
              <w:rPr>
                <w:sz w:val="20"/>
                <w:szCs w:val="20"/>
                <w:color w:val="auto"/>
              </w:rPr>
            </w:pPr>
            <w:r>
              <w:rPr>
                <w:rFonts w:ascii="Arial" w:cs="Arial" w:eastAsia="Arial" w:hAnsi="Arial"/>
                <w:sz w:val="15"/>
                <w:szCs w:val="15"/>
                <w:color w:val="auto"/>
              </w:rPr>
              <w:t>To ratify the appointment of Deloitte &amp;</w:t>
            </w:r>
          </w:p>
        </w:tc>
        <w:tc>
          <w:tcPr>
            <w:tcW w:w="3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91"/>
        </w:trPr>
        <w:tc>
          <w:tcPr>
            <w:tcW w:w="3440" w:type="dxa"/>
            <w:vAlign w:val="bottom"/>
          </w:tcPr>
          <w:p>
            <w:pPr>
              <w:ind w:left="80"/>
              <w:spacing w:after="0"/>
              <w:rPr>
                <w:sz w:val="20"/>
                <w:szCs w:val="20"/>
                <w:color w:val="auto"/>
              </w:rPr>
            </w:pPr>
            <w:r>
              <w:rPr>
                <w:rFonts w:ascii="Arial" w:cs="Arial" w:eastAsia="Arial" w:hAnsi="Arial"/>
                <w:sz w:val="15"/>
                <w:szCs w:val="15"/>
                <w:color w:val="auto"/>
              </w:rPr>
              <w:t>Touche LLP as our independent auditors</w:t>
            </w:r>
          </w:p>
        </w:tc>
        <w:tc>
          <w:tcPr>
            <w:tcW w:w="3040" w:type="dxa"/>
            <w:vAlign w:val="bottom"/>
          </w:tcPr>
          <w:p>
            <w:pPr>
              <w:ind w:left="580"/>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40"/>
              <w:spacing w:after="0"/>
              <w:rPr>
                <w:sz w:val="20"/>
                <w:szCs w:val="20"/>
                <w:color w:val="auto"/>
              </w:rPr>
            </w:pPr>
            <w:r>
              <w:rPr>
                <w:rFonts w:ascii="Arial" w:cs="Arial" w:eastAsia="Arial" w:hAnsi="Arial"/>
                <w:sz w:val="15"/>
                <w:szCs w:val="15"/>
                <w:color w:val="auto"/>
              </w:rPr>
              <w:t>Not voted</w:t>
            </w:r>
          </w:p>
        </w:tc>
        <w:tc>
          <w:tcPr>
            <w:tcW w:w="188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99"/>
        </w:trPr>
        <w:tc>
          <w:tcPr>
            <w:tcW w:w="3440" w:type="dxa"/>
            <w:vAlign w:val="bottom"/>
          </w:tcPr>
          <w:p>
            <w:pPr>
              <w:ind w:left="80"/>
              <w:spacing w:after="0"/>
              <w:rPr>
                <w:sz w:val="20"/>
                <w:szCs w:val="20"/>
                <w:color w:val="auto"/>
              </w:rPr>
            </w:pPr>
            <w:r>
              <w:rPr>
                <w:rFonts w:ascii="Arial" w:cs="Arial" w:eastAsia="Arial" w:hAnsi="Arial"/>
                <w:sz w:val="15"/>
                <w:szCs w:val="15"/>
                <w:color w:val="auto"/>
              </w:rPr>
              <w:t>for 2024;</w:t>
            </w:r>
          </w:p>
        </w:tc>
        <w:tc>
          <w:tcPr>
            <w:tcW w:w="30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68"/>
        </w:trPr>
        <w:tc>
          <w:tcPr>
            <w:tcW w:w="3440" w:type="dxa"/>
            <w:vAlign w:val="bottom"/>
            <w:tcBorders>
              <w:bottom w:val="single" w:sz="8" w:color="5D89B4"/>
            </w:tcBorders>
          </w:tcPr>
          <w:p>
            <w:pPr>
              <w:spacing w:after="0"/>
              <w:rPr>
                <w:sz w:val="5"/>
                <w:szCs w:val="5"/>
                <w:color w:val="auto"/>
              </w:rPr>
            </w:pPr>
          </w:p>
        </w:tc>
        <w:tc>
          <w:tcPr>
            <w:tcW w:w="3040" w:type="dxa"/>
            <w:vAlign w:val="bottom"/>
            <w:tcBorders>
              <w:bottom w:val="single" w:sz="8" w:color="5D89B4"/>
            </w:tcBorders>
          </w:tcPr>
          <w:p>
            <w:pPr>
              <w:spacing w:after="0"/>
              <w:rPr>
                <w:sz w:val="5"/>
                <w:szCs w:val="5"/>
                <w:color w:val="auto"/>
              </w:rPr>
            </w:pPr>
          </w:p>
        </w:tc>
        <w:tc>
          <w:tcPr>
            <w:tcW w:w="2520" w:type="dxa"/>
            <w:vAlign w:val="bottom"/>
            <w:tcBorders>
              <w:bottom w:val="single" w:sz="8" w:color="5D89B4"/>
            </w:tcBorders>
          </w:tcPr>
          <w:p>
            <w:pPr>
              <w:spacing w:after="0"/>
              <w:rPr>
                <w:sz w:val="5"/>
                <w:szCs w:val="5"/>
                <w:color w:val="auto"/>
              </w:rPr>
            </w:pPr>
          </w:p>
        </w:tc>
        <w:tc>
          <w:tcPr>
            <w:tcW w:w="1880" w:type="dxa"/>
            <w:vAlign w:val="bottom"/>
            <w:tcBorders>
              <w:bottom w:val="single" w:sz="8" w:color="5D89B4"/>
            </w:tcBorders>
          </w:tcPr>
          <w:p>
            <w:pPr>
              <w:spacing w:after="0"/>
              <w:rPr>
                <w:sz w:val="5"/>
                <w:szCs w:val="5"/>
                <w:color w:val="auto"/>
              </w:rPr>
            </w:pPr>
          </w:p>
        </w:tc>
      </w:tr>
      <w:tr>
        <w:trPr>
          <w:trHeight w:val="310"/>
        </w:trPr>
        <w:tc>
          <w:tcPr>
            <w:tcW w:w="3440" w:type="dxa"/>
            <w:vAlign w:val="bottom"/>
          </w:tcPr>
          <w:p>
            <w:pPr>
              <w:ind w:left="80"/>
              <w:spacing w:after="0"/>
              <w:rPr>
                <w:sz w:val="20"/>
                <w:szCs w:val="20"/>
                <w:color w:val="auto"/>
              </w:rPr>
            </w:pPr>
            <w:r>
              <w:rPr>
                <w:rFonts w:ascii="Arial" w:cs="Arial" w:eastAsia="Arial" w:hAnsi="Arial"/>
                <w:sz w:val="15"/>
                <w:szCs w:val="15"/>
                <w:color w:val="auto"/>
              </w:rPr>
              <w:t>To hold an advisory vote on approval of</w:t>
            </w:r>
          </w:p>
        </w:tc>
        <w:tc>
          <w:tcPr>
            <w:tcW w:w="3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1"/>
        </w:trPr>
        <w:tc>
          <w:tcPr>
            <w:tcW w:w="3440" w:type="dxa"/>
            <w:vAlign w:val="bottom"/>
          </w:tcPr>
          <w:p>
            <w:pPr>
              <w:ind w:left="80"/>
              <w:spacing w:after="0"/>
              <w:rPr>
                <w:sz w:val="20"/>
                <w:szCs w:val="20"/>
                <w:color w:val="auto"/>
              </w:rPr>
            </w:pPr>
            <w:r>
              <w:rPr>
                <w:rFonts w:ascii="Arial" w:cs="Arial" w:eastAsia="Arial" w:hAnsi="Arial"/>
                <w:sz w:val="15"/>
                <w:szCs w:val="15"/>
                <w:color w:val="auto"/>
              </w:rPr>
              <w:t>the compensation of our named executive</w:t>
            </w:r>
          </w:p>
        </w:tc>
        <w:tc>
          <w:tcPr>
            <w:tcW w:w="3040" w:type="dxa"/>
            <w:vAlign w:val="bottom"/>
          </w:tcPr>
          <w:p>
            <w:pPr>
              <w:ind w:left="580"/>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40"/>
              <w:spacing w:after="0"/>
              <w:rPr>
                <w:sz w:val="20"/>
                <w:szCs w:val="20"/>
                <w:color w:val="auto"/>
              </w:rPr>
            </w:pPr>
            <w:r>
              <w:rPr>
                <w:rFonts w:ascii="Arial" w:cs="Arial" w:eastAsia="Arial" w:hAnsi="Arial"/>
                <w:sz w:val="15"/>
                <w:szCs w:val="15"/>
                <w:color w:val="auto"/>
              </w:rPr>
              <w:t>Not voted</w:t>
            </w:r>
          </w:p>
        </w:tc>
        <w:tc>
          <w:tcPr>
            <w:tcW w:w="188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99"/>
        </w:trPr>
        <w:tc>
          <w:tcPr>
            <w:tcW w:w="3440" w:type="dxa"/>
            <w:vAlign w:val="bottom"/>
          </w:tcPr>
          <w:p>
            <w:pPr>
              <w:ind w:left="80"/>
              <w:spacing w:after="0"/>
              <w:rPr>
                <w:sz w:val="20"/>
                <w:szCs w:val="20"/>
                <w:color w:val="auto"/>
              </w:rPr>
            </w:pPr>
            <w:r>
              <w:rPr>
                <w:rFonts w:ascii="Arial" w:cs="Arial" w:eastAsia="Arial" w:hAnsi="Arial"/>
                <w:sz w:val="15"/>
                <w:szCs w:val="15"/>
                <w:color w:val="auto"/>
              </w:rPr>
              <w:t>officers;</w:t>
            </w:r>
          </w:p>
        </w:tc>
        <w:tc>
          <w:tcPr>
            <w:tcW w:w="30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68"/>
        </w:trPr>
        <w:tc>
          <w:tcPr>
            <w:tcW w:w="3440" w:type="dxa"/>
            <w:vAlign w:val="bottom"/>
            <w:tcBorders>
              <w:bottom w:val="single" w:sz="8" w:color="5D89B4"/>
            </w:tcBorders>
          </w:tcPr>
          <w:p>
            <w:pPr>
              <w:spacing w:after="0"/>
              <w:rPr>
                <w:sz w:val="5"/>
                <w:szCs w:val="5"/>
                <w:color w:val="auto"/>
              </w:rPr>
            </w:pPr>
          </w:p>
        </w:tc>
        <w:tc>
          <w:tcPr>
            <w:tcW w:w="3040" w:type="dxa"/>
            <w:vAlign w:val="bottom"/>
            <w:tcBorders>
              <w:bottom w:val="single" w:sz="8" w:color="5D89B4"/>
            </w:tcBorders>
          </w:tcPr>
          <w:p>
            <w:pPr>
              <w:spacing w:after="0"/>
              <w:rPr>
                <w:sz w:val="5"/>
                <w:szCs w:val="5"/>
                <w:color w:val="auto"/>
              </w:rPr>
            </w:pPr>
          </w:p>
        </w:tc>
        <w:tc>
          <w:tcPr>
            <w:tcW w:w="2520" w:type="dxa"/>
            <w:vAlign w:val="bottom"/>
            <w:tcBorders>
              <w:bottom w:val="single" w:sz="8" w:color="5D89B4"/>
            </w:tcBorders>
          </w:tcPr>
          <w:p>
            <w:pPr>
              <w:spacing w:after="0"/>
              <w:rPr>
                <w:sz w:val="5"/>
                <w:szCs w:val="5"/>
                <w:color w:val="auto"/>
              </w:rPr>
            </w:pPr>
          </w:p>
        </w:tc>
        <w:tc>
          <w:tcPr>
            <w:tcW w:w="1880" w:type="dxa"/>
            <w:vAlign w:val="bottom"/>
            <w:tcBorders>
              <w:bottom w:val="single" w:sz="8" w:color="5D89B4"/>
            </w:tcBorders>
          </w:tcPr>
          <w:p>
            <w:pPr>
              <w:spacing w:after="0"/>
              <w:rPr>
                <w:sz w:val="5"/>
                <w:szCs w:val="5"/>
                <w:color w:val="auto"/>
              </w:rPr>
            </w:pPr>
          </w:p>
        </w:tc>
      </w:tr>
    </w:tbl>
    <w:p>
      <w:pPr>
        <w:spacing w:after="0" w:line="196" w:lineRule="exact"/>
        <w:rPr>
          <w:sz w:val="20"/>
          <w:szCs w:val="20"/>
          <w:color w:val="auto"/>
        </w:rPr>
      </w:pPr>
    </w:p>
    <w:p>
      <w:pPr>
        <w:ind w:left="180" w:right="40"/>
        <w:spacing w:after="0" w:line="233" w:lineRule="auto"/>
        <w:rPr>
          <w:sz w:val="20"/>
          <w:szCs w:val="20"/>
          <w:color w:val="auto"/>
        </w:rPr>
      </w:pPr>
      <w:r>
        <w:rPr>
          <w:rFonts w:ascii="Arial" w:cs="Arial" w:eastAsia="Arial" w:hAnsi="Arial"/>
          <w:sz w:val="15"/>
          <w:szCs w:val="15"/>
          <w:color w:val="auto"/>
        </w:rPr>
        <w:t xml:space="preserve">If a proxy is properly submitted to us and not revoked, it will be voted in accordance with the instructions contained in the proxy. </w:t>
      </w:r>
      <w:r>
        <w:rPr>
          <w:rFonts w:ascii="Arial" w:cs="Arial" w:eastAsia="Arial" w:hAnsi="Arial"/>
          <w:sz w:val="15"/>
          <w:szCs w:val="15"/>
          <w:b w:val="1"/>
          <w:bCs w:val="1"/>
          <w:color w:val="auto"/>
        </w:rPr>
        <w:t>Each shareholder may revoke a</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election of each of the individuals nominated by our board of directors to serve as directors until the 2025 annual meeting of shareholders,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appointment of Deloitte &amp; Touche LLP as our independent auditors for 2024 and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84455</wp:posOffset>
            </wp:positionV>
            <wp:extent cx="69138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88</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CORPORATE GOVERNANCE DOCUMENTS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Corporate Governance Documents</w:t>
      </w:r>
    </w:p>
    <w:p>
      <w:pPr>
        <w:spacing w:after="0" w:line="346" w:lineRule="exact"/>
        <w:rPr>
          <w:sz w:val="20"/>
          <w:szCs w:val="20"/>
          <w:color w:val="auto"/>
        </w:rPr>
      </w:pPr>
    </w:p>
    <w:p>
      <w:pPr>
        <w:jc w:val="both"/>
        <w:ind w:left="180"/>
        <w:spacing w:after="0" w:line="259" w:lineRule="auto"/>
        <w:rPr>
          <w:sz w:val="20"/>
          <w:szCs w:val="20"/>
          <w:color w:val="auto"/>
        </w:rPr>
      </w:pPr>
      <w:r>
        <w:rPr>
          <w:rFonts w:ascii="Arial" w:cs="Arial" w:eastAsia="Arial" w:hAnsi="Arial"/>
          <w:sz w:val="15"/>
          <w:szCs w:val="15"/>
          <w:color w:val="auto"/>
        </w:rPr>
        <w:t>Certain documents relating to corporate governance matters are available in print by writing to Richard Buchband, Secretary, ManpowerGroup Inc., 100 Manpower Place, Milwaukee, Wisconsin 53212 and on ManpowerGroup’s website at http://investor.manpowergroup.com/governance. These documents include the following:</w:t>
      </w:r>
    </w:p>
    <w:p>
      <w:pPr>
        <w:spacing w:after="0" w:line="68" w:lineRule="exact"/>
        <w:rPr>
          <w:sz w:val="20"/>
          <w:szCs w:val="20"/>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Amended and restated articles of incorporation;</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Amended and restated bylaws;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Corporate governance guidelines;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Code of business conduct and ethics;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Charter of the governance and sustainability committee, including the guidelines for selecting board candidates;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Categorical standards for relationships deemed not to impair independence of non-employee directors;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Charter of the audit committee;</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Independent auditor services policy;</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Charter of the people, culture and compensation committee;</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Executive officer stock ownership guidelines;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Outside director stock ownership guidelines;</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Insider trading policy; and</w:t>
      </w:r>
    </w:p>
    <w:p>
      <w:pPr>
        <w:spacing w:after="0" w:line="107" w:lineRule="exact"/>
        <w:rPr>
          <w:rFonts w:ascii="Arial" w:cs="Arial" w:eastAsia="Arial" w:hAnsi="Arial"/>
          <w:sz w:val="15"/>
          <w:szCs w:val="15"/>
          <w:color w:val="auto"/>
        </w:rPr>
      </w:pPr>
    </w:p>
    <w:p>
      <w:pPr>
        <w:ind w:left="400" w:hanging="220"/>
        <w:spacing w:after="0"/>
        <w:tabs>
          <w:tab w:leader="none" w:pos="4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Anti-corruption policy.</w:t>
      </w:r>
    </w:p>
    <w:p>
      <w:pPr>
        <w:spacing w:after="0" w:line="94" w:lineRule="exact"/>
        <w:rPr>
          <w:sz w:val="20"/>
          <w:szCs w:val="20"/>
          <w:color w:val="auto"/>
        </w:rPr>
      </w:pPr>
    </w:p>
    <w:p>
      <w:pPr>
        <w:ind w:left="180" w:right="220"/>
        <w:spacing w:after="0" w:line="259" w:lineRule="auto"/>
        <w:rPr>
          <w:sz w:val="20"/>
          <w:szCs w:val="20"/>
          <w:color w:val="auto"/>
        </w:rPr>
      </w:pPr>
      <w:r>
        <w:rPr>
          <w:rFonts w:ascii="Arial" w:cs="Arial" w:eastAsia="Arial" w:hAnsi="Arial"/>
          <w:sz w:val="15"/>
          <w:szCs w:val="15"/>
          <w:color w:val="auto"/>
        </w:rPr>
        <w:t>This proxy statement includes several website addresses and references to additional materials found on those websites. These websites and materials are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79375</wp:posOffset>
            </wp:positionV>
            <wp:extent cx="69138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89</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1060"/>
          </w:cols>
          <w:pgMar w:left="320" w:top="480"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694690</wp:posOffset>
            </wp:positionV>
            <wp:extent cx="6913880" cy="336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913880" cy="336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203200</wp:posOffset>
            </wp:positionV>
            <wp:extent cx="6913880" cy="406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91388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5D89B4"/>
        </w:rPr>
        <w:t>SUBMISSION OF SHAREHOLDER PROPOSALS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Submission of Shareholder Proposals</w:t>
      </w:r>
    </w:p>
    <w:p>
      <w:pPr>
        <w:spacing w:after="0" w:line="354" w:lineRule="exact"/>
        <w:rPr>
          <w:sz w:val="20"/>
          <w:szCs w:val="20"/>
          <w:color w:val="auto"/>
        </w:rPr>
      </w:pPr>
    </w:p>
    <w:p>
      <w:pPr>
        <w:ind w:left="180" w:right="40"/>
        <w:spacing w:after="0" w:line="249" w:lineRule="auto"/>
        <w:rPr>
          <w:sz w:val="20"/>
          <w:szCs w:val="20"/>
          <w:color w:val="auto"/>
        </w:rPr>
      </w:pPr>
      <w:r>
        <w:rPr>
          <w:rFonts w:ascii="Arial" w:cs="Arial" w:eastAsia="Arial" w:hAnsi="Arial"/>
          <w:sz w:val="14"/>
          <w:szCs w:val="14"/>
          <w:color w:val="auto"/>
        </w:rPr>
        <w:t>In accordance with our bylaws, nominations, other than by or at the direction of the board of directors, of candidates for election as directors at the 2025 annual meeting of shareholders must be received by us no earlier than December 3, 2024 and no later than February 1, 2025, and any other shareholder proposed business to be brought before the 2025 annual meeting of shareholders must be received by us no earlier than January 3, 2025 and no later than 5:00 p.m. local time on February 2, 2025. Unlike shareholder proposals properly made under Rule 14a-8 of the Securities Exchange Act of 1934, we are not required to include such nominations and other shareholder proposed business in the proxy statement solicited by the board of directors.</w:t>
      </w:r>
    </w:p>
    <w:p>
      <w:pPr>
        <w:spacing w:after="0" w:line="179" w:lineRule="exact"/>
        <w:rPr>
          <w:sz w:val="20"/>
          <w:szCs w:val="20"/>
          <w:color w:val="auto"/>
        </w:rPr>
      </w:pPr>
    </w:p>
    <w:p>
      <w:pPr>
        <w:jc w:val="both"/>
        <w:ind w:left="180" w:right="140"/>
        <w:spacing w:after="0" w:line="259" w:lineRule="auto"/>
        <w:rPr>
          <w:sz w:val="20"/>
          <w:szCs w:val="20"/>
          <w:color w:val="auto"/>
        </w:rPr>
      </w:pPr>
      <w:r>
        <w:rPr>
          <w:rFonts w:ascii="Arial" w:cs="Arial" w:eastAsia="Arial" w:hAnsi="Arial"/>
          <w:sz w:val="14"/>
          <w:szCs w:val="14"/>
          <w:color w:val="auto"/>
        </w:rPr>
        <w:t>In addition to satisfying the foregoing requirements under our bylaws, to comply with the universal proxy rules for the 2025 annual meeting of shareholders, shareholders who intend to solicit proxies in support of director nominees other than the Company’s nominees must generally provide notice in accordance with Rule 14a-19 under the Exchange Act by March 4, 2025.</w:t>
      </w:r>
    </w:p>
    <w:p>
      <w:pPr>
        <w:spacing w:after="0" w:line="173" w:lineRule="exact"/>
        <w:rPr>
          <w:sz w:val="20"/>
          <w:szCs w:val="20"/>
          <w:color w:val="auto"/>
        </w:rPr>
      </w:pPr>
    </w:p>
    <w:p>
      <w:pPr>
        <w:ind w:left="180" w:right="320"/>
        <w:spacing w:after="0" w:line="280" w:lineRule="auto"/>
        <w:rPr>
          <w:sz w:val="20"/>
          <w:szCs w:val="20"/>
          <w:color w:val="auto"/>
        </w:rPr>
      </w:pPr>
      <w:r>
        <w:rPr>
          <w:rFonts w:ascii="Arial" w:cs="Arial" w:eastAsia="Arial" w:hAnsi="Arial"/>
          <w:sz w:val="14"/>
          <w:szCs w:val="14"/>
          <w:color w:val="auto"/>
        </w:rPr>
        <w:t>To be considered for inclusion in the proxy statement solicited by the board of directors pursuant Rule 14a-8, such shareholder proposals for consideration at the 2025 annual meeting of shareholders must be received by us at our principal executive offices by November 21, 2024.</w:t>
      </w:r>
    </w:p>
    <w:p>
      <w:pPr>
        <w:spacing w:after="0" w:line="158" w:lineRule="exact"/>
        <w:rPr>
          <w:sz w:val="20"/>
          <w:szCs w:val="20"/>
          <w:color w:val="auto"/>
        </w:rPr>
      </w:pPr>
    </w:p>
    <w:p>
      <w:pPr>
        <w:ind w:left="180" w:right="220"/>
        <w:spacing w:after="0" w:line="280" w:lineRule="auto"/>
        <w:rPr>
          <w:sz w:val="20"/>
          <w:szCs w:val="20"/>
          <w:color w:val="auto"/>
        </w:rPr>
      </w:pPr>
      <w:r>
        <w:rPr>
          <w:rFonts w:ascii="Arial" w:cs="Arial" w:eastAsia="Arial" w:hAnsi="Arial"/>
          <w:sz w:val="14"/>
          <w:szCs w:val="14"/>
          <w:color w:val="auto"/>
        </w:rPr>
        <w:t>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Other Voting Information</w:t>
      </w:r>
    </w:p>
    <w:p>
      <w:pPr>
        <w:spacing w:after="0" w:line="346" w:lineRule="exact"/>
        <w:rPr>
          <w:sz w:val="20"/>
          <w:szCs w:val="20"/>
          <w:color w:val="auto"/>
        </w:rPr>
      </w:pPr>
    </w:p>
    <w:p>
      <w:pPr>
        <w:ind w:left="180" w:right="300"/>
        <w:spacing w:after="0" w:line="259" w:lineRule="auto"/>
        <w:rPr>
          <w:sz w:val="20"/>
          <w:szCs w:val="20"/>
          <w:color w:val="auto"/>
        </w:rPr>
      </w:pPr>
      <w:r>
        <w:rPr>
          <w:rFonts w:ascii="Arial" w:cs="Arial" w:eastAsia="Arial" w:hAnsi="Arial"/>
          <w:sz w:val="15"/>
          <w:szCs w:val="15"/>
          <w:color w:val="auto"/>
        </w:rPr>
        <w:t>Shareholders may vote over the Internet, by telephone or by completing a traditional proxy card. To vote over the Internet or by telephone, please refer to the instructions on the proxy card.</w:t>
      </w:r>
    </w:p>
    <w:p>
      <w:pPr>
        <w:spacing w:after="0" w:line="81" w:lineRule="exact"/>
        <w:rPr>
          <w:sz w:val="20"/>
          <w:szCs w:val="20"/>
          <w:color w:val="auto"/>
        </w:rPr>
      </w:pPr>
    </w:p>
    <w:p>
      <w:pPr>
        <w:ind w:left="180" w:right="120"/>
        <w:spacing w:after="0" w:line="241" w:lineRule="auto"/>
        <w:rPr>
          <w:sz w:val="20"/>
          <w:szCs w:val="20"/>
          <w:color w:val="auto"/>
        </w:rPr>
      </w:pPr>
      <w:r>
        <w:rPr>
          <w:rFonts w:ascii="Arial" w:cs="Arial" w:eastAsia="Arial" w:hAnsi="Arial"/>
          <w:sz w:val="15"/>
          <w:szCs w:val="15"/>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62" w:lineRule="exact"/>
        <w:rPr>
          <w:sz w:val="20"/>
          <w:szCs w:val="20"/>
          <w:color w:val="auto"/>
        </w:rPr>
      </w:pPr>
    </w:p>
    <w:p>
      <w:pPr>
        <w:ind w:left="180"/>
        <w:spacing w:after="0"/>
        <w:rPr>
          <w:sz w:val="20"/>
          <w:szCs w:val="20"/>
          <w:color w:val="auto"/>
        </w:rPr>
      </w:pPr>
      <w:r>
        <w:rPr>
          <w:rFonts w:ascii="Arial" w:cs="Arial" w:eastAsia="Arial" w:hAnsi="Arial"/>
          <w:sz w:val="43"/>
          <w:szCs w:val="43"/>
          <w:b w:val="1"/>
          <w:bCs w:val="1"/>
          <w:color w:val="5D89B4"/>
        </w:rPr>
        <w:t>Other Matters</w:t>
      </w:r>
    </w:p>
    <w:p>
      <w:pPr>
        <w:spacing w:after="0" w:line="346" w:lineRule="exact"/>
        <w:rPr>
          <w:sz w:val="20"/>
          <w:szCs w:val="20"/>
          <w:color w:val="auto"/>
        </w:rPr>
      </w:pPr>
    </w:p>
    <w:p>
      <w:pPr>
        <w:ind w:left="180"/>
        <w:spacing w:after="0" w:line="233" w:lineRule="auto"/>
        <w:rPr>
          <w:sz w:val="20"/>
          <w:szCs w:val="20"/>
          <w:color w:val="auto"/>
        </w:rPr>
      </w:pPr>
      <w:r>
        <w:rPr>
          <w:rFonts w:ascii="Arial" w:cs="Arial" w:eastAsia="Arial" w:hAnsi="Arial"/>
          <w:sz w:val="15"/>
          <w:szCs w:val="15"/>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 Shareholders may obtain a copy of our annual report on Form 10-K at no cost by requesting a copy on our Internet web site at https://investor.manpowergroup.com/shareholder-services/document-request or by writing to Richard Buchband, Secretary, ManpowerGroup Inc., 100 Manpower Place, 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97790</wp:posOffset>
            </wp:positionV>
            <wp:extent cx="69138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913880" cy="8255"/>
                    </a:xfrm>
                    <a:prstGeom prst="rect">
                      <a:avLst/>
                    </a:prstGeom>
                    <a:noFill/>
                  </pic:spPr>
                </pic:pic>
              </a:graphicData>
            </a:graphic>
          </wp:anchor>
        </w:drawing>
      </w:r>
    </w:p>
    <w:p>
      <w:pPr>
        <w:spacing w:after="0" w:line="27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90</w:t>
      </w:r>
      <w:r>
        <w:rPr>
          <w:sz w:val="20"/>
          <w:szCs w:val="20"/>
          <w:color w:val="auto"/>
        </w:rPr>
        <w:tab/>
      </w:r>
      <w:r>
        <w:rPr>
          <w:rFonts w:ascii="Arial" w:cs="Arial" w:eastAsia="Arial" w:hAnsi="Arial"/>
          <w:sz w:val="16"/>
          <w:szCs w:val="16"/>
          <w:b w:val="1"/>
          <w:bCs w:val="1"/>
          <w:color w:val="BFBFBF"/>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-124460</wp:posOffset>
            </wp:positionV>
            <wp:extent cx="932180" cy="169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932180" cy="169545"/>
                    </a:xfrm>
                    <a:prstGeom prst="rect">
                      <a:avLst/>
                    </a:prstGeom>
                    <a:noFill/>
                  </pic:spPr>
                </pic:pic>
              </a:graphicData>
            </a:graphic>
          </wp:anchor>
        </w:drawing>
      </w:r>
    </w:p>
    <w:p>
      <w:pPr>
        <w:sectPr>
          <w:pgSz w:w="11900" w:h="16838" w:orient="portrait"/>
          <w:cols w:equalWidth="0" w:num="1">
            <w:col w:w="10940"/>
          </w:cols>
          <w:pgMar w:left="320" w:top="480"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210185</wp:posOffset>
            </wp:positionV>
            <wp:extent cx="7086600" cy="916749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086600" cy="9167495"/>
                    </a:xfrm>
                    <a:prstGeom prst="rect">
                      <a:avLst/>
                    </a:prstGeom>
                    <a:noFill/>
                  </pic:spPr>
                </pic:pic>
              </a:graphicData>
            </a:graphic>
          </wp:anchor>
        </w:drawing>
      </w:r>
    </w:p>
    <w:p>
      <w:pPr>
        <w:sectPr>
          <w:pgSz w:w="11900" w:h="16838" w:orient="portrait"/>
          <w:cols w:equalWidth="0" w:num="1">
            <w:col w:w="10139"/>
          </w:cols>
          <w:pgMar w:left="320" w:top="480"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210185</wp:posOffset>
            </wp:positionV>
            <wp:extent cx="7086600" cy="848106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086600" cy="8481060"/>
                    </a:xfrm>
                    <a:prstGeom prst="rect">
                      <a:avLst/>
                    </a:prstGeom>
                    <a:noFill/>
                  </pic:spPr>
                </pic:pic>
              </a:graphicData>
            </a:graphic>
          </wp:anchor>
        </w:drawing>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bullet"/>
      <w:start w:val="1"/>
    </w:lvl>
  </w:abstractNum>
  <w:abstractNum w:abstractNumId="6">
    <w:nsid w:val="580BD78F"/>
    <w:multiLevelType w:val="hybridMultilevel"/>
    <w:lvl w:ilvl="0">
      <w:lvlJc w:val="left"/>
      <w:lvlText w:val="4"/>
      <w:numFmt w:val="bullet"/>
      <w:start w:val="1"/>
    </w:lvl>
  </w:abstractNum>
  <w:abstractNum w:abstractNumId="7">
    <w:nsid w:val="153EA438"/>
    <w:multiLevelType w:val="hybridMultilevel"/>
    <w:lvl w:ilvl="0">
      <w:lvlJc w:val="left"/>
      <w:lvlText w:val="3"/>
      <w:numFmt w:val="bullet"/>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4"/>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 "/>
      <w:numFmt w:val="bullet"/>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 "/>
      <w:numFmt w:val="bullet"/>
      <w:start w:val="1"/>
    </w:lvl>
  </w:abstractNum>
  <w:abstractNum w:abstractNumId="17">
    <w:nsid w:val="4B588F54"/>
    <w:multiLevelType w:val="hybridMultilevel"/>
    <w:lvl w:ilvl="0">
      <w:lvlJc w:val="left"/>
      <w:lvlText w:val="(%1)"/>
      <w:numFmt w:val="decimal"/>
      <w:start w:val="3"/>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4"/>
    </w:lvl>
  </w:abstractNum>
  <w:abstractNum w:abstractNumId="31">
    <w:nsid w:val="70C6A529"/>
    <w:multiLevelType w:val="hybridMultilevel"/>
    <w:lvl w:ilvl="0">
      <w:lvlJc w:val="left"/>
      <w:lvlText w:val="%1"/>
      <w:numFmt w:val="decimal"/>
      <w:start w:val="38"/>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40"/>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 "/>
      <w:numFmt w:val="bullet"/>
      <w:start w:val="1"/>
    </w:lvl>
  </w:abstractNum>
  <w:abstractNum w:abstractNumId="47">
    <w:nsid w:val="10233C99"/>
    <w:multiLevelType w:val="hybridMultilevel"/>
    <w:lvl w:ilvl="0">
      <w:lvlJc w:val="left"/>
      <w:lvlText w:val="(%1)"/>
      <w:numFmt w:val="decimal"/>
      <w:start w:val="2"/>
    </w:lvl>
  </w:abstractNum>
  <w:abstractNum w:abstractNumId="48">
    <w:nsid w:val="3F6AB60F"/>
    <w:multiLevelType w:val="hybridMultilevel"/>
    <w:lvl w:ilvl="0">
      <w:lvlJc w:val="left"/>
      <w:lvlText w:val="(%1)"/>
      <w:numFmt w:val="decimal"/>
      <w:start w:val="3"/>
    </w:lvl>
  </w:abstractNum>
  <w:abstractNum w:abstractNumId="49">
    <w:nsid w:val="61574095"/>
    <w:multiLevelType w:val="hybridMultilevel"/>
    <w:lvl w:ilvl="0">
      <w:lvlJc w:val="left"/>
      <w:lvlText w:val="(%1)"/>
      <w:numFmt w:val="upperLetter"/>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3"/>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 "/>
      <w:numFmt w:val="bullet"/>
      <w:start w:val="1"/>
    </w:lvl>
  </w:abstractNum>
  <w:abstractNum w:abstractNumId="69">
    <w:nsid w:val="42C296BD"/>
    <w:multiLevelType w:val="hybridMultilevel"/>
    <w:lvl w:ilvl="0">
      <w:lvlJc w:val="left"/>
      <w:lvlText w:val=" "/>
      <w:numFmt w:val="bullet"/>
      <w:start w:val="1"/>
    </w:lvl>
  </w:abstractNum>
  <w:abstractNum w:abstractNumId="70">
    <w:nsid w:val="168E121F"/>
    <w:multiLevelType w:val="hybridMultilevel"/>
    <w:lvl w:ilvl="0">
      <w:lvlJc w:val="left"/>
      <w:lvlText w:val="(%1)"/>
      <w:numFmt w:val="decimal"/>
      <w:start w:val="2"/>
    </w:lvl>
  </w:abstractNum>
  <w:abstractNum w:abstractNumId="71">
    <w:nsid w:val="1EBA5D23"/>
    <w:multiLevelType w:val="hybridMultilevel"/>
    <w:lvl w:ilvl="0">
      <w:lvlJc w:val="left"/>
      <w:lvlText w:val=" "/>
      <w:numFmt w:val="bullet"/>
      <w:start w:val="1"/>
    </w:lvl>
  </w:abstractNum>
  <w:abstractNum w:abstractNumId="72">
    <w:nsid w:val="661E3F1E"/>
    <w:multiLevelType w:val="hybridMultilevel"/>
    <w:lvl w:ilvl="0">
      <w:lvlJc w:val="left"/>
      <w:lvlText w:val="%1."/>
      <w:numFmt w:val="decimal"/>
      <w:start w:val="3"/>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2024-03-07T15:39:25Z</dcterms:created>
  <dcterms:modified xsi:type="dcterms:W3CDTF">2024-03-07T15:39:25Z</dcterms:modified>
</cp:coreProperties>
</file>