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1</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Manpower Incorporated</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Cusip # 56418H100</w:t>
      </w:r>
    </w:p>
    <w:p>
      <w:pPr>
        <w:spacing w:after="0"/>
        <w:rPr>
          <w:sz w:val="20"/>
          <w:szCs w:val="20"/>
          <w:color w:val="auto"/>
        </w:rPr>
      </w:pPr>
      <w:r>
        <w:rPr>
          <w:rFonts w:ascii="Courier New" w:cs="Courier New" w:eastAsia="Courier New" w:hAnsi="Courier New"/>
          <w:sz w:val="18"/>
          <w:szCs w:val="18"/>
          <w:color w:val="auto"/>
        </w:rPr>
        <w:t>Filing Fee: No</w:t>
      </w:r>
    </w:p>
    <w:p>
      <w:pPr>
        <w:sectPr>
          <w:pgSz w:w="11900" w:h="16853" w:orient="portrait"/>
          <w:cols w:equalWidth="0" w:num="1">
            <w:col w:w="10219"/>
          </w:cols>
          <w:pgMar w:left="240" w:top="852" w:right="1440" w:bottom="0" w:gutter="0" w:footer="0" w:header="0"/>
        </w:sectPr>
      </w:pPr>
    </w:p>
    <w:p>
      <w:pPr>
        <w:spacing w:after="0" w:line="200" w:lineRule="exact"/>
        <w:rPr>
          <w:sz w:val="24"/>
          <w:szCs w:val="24"/>
          <w:color w:val="auto"/>
        </w:rPr>
      </w:pP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 56418H100</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1: Reporting Person - FMR Corp. - (Tax ID:</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Commonwealth of Massachusetts</w:t>
      </w:r>
    </w:p>
    <w:p>
      <w:pPr>
        <w:spacing w:after="0" w:line="238" w:lineRule="auto"/>
        <w:rPr>
          <w:sz w:val="20"/>
          <w:szCs w:val="20"/>
          <w:color w:val="auto"/>
        </w:rPr>
      </w:pPr>
      <w:r>
        <w:rPr>
          <w:rFonts w:ascii="Courier New" w:cs="Courier New" w:eastAsia="Courier New" w:hAnsi="Courier New"/>
          <w:sz w:val="18"/>
          <w:szCs w:val="18"/>
          <w:color w:val="auto"/>
        </w:rPr>
        <w:t>Item 5: 187,700</w:t>
      </w:r>
    </w:p>
    <w:p>
      <w:pPr>
        <w:spacing w:after="0"/>
        <w:rPr>
          <w:sz w:val="20"/>
          <w:szCs w:val="20"/>
          <w:color w:val="auto"/>
        </w:rPr>
      </w:pPr>
      <w:r>
        <w:rPr>
          <w:rFonts w:ascii="Courier New" w:cs="Courier New" w:eastAsia="Courier New" w:hAnsi="Courier New"/>
          <w:sz w:val="18"/>
          <w:szCs w:val="18"/>
          <w:color w:val="auto"/>
        </w:rPr>
        <w:t>Item 6: None</w:t>
      </w:r>
    </w:p>
    <w:p>
      <w:pPr>
        <w:spacing w:after="0" w:line="237" w:lineRule="auto"/>
        <w:rPr>
          <w:sz w:val="20"/>
          <w:szCs w:val="20"/>
          <w:color w:val="auto"/>
        </w:rPr>
      </w:pPr>
      <w:r>
        <w:rPr>
          <w:rFonts w:ascii="Courier New" w:cs="Courier New" w:eastAsia="Courier New" w:hAnsi="Courier New"/>
          <w:sz w:val="18"/>
          <w:szCs w:val="18"/>
          <w:color w:val="auto"/>
        </w:rPr>
        <w:t>Item 7: 8,460,460</w:t>
      </w:r>
    </w:p>
    <w:p>
      <w:pPr>
        <w:spacing w:after="0" w:line="238" w:lineRule="auto"/>
        <w:rPr>
          <w:sz w:val="20"/>
          <w:szCs w:val="20"/>
          <w:color w:val="auto"/>
        </w:rPr>
      </w:pPr>
      <w:r>
        <w:rPr>
          <w:rFonts w:ascii="Courier New" w:cs="Courier New" w:eastAsia="Courier New" w:hAnsi="Courier New"/>
          <w:sz w:val="18"/>
          <w:szCs w:val="18"/>
          <w:color w:val="auto"/>
        </w:rPr>
        <w:t>Item 8: None</w:t>
      </w:r>
    </w:p>
    <w:p>
      <w:pPr>
        <w:spacing w:after="0"/>
        <w:rPr>
          <w:sz w:val="20"/>
          <w:szCs w:val="20"/>
          <w:color w:val="auto"/>
        </w:rPr>
      </w:pPr>
      <w:r>
        <w:rPr>
          <w:rFonts w:ascii="Courier New" w:cs="Courier New" w:eastAsia="Courier New" w:hAnsi="Courier New"/>
          <w:sz w:val="18"/>
          <w:szCs w:val="18"/>
          <w:color w:val="auto"/>
        </w:rPr>
        <w:t>Item 9: 8,460,460</w:t>
      </w:r>
    </w:p>
    <w:p>
      <w:pPr>
        <w:spacing w:after="0"/>
        <w:tabs>
          <w:tab w:leader="none" w:pos="1680" w:val="left"/>
        </w:tabs>
        <w:rPr>
          <w:sz w:val="20"/>
          <w:szCs w:val="20"/>
          <w:color w:val="auto"/>
        </w:rPr>
      </w:pPr>
      <w:r>
        <w:rPr>
          <w:rFonts w:ascii="Courier New" w:cs="Courier New" w:eastAsia="Courier New" w:hAnsi="Courier New"/>
          <w:sz w:val="18"/>
          <w:szCs w:val="18"/>
          <w:color w:val="auto"/>
        </w:rPr>
        <w:t>Item 11:</w:t>
      </w:r>
      <w:r>
        <w:rPr>
          <w:sz w:val="20"/>
          <w:szCs w:val="20"/>
          <w:color w:val="auto"/>
        </w:rPr>
        <w:tab/>
      </w:r>
      <w:r>
        <w:rPr>
          <w:rFonts w:ascii="Courier New" w:cs="Courier New" w:eastAsia="Courier New" w:hAnsi="Courier New"/>
          <w:sz w:val="16"/>
          <w:szCs w:val="16"/>
          <w:color w:val="auto"/>
        </w:rPr>
        <w:t>11.42%</w:t>
      </w:r>
    </w:p>
    <w:p>
      <w:pPr>
        <w:spacing w:after="0"/>
        <w:tabs>
          <w:tab w:leader="none" w:pos="1680" w:val="left"/>
        </w:tabs>
        <w:rPr>
          <w:sz w:val="20"/>
          <w:szCs w:val="20"/>
          <w:color w:val="auto"/>
        </w:rPr>
      </w:pPr>
      <w:r>
        <w:rPr>
          <w:rFonts w:ascii="Courier New" w:cs="Courier New" w:eastAsia="Courier New" w:hAnsi="Courier New"/>
          <w:sz w:val="18"/>
          <w:szCs w:val="18"/>
          <w:color w:val="auto"/>
        </w:rPr>
        <w:t>Item 12:</w:t>
      </w:r>
      <w:r>
        <w:rPr>
          <w:sz w:val="20"/>
          <w:szCs w:val="20"/>
          <w:color w:val="auto"/>
        </w:rPr>
        <w:tab/>
      </w:r>
      <w:r>
        <w:rPr>
          <w:rFonts w:ascii="Courier New" w:cs="Courier New" w:eastAsia="Courier New" w:hAnsi="Courier New"/>
          <w:sz w:val="16"/>
          <w:szCs w:val="16"/>
          <w:color w:val="auto"/>
        </w:rPr>
        <w:t>HC</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9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04-2507163)</w:t>
      </w:r>
    </w:p>
    <w:p>
      <w:pPr>
        <w:spacing w:after="0" w:line="1838" w:lineRule="exact"/>
        <w:rPr>
          <w:sz w:val="24"/>
          <w:szCs w:val="24"/>
          <w:color w:val="auto"/>
        </w:rPr>
      </w:pPr>
    </w:p>
    <w:p>
      <w:pPr>
        <w:sectPr>
          <w:pgSz w:w="11900" w:h="16853" w:orient="portrait"/>
          <w:cols w:equalWidth="0" w:num="2">
            <w:col w:w="4960" w:space="200"/>
            <w:col w:w="5059"/>
          </w:cols>
          <w:pgMar w:left="240" w:top="852" w:right="1440"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 56418H100</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1: Reporting Person - Edward C. Johnson 3d - (Tax ID:</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United States of America</w:t>
      </w:r>
    </w:p>
    <w:p>
      <w:pPr>
        <w:spacing w:after="0" w:line="238" w:lineRule="auto"/>
        <w:rPr>
          <w:sz w:val="20"/>
          <w:szCs w:val="20"/>
          <w:color w:val="auto"/>
        </w:rPr>
      </w:pPr>
      <w:r>
        <w:rPr>
          <w:rFonts w:ascii="Courier New" w:cs="Courier New" w:eastAsia="Courier New" w:hAnsi="Courier New"/>
          <w:sz w:val="18"/>
          <w:szCs w:val="18"/>
          <w:color w:val="auto"/>
        </w:rPr>
        <w:t>Item 5: None</w:t>
      </w:r>
    </w:p>
    <w:p>
      <w:pPr>
        <w:spacing w:after="0"/>
        <w:rPr>
          <w:sz w:val="20"/>
          <w:szCs w:val="20"/>
          <w:color w:val="auto"/>
        </w:rPr>
      </w:pPr>
      <w:r>
        <w:rPr>
          <w:rFonts w:ascii="Courier New" w:cs="Courier New" w:eastAsia="Courier New" w:hAnsi="Courier New"/>
          <w:sz w:val="18"/>
          <w:szCs w:val="18"/>
          <w:color w:val="auto"/>
        </w:rPr>
        <w:t>Item 6: None</w:t>
      </w:r>
    </w:p>
    <w:p>
      <w:pPr>
        <w:spacing w:after="0" w:line="237" w:lineRule="auto"/>
        <w:rPr>
          <w:sz w:val="20"/>
          <w:szCs w:val="20"/>
          <w:color w:val="auto"/>
        </w:rPr>
      </w:pPr>
      <w:r>
        <w:rPr>
          <w:rFonts w:ascii="Courier New" w:cs="Courier New" w:eastAsia="Courier New" w:hAnsi="Courier New"/>
          <w:sz w:val="18"/>
          <w:szCs w:val="18"/>
          <w:color w:val="auto"/>
        </w:rPr>
        <w:t>Item 7: 8,460,460</w:t>
      </w:r>
    </w:p>
    <w:p>
      <w:pPr>
        <w:spacing w:after="0" w:line="238" w:lineRule="auto"/>
        <w:rPr>
          <w:sz w:val="20"/>
          <w:szCs w:val="20"/>
          <w:color w:val="auto"/>
        </w:rPr>
      </w:pPr>
      <w:r>
        <w:rPr>
          <w:rFonts w:ascii="Courier New" w:cs="Courier New" w:eastAsia="Courier New" w:hAnsi="Courier New"/>
          <w:sz w:val="18"/>
          <w:szCs w:val="18"/>
          <w:color w:val="auto"/>
        </w:rPr>
        <w:t>Item 8: None</w:t>
      </w:r>
    </w:p>
    <w:p>
      <w:pPr>
        <w:spacing w:after="0"/>
        <w:rPr>
          <w:sz w:val="20"/>
          <w:szCs w:val="20"/>
          <w:color w:val="auto"/>
        </w:rPr>
      </w:pPr>
      <w:r>
        <w:rPr>
          <w:rFonts w:ascii="Courier New" w:cs="Courier New" w:eastAsia="Courier New" w:hAnsi="Courier New"/>
          <w:sz w:val="18"/>
          <w:szCs w:val="18"/>
          <w:color w:val="auto"/>
        </w:rPr>
        <w:t>Item 9: 8,460,460</w:t>
      </w:r>
    </w:p>
    <w:p>
      <w:pPr>
        <w:spacing w:after="0"/>
        <w:tabs>
          <w:tab w:leader="none" w:pos="1680" w:val="left"/>
        </w:tabs>
        <w:rPr>
          <w:sz w:val="20"/>
          <w:szCs w:val="20"/>
          <w:color w:val="auto"/>
        </w:rPr>
      </w:pPr>
      <w:r>
        <w:rPr>
          <w:rFonts w:ascii="Courier New" w:cs="Courier New" w:eastAsia="Courier New" w:hAnsi="Courier New"/>
          <w:sz w:val="18"/>
          <w:szCs w:val="18"/>
          <w:color w:val="auto"/>
        </w:rPr>
        <w:t>Item 11:</w:t>
      </w:r>
      <w:r>
        <w:rPr>
          <w:sz w:val="20"/>
          <w:szCs w:val="20"/>
          <w:color w:val="auto"/>
        </w:rPr>
        <w:tab/>
      </w:r>
      <w:r>
        <w:rPr>
          <w:rFonts w:ascii="Courier New" w:cs="Courier New" w:eastAsia="Courier New" w:hAnsi="Courier New"/>
          <w:sz w:val="16"/>
          <w:szCs w:val="16"/>
          <w:color w:val="auto"/>
        </w:rPr>
        <w:t>11.42%</w:t>
      </w:r>
    </w:p>
    <w:p>
      <w:pPr>
        <w:spacing w:after="0"/>
        <w:tabs>
          <w:tab w:leader="none" w:pos="1680" w:val="left"/>
        </w:tabs>
        <w:rPr>
          <w:sz w:val="20"/>
          <w:szCs w:val="20"/>
          <w:color w:val="auto"/>
        </w:rPr>
      </w:pPr>
      <w:r>
        <w:rPr>
          <w:rFonts w:ascii="Courier New" w:cs="Courier New" w:eastAsia="Courier New" w:hAnsi="Courier New"/>
          <w:sz w:val="18"/>
          <w:szCs w:val="18"/>
          <w:color w:val="auto"/>
        </w:rPr>
        <w:t>Item 12:</w:t>
      </w:r>
      <w:r>
        <w:rPr>
          <w:sz w:val="20"/>
          <w:szCs w:val="20"/>
          <w:color w:val="auto"/>
        </w:rPr>
        <w:tab/>
      </w:r>
      <w:r>
        <w:rPr>
          <w:rFonts w:ascii="Courier New" w:cs="Courier New" w:eastAsia="Courier New" w:hAnsi="Courier New"/>
          <w:sz w:val="16"/>
          <w:szCs w:val="16"/>
          <w:color w:val="auto"/>
        </w:rPr>
        <w:t>IN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9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838" w:lineRule="exact"/>
        <w:rPr>
          <w:sz w:val="24"/>
          <w:szCs w:val="24"/>
          <w:color w:val="auto"/>
        </w:rPr>
      </w:pPr>
    </w:p>
    <w:p>
      <w:pPr>
        <w:sectPr>
          <w:pgSz w:w="11900" w:h="16853" w:orient="portrait"/>
          <w:cols w:equalWidth="0" w:num="2">
            <w:col w:w="6120" w:space="200"/>
            <w:col w:w="3899"/>
          </w:cols>
          <w:pgMar w:left="240" w:top="852" w:right="1440"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 - TO BE INCLUDED IN STATEMENTS</w:t>
      </w:r>
    </w:p>
    <w:p>
      <w:pPr>
        <w:spacing w:after="0" w:line="238" w:lineRule="auto"/>
        <w:rPr>
          <w:sz w:val="20"/>
          <w:szCs w:val="20"/>
          <w:color w:val="auto"/>
        </w:rPr>
      </w:pPr>
      <w:r>
        <w:rPr>
          <w:rFonts w:ascii="Courier New" w:cs="Courier New" w:eastAsia="Courier New" w:hAnsi="Courier New"/>
          <w:sz w:val="18"/>
          <w:szCs w:val="18"/>
          <w:color w:val="auto"/>
        </w:rPr>
        <w:t>FILED PURSUANT TO RULE 13d-1(b) or 13d-2(b)</w:t>
      </w:r>
    </w:p>
    <w:p>
      <w:pPr>
        <w:spacing w:after="0" w:line="200" w:lineRule="exact"/>
        <w:rPr>
          <w:sz w:val="24"/>
          <w:szCs w:val="24"/>
          <w:color w:val="auto"/>
        </w:rPr>
      </w:pPr>
    </w:p>
    <w:p>
      <w:pPr>
        <w:spacing w:after="0" w:line="204"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Manpower Incorporated</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Name of Issuer's Principal Executive Offices: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5301 North Ironwood Road</w:t>
      </w:r>
    </w:p>
    <w:p>
      <w:pPr>
        <w:ind w:left="1700"/>
        <w:spacing w:after="0"/>
        <w:tabs>
          <w:tab w:leader="none" w:pos="3260" w:val="left"/>
        </w:tabs>
        <w:rPr>
          <w:sz w:val="20"/>
          <w:szCs w:val="20"/>
          <w:color w:val="auto"/>
        </w:rPr>
      </w:pPr>
      <w:r>
        <w:rPr>
          <w:rFonts w:ascii="Courier New" w:cs="Courier New" w:eastAsia="Courier New" w:hAnsi="Courier New"/>
          <w:sz w:val="18"/>
          <w:szCs w:val="18"/>
          <w:color w:val="auto"/>
        </w:rPr>
        <w:t>Milwaukee, WI</w:t>
      </w:r>
      <w:r>
        <w:rPr>
          <w:sz w:val="20"/>
          <w:szCs w:val="20"/>
          <w:color w:val="auto"/>
        </w:rPr>
        <w:tab/>
      </w:r>
      <w:r>
        <w:rPr>
          <w:rFonts w:ascii="Courier New" w:cs="Courier New" w:eastAsia="Courier New" w:hAnsi="Courier New"/>
          <w:sz w:val="16"/>
          <w:szCs w:val="16"/>
          <w:color w:val="auto"/>
        </w:rPr>
        <w:t>53217</w:t>
      </w:r>
    </w:p>
    <w:p>
      <w:pPr>
        <w:spacing w:after="0" w:line="202"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FMR Corp.</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or Principal Business Office or, if None, Residence:</w:t>
      </w:r>
    </w:p>
    <w:p>
      <w:pPr>
        <w:spacing w:after="0" w:line="201" w:lineRule="exact"/>
        <w:rPr>
          <w:sz w:val="24"/>
          <w:szCs w:val="24"/>
          <w:color w:val="auto"/>
        </w:rPr>
      </w:pPr>
    </w:p>
    <w:p>
      <w:pPr>
        <w:ind w:left="1700"/>
        <w:spacing w:after="0"/>
        <w:tabs>
          <w:tab w:leader="none" w:pos="6420" w:val="left"/>
        </w:tabs>
        <w:rPr>
          <w:sz w:val="20"/>
          <w:szCs w:val="20"/>
          <w:color w:val="auto"/>
        </w:rPr>
      </w:pPr>
      <w:r>
        <w:rPr>
          <w:rFonts w:ascii="Courier New" w:cs="Courier New" w:eastAsia="Courier New" w:hAnsi="Courier New"/>
          <w:sz w:val="18"/>
          <w:szCs w:val="18"/>
          <w:color w:val="auto"/>
        </w:rPr>
        <w:t>82 Devonshire Street, Boston, Massachusetts</w:t>
      </w:r>
      <w:r>
        <w:rPr>
          <w:sz w:val="20"/>
          <w:szCs w:val="20"/>
          <w:color w:val="auto"/>
        </w:rPr>
        <w:tab/>
      </w:r>
      <w:r>
        <w:rPr>
          <w:rFonts w:ascii="Courier New" w:cs="Courier New" w:eastAsia="Courier New" w:hAnsi="Courier New"/>
          <w:sz w:val="16"/>
          <w:szCs w:val="16"/>
          <w:color w:val="auto"/>
        </w:rPr>
        <w:t>02109</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4"/>
          <w:szCs w:val="24"/>
          <w:color w:val="auto"/>
        </w:rPr>
      </w:pPr>
    </w:p>
    <w:p>
      <w:pPr>
        <w:jc w:val="center"/>
        <w:ind w:right="5359"/>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56418H100</w:t>
      </w:r>
    </w:p>
    <w:p>
      <w:pPr>
        <w:spacing w:after="0" w:line="207" w:lineRule="exact"/>
        <w:rPr>
          <w:sz w:val="24"/>
          <w:szCs w:val="24"/>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Item 3. This statement is filed pursuant to Rule 13d-1(b) or 13d-2(b) and the person filing, FMR Corp., is a parent holding company in accordance with Section 240.13d-1(b)(ii)(G). (Note: See Item 7).</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7" w:lineRule="exact"/>
        <w:rPr>
          <w:sz w:val="24"/>
          <w:szCs w:val="24"/>
          <w:color w:val="auto"/>
        </w:rPr>
      </w:pPr>
    </w:p>
    <w:p>
      <w:pPr>
        <w:ind w:left="860" w:right="5779" w:hanging="9"/>
        <w:spacing w:after="0" w:line="235" w:lineRule="auto"/>
        <w:tabs>
          <w:tab w:leader="none" w:pos="1703"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8,460,460</w:t>
      </w:r>
    </w:p>
    <w:p>
      <w:pPr>
        <w:sectPr>
          <w:pgSz w:w="11900" w:h="16853" w:orient="portrait"/>
          <w:cols w:equalWidth="0" w:num="1">
            <w:col w:w="10219"/>
          </w:cols>
          <w:pgMar w:left="240" w:top="852" w:right="1440" w:bottom="0" w:gutter="0" w:footer="0" w:header="0"/>
          <w:type w:val="continuous"/>
        </w:sectPr>
      </w:pPr>
    </w:p>
    <w:bookmarkStart w:id="1" w:name="page2"/>
    <w:bookmarkEnd w:id="1"/>
    <w:p>
      <w:pPr>
        <w:ind w:left="1700" w:hanging="849"/>
        <w:spacing w:after="0"/>
        <w:tabs>
          <w:tab w:leader="none" w:pos="17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11.42%</w:t>
      </w:r>
    </w:p>
    <w:p>
      <w:pPr>
        <w:spacing w:after="0" w:line="201" w:lineRule="exact"/>
        <w:rPr>
          <w:rFonts w:ascii="Courier New" w:cs="Courier New" w:eastAsia="Courier New" w:hAnsi="Courier New"/>
          <w:sz w:val="18"/>
          <w:szCs w:val="18"/>
          <w:color w:val="auto"/>
        </w:rPr>
      </w:pPr>
    </w:p>
    <w:p>
      <w:pPr>
        <w:ind w:left="1700" w:hanging="849"/>
        <w:spacing w:after="0"/>
        <w:tabs>
          <w:tab w:leader="none" w:pos="17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187,700</w:t>
      </w:r>
    </w:p>
    <w:p>
      <w:pPr>
        <w:spacing w:after="0" w:line="201" w:lineRule="exact"/>
        <w:rPr>
          <w:rFonts w:ascii="Courier New" w:cs="Courier New" w:eastAsia="Courier New" w:hAnsi="Courier New"/>
          <w:sz w:val="18"/>
          <w:szCs w:val="18"/>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7" w:lineRule="exact"/>
        <w:rPr>
          <w:rFonts w:ascii="Courier New" w:cs="Courier New" w:eastAsia="Courier New" w:hAnsi="Courier New"/>
          <w:sz w:val="18"/>
          <w:szCs w:val="18"/>
          <w:color w:val="auto"/>
        </w:rPr>
      </w:pPr>
    </w:p>
    <w:p>
      <w:pPr>
        <w:ind w:left="860" w:right="2839" w:hanging="9"/>
        <w:spacing w:after="0" w:line="235" w:lineRule="auto"/>
        <w:tabs>
          <w:tab w:leader="none" w:pos="1703"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8,460,460</w:t>
      </w:r>
    </w:p>
    <w:p>
      <w:pPr>
        <w:spacing w:after="0" w:line="202" w:lineRule="exact"/>
        <w:rPr>
          <w:rFonts w:ascii="Courier New" w:cs="Courier New" w:eastAsia="Courier New" w:hAnsi="Courier New"/>
          <w:sz w:val="18"/>
          <w:szCs w:val="18"/>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7" w:lineRule="exact"/>
        <w:rPr>
          <w:sz w:val="20"/>
          <w:szCs w:val="20"/>
          <w:color w:val="auto"/>
        </w:rPr>
      </w:pPr>
    </w:p>
    <w:p>
      <w:pPr>
        <w:ind w:right="3359" w:firstLine="843"/>
        <w:spacing w:after="0" w:line="237"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 Manpower Incorporated. The interest of one person, Fidelity Magellan Fund, an investment company registered under the Investment Company Act of 1940, in the common stock of Manpower Incorporated, amounted to</w:t>
      </w:r>
    </w:p>
    <w:p>
      <w:pPr>
        <w:spacing w:after="0" w:line="7" w:lineRule="exact"/>
        <w:rPr>
          <w:sz w:val="20"/>
          <w:szCs w:val="20"/>
          <w:color w:val="auto"/>
        </w:rPr>
      </w:pPr>
    </w:p>
    <w:p>
      <w:pPr>
        <w:ind w:right="3579"/>
        <w:spacing w:after="0" w:line="235" w:lineRule="auto"/>
        <w:rPr>
          <w:sz w:val="20"/>
          <w:szCs w:val="20"/>
          <w:color w:val="auto"/>
        </w:rPr>
      </w:pPr>
      <w:r>
        <w:rPr>
          <w:rFonts w:ascii="Courier New" w:cs="Courier New" w:eastAsia="Courier New" w:hAnsi="Courier New"/>
          <w:sz w:val="18"/>
          <w:szCs w:val="18"/>
          <w:color w:val="auto"/>
        </w:rPr>
        <w:t>7,386,100 shares or 9.97% of the total outstanding common stock at December 31, 1994.</w:t>
      </w:r>
    </w:p>
    <w:p>
      <w:pPr>
        <w:spacing w:after="0" w:line="208"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attached Exhibit(s) A, B, and 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 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3039" w:firstLine="843"/>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w:t>
      </w:r>
    </w:p>
    <w:p>
      <w:pPr>
        <w:ind w:right="3579"/>
        <w:spacing w:after="0" w:line="237" w:lineRule="auto"/>
        <w:rPr>
          <w:sz w:val="20"/>
          <w:szCs w:val="20"/>
          <w:color w:val="auto"/>
        </w:rPr>
      </w:pPr>
      <w:r>
        <w:rPr>
          <w:rFonts w:ascii="Courier New" w:cs="Courier New" w:eastAsia="Courier New" w:hAnsi="Courier New"/>
          <w:sz w:val="18"/>
          <w:szCs w:val="18"/>
          <w:color w:val="auto"/>
        </w:rPr>
        <w:t>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039" w:firstLine="843"/>
        <w:spacing w:after="0" w:line="235"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w:t>
      </w:r>
    </w:p>
    <w:p>
      <w:pPr>
        <w:spacing w:after="0" w:line="6" w:lineRule="exact"/>
        <w:rPr>
          <w:sz w:val="20"/>
          <w:szCs w:val="20"/>
          <w:color w:val="auto"/>
        </w:rPr>
      </w:pPr>
    </w:p>
    <w:p>
      <w:pPr>
        <w:ind w:right="3579"/>
        <w:spacing w:after="0" w:line="236" w:lineRule="auto"/>
        <w:rPr>
          <w:sz w:val="20"/>
          <w:szCs w:val="20"/>
          <w:color w:val="auto"/>
        </w:rPr>
      </w:pPr>
      <w:r>
        <w:rPr>
          <w:rFonts w:ascii="Courier New" w:cs="Courier New" w:eastAsia="Courier New" w:hAnsi="Courier New"/>
          <w:sz w:val="18"/>
          <w:szCs w:val="18"/>
          <w:color w:val="auto"/>
        </w:rPr>
        <w:t>Schedule 13G in connection with FMR Corp's beneficial ownership of the common stock of Manpower Incorporated at December 31, 1994 is true, complete and correct.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February 13, 1995</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/s/Arthur S. Loring</w:t>
      </w:r>
    </w:p>
    <w:p>
      <w:pPr>
        <w:spacing w:after="0" w:line="238" w:lineRule="auto"/>
        <w:rPr>
          <w:sz w:val="20"/>
          <w:szCs w:val="20"/>
          <w:color w:val="auto"/>
        </w:rPr>
      </w:pPr>
      <w:r>
        <w:rPr>
          <w:rFonts w:ascii="Courier New" w:cs="Courier New" w:eastAsia="Courier New" w:hAnsi="Courier New"/>
          <w:sz w:val="18"/>
          <w:szCs w:val="18"/>
          <w:color w:val="auto"/>
        </w:rPr>
        <w:t>Signature</w:t>
      </w:r>
    </w:p>
    <w:p>
      <w:pPr>
        <w:sectPr>
          <w:pgSz w:w="11900" w:h="16838" w:orient="portrait"/>
          <w:cols w:equalWidth="0" w:num="1">
            <w:col w:w="10219"/>
          </w:cols>
          <w:pgMar w:left="240" w:top="339" w:right="1440" w:bottom="335" w:gutter="0" w:footer="0" w:header="0"/>
        </w:sectPr>
      </w:pPr>
    </w:p>
    <w:bookmarkStart w:id="2" w:name="page3"/>
    <w:bookmarkEnd w:id="2"/>
    <w:p>
      <w:pPr>
        <w:ind w:left="860"/>
        <w:spacing w:after="0"/>
        <w:rPr>
          <w:sz w:val="20"/>
          <w:szCs w:val="20"/>
          <w:color w:val="auto"/>
        </w:rPr>
      </w:pPr>
      <w:r>
        <w:rPr>
          <w:rFonts w:ascii="Courier New" w:cs="Courier New" w:eastAsia="Courier New" w:hAnsi="Courier New"/>
          <w:sz w:val="18"/>
          <w:szCs w:val="18"/>
          <w:color w:val="auto"/>
        </w:rPr>
        <w:t>Arthur S. Loring, Vice</w:t>
      </w:r>
    </w:p>
    <w:p>
      <w:pPr>
        <w:spacing w:after="0" w:line="238" w:lineRule="auto"/>
        <w:rPr>
          <w:sz w:val="20"/>
          <w:szCs w:val="20"/>
          <w:color w:val="auto"/>
        </w:rPr>
      </w:pPr>
      <w:r>
        <w:rPr>
          <w:rFonts w:ascii="Courier New" w:cs="Courier New" w:eastAsia="Courier New" w:hAnsi="Courier New"/>
          <w:sz w:val="18"/>
          <w:szCs w:val="18"/>
          <w:color w:val="auto"/>
        </w:rPr>
        <w:t>President</w:t>
      </w:r>
    </w:p>
    <w:p>
      <w:pPr>
        <w:spacing w:after="0"/>
        <w:rPr>
          <w:sz w:val="20"/>
          <w:szCs w:val="20"/>
          <w:color w:val="auto"/>
        </w:rPr>
      </w:pPr>
      <w:r>
        <w:rPr>
          <w:rFonts w:ascii="Courier New" w:cs="Courier New" w:eastAsia="Courier New" w:hAnsi="Courier New"/>
          <w:sz w:val="18"/>
          <w:szCs w:val="18"/>
          <w:color w:val="auto"/>
        </w:rPr>
        <w:t>Name/Title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13G - TO BE INCLUDED IN STATEMENTS</w:t>
      </w:r>
    </w:p>
    <w:p>
      <w:pPr>
        <w:spacing w:after="0" w:line="238" w:lineRule="auto"/>
        <w:rPr>
          <w:sz w:val="20"/>
          <w:szCs w:val="20"/>
          <w:color w:val="auto"/>
        </w:rPr>
      </w:pPr>
      <w:r>
        <w:rPr>
          <w:rFonts w:ascii="Courier New" w:cs="Courier New" w:eastAsia="Courier New" w:hAnsi="Courier New"/>
          <w:sz w:val="18"/>
          <w:szCs w:val="18"/>
          <w:color w:val="auto"/>
        </w:rPr>
        <w:t>FILED PURSUANT TO RULE 13d-1(b) or 13d-2(b)</w:t>
      </w:r>
    </w:p>
    <w:p>
      <w:pPr>
        <w:spacing w:after="0" w:line="207" w:lineRule="exact"/>
        <w:rPr>
          <w:sz w:val="20"/>
          <w:szCs w:val="20"/>
          <w:color w:val="auto"/>
        </w:rPr>
      </w:pPr>
    </w:p>
    <w:p>
      <w:pPr>
        <w:ind w:right="2099" w:firstLine="843"/>
        <w:spacing w:after="0" w:line="271" w:lineRule="auto"/>
        <w:rPr>
          <w:sz w:val="20"/>
          <w:szCs w:val="20"/>
          <w:color w:val="auto"/>
        </w:rPr>
      </w:pPr>
      <w:r>
        <w:rPr>
          <w:rFonts w:ascii="Courier New" w:cs="Courier New" w:eastAsia="Courier New" w:hAnsi="Courier New"/>
          <w:sz w:val="16"/>
          <w:szCs w:val="16"/>
          <w:color w:val="auto"/>
        </w:rPr>
        <w:t>Pursuant to the instructions in Item 7 of Schedule 13G, Fidelity Management &amp; Research Company ("Fidelity"), 82 Devonshire Street, Boston, Massachusetts 02109, a wholly-owned subsidiary of FMR Corp. and an investment adviser registered under Section 203 of the Investment Advisers Act of 1940, is the beneficial owner of 8,269,960 shares or 11.16% of the common stock outstanding of Manpower Incorporated ("the Company") as a result of acting as investment adviser to several investment companies registered under Section 8 of the Investment Company Act of 1940, and as a result of acting as sub-adviser to Fidelity American Special Situations Trust ("FASST").</w:t>
      </w:r>
    </w:p>
    <w:p>
      <w:pPr>
        <w:spacing w:after="0" w:line="184" w:lineRule="exact"/>
        <w:rPr>
          <w:sz w:val="20"/>
          <w:szCs w:val="20"/>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FASST is a unit trust established and authorized by the Department of Trade and Industry under the laws of England. The investment adviser of FASST is Fidelity Investment Services Limited, an English company and a subsidiary of Fidelity International Limited ("FIL").</w:t>
      </w:r>
    </w:p>
    <w:p>
      <w:pPr>
        <w:spacing w:after="0" w:line="207" w:lineRule="exact"/>
        <w:rPr>
          <w:sz w:val="20"/>
          <w:szCs w:val="20"/>
          <w:color w:val="auto"/>
        </w:rPr>
      </w:pPr>
    </w:p>
    <w:p>
      <w:pPr>
        <w:ind w:right="1679" w:firstLine="843"/>
        <w:spacing w:after="0" w:line="237" w:lineRule="auto"/>
        <w:rPr>
          <w:sz w:val="20"/>
          <w:szCs w:val="20"/>
          <w:color w:val="auto"/>
        </w:rPr>
      </w:pPr>
      <w:r>
        <w:rPr>
          <w:rFonts w:ascii="Courier New" w:cs="Courier New" w:eastAsia="Courier New" w:hAnsi="Courier New"/>
          <w:sz w:val="18"/>
          <w:szCs w:val="18"/>
          <w:color w:val="auto"/>
        </w:rPr>
        <w:t>The ownership of one investment company, Fidelity Magellan Fund, amounted to 7,386,100 shares or 9.97% of the common stock outstanding. Fidelity Magellan Fund has its principal business office at 82 Devonshire Street, Boston, Massachusetts 02109.</w:t>
      </w:r>
    </w:p>
    <w:p>
      <w:pPr>
        <w:spacing w:after="0" w:line="207" w:lineRule="exact"/>
        <w:rPr>
          <w:sz w:val="20"/>
          <w:szCs w:val="20"/>
          <w:color w:val="auto"/>
        </w:rPr>
      </w:pPr>
    </w:p>
    <w:p>
      <w:pPr>
        <w:ind w:right="1679" w:firstLine="843"/>
        <w:spacing w:after="0" w:line="236" w:lineRule="auto"/>
        <w:rPr>
          <w:sz w:val="20"/>
          <w:szCs w:val="20"/>
          <w:color w:val="auto"/>
        </w:rPr>
      </w:pPr>
      <w:r>
        <w:rPr>
          <w:rFonts w:ascii="Courier New" w:cs="Courier New" w:eastAsia="Courier New" w:hAnsi="Courier New"/>
          <w:sz w:val="18"/>
          <w:szCs w:val="18"/>
          <w:color w:val="auto"/>
        </w:rPr>
        <w:t>Edward C. Johnson 3d, FMR Corp., through its control of Fidelity, and the Funds each has sole power to dispose of the 8,261,760 shares owned by the Funds.</w:t>
      </w:r>
    </w:p>
    <w:p>
      <w:pPr>
        <w:spacing w:after="0" w:line="209" w:lineRule="exact"/>
        <w:rPr>
          <w:sz w:val="20"/>
          <w:szCs w:val="20"/>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Neither FMR Corp. nor Edward C. Johnson 3d, Chairman of FMR Corp., has the sole power to vote or direct the voting of the shares owned directly by the Fidelity Funds, which power resides with the Funds' Boards of Trustees. Fidelity carries out the voting of the shares under written guidelines established by the Funds' Boards of Trustees.</w:t>
      </w:r>
    </w:p>
    <w:p>
      <w:pPr>
        <w:spacing w:after="0" w:line="209" w:lineRule="exact"/>
        <w:rPr>
          <w:sz w:val="20"/>
          <w:szCs w:val="20"/>
          <w:color w:val="auto"/>
        </w:rPr>
      </w:pPr>
    </w:p>
    <w:p>
      <w:pPr>
        <w:ind w:right="1779" w:firstLine="843"/>
        <w:spacing w:after="0" w:line="235" w:lineRule="auto"/>
        <w:rPr>
          <w:sz w:val="20"/>
          <w:szCs w:val="20"/>
          <w:color w:val="auto"/>
        </w:rPr>
      </w:pPr>
      <w:r>
        <w:rPr>
          <w:rFonts w:ascii="Courier New" w:cs="Courier New" w:eastAsia="Courier New" w:hAnsi="Courier New"/>
          <w:sz w:val="18"/>
          <w:szCs w:val="18"/>
          <w:color w:val="auto"/>
        </w:rPr>
        <w:t>FIL, FMR Corp., through its control of Fidelity, and FASST each has sole power to vote and to dispose of the 8,200 shares held by FASST.</w:t>
      </w:r>
    </w:p>
    <w:p>
      <w:pPr>
        <w:spacing w:after="0" w:line="208" w:lineRule="exact"/>
        <w:rPr>
          <w:sz w:val="20"/>
          <w:szCs w:val="20"/>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Fidelity Management Trust Company, 82 Devonshire Street, Boston, Massachusetts 02109, a wholly-owned subsidiary of FMR Corp. and a bank as defined in Section 3(a)(6) of the Securities Exchange Act of 1934, is the beneficial owner of 190,500 shares or 0.26% of the common stock outstanding of the company as a result of its serving as investment manager of the institutional account(s).</w:t>
      </w:r>
    </w:p>
    <w:p>
      <w:pPr>
        <w:spacing w:after="0" w:line="210" w:lineRule="exact"/>
        <w:rPr>
          <w:sz w:val="20"/>
          <w:szCs w:val="20"/>
          <w:color w:val="auto"/>
        </w:rPr>
      </w:pPr>
    </w:p>
    <w:p>
      <w:pPr>
        <w:ind w:right="2099" w:firstLine="843"/>
        <w:spacing w:after="0" w:line="237" w:lineRule="auto"/>
        <w:rPr>
          <w:sz w:val="20"/>
          <w:szCs w:val="20"/>
          <w:color w:val="auto"/>
        </w:rPr>
      </w:pPr>
      <w:r>
        <w:rPr>
          <w:rFonts w:ascii="Courier New" w:cs="Courier New" w:eastAsia="Courier New" w:hAnsi="Courier New"/>
          <w:sz w:val="18"/>
          <w:szCs w:val="18"/>
          <w:color w:val="auto"/>
        </w:rPr>
        <w:t>Edward C. Johnson 3d and FMR Corp., through its control of Fidelity Management Trust Company, has sole dispositive power over 190,500 shares and sole power to vote or to direct the voting of 179,500 shares, and no power to vote or to direct the voting of 11,000 Shares of common stock owned by the institutional account(s) as reported above.</w:t>
      </w:r>
    </w:p>
    <w:p>
      <w:pPr>
        <w:spacing w:after="0" w:line="209" w:lineRule="exact"/>
        <w:rPr>
          <w:sz w:val="20"/>
          <w:szCs w:val="20"/>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Edward C. Johnson 3d and Abigail P. Johnson each own 24.9% of the outstanding voting common stock of FMR Corp. Mr. Johnson 3d is Chairman of FMR Corp. Various Johnson family members and trusts for the benefit of Johnson family members own FMR Corp. voting common stock. These Johnson family members, through their ownership of voting common stock and the execution of a family shareholders' voting agreement, form a controlling group with respect to FMR Corp.</w:t>
      </w:r>
    </w:p>
    <w:p>
      <w:pPr>
        <w:spacing w:after="0" w:line="211" w:lineRule="exact"/>
        <w:rPr>
          <w:sz w:val="20"/>
          <w:szCs w:val="20"/>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Fidelity International Limited, Pembroke Hall, 42 Crowlane, Hamilton, Bermuda, and various foreign-based subsidiaries provide investment advisory and management services to a number of non-U.S. investment companies (the "International Funds") and certain institutional investors. Fidelity International Limited is also the beneficial owner of 8,200 shares or 0.01% of the common stock outstanding of the company owned by FASST. Additional information with respect to the beneficial ownership of Fidelity International Limited is shown on Exhibit B, page 1.</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13G - TO BE INCLUDED IN STATEMENTS</w:t>
      </w:r>
    </w:p>
    <w:p>
      <w:pPr>
        <w:spacing w:after="0" w:line="238" w:lineRule="auto"/>
        <w:rPr>
          <w:sz w:val="20"/>
          <w:szCs w:val="20"/>
          <w:color w:val="auto"/>
        </w:rPr>
      </w:pPr>
      <w:r>
        <w:rPr>
          <w:rFonts w:ascii="Courier New" w:cs="Courier New" w:eastAsia="Courier New" w:hAnsi="Courier New"/>
          <w:sz w:val="18"/>
          <w:szCs w:val="18"/>
          <w:color w:val="auto"/>
        </w:rPr>
        <w:t>FILED PURSUANT TO RULE 13d-1(b) or 13d-2(b)</w:t>
      </w:r>
    </w:p>
    <w:p>
      <w:pPr>
        <w:spacing w:after="0" w:line="200" w:lineRule="exact"/>
        <w:rPr>
          <w:sz w:val="20"/>
          <w:szCs w:val="20"/>
          <w:color w:val="auto"/>
        </w:rPr>
      </w:pPr>
    </w:p>
    <w:p>
      <w:pPr>
        <w:spacing w:after="0" w:line="210" w:lineRule="exact"/>
        <w:rPr>
          <w:sz w:val="20"/>
          <w:szCs w:val="20"/>
          <w:color w:val="auto"/>
        </w:rPr>
      </w:pPr>
    </w:p>
    <w:p>
      <w:pPr>
        <w:ind w:right="1679" w:firstLine="843"/>
        <w:spacing w:after="0" w:line="279" w:lineRule="auto"/>
        <w:rPr>
          <w:sz w:val="20"/>
          <w:szCs w:val="20"/>
          <w:color w:val="auto"/>
        </w:rPr>
      </w:pPr>
      <w:r>
        <w:rPr>
          <w:rFonts w:ascii="Courier New" w:cs="Courier New" w:eastAsia="Courier New" w:hAnsi="Courier New"/>
          <w:sz w:val="16"/>
          <w:szCs w:val="16"/>
          <w:color w:val="auto"/>
        </w:rPr>
        <w:t>Pursuant to instructions in Item 7 of Schedule 13G, this Exhibit has been prepared to identify Fidelity International Limited, Pembroke Hall, 42 Crow Lane, Hamilton, Bermuda, a Bermudian joint stock company incorporated for an</w:t>
      </w:r>
    </w:p>
    <w:p>
      <w:pPr>
        <w:sectPr>
          <w:pgSz w:w="11900" w:h="16838" w:orient="portrait"/>
          <w:cols w:equalWidth="0" w:num="1">
            <w:col w:w="10219"/>
          </w:cols>
          <w:pgMar w:left="240" w:top="136" w:right="1440" w:bottom="0" w:gutter="0" w:footer="0" w:header="0"/>
        </w:sectPr>
      </w:pPr>
    </w:p>
    <w:bookmarkStart w:id="3" w:name="page4"/>
    <w:bookmarkEnd w:id="3"/>
    <w:p>
      <w:pPr>
        <w:ind w:right="1999"/>
        <w:spacing w:after="0" w:line="237" w:lineRule="auto"/>
        <w:rPr>
          <w:sz w:val="20"/>
          <w:szCs w:val="20"/>
          <w:color w:val="auto"/>
        </w:rPr>
      </w:pPr>
      <w:r>
        <w:rPr>
          <w:rFonts w:ascii="Courier New" w:cs="Courier New" w:eastAsia="Courier New" w:hAnsi="Courier New"/>
          <w:sz w:val="18"/>
          <w:szCs w:val="18"/>
          <w:color w:val="auto"/>
        </w:rPr>
        <w:t>unlimited duration by private act of the Bermuda Legislature (FIL) and an investment adviser to various investment companies (the "International Funds") and certain institutional investors, as the beneficial owner of 8,200 shares or 0.01% of the common stock outstanding of Manpower Incorporated owned by FASST.</w:t>
      </w:r>
    </w:p>
    <w:p>
      <w:pPr>
        <w:spacing w:after="0" w:line="209"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Prior to June 30, 1980, FIL was a majority-owned subsidiary of Fidelity Management &amp; Research Company (Fidelity), a wholly-owned subsidiary of FMR Corp. On that date, the shares of FIL held by Fidelity were distributed, as a dividend, to the shareholders of FMR Corp. FIL currently operates as an entity independent of FMR Corp. and Fidelity. The International Funds and FIL's other clients, with the exception of Fidelity and an affiliated company of Fidelity, are non-U.S. entities.</w:t>
      </w:r>
    </w:p>
    <w:p>
      <w:pPr>
        <w:spacing w:after="0" w:line="211" w:lineRule="exact"/>
        <w:rPr>
          <w:sz w:val="20"/>
          <w:szCs w:val="20"/>
          <w:color w:val="auto"/>
        </w:rPr>
      </w:pPr>
    </w:p>
    <w:p>
      <w:pPr>
        <w:ind w:right="2099" w:firstLine="843"/>
        <w:spacing w:after="0" w:line="237" w:lineRule="auto"/>
        <w:rPr>
          <w:sz w:val="20"/>
          <w:szCs w:val="20"/>
          <w:color w:val="auto"/>
        </w:rPr>
      </w:pPr>
      <w:r>
        <w:rPr>
          <w:rFonts w:ascii="Courier New" w:cs="Courier New" w:eastAsia="Courier New" w:hAnsi="Courier New"/>
          <w:sz w:val="18"/>
          <w:szCs w:val="18"/>
          <w:color w:val="auto"/>
        </w:rPr>
        <w:t>A partnership controlled by Edward C. Johnson 3d and members of his family owns shares of FIL voting stock with the right to cast approximately 47.22% of the total votes which may be cast by all holders of FIL voting stock. Mr. Johnson 3d is Chairman of FMR Corp. and FIL. FMR Corp. and FIL are separate and independent corporate entities. FMR Corp. and FIL are managed independently and their Boards of Directors are generally composed of different individuals. Other than when one serves as a subadviser to the other, their investment decisions are made independently, and their clients are different organizations.</w:t>
      </w:r>
    </w:p>
    <w:p>
      <w:pPr>
        <w:spacing w:after="0" w:line="214"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FMR Corp. and FIL are of the view that they are not acting as a "group" for purposes of Section 13(d) under the Securities Exchange Act of 1934 (the "1934" Act) and that they are not otherwise required to attribute to each other the "beneficial ownership" of securities "beneficially owned" by the other corporation within the meaning of Rule 13d-3 promulgated under the 1934 Act. Therefore, they are of the view that the shares held by the other corporation need not be aggregated for purposes of Section 13(d). However, FMR Corp. is making this filing on a voluntary basis as if all of the shares are beneficially owned by FMR Corp. and FIL on a joint basis.</w:t>
      </w:r>
    </w:p>
    <w:p>
      <w:pPr>
        <w:spacing w:after="0" w:line="214" w:lineRule="exact"/>
        <w:rPr>
          <w:sz w:val="20"/>
          <w:szCs w:val="20"/>
          <w:color w:val="auto"/>
        </w:rPr>
      </w:pPr>
    </w:p>
    <w:p>
      <w:pPr>
        <w:ind w:right="2099" w:firstLine="843"/>
        <w:spacing w:after="0" w:line="237" w:lineRule="auto"/>
        <w:rPr>
          <w:sz w:val="20"/>
          <w:szCs w:val="20"/>
          <w:color w:val="auto"/>
        </w:rPr>
      </w:pPr>
      <w:r>
        <w:rPr>
          <w:rFonts w:ascii="Courier New" w:cs="Courier New" w:eastAsia="Courier New" w:hAnsi="Courier New"/>
          <w:sz w:val="18"/>
          <w:szCs w:val="18"/>
          <w:color w:val="auto"/>
        </w:rPr>
        <w:t>FIL may continue to have the International Funds or other accounts purchase shares subject to a number of factors, including, among others, the availability of shares for sale at what FIL considers to be reasonable prices and other investment opportunities that may be available to the International Funds.</w:t>
      </w:r>
    </w:p>
    <w:p>
      <w:pPr>
        <w:spacing w:after="0" w:line="209" w:lineRule="exact"/>
        <w:rPr>
          <w:sz w:val="20"/>
          <w:szCs w:val="20"/>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FIL intends to review continuously the equity position of the International Funds and other accounts in the Company. Depending upon its future evaluations of the business and prospects of the Company and upon other developments, including, but not limited to, general economic and business conditions and money market and stock market conditions, FIL may determine to cease making additional purchases of shares or to increase or decrease the equity interest in the Company by acquiring additional shares, or by disposing of all or a portion of the shares.</w:t>
      </w:r>
    </w:p>
    <w:p>
      <w:pPr>
        <w:spacing w:after="0" w:line="212" w:lineRule="exact"/>
        <w:rPr>
          <w:sz w:val="20"/>
          <w:szCs w:val="20"/>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FIL does not have a present plan or proposal which relates to or would result in (i) an extraordinary corporate transaction, such as a merger, reorganization, liquidation, or sale or transfer of a material amount of assets involving the Company or any of its subsidiaries, (ii) any change in the Company's present Board of Directors or management, (iii) any material changes in the Company's present capitalization or dividend policy or any other material change in the Company's business or corporate structure, (iv) any change in the Company's charter or by-laws, or (v) the Company's common stock becoming eligible for termination of its registration pursuant to Section 12(g)(4) of the 1934 Act.</w:t>
      </w:r>
    </w:p>
    <w:p>
      <w:pPr>
        <w:spacing w:after="0" w:line="215" w:lineRule="exact"/>
        <w:rPr>
          <w:sz w:val="20"/>
          <w:szCs w:val="20"/>
          <w:color w:val="auto"/>
        </w:rPr>
      </w:pPr>
    </w:p>
    <w:p>
      <w:pPr>
        <w:ind w:right="2099" w:firstLine="1054"/>
        <w:spacing w:after="0" w:line="235" w:lineRule="auto"/>
        <w:rPr>
          <w:sz w:val="20"/>
          <w:szCs w:val="20"/>
          <w:color w:val="auto"/>
        </w:rPr>
      </w:pPr>
      <w:r>
        <w:rPr>
          <w:rFonts w:ascii="Courier New" w:cs="Courier New" w:eastAsia="Courier New" w:hAnsi="Courier New"/>
          <w:sz w:val="18"/>
          <w:szCs w:val="18"/>
          <w:color w:val="auto"/>
        </w:rPr>
        <w:t>FIL, FMR Corp., through its control of Fidelity, and FASST each has sole power to vote and to dispose of the 8,200 shares held by FASST.</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13G - TO BE INCLUDED IN STATEMENTS</w:t>
      </w:r>
    </w:p>
    <w:p>
      <w:pPr>
        <w:spacing w:after="0" w:line="238" w:lineRule="auto"/>
        <w:rPr>
          <w:sz w:val="20"/>
          <w:szCs w:val="20"/>
          <w:color w:val="auto"/>
        </w:rPr>
      </w:pPr>
      <w:r>
        <w:rPr>
          <w:rFonts w:ascii="Courier New" w:cs="Courier New" w:eastAsia="Courier New" w:hAnsi="Courier New"/>
          <w:sz w:val="18"/>
          <w:szCs w:val="18"/>
          <w:color w:val="auto"/>
        </w:rPr>
        <w:t>FILED PURSUANT TO RULE 13d-1(b) or 13d-2(b)</w:t>
      </w:r>
    </w:p>
    <w:p>
      <w:pPr>
        <w:spacing w:after="0" w:line="202"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RULE 13d-1(f)(1)</w:t>
      </w:r>
      <w:r>
        <w:rPr>
          <w:sz w:val="20"/>
          <w:szCs w:val="20"/>
          <w:color w:val="auto"/>
        </w:rPr>
        <w:tab/>
      </w:r>
      <w:r>
        <w:rPr>
          <w:rFonts w:ascii="Courier New" w:cs="Courier New" w:eastAsia="Courier New" w:hAnsi="Courier New"/>
          <w:sz w:val="16"/>
          <w:szCs w:val="16"/>
          <w:color w:val="auto"/>
        </w:rPr>
        <w:t>AGREEMENT</w:t>
      </w:r>
    </w:p>
    <w:p>
      <w:pPr>
        <w:spacing w:after="0" w:line="207" w:lineRule="exact"/>
        <w:rPr>
          <w:sz w:val="20"/>
          <w:szCs w:val="20"/>
          <w:color w:val="auto"/>
        </w:rPr>
      </w:pPr>
    </w:p>
    <w:p>
      <w:pPr>
        <w:ind w:right="1879" w:firstLine="843"/>
        <w:spacing w:after="0" w:line="268" w:lineRule="auto"/>
        <w:rPr>
          <w:sz w:val="20"/>
          <w:szCs w:val="20"/>
          <w:color w:val="auto"/>
        </w:rPr>
      </w:pPr>
      <w:r>
        <w:rPr>
          <w:rFonts w:ascii="Courier New" w:cs="Courier New" w:eastAsia="Courier New" w:hAnsi="Courier New"/>
          <w:sz w:val="16"/>
          <w:szCs w:val="16"/>
          <w:color w:val="auto"/>
        </w:rPr>
        <w:t>The undersigned persons, on February 13, 1995, agree and consent to the joint filing on their behalf of this Schedule 13G in connection with their beneficial ownership of the common stock of Manpower Incorporated at December</w:t>
      </w:r>
    </w:p>
    <w:tbl>
      <w:tblPr>
        <w:tblLayout w:type="fixed"/>
        <w:tblInd w:w="0" w:type="dxa"/>
        <w:tblCellMar>
          <w:top w:w="0" w:type="dxa"/>
          <w:left w:w="0" w:type="dxa"/>
          <w:bottom w:w="0" w:type="dxa"/>
          <w:right w:w="0" w:type="dxa"/>
        </w:tblCellMar>
      </w:tblPr>
      <w:tr>
        <w:trPr>
          <w:trHeight w:val="199"/>
        </w:trPr>
        <w:tc>
          <w:tcPr>
            <w:tcW w:w="380" w:type="dxa"/>
            <w:vAlign w:val="bottom"/>
          </w:tcPr>
          <w:p>
            <w:pPr>
              <w:jc w:val="right"/>
              <w:spacing w:after="0" w:line="198" w:lineRule="exact"/>
              <w:rPr>
                <w:sz w:val="20"/>
                <w:szCs w:val="20"/>
                <w:color w:val="auto"/>
              </w:rPr>
            </w:pPr>
            <w:r>
              <w:rPr>
                <w:rFonts w:ascii="Courier New" w:cs="Courier New" w:eastAsia="Courier New" w:hAnsi="Courier New"/>
                <w:sz w:val="18"/>
                <w:szCs w:val="18"/>
                <w:color w:val="auto"/>
                <w:w w:val="92"/>
              </w:rPr>
              <w:t>31,</w:t>
            </w:r>
          </w:p>
        </w:tc>
        <w:tc>
          <w:tcPr>
            <w:tcW w:w="1000" w:type="dxa"/>
            <w:vAlign w:val="bottom"/>
          </w:tcPr>
          <w:p>
            <w:pPr>
              <w:jc w:val="right"/>
              <w:ind w:right="332"/>
              <w:spacing w:after="0" w:line="198" w:lineRule="exact"/>
              <w:rPr>
                <w:sz w:val="20"/>
                <w:szCs w:val="20"/>
                <w:color w:val="auto"/>
              </w:rPr>
            </w:pPr>
            <w:r>
              <w:rPr>
                <w:rFonts w:ascii="Courier New" w:cs="Courier New" w:eastAsia="Courier New" w:hAnsi="Courier New"/>
                <w:sz w:val="18"/>
                <w:szCs w:val="18"/>
                <w:color w:val="auto"/>
              </w:rPr>
              <w:t>1994.</w:t>
            </w:r>
          </w:p>
        </w:tc>
        <w:tc>
          <w:tcPr>
            <w:tcW w:w="2320" w:type="dxa"/>
            <w:vAlign w:val="bottom"/>
          </w:tcPr>
          <w:p>
            <w:pPr>
              <w:spacing w:after="0"/>
              <w:rPr>
                <w:sz w:val="17"/>
                <w:szCs w:val="17"/>
                <w:color w:val="auto"/>
              </w:rPr>
            </w:pPr>
          </w:p>
        </w:tc>
      </w:tr>
      <w:tr>
        <w:trPr>
          <w:trHeight w:val="405"/>
        </w:trPr>
        <w:tc>
          <w:tcPr>
            <w:tcW w:w="380" w:type="dxa"/>
            <w:vAlign w:val="bottom"/>
          </w:tcPr>
          <w:p>
            <w:pPr>
              <w:spacing w:after="0"/>
              <w:rPr>
                <w:sz w:val="24"/>
                <w:szCs w:val="24"/>
                <w:color w:val="auto"/>
              </w:rPr>
            </w:pPr>
          </w:p>
        </w:tc>
        <w:tc>
          <w:tcPr>
            <w:tcW w:w="3320" w:type="dxa"/>
            <w:vAlign w:val="bottom"/>
            <w:gridSpan w:val="2"/>
          </w:tcPr>
          <w:p>
            <w:pPr>
              <w:ind w:left="480"/>
              <w:spacing w:after="0"/>
              <w:rPr>
                <w:sz w:val="20"/>
                <w:szCs w:val="20"/>
                <w:color w:val="auto"/>
              </w:rPr>
            </w:pPr>
            <w:r>
              <w:rPr>
                <w:rFonts w:ascii="Courier New" w:cs="Courier New" w:eastAsia="Courier New" w:hAnsi="Courier New"/>
                <w:sz w:val="18"/>
                <w:szCs w:val="18"/>
                <w:color w:val="auto"/>
              </w:rPr>
              <w:t>FMR Corp.</w:t>
            </w:r>
          </w:p>
        </w:tc>
      </w:tr>
      <w:tr>
        <w:trPr>
          <w:trHeight w:val="203"/>
        </w:trPr>
        <w:tc>
          <w:tcPr>
            <w:tcW w:w="380" w:type="dxa"/>
            <w:vAlign w:val="bottom"/>
          </w:tcPr>
          <w:p>
            <w:pPr>
              <w:spacing w:after="0"/>
              <w:rPr>
                <w:sz w:val="17"/>
                <w:szCs w:val="17"/>
                <w:color w:val="auto"/>
              </w:rPr>
            </w:pPr>
          </w:p>
        </w:tc>
        <w:tc>
          <w:tcPr>
            <w:tcW w:w="100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By</w:t>
            </w:r>
          </w:p>
        </w:tc>
        <w:tc>
          <w:tcPr>
            <w:tcW w:w="2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6"/>
              </w:rPr>
              <w:t>/s/Arthur S. Loring</w:t>
            </w:r>
          </w:p>
        </w:tc>
      </w:tr>
    </w:tbl>
    <w:p>
      <w:pPr>
        <w:spacing w:after="0" w:line="238" w:lineRule="auto"/>
        <w:rPr>
          <w:sz w:val="20"/>
          <w:szCs w:val="20"/>
          <w:color w:val="auto"/>
        </w:rPr>
      </w:pPr>
      <w:r>
        <w:rPr>
          <w:rFonts w:ascii="Courier New" w:cs="Courier New" w:eastAsia="Courier New" w:hAnsi="Courier New"/>
          <w:sz w:val="18"/>
          <w:szCs w:val="18"/>
          <w:color w:val="auto"/>
        </w:rPr>
        <w:t>Arthur S. Loring</w:t>
      </w:r>
    </w:p>
    <w:p>
      <w:pPr>
        <w:spacing w:after="0"/>
        <w:rPr>
          <w:sz w:val="20"/>
          <w:szCs w:val="20"/>
          <w:color w:val="auto"/>
        </w:rPr>
      </w:pPr>
      <w:r>
        <w:rPr>
          <w:rFonts w:ascii="Courier New" w:cs="Courier New" w:eastAsia="Courier New" w:hAnsi="Courier New"/>
          <w:sz w:val="18"/>
          <w:szCs w:val="18"/>
          <w:color w:val="auto"/>
        </w:rPr>
        <w:t>Vice President - Legal</w:t>
      </w:r>
    </w:p>
    <w:p>
      <w:pPr>
        <w:ind w:left="860"/>
        <w:spacing w:after="0" w:line="237" w:lineRule="auto"/>
        <w:rPr>
          <w:sz w:val="20"/>
          <w:szCs w:val="20"/>
          <w:color w:val="auto"/>
        </w:rPr>
      </w:pPr>
      <w:r>
        <w:rPr>
          <w:rFonts w:ascii="Courier New" w:cs="Courier New" w:eastAsia="Courier New" w:hAnsi="Courier New"/>
          <w:sz w:val="18"/>
          <w:szCs w:val="18"/>
          <w:color w:val="auto"/>
        </w:rPr>
        <w:t>Edward C. Johnson 3d</w:t>
      </w:r>
    </w:p>
    <w:p>
      <w:pPr>
        <w:ind w:left="860"/>
        <w:spacing w:after="0" w:line="238" w:lineRule="auto"/>
        <w:tabs>
          <w:tab w:leader="none" w:pos="16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/s/Arthur S. Loring</w:t>
      </w:r>
    </w:p>
    <w:p>
      <w:pPr>
        <w:spacing w:after="0"/>
        <w:rPr>
          <w:sz w:val="20"/>
          <w:szCs w:val="20"/>
          <w:color w:val="auto"/>
        </w:rPr>
      </w:pPr>
      <w:r>
        <w:rPr>
          <w:rFonts w:ascii="Courier New" w:cs="Courier New" w:eastAsia="Courier New" w:hAnsi="Courier New"/>
          <w:sz w:val="18"/>
          <w:szCs w:val="18"/>
          <w:color w:val="auto"/>
        </w:rPr>
        <w:t>Arthur S. Loring</w:t>
      </w:r>
    </w:p>
    <w:p>
      <w:pPr>
        <w:sectPr>
          <w:pgSz w:w="11900" w:h="16838" w:orient="portrait"/>
          <w:cols w:equalWidth="0" w:num="1">
            <w:col w:w="10219"/>
          </w:cols>
          <w:pgMar w:left="240" w:top="142" w:right="1440" w:bottom="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Under Power of Attorney dated</w:t>
      </w:r>
    </w:p>
    <w:p>
      <w:pPr>
        <w:spacing w:after="0" w:line="238" w:lineRule="auto"/>
        <w:rPr>
          <w:sz w:val="20"/>
          <w:szCs w:val="20"/>
          <w:color w:val="auto"/>
        </w:rPr>
      </w:pPr>
      <w:r>
        <w:rPr>
          <w:rFonts w:ascii="Courier New" w:cs="Courier New" w:eastAsia="Courier New" w:hAnsi="Courier New"/>
          <w:sz w:val="18"/>
          <w:szCs w:val="18"/>
          <w:color w:val="auto"/>
        </w:rPr>
        <w:t>5/17/89</w:t>
      </w:r>
    </w:p>
    <w:p>
      <w:pPr>
        <w:spacing w:after="0"/>
        <w:rPr>
          <w:sz w:val="20"/>
          <w:szCs w:val="20"/>
          <w:color w:val="auto"/>
        </w:rPr>
      </w:pPr>
      <w:r>
        <w:rPr>
          <w:rFonts w:ascii="Courier New" w:cs="Courier New" w:eastAsia="Courier New" w:hAnsi="Courier New"/>
          <w:sz w:val="18"/>
          <w:szCs w:val="18"/>
          <w:color w:val="auto"/>
        </w:rPr>
        <w:t>On File with Schedule 13G for</w:t>
      </w:r>
    </w:p>
    <w:p>
      <w:pPr>
        <w:spacing w:after="0" w:line="237" w:lineRule="auto"/>
        <w:rPr>
          <w:sz w:val="20"/>
          <w:szCs w:val="20"/>
          <w:color w:val="auto"/>
        </w:rPr>
      </w:pPr>
      <w:r>
        <w:rPr>
          <w:rFonts w:ascii="Courier New" w:cs="Courier New" w:eastAsia="Courier New" w:hAnsi="Courier New"/>
          <w:sz w:val="18"/>
          <w:szCs w:val="18"/>
          <w:color w:val="auto"/>
        </w:rPr>
        <w:t>Airborne Freight Corp. 9/10/91</w:t>
      </w:r>
    </w:p>
    <w:p>
      <w:pPr>
        <w:spacing w:after="0" w:line="5"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Fidelity Management &amp; Research Company</w:t>
      </w:r>
    </w:p>
    <w:p>
      <w:pPr>
        <w:spacing w:after="0" w:line="16" w:lineRule="exact"/>
        <w:rPr>
          <w:sz w:val="20"/>
          <w:szCs w:val="20"/>
          <w:color w:val="auto"/>
        </w:rPr>
      </w:pPr>
    </w:p>
    <w:p>
      <w:pPr>
        <w:ind w:left="860"/>
        <w:spacing w:after="0"/>
        <w:tabs>
          <w:tab w:leader="none" w:pos="16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/s/Arthur S. Loring</w:t>
      </w:r>
    </w:p>
    <w:p>
      <w:pPr>
        <w:spacing w:after="0" w:line="238" w:lineRule="auto"/>
        <w:rPr>
          <w:sz w:val="20"/>
          <w:szCs w:val="20"/>
          <w:color w:val="auto"/>
        </w:rPr>
      </w:pPr>
      <w:r>
        <w:rPr>
          <w:rFonts w:ascii="Courier New" w:cs="Courier New" w:eastAsia="Courier New" w:hAnsi="Courier New"/>
          <w:sz w:val="18"/>
          <w:szCs w:val="18"/>
          <w:color w:val="auto"/>
        </w:rPr>
        <w:t>Arthur S. Loring</w:t>
      </w:r>
    </w:p>
    <w:p>
      <w:pPr>
        <w:spacing w:after="0"/>
        <w:rPr>
          <w:sz w:val="20"/>
          <w:szCs w:val="20"/>
          <w:color w:val="auto"/>
        </w:rPr>
      </w:pPr>
      <w:r>
        <w:rPr>
          <w:rFonts w:ascii="Courier New" w:cs="Courier New" w:eastAsia="Courier New" w:hAnsi="Courier New"/>
          <w:sz w:val="18"/>
          <w:szCs w:val="18"/>
          <w:color w:val="auto"/>
        </w:rPr>
        <w:t>Sr. V.P. and General Counsel</w:t>
      </w:r>
    </w:p>
    <w:p>
      <w:pPr>
        <w:ind w:left="860"/>
        <w:spacing w:after="0" w:line="237" w:lineRule="auto"/>
        <w:rPr>
          <w:sz w:val="20"/>
          <w:szCs w:val="20"/>
          <w:color w:val="auto"/>
        </w:rPr>
      </w:pPr>
      <w:r>
        <w:rPr>
          <w:rFonts w:ascii="Courier New" w:cs="Courier New" w:eastAsia="Courier New" w:hAnsi="Courier New"/>
          <w:sz w:val="18"/>
          <w:szCs w:val="18"/>
          <w:color w:val="auto"/>
        </w:rPr>
        <w:t>Fidelity Magellan Fund</w:t>
      </w:r>
    </w:p>
    <w:p>
      <w:pPr>
        <w:ind w:left="860"/>
        <w:spacing w:after="0" w:line="238" w:lineRule="auto"/>
        <w:tabs>
          <w:tab w:leader="none" w:pos="16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/s/Arthur S. Loring</w:t>
      </w:r>
    </w:p>
    <w:p>
      <w:pPr>
        <w:spacing w:after="0"/>
        <w:rPr>
          <w:sz w:val="20"/>
          <w:szCs w:val="20"/>
          <w:color w:val="auto"/>
        </w:rPr>
      </w:pPr>
      <w:r>
        <w:rPr>
          <w:rFonts w:ascii="Courier New" w:cs="Courier New" w:eastAsia="Courier New" w:hAnsi="Courier New"/>
          <w:sz w:val="18"/>
          <w:szCs w:val="18"/>
          <w:color w:val="auto"/>
        </w:rPr>
        <w:t>Arthur S. Loring</w:t>
      </w:r>
    </w:p>
    <w:p>
      <w:pPr>
        <w:spacing w:after="0" w:line="237" w:lineRule="auto"/>
        <w:rPr>
          <w:sz w:val="20"/>
          <w:szCs w:val="20"/>
          <w:color w:val="auto"/>
        </w:rPr>
      </w:pPr>
      <w:r>
        <w:rPr>
          <w:rFonts w:ascii="Courier New" w:cs="Courier New" w:eastAsia="Courier New" w:hAnsi="Courier New"/>
          <w:sz w:val="18"/>
          <w:szCs w:val="18"/>
          <w:color w:val="auto"/>
        </w:rPr>
        <w:t>Secretary</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lowerLetter"/>
      <w:start w:val="1"/>
    </w:lvl>
  </w:abstractNum>
  <w:abstractNum w:abstractNumId="1">
    <w:nsid w:val="74B0DC51"/>
    <w:multiLevelType w:val="hybridMultilevel"/>
    <w:lvl w:ilvl="0">
      <w:lvlJc w:val="left"/>
      <w:lvlText w:val="(%1)"/>
      <w:numFmt w:val="lowerLetter"/>
      <w:start w:val="2"/>
    </w:lvl>
  </w:abstractNum>
  <w:abstractNum w:abstractNumId="2">
    <w:nsid w:val="19495CFF"/>
    <w:multiLevelType w:val="hybridMultilevel"/>
    <w:lvl w:ilvl="0">
      <w:lvlJc w:val="left"/>
      <w:lvlText w:val="(%1)"/>
      <w:numFmt w:val="lowerRoman"/>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2019-12-19T21:28:46Z</dcterms:created>
  <dcterms:modified xsi:type="dcterms:W3CDTF">2019-12-19T21:28:46Z</dcterms:modified>
</cp:coreProperties>
</file>