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color w:val="auto"/>
        </w:rPr>
        <w:t>UNITED STATES</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SECURITIES AND EXCHANGE COMMISSION</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Washington, D.C. 20549</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Date of Report (Date of earliest event reported): July 27, 2005</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MANPOWER INC.</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43" w:lineRule="exact"/>
        <w:rPr>
          <w:sz w:val="24"/>
          <w:szCs w:val="24"/>
          <w:color w:val="auto"/>
        </w:rPr>
      </w:pPr>
    </w:p>
    <w:tbl>
      <w:tblPr>
        <w:tblLayout w:type="fixed"/>
        <w:tblInd w:w="17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80" w:type="dxa"/>
            <w:vAlign w:val="bottom"/>
            <w:gridSpan w:val="2"/>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30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r>
      <w:tr>
        <w:trPr>
          <w:trHeight w:val="269"/>
        </w:trPr>
        <w:tc>
          <w:tcPr>
            <w:tcW w:w="20" w:type="dxa"/>
            <w:vAlign w:val="bottom"/>
          </w:tcPr>
          <w:p>
            <w:pPr>
              <w:spacing w:after="0"/>
              <w:rPr>
                <w:sz w:val="23"/>
                <w:szCs w:val="23"/>
                <w:color w:val="auto"/>
              </w:rPr>
            </w:pPr>
          </w:p>
        </w:tc>
        <w:tc>
          <w:tcPr>
            <w:tcW w:w="3420" w:type="dxa"/>
            <w:vAlign w:val="bottom"/>
            <w:gridSpan w:val="4"/>
          </w:tcPr>
          <w:p>
            <w:pPr>
              <w:jc w:val="center"/>
              <w:ind w:right="980"/>
              <w:spacing w:after="0"/>
              <w:rPr>
                <w:sz w:val="20"/>
                <w:szCs w:val="20"/>
                <w:color w:val="auto"/>
              </w:rPr>
            </w:pPr>
            <w:r>
              <w:rPr>
                <w:rFonts w:ascii="Arial" w:cs="Arial" w:eastAsia="Arial" w:hAnsi="Arial"/>
                <w:sz w:val="22"/>
                <w:szCs w:val="22"/>
                <w:color w:val="auto"/>
                <w:w w:val="90"/>
              </w:rPr>
              <w:t>(State or other jurisdiction</w:t>
            </w:r>
          </w:p>
        </w:tc>
        <w:tc>
          <w:tcPr>
            <w:tcW w:w="2460" w:type="dxa"/>
            <w:vAlign w:val="bottom"/>
            <w:gridSpan w:val="2"/>
          </w:tcPr>
          <w:p>
            <w:pPr>
              <w:jc w:val="center"/>
              <w:ind w:right="1300"/>
              <w:spacing w:after="0"/>
              <w:rPr>
                <w:sz w:val="20"/>
                <w:szCs w:val="20"/>
                <w:color w:val="auto"/>
              </w:rPr>
            </w:pPr>
            <w:r>
              <w:rPr>
                <w:rFonts w:ascii="Arial" w:cs="Arial" w:eastAsia="Arial" w:hAnsi="Arial"/>
                <w:sz w:val="22"/>
                <w:szCs w:val="22"/>
                <w:color w:val="auto"/>
                <w:w w:val="90"/>
              </w:rPr>
              <w:t>(Commission</w:t>
            </w: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r>
      <w:tr>
        <w:trPr>
          <w:trHeight w:val="27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40" w:type="dxa"/>
            <w:vAlign w:val="bottom"/>
            <w:gridSpan w:val="3"/>
          </w:tcPr>
          <w:p>
            <w:pPr>
              <w:jc w:val="center"/>
              <w:ind w:right="1080"/>
              <w:spacing w:after="0"/>
              <w:rPr>
                <w:sz w:val="20"/>
                <w:szCs w:val="20"/>
                <w:color w:val="auto"/>
              </w:rPr>
            </w:pPr>
            <w:r>
              <w:rPr>
                <w:rFonts w:ascii="Arial" w:cs="Arial" w:eastAsia="Arial" w:hAnsi="Arial"/>
                <w:sz w:val="22"/>
                <w:szCs w:val="22"/>
                <w:color w:val="auto"/>
                <w:w w:val="91"/>
              </w:rPr>
              <w:t>of incorporation)</w:t>
            </w:r>
          </w:p>
        </w:tc>
        <w:tc>
          <w:tcPr>
            <w:tcW w:w="2460" w:type="dxa"/>
            <w:vAlign w:val="bottom"/>
            <w:gridSpan w:val="2"/>
          </w:tcPr>
          <w:p>
            <w:pPr>
              <w:jc w:val="center"/>
              <w:ind w:right="1300"/>
              <w:spacing w:after="0"/>
              <w:rPr>
                <w:sz w:val="20"/>
                <w:szCs w:val="20"/>
                <w:color w:val="auto"/>
              </w:rPr>
            </w:pPr>
            <w:r>
              <w:rPr>
                <w:rFonts w:ascii="Arial" w:cs="Arial" w:eastAsia="Arial" w:hAnsi="Arial"/>
                <w:sz w:val="22"/>
                <w:szCs w:val="22"/>
                <w:color w:val="auto"/>
                <w:w w:val="91"/>
              </w:rPr>
              <w:t>File Number)</w:t>
            </w: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r>
      <w:tr>
        <w:trPr>
          <w:trHeight w:val="4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3"/>
          </w:tcPr>
          <w:p>
            <w:pPr>
              <w:jc w:val="center"/>
              <w:ind w:right="100"/>
              <w:spacing w:after="0"/>
              <w:rPr>
                <w:sz w:val="20"/>
                <w:szCs w:val="20"/>
                <w:color w:val="auto"/>
              </w:rPr>
            </w:pPr>
            <w:r>
              <w:rPr>
                <w:rFonts w:ascii="Arial" w:cs="Arial" w:eastAsia="Arial" w:hAnsi="Arial"/>
                <w:sz w:val="22"/>
                <w:szCs w:val="22"/>
                <w:color w:val="auto"/>
                <w:w w:val="90"/>
              </w:rPr>
              <w:t>5301 North Ironwood Road</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ind w:right="80"/>
              <w:spacing w:after="0" w:line="224" w:lineRule="exact"/>
              <w:rPr>
                <w:sz w:val="20"/>
                <w:szCs w:val="20"/>
                <w:color w:val="auto"/>
              </w:rPr>
            </w:pPr>
            <w:r>
              <w:rPr>
                <w:rFonts w:ascii="Arial" w:cs="Arial" w:eastAsia="Arial" w:hAnsi="Arial"/>
                <w:sz w:val="22"/>
                <w:szCs w:val="22"/>
                <w:color w:val="auto"/>
                <w:w w:val="92"/>
              </w:rPr>
              <w:t>Milwaukee, Wisconsin</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52"/>
              <w:spacing w:after="0" w:line="224" w:lineRule="exact"/>
              <w:rPr>
                <w:sz w:val="20"/>
                <w:szCs w:val="20"/>
                <w:color w:val="auto"/>
              </w:rPr>
            </w:pPr>
            <w:r>
              <w:rPr>
                <w:rFonts w:ascii="Arial" w:cs="Arial" w:eastAsia="Arial" w:hAnsi="Arial"/>
                <w:sz w:val="22"/>
                <w:szCs w:val="22"/>
                <w:color w:val="auto"/>
              </w:rPr>
              <w:t>53217</w:t>
            </w:r>
          </w:p>
        </w:tc>
        <w:tc>
          <w:tcPr>
            <w:tcW w:w="700" w:type="dxa"/>
            <w:vAlign w:val="bottom"/>
          </w:tcPr>
          <w:p>
            <w:pPr>
              <w:spacing w:after="0"/>
              <w:rPr>
                <w:sz w:val="19"/>
                <w:szCs w:val="19"/>
                <w:color w:val="auto"/>
              </w:rPr>
            </w:pPr>
          </w:p>
        </w:tc>
      </w:tr>
      <w:tr>
        <w:trPr>
          <w:trHeight w:val="301"/>
        </w:trPr>
        <w:tc>
          <w:tcPr>
            <w:tcW w:w="3440" w:type="dxa"/>
            <w:vAlign w:val="bottom"/>
            <w:gridSpan w:val="5"/>
          </w:tcPr>
          <w:p>
            <w:pPr>
              <w:jc w:val="center"/>
              <w:spacing w:after="0"/>
              <w:rPr>
                <w:sz w:val="20"/>
                <w:szCs w:val="20"/>
                <w:color w:val="auto"/>
              </w:rPr>
            </w:pPr>
            <w:r>
              <w:rPr>
                <w:rFonts w:ascii="Arial" w:cs="Arial" w:eastAsia="Arial" w:hAnsi="Arial"/>
                <w:sz w:val="22"/>
                <w:szCs w:val="22"/>
                <w:color w:val="auto"/>
                <w:w w:val="91"/>
              </w:rPr>
              <w:t>(Address of principal executive offices)</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gridSpan w:val="3"/>
          </w:tcPr>
          <w:p>
            <w:pPr>
              <w:jc w:val="center"/>
              <w:ind w:right="580"/>
              <w:spacing w:after="0"/>
              <w:rPr>
                <w:sz w:val="20"/>
                <w:szCs w:val="20"/>
                <w:color w:val="auto"/>
              </w:rPr>
            </w:pPr>
            <w:r>
              <w:rPr>
                <w:rFonts w:ascii="Arial" w:cs="Arial" w:eastAsia="Arial" w:hAnsi="Arial"/>
                <w:sz w:val="22"/>
                <w:szCs w:val="22"/>
                <w:color w:val="auto"/>
                <w:w w:val="90"/>
              </w:rPr>
              <w:t>(Zip Code)</w:t>
            </w: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00" w:lineRule="exact"/>
        <w:rPr>
          <w:sz w:val="24"/>
          <w:szCs w:val="24"/>
          <w:color w:val="auto"/>
        </w:rPr>
      </w:pPr>
    </w:p>
    <w:p>
      <w:pPr>
        <w:spacing w:after="0" w:line="276"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87" w:lineRule="exact"/>
        <w:rPr>
          <w:sz w:val="24"/>
          <w:szCs w:val="24"/>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60" w:lineRule="exact"/>
        <w:rPr>
          <w:rFonts w:ascii="Arial" w:cs="Arial" w:eastAsia="Arial" w:hAnsi="Arial"/>
          <w:sz w:val="22"/>
          <w:szCs w:val="22"/>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60" w:lineRule="exact"/>
        <w:rPr>
          <w:rFonts w:ascii="Arial" w:cs="Arial" w:eastAsia="Arial" w:hAnsi="Arial"/>
          <w:sz w:val="22"/>
          <w:szCs w:val="22"/>
          <w:color w:val="auto"/>
        </w:rPr>
      </w:pPr>
    </w:p>
    <w:p>
      <w:pPr>
        <w:ind w:left="380" w:right="284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27" w:lineRule="exact"/>
        <w:rPr>
          <w:rFonts w:ascii="Arial" w:cs="Arial" w:eastAsia="Arial" w:hAnsi="Arial"/>
          <w:sz w:val="22"/>
          <w:szCs w:val="22"/>
          <w:color w:val="auto"/>
        </w:rPr>
      </w:pPr>
    </w:p>
    <w:p>
      <w:pPr>
        <w:ind w:left="380" w:right="286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1200"/>
          </w:cols>
          <w:pgMar w:left="240" w:top="1198" w:right="4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4.01</w:t>
      </w:r>
      <w:r>
        <w:rPr>
          <w:sz w:val="20"/>
          <w:szCs w:val="20"/>
          <w:color w:val="auto"/>
        </w:rPr>
        <w:tab/>
      </w:r>
      <w:r>
        <w:rPr>
          <w:rFonts w:ascii="Arial" w:cs="Arial" w:eastAsia="Arial" w:hAnsi="Arial"/>
          <w:sz w:val="19"/>
          <w:szCs w:val="19"/>
          <w:b w:val="1"/>
          <w:bCs w:val="1"/>
          <w:u w:val="single" w:color="auto"/>
          <w:color w:val="auto"/>
        </w:rPr>
        <w:t>Changes in Registrant’s Certifying Accountant</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On July 27, 2005, the Audit Committee of the Board of Directors of Manpower Inc. (the “Company”) dismissed PricewaterhouseCoopers LLP as the Company’s independent registered public accounting firm, subject to completion of its procedures on the unaudited interim financial statements for the three and six month periods ended June 30, 2005 and the Quarterly Report on Form 10-Q in which such financial statements will be included, and appointed Deloitte &amp; Touche LLP as the Company’s new independent registered public accounting firm, subject to the completion of their new client acceptance procedures.</w:t>
      </w:r>
    </w:p>
    <w:p>
      <w:pPr>
        <w:spacing w:after="0" w:line="17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PricewaterhouseCoopers LLP’s reports on the Company’s consolidated financial statements for each of the years ended December 31, 2004 and 2003 did not contain an adverse opinion or disclaimer of opinion, nor were they qualified or modified as to uncertainty, audit scope, or accounting principle.</w:t>
      </w:r>
    </w:p>
    <w:p>
      <w:pPr>
        <w:spacing w:after="0" w:line="213" w:lineRule="exact"/>
        <w:rPr>
          <w:sz w:val="20"/>
          <w:szCs w:val="20"/>
          <w:color w:val="auto"/>
        </w:rPr>
      </w:pPr>
    </w:p>
    <w:p>
      <w:pPr>
        <w:ind w:right="280"/>
        <w:spacing w:after="0" w:line="249" w:lineRule="auto"/>
        <w:rPr>
          <w:sz w:val="20"/>
          <w:szCs w:val="20"/>
          <w:color w:val="auto"/>
        </w:rPr>
      </w:pPr>
      <w:r>
        <w:rPr>
          <w:rFonts w:ascii="Arial" w:cs="Arial" w:eastAsia="Arial" w:hAnsi="Arial"/>
          <w:sz w:val="21"/>
          <w:szCs w:val="21"/>
          <w:color w:val="auto"/>
        </w:rPr>
        <w:t>During the years ended December 31, 2004 and 2003, and the subsequent interim period through July 27, 2005, there were no disagreements between the Company and PricewaterhouseCoopers LLP on any matter of accounting principles or practices, financial statement disclosure, or auditing scope or procedure, which disagreements, if not resolved to PricewaterhouseCoopers LLP’s satisfaction, would have caused them to make reference to the subject matter of the disagreement in connection with their reports on the financial statements of the Company for such years.</w:t>
      </w:r>
    </w:p>
    <w:p>
      <w:pPr>
        <w:spacing w:after="0" w:line="206"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None of the reportable events described in Item 304(a)(1)(v) of Regulation S-K occurred during the years ended December 31, 2004 and 2003 or during the subsequent interim period through July 27, 2005.</w:t>
      </w:r>
    </w:p>
    <w:p>
      <w:pPr>
        <w:spacing w:after="0" w:line="200"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The Company has provided PricewaterhouseCoopers LLP with a copy of the foregoing disclosures. Attached as Exhibit 16.1 is a letter from PricewaterhouseCoopers LLP, dated July 29, 2005, stating their agreement with such statements.</w:t>
      </w:r>
    </w:p>
    <w:p>
      <w:pPr>
        <w:spacing w:after="0" w:line="178"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During the years ended December 31, 2004 and 2003, and the subsequent interim period through July 27, 2005, the Company did not consult with Deloitte &amp; Touche LLP regarding any of the matters or events set forth in Item 304(a)(2)(i) and (ii) of Regulation S-K.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gridSpan w:val="2"/>
          </w:tcPr>
          <w:p>
            <w:pPr>
              <w:spacing w:after="0"/>
              <w:rPr>
                <w:sz w:val="20"/>
                <w:szCs w:val="20"/>
                <w:color w:val="auto"/>
              </w:rPr>
            </w:pPr>
            <w:r>
              <w:rPr>
                <w:rFonts w:ascii="Arial" w:cs="Arial" w:eastAsia="Arial" w:hAnsi="Arial"/>
                <w:sz w:val="22"/>
                <w:szCs w:val="22"/>
                <w:b w:val="1"/>
                <w:bCs w:val="1"/>
                <w:color w:val="auto"/>
              </w:rPr>
              <w:t>Item 9.01</w:t>
            </w:r>
          </w:p>
        </w:tc>
        <w:tc>
          <w:tcPr>
            <w:tcW w:w="6460" w:type="dxa"/>
            <w:vAlign w:val="bottom"/>
            <w:gridSpan w:val="4"/>
          </w:tcPr>
          <w:p>
            <w:pPr>
              <w:spacing w:after="0"/>
              <w:rPr>
                <w:sz w:val="20"/>
                <w:szCs w:val="20"/>
                <w:color w:val="auto"/>
              </w:rPr>
            </w:pPr>
            <w:r>
              <w:rPr>
                <w:rFonts w:ascii="Arial" w:cs="Arial" w:eastAsia="Arial" w:hAnsi="Arial"/>
                <w:sz w:val="22"/>
                <w:szCs w:val="22"/>
                <w:b w:val="1"/>
                <w:bCs w:val="1"/>
                <w:color w:val="auto"/>
              </w:rPr>
              <w:t>Financial Statements and Exhibits</w:t>
            </w:r>
          </w:p>
        </w:tc>
      </w:tr>
      <w:tr>
        <w:trPr>
          <w:trHeight w:val="642"/>
        </w:trPr>
        <w:tc>
          <w:tcPr>
            <w:tcW w:w="130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13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Description</w:t>
            </w:r>
          </w:p>
        </w:tc>
        <w:tc>
          <w:tcPr>
            <w:tcW w:w="3300" w:type="dxa"/>
            <w:vAlign w:val="bottom"/>
          </w:tcPr>
          <w:p>
            <w:pPr>
              <w:spacing w:after="0"/>
              <w:rPr>
                <w:sz w:val="24"/>
                <w:szCs w:val="24"/>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641"/>
        </w:trPr>
        <w:tc>
          <w:tcPr>
            <w:tcW w:w="1020" w:type="dxa"/>
            <w:vAlign w:val="bottom"/>
          </w:tcPr>
          <w:p>
            <w:pPr>
              <w:spacing w:after="0"/>
              <w:rPr>
                <w:sz w:val="20"/>
                <w:szCs w:val="20"/>
                <w:color w:val="auto"/>
              </w:rPr>
            </w:pPr>
            <w:r>
              <w:rPr>
                <w:rFonts w:ascii="Arial" w:cs="Arial" w:eastAsia="Arial" w:hAnsi="Arial"/>
                <w:sz w:val="22"/>
                <w:szCs w:val="22"/>
                <w:color w:val="auto"/>
              </w:rPr>
              <w:t>16.1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160" w:type="dxa"/>
            <w:vAlign w:val="bottom"/>
            <w:gridSpan w:val="3"/>
          </w:tcPr>
          <w:p>
            <w:pPr>
              <w:spacing w:after="0"/>
              <w:rPr>
                <w:sz w:val="20"/>
                <w:szCs w:val="20"/>
                <w:color w:val="auto"/>
              </w:rPr>
            </w:pPr>
            <w:r>
              <w:rPr>
                <w:rFonts w:ascii="Arial" w:cs="Arial" w:eastAsia="Arial" w:hAnsi="Arial"/>
                <w:sz w:val="22"/>
                <w:szCs w:val="22"/>
                <w:color w:val="auto"/>
                <w:w w:val="88"/>
              </w:rPr>
              <w:t>Letter of PricewaterhouseCoopers LLP regarding change in</w:t>
            </w:r>
          </w:p>
        </w:tc>
      </w:tr>
      <w:tr>
        <w:trPr>
          <w:trHeight w:val="275"/>
        </w:trPr>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60" w:type="dxa"/>
            <w:vAlign w:val="bottom"/>
            <w:gridSpan w:val="4"/>
          </w:tcPr>
          <w:p>
            <w:pPr>
              <w:ind w:left="1300"/>
              <w:spacing w:after="0"/>
              <w:rPr>
                <w:sz w:val="20"/>
                <w:szCs w:val="20"/>
                <w:color w:val="auto"/>
              </w:rPr>
            </w:pPr>
            <w:r>
              <w:rPr>
                <w:rFonts w:ascii="Arial" w:cs="Arial" w:eastAsia="Arial" w:hAnsi="Arial"/>
                <w:sz w:val="22"/>
                <w:szCs w:val="22"/>
                <w:color w:val="auto"/>
              </w:rPr>
              <w:t>independent registered public accounting firm.</w:t>
            </w:r>
          </w:p>
        </w:tc>
      </w:tr>
    </w:tbl>
    <w:p>
      <w:pPr>
        <w:sectPr>
          <w:pgSz w:w="11900" w:h="16838" w:orient="portrait"/>
          <w:cols w:equalWidth="0" w:num="1">
            <w:col w:w="11380"/>
          </w:cols>
          <w:pgMar w:left="240" w:top="1071" w:right="279" w:bottom="1440" w:gutter="0" w:footer="0" w:header="0"/>
        </w:sectPr>
      </w:pPr>
    </w:p>
    <w:bookmarkStart w:id="2" w:name="page3"/>
    <w:bookmarkEnd w:id="2"/>
    <w:p>
      <w:pPr>
        <w:ind w:left="5060"/>
        <w:spacing w:after="0"/>
        <w:rPr>
          <w:sz w:val="20"/>
          <w:szCs w:val="20"/>
          <w:color w:val="auto"/>
        </w:rPr>
      </w:pPr>
      <w:r>
        <w:rPr>
          <w:rFonts w:ascii="Arial" w:cs="Arial" w:eastAsia="Arial" w:hAnsi="Arial"/>
          <w:sz w:val="22"/>
          <w:szCs w:val="22"/>
          <w:u w:val="single" w:color="auto"/>
          <w:color w:val="auto"/>
        </w:rPr>
        <w:t>SIGNATURES</w:t>
      </w:r>
    </w:p>
    <w:p>
      <w:pPr>
        <w:spacing w:after="0" w:line="200" w:lineRule="exact"/>
        <w:rPr>
          <w:sz w:val="20"/>
          <w:szCs w:val="20"/>
          <w:color w:val="auto"/>
        </w:rPr>
      </w:pPr>
    </w:p>
    <w:p>
      <w:pPr>
        <w:spacing w:after="0" w:line="22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22"/>
          <w:szCs w:val="22"/>
          <w:color w:val="auto"/>
        </w:rPr>
        <w:t>Dated: July 29, 2005</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0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-17780</wp:posOffset>
            </wp:positionV>
            <wp:extent cx="2374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Michael J. Van Handel</w:t>
      </w:r>
    </w:p>
    <w:p>
      <w:pPr>
        <w:ind w:left="4760"/>
        <w:spacing w:after="0" w:line="234" w:lineRule="auto"/>
        <w:rPr>
          <w:sz w:val="20"/>
          <w:szCs w:val="20"/>
          <w:color w:val="auto"/>
        </w:rPr>
      </w:pPr>
      <w:r>
        <w:rPr>
          <w:rFonts w:ascii="Arial" w:cs="Arial" w:eastAsia="Arial" w:hAnsi="Arial"/>
          <w:sz w:val="22"/>
          <w:szCs w:val="22"/>
          <w:color w:val="auto"/>
        </w:rPr>
        <w:t>Executive Vice President,</w:t>
      </w:r>
    </w:p>
    <w:p>
      <w:pPr>
        <w:ind w:left="4760"/>
        <w:spacing w:after="0"/>
        <w:rPr>
          <w:sz w:val="20"/>
          <w:szCs w:val="20"/>
          <w:color w:val="auto"/>
        </w:rPr>
      </w:pPr>
      <w:r>
        <w:rPr>
          <w:rFonts w:ascii="Arial" w:cs="Arial" w:eastAsia="Arial" w:hAnsi="Arial"/>
          <w:sz w:val="22"/>
          <w:szCs w:val="22"/>
          <w:color w:val="auto"/>
        </w:rPr>
        <w:t>Chief Financial Officer and Secretary</w:t>
      </w:r>
    </w:p>
    <w:p>
      <w:pPr>
        <w:sectPr>
          <w:pgSz w:w="11900" w:h="16838" w:orient="portrait"/>
          <w:cols w:equalWidth="0" w:num="1">
            <w:col w:w="10820"/>
          </w:cols>
          <w:pgMar w:left="240" w:top="118" w:right="8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60" w:type="dxa"/>
            <w:vAlign w:val="bottom"/>
          </w:tcPr>
          <w:p>
            <w:pPr>
              <w:ind w:left="1480"/>
              <w:spacing w:after="0"/>
              <w:rPr>
                <w:sz w:val="20"/>
                <w:szCs w:val="20"/>
                <w:color w:val="auto"/>
              </w:rPr>
            </w:pPr>
            <w:r>
              <w:rPr>
                <w:rFonts w:ascii="Arial" w:cs="Arial" w:eastAsia="Arial" w:hAnsi="Arial"/>
                <w:sz w:val="22"/>
                <w:szCs w:val="22"/>
                <w:b w:val="1"/>
                <w:bCs w:val="1"/>
                <w:color w:val="auto"/>
              </w:rPr>
              <w:t>Exhibit Index</w:t>
            </w:r>
          </w:p>
        </w:tc>
      </w:tr>
      <w:tr>
        <w:trPr>
          <w:trHeight w:val="854"/>
        </w:trPr>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7"/>
        </w:trPr>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160" w:type="dxa"/>
            <w:vAlign w:val="bottom"/>
          </w:tcPr>
          <w:p>
            <w:pPr>
              <w:spacing w:after="0"/>
              <w:rPr>
                <w:sz w:val="2"/>
                <w:szCs w:val="2"/>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22"/>
                <w:szCs w:val="22"/>
                <w:color w:val="auto"/>
              </w:rPr>
              <w:t>16.1</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22"/>
                <w:szCs w:val="22"/>
                <w:color w:val="auto"/>
                <w:w w:val="88"/>
              </w:rPr>
              <w:t>Letter of PricewaterhouseCoopers LLP regarding change in</w:t>
            </w:r>
          </w:p>
        </w:tc>
      </w:tr>
      <w:tr>
        <w:trPr>
          <w:trHeight w:val="275"/>
        </w:trPr>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960" w:type="dxa"/>
            <w:vAlign w:val="bottom"/>
            <w:gridSpan w:val="3"/>
          </w:tcPr>
          <w:p>
            <w:pPr>
              <w:ind w:left="800"/>
              <w:spacing w:after="0"/>
              <w:rPr>
                <w:sz w:val="20"/>
                <w:szCs w:val="20"/>
                <w:color w:val="auto"/>
              </w:rPr>
            </w:pPr>
            <w:r>
              <w:rPr>
                <w:rFonts w:ascii="Arial" w:cs="Arial" w:eastAsia="Arial" w:hAnsi="Arial"/>
                <w:sz w:val="22"/>
                <w:szCs w:val="22"/>
                <w:color w:val="auto"/>
              </w:rPr>
              <w:t>independent registered public accounting firm.</w:t>
            </w:r>
          </w:p>
        </w:tc>
      </w:tr>
    </w:tbl>
    <w:p>
      <w:pPr>
        <w:sectPr>
          <w:pgSz w:w="11900" w:h="16838" w:orient="portrait"/>
          <w:cols w:equalWidth="0" w:num="1">
            <w:col w:w="10219"/>
          </w:cols>
          <w:pgMar w:left="240" w:top="112" w:right="1440" w:bottom="1440" w:gutter="0" w:footer="0" w:header="0"/>
        </w:sectPr>
      </w:pPr>
    </w:p>
    <w:bookmarkStart w:id="4" w:name="page5"/>
    <w:bookmarkEnd w:id="4"/>
    <w:p>
      <w:pPr>
        <w:jc w:val="right"/>
        <w:ind w:right="2640"/>
        <w:spacing w:after="0"/>
        <w:rPr>
          <w:sz w:val="20"/>
          <w:szCs w:val="20"/>
          <w:color w:val="auto"/>
        </w:rPr>
      </w:pPr>
      <w:r>
        <w:rPr>
          <w:rFonts w:ascii="Arial" w:cs="Arial" w:eastAsia="Arial" w:hAnsi="Arial"/>
          <w:sz w:val="14"/>
          <w:szCs w:val="14"/>
          <w:color w:val="auto"/>
        </w:rPr>
        <w:t>EXHIBIT 16.1</w:t>
      </w:r>
    </w:p>
    <w:p>
      <w:pPr>
        <w:spacing w:after="0" w:line="257" w:lineRule="exact"/>
        <w:rPr>
          <w:sz w:val="20"/>
          <w:szCs w:val="20"/>
          <w:color w:val="auto"/>
        </w:rPr>
      </w:pPr>
    </w:p>
    <w:p>
      <w:pPr>
        <w:jc w:val="right"/>
        <w:ind w:right="2640"/>
        <w:spacing w:after="0"/>
        <w:rPr>
          <w:sz w:val="20"/>
          <w:szCs w:val="20"/>
          <w:color w:val="auto"/>
        </w:rPr>
      </w:pPr>
      <w:r>
        <w:rPr>
          <w:rFonts w:ascii="Arial" w:cs="Arial" w:eastAsia="Arial" w:hAnsi="Arial"/>
          <w:sz w:val="17"/>
          <w:szCs w:val="17"/>
          <w:color w:val="auto"/>
        </w:rPr>
        <w:t>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522595"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2595" cy="617220"/>
                    </a:xfrm>
                    <a:prstGeom prst="rect">
                      <a:avLst/>
                    </a:prstGeom>
                    <a:noFill/>
                  </pic:spPr>
                </pic:pic>
              </a:graphicData>
            </a:graphic>
          </wp:anchor>
        </w:drawing>
      </w:r>
    </w:p>
    <w:p>
      <w:pPr>
        <w:spacing w:after="0" w:line="28" w:lineRule="exact"/>
        <w:rPr>
          <w:sz w:val="20"/>
          <w:szCs w:val="20"/>
          <w:color w:val="auto"/>
        </w:rPr>
      </w:pPr>
    </w:p>
    <w:p>
      <w:pPr>
        <w:jc w:val="right"/>
        <w:ind w:right="2640"/>
        <w:spacing w:after="0"/>
        <w:rPr>
          <w:sz w:val="20"/>
          <w:szCs w:val="20"/>
          <w:color w:val="auto"/>
        </w:rPr>
      </w:pPr>
      <w:r>
        <w:rPr>
          <w:rFonts w:ascii="Arial" w:cs="Arial" w:eastAsia="Arial" w:hAnsi="Arial"/>
          <w:sz w:val="17"/>
          <w:szCs w:val="17"/>
          <w:color w:val="auto"/>
        </w:rPr>
        <w:t>PRICEWATERHOUSECOOPERS LLP</w:t>
      </w:r>
    </w:p>
    <w:p>
      <w:pPr>
        <w:spacing w:after="0" w:line="1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100 E. Wisconsin Ave., Suite 1500</w:t>
      </w:r>
    </w:p>
    <w:p>
      <w:pPr>
        <w:ind w:left="5420"/>
        <w:spacing w:after="0" w:line="230" w:lineRule="auto"/>
        <w:rPr>
          <w:sz w:val="20"/>
          <w:szCs w:val="20"/>
          <w:color w:val="auto"/>
        </w:rPr>
      </w:pPr>
      <w:r>
        <w:rPr>
          <w:rFonts w:ascii="Arial" w:cs="Arial" w:eastAsia="Arial" w:hAnsi="Arial"/>
          <w:sz w:val="22"/>
          <w:szCs w:val="22"/>
          <w:color w:val="auto"/>
        </w:rPr>
        <w:t>Milwaukee, WI 53202</w:t>
      </w:r>
    </w:p>
    <w:p>
      <w:pPr>
        <w:spacing w:after="0" w:line="1"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Telephone (414) 212-1600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July 29, 2005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Commissioners: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read the statements made by Manpower Inc. (copy attached), which we understand will be filed with the Commission, pursuant to Item 4.01 of Form 8-K, as part of Manpower Inc.’s Form 8-K report dated July 27, 2005. We agree with the statements concerning our Firm in such Form 8-K.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PricewaterhouseCoopers LLP</w:t>
      </w:r>
    </w:p>
    <w:sectPr>
      <w:pgSz w:w="11900" w:h="16838" w:orient="portrait"/>
      <w:cols w:equalWidth="0" w:num="1">
        <w:col w:w="11340"/>
      </w:cols>
      <w:pgMar w:left="240" w:top="133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2019-12-19T23:57:46Z</dcterms:created>
  <dcterms:modified xsi:type="dcterms:W3CDTF">2019-12-19T23:57:46Z</dcterms:modified>
</cp:coreProperties>
</file>