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64"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1"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FORM 10-Q</w:t>
      </w:r>
    </w:p>
    <w:p>
      <w:pPr>
        <w:spacing w:after="0" w:line="191" w:lineRule="exact"/>
        <w:rPr>
          <w:sz w:val="24"/>
          <w:szCs w:val="24"/>
          <w:color w:val="auto"/>
        </w:rPr>
      </w:pPr>
    </w:p>
    <w:p>
      <w:pPr>
        <w:ind w:left="881" w:right="2959" w:hanging="881"/>
        <w:spacing w:after="0" w:line="248" w:lineRule="auto"/>
        <w:tabs>
          <w:tab w:leader="none" w:pos="8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184" w:lineRule="exact"/>
        <w:rPr>
          <w:sz w:val="24"/>
          <w:szCs w:val="24"/>
          <w:color w:val="auto"/>
        </w:rPr>
      </w:pPr>
    </w:p>
    <w:p>
      <w:pPr>
        <w:ind w:left="3301"/>
        <w:spacing w:after="0"/>
        <w:rPr>
          <w:sz w:val="20"/>
          <w:szCs w:val="20"/>
          <w:color w:val="auto"/>
        </w:rPr>
      </w:pPr>
      <w:r>
        <w:rPr>
          <w:rFonts w:ascii="Courier New" w:cs="Courier New" w:eastAsia="Courier New" w:hAnsi="Courier New"/>
          <w:sz w:val="16"/>
          <w:szCs w:val="16"/>
          <w:color w:val="auto"/>
        </w:rPr>
        <w:t>JUNE 30, 2002</w:t>
      </w:r>
    </w:p>
    <w:p>
      <w:pPr>
        <w:spacing w:after="0" w:line="191" w:lineRule="exact"/>
        <w:rPr>
          <w:sz w:val="24"/>
          <w:szCs w:val="24"/>
          <w:color w:val="auto"/>
        </w:rPr>
      </w:pPr>
    </w:p>
    <w:p>
      <w:pPr>
        <w:ind w:left="3781"/>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20"/>
          </w:cols>
          <w:pgMar w:left="239" w:top="427" w:right="1440" w:bottom="1440" w:gutter="0" w:footer="0" w:header="0"/>
        </w:sectPr>
      </w:pP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right="2859"/>
        <w:spacing w:after="0" w:line="246"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 for the transition period from: to</w:t>
      </w:r>
    </w:p>
    <w:p>
      <w:pPr>
        <w:spacing w:after="0" w:line="1" w:lineRule="exact"/>
        <w:rPr>
          <w:sz w:val="24"/>
          <w:szCs w:val="24"/>
          <w:color w:val="auto"/>
        </w:rPr>
      </w:pPr>
    </w:p>
    <w:p>
      <w:pPr>
        <w:sectPr>
          <w:pgSz w:w="11900" w:h="16838" w:orient="portrait"/>
          <w:cols w:equalWidth="0" w:num="2">
            <w:col w:w="301" w:space="580"/>
            <w:col w:w="9339"/>
          </w:cols>
          <w:pgMar w:left="239" w:top="427" w:right="1440" w:bottom="1440" w:gutter="0" w:footer="0" w:header="0"/>
          <w:type w:val="continuous"/>
        </w:sectPr>
      </w:pPr>
    </w:p>
    <w:p>
      <w:pPr>
        <w:ind w:left="6001"/>
        <w:spacing w:after="0"/>
        <w:tabs>
          <w:tab w:leader="none" w:pos="676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Commission file number: 1-10686</w:t>
      </w:r>
    </w:p>
    <w:p>
      <w:pPr>
        <w:spacing w:after="0" w:line="191"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MANPOWER INC.</w:t>
      </w:r>
    </w:p>
    <w:p>
      <w:pPr>
        <w:spacing w:after="0" w:line="191" w:lineRule="exact"/>
        <w:rPr>
          <w:sz w:val="24"/>
          <w:szCs w:val="24"/>
          <w:color w:val="auto"/>
        </w:rPr>
      </w:pPr>
    </w:p>
    <w:p>
      <w:pPr>
        <w:ind w:left="1261"/>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0"/>
          </w:cols>
          <w:pgMar w:left="239" w:top="427" w:right="1440" w:bottom="1440" w:gutter="0" w:footer="0" w:header="0"/>
          <w:type w:val="continuous"/>
        </w:sectPr>
      </w:pPr>
    </w:p>
    <w:p>
      <w:pPr>
        <w:spacing w:after="0" w:line="191" w:lineRule="exact"/>
        <w:rPr>
          <w:sz w:val="24"/>
          <w:szCs w:val="24"/>
          <w:color w:val="auto"/>
        </w:rPr>
      </w:pPr>
    </w:p>
    <w:p>
      <w:pPr>
        <w:ind w:left="881"/>
        <w:spacing w:after="0"/>
        <w:rPr>
          <w:sz w:val="20"/>
          <w:szCs w:val="20"/>
          <w:color w:val="auto"/>
        </w:rPr>
      </w:pPr>
      <w:r>
        <w:rPr>
          <w:rFonts w:ascii="Courier New" w:cs="Courier New" w:eastAsia="Courier New" w:hAnsi="Courier New"/>
          <w:sz w:val="16"/>
          <w:szCs w:val="16"/>
          <w:color w:val="auto"/>
        </w:rPr>
        <w:t>WISCONSIN</w:t>
      </w:r>
    </w:p>
    <w:p>
      <w:pPr>
        <w:spacing w:after="0" w:line="5" w:lineRule="exact"/>
        <w:rPr>
          <w:sz w:val="24"/>
          <w:szCs w:val="24"/>
          <w:color w:val="auto"/>
        </w:rPr>
      </w:pPr>
    </w:p>
    <w:p>
      <w:pPr>
        <w:ind w:left="881"/>
        <w:spacing w:after="0"/>
        <w:rPr>
          <w:sz w:val="20"/>
          <w:szCs w:val="20"/>
          <w:color w:val="auto"/>
        </w:rPr>
      </w:pPr>
      <w:r>
        <w:rPr>
          <w:rFonts w:ascii="Courier New" w:cs="Courier New" w:eastAsia="Courier New" w:hAnsi="Courier New"/>
          <w:sz w:val="16"/>
          <w:szCs w:val="16"/>
          <w:color w:val="auto"/>
        </w:rPr>
        <w:t>(State or other jurisdiction</w:t>
      </w:r>
    </w:p>
    <w:p>
      <w:pPr>
        <w:spacing w:after="0" w:line="5" w:lineRule="exact"/>
        <w:rPr>
          <w:sz w:val="24"/>
          <w:szCs w:val="24"/>
          <w:color w:val="auto"/>
        </w:rPr>
      </w:pPr>
    </w:p>
    <w:p>
      <w:pPr>
        <w:ind w:left="881"/>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39-1672779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1" w:lineRule="exact"/>
        <w:rPr>
          <w:sz w:val="24"/>
          <w:szCs w:val="24"/>
          <w:color w:val="auto"/>
        </w:rPr>
      </w:pPr>
    </w:p>
    <w:p>
      <w:pPr>
        <w:sectPr>
          <w:pgSz w:w="11900" w:h="16838" w:orient="portrait"/>
          <w:cols w:equalWidth="0" w:num="2">
            <w:col w:w="5201" w:space="720"/>
            <w:col w:w="4299"/>
          </w:cols>
          <w:pgMar w:left="239" w:top="427" w:right="1440" w:bottom="1440" w:gutter="0" w:footer="0" w:header="0"/>
          <w:type w:val="continuous"/>
        </w:sectPr>
      </w:pPr>
    </w:p>
    <w:p>
      <w:pPr>
        <w:ind w:left="881"/>
        <w:spacing w:after="0"/>
        <w:rPr>
          <w:sz w:val="20"/>
          <w:szCs w:val="20"/>
          <w:color w:val="auto"/>
        </w:rPr>
      </w:pPr>
      <w:r>
        <w:rPr>
          <w:rFonts w:ascii="Courier New" w:cs="Courier New" w:eastAsia="Courier New" w:hAnsi="Courier New"/>
          <w:sz w:val="16"/>
          <w:szCs w:val="16"/>
          <w:color w:val="auto"/>
        </w:rPr>
        <w:t>5301 N. IRONWOOD ROAD</w:t>
      </w:r>
    </w:p>
    <w:p>
      <w:pPr>
        <w:spacing w:after="0" w:line="5" w:lineRule="exact"/>
        <w:rPr>
          <w:sz w:val="24"/>
          <w:szCs w:val="24"/>
          <w:color w:val="auto"/>
        </w:rPr>
      </w:pPr>
    </w:p>
    <w:p>
      <w:pPr>
        <w:ind w:left="881"/>
        <w:spacing w:after="0"/>
        <w:rPr>
          <w:sz w:val="20"/>
          <w:szCs w:val="20"/>
          <w:color w:val="auto"/>
        </w:rPr>
      </w:pPr>
      <w:r>
        <w:rPr>
          <w:rFonts w:ascii="Courier New" w:cs="Courier New" w:eastAsia="Courier New" w:hAnsi="Courier New"/>
          <w:sz w:val="16"/>
          <w:szCs w:val="16"/>
          <w:color w:val="auto"/>
        </w:rPr>
        <w:t>MILWAUKEE, WISCONSIN</w:t>
      </w:r>
    </w:p>
    <w:p>
      <w:pPr>
        <w:spacing w:after="0" w:line="5" w:lineRule="exact"/>
        <w:rPr>
          <w:sz w:val="24"/>
          <w:szCs w:val="24"/>
          <w:color w:val="auto"/>
        </w:rPr>
      </w:pPr>
    </w:p>
    <w:p>
      <w:pPr>
        <w:ind w:left="881"/>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53217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2" w:lineRule="exact"/>
        <w:rPr>
          <w:sz w:val="24"/>
          <w:szCs w:val="24"/>
          <w:color w:val="auto"/>
        </w:rPr>
      </w:pPr>
    </w:p>
    <w:p>
      <w:pPr>
        <w:sectPr>
          <w:pgSz w:w="11900" w:h="16838" w:orient="portrait"/>
          <w:cols w:equalWidth="0" w:num="2">
            <w:col w:w="5201" w:space="720"/>
            <w:col w:w="4299"/>
          </w:cols>
          <w:pgMar w:left="239" w:top="427" w:right="1440" w:bottom="1440" w:gutter="0" w:footer="0" w:header="0"/>
          <w:type w:val="continuous"/>
        </w:sectPr>
      </w:pPr>
    </w:p>
    <w:p>
      <w:pPr>
        <w:ind w:left="681"/>
        <w:spacing w:after="0"/>
        <w:rPr>
          <w:sz w:val="20"/>
          <w:szCs w:val="20"/>
          <w:color w:val="auto"/>
        </w:rPr>
      </w:pPr>
      <w:r>
        <w:rPr>
          <w:rFonts w:ascii="Courier New" w:cs="Courier New" w:eastAsia="Courier New" w:hAnsi="Courier New"/>
          <w:sz w:val="16"/>
          <w:szCs w:val="16"/>
          <w:color w:val="auto"/>
        </w:rPr>
        <w:t>Registrant's telephone number, including area code: (414) 961-1000</w:t>
      </w:r>
    </w:p>
    <w:p>
      <w:pPr>
        <w:spacing w:after="0" w:line="191" w:lineRule="exact"/>
        <w:rPr>
          <w:sz w:val="24"/>
          <w:szCs w:val="24"/>
          <w:color w:val="auto"/>
        </w:rPr>
      </w:pPr>
    </w:p>
    <w:p>
      <w:pPr>
        <w:ind w:left="881" w:right="2459"/>
        <w:spacing w:after="0" w:line="246"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0"/>
          </w:cols>
          <w:pgMar w:left="239" w:top="427" w:right="1440" w:bottom="1440" w:gutter="0" w:footer="0" w:header="0"/>
          <w:type w:val="continuous"/>
        </w:sectPr>
      </w:pPr>
    </w:p>
    <w:p>
      <w:pPr>
        <w:spacing w:after="0" w:line="3" w:lineRule="exact"/>
        <w:rPr>
          <w:sz w:val="24"/>
          <w:szCs w:val="24"/>
          <w:color w:val="auto"/>
        </w:rPr>
      </w:pPr>
    </w:p>
    <w:p>
      <w:pPr>
        <w:ind w:left="2421"/>
        <w:spacing w:after="0"/>
        <w:tabs>
          <w:tab w:leader="none" w:pos="2980" w:val="left"/>
          <w:tab w:leader="none" w:pos="3760" w:val="left"/>
        </w:tabs>
        <w:rPr>
          <w:sz w:val="20"/>
          <w:szCs w:val="20"/>
          <w:color w:val="auto"/>
        </w:rPr>
      </w:pP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6"/>
          <w:szCs w:val="16"/>
          <w:color w:val="auto"/>
        </w:rPr>
        <w:t>No</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sectPr>
          <w:pgSz w:w="11900" w:h="16838" w:orient="portrait"/>
          <w:cols w:equalWidth="0" w:num="2">
            <w:col w:w="3981" w:space="80"/>
            <w:col w:w="6159"/>
          </w:cols>
          <w:pgMar w:left="239" w:top="427" w:right="1440" w:bottom="1440" w:gutter="0" w:footer="0" w:header="0"/>
          <w:type w:val="continuous"/>
        </w:sectPr>
      </w:pPr>
    </w:p>
    <w:p>
      <w:pPr>
        <w:ind w:left="881" w:right="3039"/>
        <w:spacing w:after="0" w:line="248"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184" w:lineRule="exact"/>
        <w:rPr>
          <w:sz w:val="24"/>
          <w:szCs w:val="24"/>
          <w:color w:val="auto"/>
        </w:rPr>
      </w:pPr>
    </w:p>
    <w:tbl>
      <w:tblPr>
        <w:tblLayout w:type="fixed"/>
        <w:tblInd w:w="1461" w:type="dxa"/>
        <w:tblCellMar>
          <w:top w:w="0" w:type="dxa"/>
          <w:left w:w="0" w:type="dxa"/>
          <w:bottom w:w="0" w:type="dxa"/>
          <w:right w:w="0" w:type="dxa"/>
        </w:tblCellMar>
      </w:tblPr>
      <w:tr>
        <w:trPr>
          <w:trHeight w:val="183"/>
        </w:trPr>
        <w:tc>
          <w:tcPr>
            <w:tcW w:w="3340" w:type="dxa"/>
            <w:vAlign w:val="bottom"/>
          </w:tcPr>
          <w:p>
            <w:pPr>
              <w:spacing w:after="0"/>
              <w:rPr>
                <w:sz w:val="15"/>
                <w:szCs w:val="15"/>
                <w:color w:val="auto"/>
              </w:rPr>
            </w:pPr>
          </w:p>
        </w:tc>
        <w:tc>
          <w:tcPr>
            <w:tcW w:w="2960" w:type="dxa"/>
            <w:vAlign w:val="bottom"/>
          </w:tcPr>
          <w:p>
            <w:pPr>
              <w:ind w:left="1020"/>
              <w:spacing w:after="0"/>
              <w:rPr>
                <w:sz w:val="20"/>
                <w:szCs w:val="20"/>
                <w:color w:val="auto"/>
              </w:rPr>
            </w:pPr>
            <w:r>
              <w:rPr>
                <w:rFonts w:ascii="Courier New" w:cs="Courier New" w:eastAsia="Courier New" w:hAnsi="Courier New"/>
                <w:sz w:val="16"/>
                <w:szCs w:val="16"/>
                <w:color w:val="auto"/>
              </w:rPr>
              <w:t>SHARES OUTSTANDING</w:t>
            </w: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CLASS</w:t>
            </w:r>
          </w:p>
        </w:tc>
        <w:tc>
          <w:tcPr>
            <w:tcW w:w="2960" w:type="dxa"/>
            <w:vAlign w:val="bottom"/>
          </w:tcPr>
          <w:p>
            <w:pPr>
              <w:ind w:left="1020"/>
              <w:spacing w:after="0"/>
              <w:rPr>
                <w:sz w:val="20"/>
                <w:szCs w:val="20"/>
                <w:color w:val="auto"/>
              </w:rPr>
            </w:pPr>
            <w:r>
              <w:rPr>
                <w:rFonts w:ascii="Courier New" w:cs="Courier New" w:eastAsia="Courier New" w:hAnsi="Courier New"/>
                <w:sz w:val="16"/>
                <w:szCs w:val="16"/>
                <w:color w:val="auto"/>
              </w:rPr>
              <w:t>AT JUNE 30, 2002</w:t>
            </w: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Common Stock, $.01 par value</w:t>
            </w:r>
          </w:p>
        </w:tc>
        <w:tc>
          <w:tcPr>
            <w:tcW w:w="29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76,546,107</w:t>
            </w:r>
          </w:p>
        </w:tc>
      </w:tr>
    </w:tbl>
    <w:p>
      <w:pPr>
        <w:spacing w:after="0" w:line="200" w:lineRule="exact"/>
        <w:rPr>
          <w:sz w:val="24"/>
          <w:szCs w:val="24"/>
          <w:color w:val="auto"/>
        </w:rPr>
      </w:pPr>
    </w:p>
    <w:p>
      <w:pPr>
        <w:spacing w:after="0" w:line="36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427"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3"/>
        </w:trPr>
        <w:tc>
          <w:tcPr>
            <w:tcW w:w="1220" w:type="dxa"/>
            <w:vAlign w:val="bottom"/>
          </w:tcPr>
          <w:p>
            <w:pPr>
              <w:spacing w:after="0"/>
              <w:rPr>
                <w:sz w:val="15"/>
                <w:szCs w:val="15"/>
                <w:color w:val="auto"/>
              </w:rPr>
            </w:pPr>
          </w:p>
        </w:tc>
        <w:tc>
          <w:tcPr>
            <w:tcW w:w="9140" w:type="dxa"/>
            <w:vAlign w:val="bottom"/>
          </w:tcPr>
          <w:p>
            <w:pPr>
              <w:jc w:val="right"/>
              <w:ind w:right="4959"/>
              <w:spacing w:after="0"/>
              <w:rPr>
                <w:sz w:val="20"/>
                <w:szCs w:val="20"/>
                <w:color w:val="auto"/>
              </w:rPr>
            </w:pPr>
            <w:r>
              <w:rPr>
                <w:rFonts w:ascii="Courier New" w:cs="Courier New" w:eastAsia="Courier New" w:hAnsi="Courier New"/>
                <w:sz w:val="16"/>
                <w:szCs w:val="16"/>
                <w:color w:val="auto"/>
              </w:rPr>
              <w:t>MANPOWER INC. AND SUBSIDIARIES</w:t>
            </w:r>
          </w:p>
        </w:tc>
        <w:tc>
          <w:tcPr>
            <w:tcW w:w="680" w:type="dxa"/>
            <w:vAlign w:val="bottom"/>
          </w:tcPr>
          <w:p>
            <w:pPr>
              <w:spacing w:after="0"/>
              <w:rPr>
                <w:sz w:val="15"/>
                <w:szCs w:val="15"/>
                <w:color w:val="auto"/>
              </w:rPr>
            </w:pPr>
          </w:p>
        </w:tc>
      </w:tr>
      <w:tr>
        <w:trPr>
          <w:trHeight w:val="559"/>
        </w:trPr>
        <w:tc>
          <w:tcPr>
            <w:tcW w:w="1220" w:type="dxa"/>
            <w:vAlign w:val="bottom"/>
          </w:tcPr>
          <w:p>
            <w:pPr>
              <w:spacing w:after="0"/>
              <w:rPr>
                <w:sz w:val="24"/>
                <w:szCs w:val="24"/>
                <w:color w:val="auto"/>
              </w:rPr>
            </w:pPr>
          </w:p>
        </w:tc>
        <w:tc>
          <w:tcPr>
            <w:tcW w:w="9140" w:type="dxa"/>
            <w:vAlign w:val="bottom"/>
          </w:tcPr>
          <w:p>
            <w:pPr>
              <w:jc w:val="right"/>
              <w:ind w:right="6119"/>
              <w:spacing w:after="0"/>
              <w:rPr>
                <w:sz w:val="20"/>
                <w:szCs w:val="20"/>
                <w:color w:val="auto"/>
              </w:rPr>
            </w:pPr>
            <w:r>
              <w:rPr>
                <w:rFonts w:ascii="Courier New" w:cs="Courier New" w:eastAsia="Courier New" w:hAnsi="Courier New"/>
                <w:sz w:val="16"/>
                <w:szCs w:val="16"/>
                <w:color w:val="auto"/>
              </w:rPr>
              <w:t>INDEX</w:t>
            </w:r>
          </w:p>
        </w:tc>
        <w:tc>
          <w:tcPr>
            <w:tcW w:w="680" w:type="dxa"/>
            <w:vAlign w:val="bottom"/>
          </w:tcPr>
          <w:p>
            <w:pPr>
              <w:spacing w:after="0"/>
              <w:rPr>
                <w:sz w:val="24"/>
                <w:szCs w:val="24"/>
                <w:color w:val="auto"/>
              </w:rPr>
            </w:pPr>
          </w:p>
        </w:tc>
      </w:tr>
      <w:tr>
        <w:trPr>
          <w:trHeight w:val="932"/>
        </w:trPr>
        <w:tc>
          <w:tcPr>
            <w:tcW w:w="122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Page</w:t>
            </w:r>
          </w:p>
        </w:tc>
      </w:tr>
      <w:tr>
        <w:trPr>
          <w:trHeight w:val="186"/>
        </w:trPr>
        <w:tc>
          <w:tcPr>
            <w:tcW w:w="12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r>
      <w:tr>
        <w:trPr>
          <w:trHeight w:val="186"/>
        </w:trPr>
        <w:tc>
          <w:tcPr>
            <w:tcW w:w="12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9140" w:type="dxa"/>
            <w:vAlign w:val="bottom"/>
          </w:tcPr>
          <w:p>
            <w:pPr>
              <w:ind w:left="240"/>
              <w:spacing w:after="0"/>
              <w:rPr>
                <w:sz w:val="20"/>
                <w:szCs w:val="20"/>
                <w:color w:val="auto"/>
              </w:rPr>
            </w:pPr>
            <w:r>
              <w:rPr>
                <w:rFonts w:ascii="Courier New" w:cs="Courier New" w:eastAsia="Courier New" w:hAnsi="Courier New"/>
                <w:sz w:val="16"/>
                <w:szCs w:val="16"/>
                <w:color w:val="auto"/>
              </w:rPr>
              <w:t>FINANCIAL INFORMATION</w:t>
            </w:r>
          </w:p>
        </w:tc>
        <w:tc>
          <w:tcPr>
            <w:tcW w:w="680" w:type="dxa"/>
            <w:vAlign w:val="bottom"/>
          </w:tcPr>
          <w:p>
            <w:pPr>
              <w:spacing w:after="0"/>
              <w:rPr>
                <w:sz w:val="24"/>
                <w:szCs w:val="24"/>
                <w:color w:val="auto"/>
              </w:rPr>
            </w:pP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9140" w:type="dxa"/>
            <w:vAlign w:val="bottom"/>
          </w:tcPr>
          <w:p>
            <w:pPr>
              <w:ind w:left="240"/>
              <w:spacing w:after="0"/>
              <w:rPr>
                <w:sz w:val="20"/>
                <w:szCs w:val="20"/>
                <w:color w:val="auto"/>
              </w:rPr>
            </w:pPr>
            <w:r>
              <w:rPr>
                <w:rFonts w:ascii="Courier New" w:cs="Courier New" w:eastAsia="Courier New" w:hAnsi="Courier New"/>
                <w:sz w:val="16"/>
                <w:szCs w:val="16"/>
                <w:color w:val="auto"/>
              </w:rPr>
              <w:t>Financial Statements (unaudited)</w:t>
            </w:r>
          </w:p>
        </w:tc>
        <w:tc>
          <w:tcPr>
            <w:tcW w:w="680" w:type="dxa"/>
            <w:vAlign w:val="bottom"/>
          </w:tcPr>
          <w:p>
            <w:pPr>
              <w:spacing w:after="0"/>
              <w:rPr>
                <w:sz w:val="24"/>
                <w:szCs w:val="24"/>
                <w:color w:val="auto"/>
              </w:rPr>
            </w:pPr>
          </w:p>
        </w:tc>
      </w:tr>
      <w:tr>
        <w:trPr>
          <w:trHeight w:val="373"/>
        </w:trPr>
        <w:tc>
          <w:tcPr>
            <w:tcW w:w="1220" w:type="dxa"/>
            <w:vAlign w:val="bottom"/>
          </w:tcPr>
          <w:p>
            <w:pPr>
              <w:spacing w:after="0"/>
              <w:rPr>
                <w:sz w:val="24"/>
                <w:szCs w:val="24"/>
                <w:color w:val="auto"/>
              </w:rPr>
            </w:pPr>
          </w:p>
        </w:tc>
        <w:tc>
          <w:tcPr>
            <w:tcW w:w="9140" w:type="dxa"/>
            <w:vAlign w:val="bottom"/>
          </w:tcPr>
          <w:p>
            <w:pPr>
              <w:jc w:val="right"/>
              <w:spacing w:after="0"/>
              <w:rPr>
                <w:sz w:val="20"/>
                <w:szCs w:val="20"/>
                <w:color w:val="auto"/>
              </w:rPr>
            </w:pPr>
            <w:r>
              <w:rPr>
                <w:rFonts w:ascii="Courier New" w:cs="Courier New" w:eastAsia="Courier New" w:hAnsi="Courier New"/>
                <w:sz w:val="16"/>
                <w:szCs w:val="16"/>
                <w:color w:val="auto"/>
              </w:rPr>
              <w:t>Consolidated Balance Sheets ......................................................</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3 - 4</w:t>
            </w:r>
          </w:p>
        </w:tc>
      </w:tr>
      <w:tr>
        <w:trPr>
          <w:trHeight w:val="373"/>
        </w:trPr>
        <w:tc>
          <w:tcPr>
            <w:tcW w:w="1220" w:type="dxa"/>
            <w:vAlign w:val="bottom"/>
          </w:tcPr>
          <w:p>
            <w:pPr>
              <w:spacing w:after="0"/>
              <w:rPr>
                <w:sz w:val="24"/>
                <w:szCs w:val="24"/>
                <w:color w:val="auto"/>
              </w:rPr>
            </w:pPr>
          </w:p>
        </w:tc>
        <w:tc>
          <w:tcPr>
            <w:tcW w:w="9140" w:type="dxa"/>
            <w:vAlign w:val="bottom"/>
          </w:tcPr>
          <w:p>
            <w:pPr>
              <w:jc w:val="right"/>
              <w:spacing w:after="0"/>
              <w:rPr>
                <w:sz w:val="20"/>
                <w:szCs w:val="20"/>
                <w:color w:val="auto"/>
              </w:rPr>
            </w:pPr>
            <w:r>
              <w:rPr>
                <w:rFonts w:ascii="Courier New" w:cs="Courier New" w:eastAsia="Courier New" w:hAnsi="Courier New"/>
                <w:sz w:val="16"/>
                <w:szCs w:val="16"/>
                <w:color w:val="auto"/>
              </w:rPr>
              <w:t>Consolidated Statements of Operations.................................................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73"/>
        </w:trPr>
        <w:tc>
          <w:tcPr>
            <w:tcW w:w="1220" w:type="dxa"/>
            <w:vAlign w:val="bottom"/>
          </w:tcPr>
          <w:p>
            <w:pPr>
              <w:spacing w:after="0"/>
              <w:rPr>
                <w:sz w:val="24"/>
                <w:szCs w:val="24"/>
                <w:color w:val="auto"/>
              </w:rPr>
            </w:pPr>
          </w:p>
        </w:tc>
        <w:tc>
          <w:tcPr>
            <w:tcW w:w="9140" w:type="dxa"/>
            <w:vAlign w:val="bottom"/>
          </w:tcPr>
          <w:p>
            <w:pPr>
              <w:jc w:val="right"/>
              <w:spacing w:after="0"/>
              <w:rPr>
                <w:sz w:val="20"/>
                <w:szCs w:val="20"/>
                <w:color w:val="auto"/>
              </w:rPr>
            </w:pPr>
            <w:r>
              <w:rPr>
                <w:rFonts w:ascii="Courier New" w:cs="Courier New" w:eastAsia="Courier New" w:hAnsi="Courier New"/>
                <w:sz w:val="16"/>
                <w:szCs w:val="16"/>
                <w:color w:val="auto"/>
              </w:rPr>
              <w:t>Consolidated Statements of Cash Flows.................................................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3"/>
        </w:trPr>
        <w:tc>
          <w:tcPr>
            <w:tcW w:w="1220" w:type="dxa"/>
            <w:vAlign w:val="bottom"/>
          </w:tcPr>
          <w:p>
            <w:pPr>
              <w:spacing w:after="0"/>
              <w:rPr>
                <w:sz w:val="24"/>
                <w:szCs w:val="24"/>
                <w:color w:val="auto"/>
              </w:rPr>
            </w:pPr>
          </w:p>
        </w:tc>
        <w:tc>
          <w:tcPr>
            <w:tcW w:w="9140" w:type="dxa"/>
            <w:vAlign w:val="bottom"/>
          </w:tcPr>
          <w:p>
            <w:pPr>
              <w:jc w:val="right"/>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7 - 10</w:t>
            </w: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9140" w:type="dxa"/>
            <w:vAlign w:val="bottom"/>
          </w:tcPr>
          <w:p>
            <w:pPr>
              <w:ind w:left="240"/>
              <w:spacing w:after="0"/>
              <w:rPr>
                <w:sz w:val="20"/>
                <w:szCs w:val="20"/>
                <w:color w:val="auto"/>
              </w:rPr>
            </w:pPr>
            <w:r>
              <w:rPr>
                <w:rFonts w:ascii="Courier New" w:cs="Courier New" w:eastAsia="Courier New" w:hAnsi="Courier New"/>
                <w:sz w:val="16"/>
                <w:szCs w:val="16"/>
                <w:color w:val="auto"/>
              </w:rPr>
              <w:t>Management's Discussion and Analysis of</w:t>
            </w:r>
          </w:p>
        </w:tc>
        <w:tc>
          <w:tcPr>
            <w:tcW w:w="680" w:type="dxa"/>
            <w:vAlign w:val="bottom"/>
          </w:tcPr>
          <w:p>
            <w:pPr>
              <w:spacing w:after="0"/>
              <w:rPr>
                <w:sz w:val="24"/>
                <w:szCs w:val="24"/>
                <w:color w:val="auto"/>
              </w:rPr>
            </w:pPr>
          </w:p>
        </w:tc>
      </w:tr>
      <w:tr>
        <w:trPr>
          <w:trHeight w:val="186"/>
        </w:trPr>
        <w:tc>
          <w:tcPr>
            <w:tcW w:w="1220" w:type="dxa"/>
            <w:vAlign w:val="bottom"/>
          </w:tcPr>
          <w:p>
            <w:pPr>
              <w:spacing w:after="0"/>
              <w:rPr>
                <w:sz w:val="16"/>
                <w:szCs w:val="16"/>
                <w:color w:val="auto"/>
              </w:rPr>
            </w:pPr>
          </w:p>
        </w:tc>
        <w:tc>
          <w:tcPr>
            <w:tcW w:w="9140" w:type="dxa"/>
            <w:vAlign w:val="bottom"/>
          </w:tcPr>
          <w:p>
            <w:pPr>
              <w:jc w:val="right"/>
              <w:spacing w:after="0"/>
              <w:rPr>
                <w:sz w:val="20"/>
                <w:szCs w:val="20"/>
                <w:color w:val="auto"/>
              </w:rPr>
            </w:pPr>
            <w:r>
              <w:rPr>
                <w:rFonts w:ascii="Courier New" w:cs="Courier New" w:eastAsia="Courier New" w:hAnsi="Courier New"/>
                <w:sz w:val="16"/>
                <w:szCs w:val="16"/>
                <w:color w:val="auto"/>
              </w:rPr>
              <w:t>Financial Condition and Results of Operations ...........................................</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11 - 16</w:t>
            </w: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9140" w:type="dxa"/>
            <w:vAlign w:val="bottom"/>
          </w:tcPr>
          <w:p>
            <w:pPr>
              <w:jc w:val="right"/>
              <w:spacing w:after="0"/>
              <w:rPr>
                <w:sz w:val="20"/>
                <w:szCs w:val="20"/>
                <w:color w:val="auto"/>
              </w:rPr>
            </w:pPr>
            <w:r>
              <w:rPr>
                <w:rFonts w:ascii="Courier New" w:cs="Courier New" w:eastAsia="Courier New" w:hAnsi="Courier New"/>
                <w:sz w:val="16"/>
                <w:szCs w:val="16"/>
                <w:color w:val="auto"/>
                <w:w w:val="97"/>
              </w:rPr>
              <w:t>Quantitative and Qualitative Disclosures About Market Risk.......................................</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559"/>
        </w:trPr>
        <w:tc>
          <w:tcPr>
            <w:tcW w:w="122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9140" w:type="dxa"/>
            <w:vAlign w:val="bottom"/>
          </w:tcPr>
          <w:p>
            <w:pPr>
              <w:ind w:left="240"/>
              <w:spacing w:after="0"/>
              <w:rPr>
                <w:sz w:val="20"/>
                <w:szCs w:val="20"/>
                <w:color w:val="auto"/>
              </w:rPr>
            </w:pPr>
            <w:r>
              <w:rPr>
                <w:rFonts w:ascii="Courier New" w:cs="Courier New" w:eastAsia="Courier New" w:hAnsi="Courier New"/>
                <w:sz w:val="16"/>
                <w:szCs w:val="16"/>
                <w:color w:val="auto"/>
              </w:rPr>
              <w:t>OTHER INFORMATION AND SIGNATURES</w:t>
            </w:r>
          </w:p>
        </w:tc>
        <w:tc>
          <w:tcPr>
            <w:tcW w:w="680" w:type="dxa"/>
            <w:vAlign w:val="bottom"/>
          </w:tcPr>
          <w:p>
            <w:pPr>
              <w:spacing w:after="0"/>
              <w:rPr>
                <w:sz w:val="24"/>
                <w:szCs w:val="24"/>
                <w:color w:val="auto"/>
              </w:rPr>
            </w:pP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9140" w:type="dxa"/>
            <w:vAlign w:val="bottom"/>
          </w:tcPr>
          <w:p>
            <w:pPr>
              <w:jc w:val="right"/>
              <w:spacing w:after="0"/>
              <w:rPr>
                <w:sz w:val="20"/>
                <w:szCs w:val="20"/>
                <w:color w:val="auto"/>
              </w:rPr>
            </w:pPr>
            <w:r>
              <w:rPr>
                <w:rFonts w:ascii="Courier New" w:cs="Courier New" w:eastAsia="Courier New" w:hAnsi="Courier New"/>
                <w:sz w:val="16"/>
                <w:szCs w:val="16"/>
                <w:color w:val="auto"/>
                <w:w w:val="97"/>
              </w:rPr>
              <w:t>Submission of Matters to a Vote of Security Holders..............................................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Item 5</w:t>
            </w:r>
          </w:p>
        </w:tc>
        <w:tc>
          <w:tcPr>
            <w:tcW w:w="9140" w:type="dxa"/>
            <w:vAlign w:val="bottom"/>
          </w:tcPr>
          <w:p>
            <w:pPr>
              <w:jc w:val="right"/>
              <w:spacing w:after="0"/>
              <w:rPr>
                <w:sz w:val="20"/>
                <w:szCs w:val="20"/>
                <w:color w:val="auto"/>
              </w:rPr>
            </w:pPr>
            <w:r>
              <w:rPr>
                <w:rFonts w:ascii="Courier New" w:cs="Courier New" w:eastAsia="Courier New" w:hAnsi="Courier New"/>
                <w:sz w:val="16"/>
                <w:szCs w:val="16"/>
                <w:color w:val="auto"/>
              </w:rPr>
              <w:t>Other Information...........................................................................</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18 - 19</w:t>
            </w:r>
          </w:p>
        </w:tc>
      </w:tr>
      <w:tr>
        <w:trPr>
          <w:trHeight w:val="3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9140" w:type="dxa"/>
            <w:vAlign w:val="bottom"/>
          </w:tcPr>
          <w:p>
            <w:pPr>
              <w:jc w:val="right"/>
              <w:spacing w:after="0"/>
              <w:rPr>
                <w:sz w:val="20"/>
                <w:szCs w:val="20"/>
                <w:color w:val="auto"/>
              </w:rPr>
            </w:pPr>
            <w:r>
              <w:rPr>
                <w:rFonts w:ascii="Courier New" w:cs="Courier New" w:eastAsia="Courier New" w:hAnsi="Courier New"/>
                <w:sz w:val="16"/>
                <w:szCs w:val="16"/>
                <w:color w:val="auto"/>
                <w:w w:val="97"/>
              </w:rPr>
              <w:t>Exhibits and Reports on Form 8-K.................................................................</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559"/>
        </w:trPr>
        <w:tc>
          <w:tcPr>
            <w:tcW w:w="122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914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745"/>
        </w:trPr>
        <w:tc>
          <w:tcPr>
            <w:tcW w:w="1220" w:type="dxa"/>
            <w:vAlign w:val="bottom"/>
          </w:tcPr>
          <w:p>
            <w:pPr>
              <w:spacing w:after="0"/>
              <w:rPr>
                <w:sz w:val="24"/>
                <w:szCs w:val="24"/>
                <w:color w:val="auto"/>
              </w:rPr>
            </w:pPr>
          </w:p>
        </w:tc>
        <w:tc>
          <w:tcPr>
            <w:tcW w:w="9140" w:type="dxa"/>
            <w:vAlign w:val="bottom"/>
          </w:tcPr>
          <w:p>
            <w:pPr>
              <w:jc w:val="right"/>
              <w:ind w:right="6299"/>
              <w:spacing w:after="0"/>
              <w:rPr>
                <w:sz w:val="20"/>
                <w:szCs w:val="20"/>
                <w:color w:val="auto"/>
              </w:rPr>
            </w:pPr>
            <w:r>
              <w:rPr>
                <w:rFonts w:ascii="Courier New" w:cs="Courier New" w:eastAsia="Courier New" w:hAnsi="Courier New"/>
                <w:sz w:val="16"/>
                <w:szCs w:val="16"/>
                <w:color w:val="auto"/>
              </w:rPr>
              <w:t>2</w:t>
            </w:r>
          </w:p>
        </w:tc>
        <w:tc>
          <w:tcPr>
            <w:tcW w:w="680" w:type="dxa"/>
            <w:vAlign w:val="bottom"/>
          </w:tcPr>
          <w:p>
            <w:pPr>
              <w:spacing w:after="0"/>
              <w:rPr>
                <w:sz w:val="24"/>
                <w:szCs w:val="24"/>
                <w:color w:val="auto"/>
              </w:rPr>
            </w:pPr>
          </w:p>
        </w:tc>
      </w:tr>
    </w:tbl>
    <w:p>
      <w:pPr>
        <w:sectPr>
          <w:pgSz w:w="11900" w:h="16838" w:orient="portrait"/>
          <w:cols w:equalWidth="0" w:num="1">
            <w:col w:w="11040"/>
          </w:cols>
          <w:pgMar w:left="240" w:top="489" w:right="619" w:bottom="1440" w:gutter="0" w:footer="0" w:header="0"/>
        </w:sectPr>
      </w:pPr>
    </w:p>
    <w:bookmarkStart w:id="2" w:name="page3"/>
    <w:bookmarkEnd w:id="2"/>
    <w:p>
      <w:pPr>
        <w:ind w:left="2420"/>
        <w:spacing w:after="0"/>
        <w:rPr>
          <w:sz w:val="20"/>
          <w:szCs w:val="20"/>
          <w:color w:val="auto"/>
        </w:rPr>
      </w:pPr>
      <w:r>
        <w:rPr>
          <w:rFonts w:ascii="Courier New" w:cs="Courier New" w:eastAsia="Courier New" w:hAnsi="Courier New"/>
          <w:sz w:val="16"/>
          <w:szCs w:val="16"/>
          <w:color w:val="auto"/>
        </w:rPr>
        <w:t>PART I - FINANCIAL INFORMATION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 Financial Statements</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MANPOWER INC. AND SUBSIDIARIES</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CONSOLIDATED BALANCE SHEETS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(IN MILLIONS)</w:t>
      </w:r>
    </w:p>
    <w:p>
      <w:pPr>
        <w:spacing w:after="0" w:line="19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80" w:type="dxa"/>
            <w:vAlign w:val="bottom"/>
          </w:tcPr>
          <w:p>
            <w:pPr>
              <w:spacing w:after="0"/>
              <w:rPr>
                <w:sz w:val="15"/>
                <w:szCs w:val="15"/>
                <w:color w:val="auto"/>
              </w:rPr>
            </w:pP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JUNE 30,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5580" w:type="dxa"/>
            <w:vAlign w:val="bottom"/>
          </w:tcPr>
          <w:p>
            <w:pPr>
              <w:spacing w:after="0"/>
              <w:rPr>
                <w:sz w:val="16"/>
                <w:szCs w:val="16"/>
                <w:color w:val="auto"/>
              </w:rPr>
            </w:pPr>
          </w:p>
        </w:tc>
        <w:tc>
          <w:tcPr>
            <w:tcW w:w="18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2002</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5580" w:type="dxa"/>
            <w:vAlign w:val="bottom"/>
          </w:tcPr>
          <w:p>
            <w:pPr>
              <w:spacing w:after="0"/>
              <w:rPr>
                <w:sz w:val="16"/>
                <w:szCs w:val="16"/>
                <w:color w:val="auto"/>
              </w:rPr>
            </w:pPr>
          </w:p>
        </w:tc>
        <w:tc>
          <w:tcPr>
            <w:tcW w:w="1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(Unaudited)</w:t>
            </w:r>
          </w:p>
        </w:tc>
        <w:tc>
          <w:tcPr>
            <w:tcW w:w="1460" w:type="dxa"/>
            <w:vAlign w:val="bottom"/>
          </w:tcPr>
          <w:p>
            <w:pPr>
              <w:spacing w:after="0"/>
              <w:rPr>
                <w:sz w:val="16"/>
                <w:szCs w:val="16"/>
                <w:color w:val="auto"/>
              </w:rPr>
            </w:pPr>
          </w:p>
        </w:tc>
      </w:tr>
      <w:tr>
        <w:trPr>
          <w:trHeight w:val="3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249.0</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245.8</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Accounts receivable, less allowance for</w:t>
            </w:r>
          </w:p>
        </w:tc>
        <w:tc>
          <w:tcPr>
            <w:tcW w:w="18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6"/>
        </w:trPr>
        <w:tc>
          <w:tcPr>
            <w:tcW w:w="5580" w:type="dxa"/>
            <w:vAlign w:val="bottom"/>
          </w:tcPr>
          <w:p>
            <w:pPr>
              <w:ind w:left="380"/>
              <w:spacing w:after="0"/>
              <w:rPr>
                <w:sz w:val="20"/>
                <w:szCs w:val="20"/>
                <w:color w:val="auto"/>
              </w:rPr>
            </w:pPr>
            <w:r>
              <w:rPr>
                <w:rFonts w:ascii="Courier New" w:cs="Courier New" w:eastAsia="Courier New" w:hAnsi="Courier New"/>
                <w:sz w:val="16"/>
                <w:szCs w:val="16"/>
                <w:color w:val="auto"/>
              </w:rPr>
              <w:t>doubtful accounts of $68.4 and $61.8, respectively</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2,226.8</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1,917.8</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Prepaid expenses and other assets</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78.7</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77.0</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Future income tax benefits</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74.5</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73.8</w:t>
            </w:r>
          </w:p>
        </w:tc>
      </w:tr>
      <w:tr>
        <w:trPr>
          <w:trHeight w:val="186"/>
        </w:trPr>
        <w:tc>
          <w:tcPr>
            <w:tcW w:w="5580" w:type="dxa"/>
            <w:vAlign w:val="bottom"/>
          </w:tcPr>
          <w:p>
            <w:pPr>
              <w:spacing w:after="0"/>
              <w:rPr>
                <w:sz w:val="16"/>
                <w:szCs w:val="16"/>
                <w:color w:val="auto"/>
              </w:rPr>
            </w:pP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ind w:left="380"/>
              <w:spacing w:after="0"/>
              <w:rPr>
                <w:sz w:val="20"/>
                <w:szCs w:val="20"/>
                <w:color w:val="auto"/>
              </w:rPr>
            </w:pPr>
            <w:r>
              <w:rPr>
                <w:rFonts w:ascii="Courier New" w:cs="Courier New" w:eastAsia="Courier New" w:hAnsi="Courier New"/>
                <w:sz w:val="16"/>
                <w:szCs w:val="16"/>
                <w:color w:val="auto"/>
              </w:rPr>
              <w:t>Total current assets</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2,629.0</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2,314.4</w:t>
            </w:r>
          </w:p>
        </w:tc>
      </w:tr>
      <w:tr>
        <w:trPr>
          <w:trHeight w:val="3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Intangible assets, less accumulated amortization of</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6"/>
        </w:trPr>
        <w:tc>
          <w:tcPr>
            <w:tcW w:w="5580" w:type="dxa"/>
            <w:vAlign w:val="bottom"/>
          </w:tcPr>
          <w:p>
            <w:pPr>
              <w:ind w:left="380"/>
              <w:spacing w:after="0"/>
              <w:rPr>
                <w:sz w:val="20"/>
                <w:szCs w:val="20"/>
                <w:color w:val="auto"/>
              </w:rPr>
            </w:pPr>
            <w:r>
              <w:rPr>
                <w:rFonts w:ascii="Courier New" w:cs="Courier New" w:eastAsia="Courier New" w:hAnsi="Courier New"/>
                <w:sz w:val="16"/>
                <w:szCs w:val="16"/>
                <w:color w:val="auto"/>
              </w:rPr>
              <w:t>$45.1 and $42.4, respectively</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528.5</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480.8</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Investments in licensees</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59.9</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44.7</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229.1</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204.7</w:t>
            </w:r>
          </w:p>
        </w:tc>
      </w:tr>
      <w:tr>
        <w:trPr>
          <w:trHeight w:val="186"/>
        </w:trPr>
        <w:tc>
          <w:tcPr>
            <w:tcW w:w="5580" w:type="dxa"/>
            <w:vAlign w:val="bottom"/>
          </w:tcPr>
          <w:p>
            <w:pPr>
              <w:spacing w:after="0"/>
              <w:rPr>
                <w:sz w:val="16"/>
                <w:szCs w:val="16"/>
                <w:color w:val="auto"/>
              </w:rPr>
            </w:pP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ind w:left="380"/>
              <w:spacing w:after="0"/>
              <w:rPr>
                <w:sz w:val="20"/>
                <w:szCs w:val="20"/>
                <w:color w:val="auto"/>
              </w:rPr>
            </w:pPr>
            <w:r>
              <w:rPr>
                <w:rFonts w:ascii="Courier New" w:cs="Courier New" w:eastAsia="Courier New" w:hAnsi="Courier New"/>
                <w:sz w:val="16"/>
                <w:szCs w:val="16"/>
                <w:color w:val="auto"/>
              </w:rPr>
              <w:t>Total other assets</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817.5</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730.2</w:t>
            </w:r>
          </w:p>
        </w:tc>
      </w:tr>
      <w:tr>
        <w:trPr>
          <w:trHeight w:val="3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Land, buildings, leasehold improvements and equipment</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505.1</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465.4</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310.1</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271.4</w:t>
            </w:r>
          </w:p>
        </w:tc>
      </w:tr>
      <w:tr>
        <w:trPr>
          <w:trHeight w:val="186"/>
        </w:trPr>
        <w:tc>
          <w:tcPr>
            <w:tcW w:w="5580" w:type="dxa"/>
            <w:vAlign w:val="bottom"/>
          </w:tcPr>
          <w:p>
            <w:pPr>
              <w:spacing w:after="0"/>
              <w:rPr>
                <w:sz w:val="16"/>
                <w:szCs w:val="16"/>
                <w:color w:val="auto"/>
              </w:rPr>
            </w:pP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ind w:left="480"/>
              <w:spacing w:after="0"/>
              <w:rPr>
                <w:sz w:val="20"/>
                <w:szCs w:val="20"/>
                <w:color w:val="auto"/>
              </w:rPr>
            </w:pPr>
            <w:r>
              <w:rPr>
                <w:rFonts w:ascii="Courier New" w:cs="Courier New" w:eastAsia="Courier New" w:hAnsi="Courier New"/>
                <w:sz w:val="16"/>
                <w:szCs w:val="16"/>
                <w:color w:val="auto"/>
              </w:rPr>
              <w:t>Net property and equipment</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195.0</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194.0</w:t>
            </w:r>
          </w:p>
        </w:tc>
      </w:tr>
      <w:tr>
        <w:trPr>
          <w:trHeight w:val="186"/>
        </w:trPr>
        <w:tc>
          <w:tcPr>
            <w:tcW w:w="5580" w:type="dxa"/>
            <w:vAlign w:val="bottom"/>
          </w:tcPr>
          <w:p>
            <w:pPr>
              <w:spacing w:after="0"/>
              <w:rPr>
                <w:sz w:val="16"/>
                <w:szCs w:val="16"/>
                <w:color w:val="auto"/>
              </w:rPr>
            </w:pP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ind w:left="480"/>
              <w:spacing w:after="0"/>
              <w:rPr>
                <w:sz w:val="20"/>
                <w:szCs w:val="20"/>
                <w:color w:val="auto"/>
              </w:rPr>
            </w:pPr>
            <w:r>
              <w:rPr>
                <w:rFonts w:ascii="Courier New" w:cs="Courier New" w:eastAsia="Courier New" w:hAnsi="Courier New"/>
                <w:sz w:val="16"/>
                <w:szCs w:val="16"/>
                <w:color w:val="auto"/>
              </w:rPr>
              <w:t>Total assets</w:t>
            </w: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$3,641.5</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$3,238.6</w:t>
            </w:r>
          </w:p>
        </w:tc>
      </w:tr>
      <w:tr>
        <w:trPr>
          <w:trHeight w:val="186"/>
        </w:trPr>
        <w:tc>
          <w:tcPr>
            <w:tcW w:w="5580" w:type="dxa"/>
            <w:vAlign w:val="bottom"/>
          </w:tcPr>
          <w:p>
            <w:pPr>
              <w:spacing w:after="0"/>
              <w:rPr>
                <w:sz w:val="16"/>
                <w:szCs w:val="16"/>
                <w:color w:val="auto"/>
              </w:rPr>
            </w:pPr>
          </w:p>
        </w:tc>
        <w:tc>
          <w:tcPr>
            <w:tcW w:w="1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1640" w:right="3439" w:hanging="580"/>
        <w:spacing w:after="0" w:line="248"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balance sheets.</w:t>
      </w:r>
    </w:p>
    <w:p>
      <w:pPr>
        <w:spacing w:after="0" w:line="200" w:lineRule="exact"/>
        <w:rPr>
          <w:sz w:val="20"/>
          <w:szCs w:val="20"/>
          <w:color w:val="auto"/>
        </w:rPr>
      </w:pPr>
    </w:p>
    <w:p>
      <w:pPr>
        <w:spacing w:after="0" w:line="35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9" w:right="1440" w:bottom="1440" w:gutter="0" w:footer="0" w:header="0"/>
        </w:sectPr>
      </w:pPr>
    </w:p>
    <w:bookmarkStart w:id="3" w:name="page4"/>
    <w:bookmarkEnd w:id="3"/>
    <w:p>
      <w:pPr>
        <w:ind w:left="2420"/>
        <w:spacing w:after="0"/>
        <w:rPr>
          <w:sz w:val="20"/>
          <w:szCs w:val="20"/>
          <w:color w:val="auto"/>
        </w:rPr>
      </w:pPr>
      <w:r>
        <w:rPr>
          <w:rFonts w:ascii="Courier New" w:cs="Courier New" w:eastAsia="Courier New" w:hAnsi="Courier New"/>
          <w:sz w:val="16"/>
          <w:szCs w:val="16"/>
          <w:color w:val="auto"/>
        </w:rPr>
        <w:t>MANPOWER INC. AND SUBSIDIARIES</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CONSOLIDATED BALANCE SHEETS</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(IN MILLIONS, EXCEPT SHARE DATA)</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80" w:type="dxa"/>
            <w:vAlign w:val="bottom"/>
          </w:tcPr>
          <w:p>
            <w:pPr>
              <w:spacing w:after="0"/>
              <w:rPr>
                <w:sz w:val="15"/>
                <w:szCs w:val="15"/>
                <w:color w:val="auto"/>
              </w:rPr>
            </w:pP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JUNE 30,</w:t>
            </w:r>
          </w:p>
        </w:tc>
        <w:tc>
          <w:tcPr>
            <w:tcW w:w="1600" w:type="dxa"/>
            <w:vAlign w:val="bottom"/>
          </w:tcPr>
          <w:p>
            <w:pPr>
              <w:ind w:left="440"/>
              <w:spacing w:after="0"/>
              <w:rPr>
                <w:sz w:val="20"/>
                <w:szCs w:val="20"/>
                <w:color w:val="auto"/>
              </w:rPr>
            </w:pPr>
            <w:r>
              <w:rPr>
                <w:rFonts w:ascii="Courier New" w:cs="Courier New" w:eastAsia="Courier New" w:hAnsi="Courier New"/>
                <w:sz w:val="16"/>
                <w:szCs w:val="16"/>
                <w:color w:val="auto"/>
                <w:w w:val="98"/>
              </w:rPr>
              <w:t>DECEMBER 31,</w:t>
            </w:r>
          </w:p>
        </w:tc>
      </w:tr>
      <w:tr>
        <w:trPr>
          <w:trHeight w:val="186"/>
        </w:trPr>
        <w:tc>
          <w:tcPr>
            <w:tcW w:w="7080" w:type="dxa"/>
            <w:vAlign w:val="bottom"/>
          </w:tcPr>
          <w:p>
            <w:pPr>
              <w:spacing w:after="0"/>
              <w:rPr>
                <w:sz w:val="16"/>
                <w:szCs w:val="16"/>
                <w:color w:val="auto"/>
              </w:rPr>
            </w:pPr>
          </w:p>
        </w:tc>
        <w:tc>
          <w:tcPr>
            <w:tcW w:w="19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2002</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7080" w:type="dxa"/>
            <w:vAlign w:val="bottom"/>
          </w:tcPr>
          <w:p>
            <w:pPr>
              <w:spacing w:after="0"/>
              <w:rPr>
                <w:sz w:val="16"/>
                <w:szCs w:val="16"/>
                <w:color w:val="auto"/>
              </w:rPr>
            </w:pPr>
          </w:p>
        </w:tc>
        <w:tc>
          <w:tcPr>
            <w:tcW w:w="19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spacing w:after="0"/>
              <w:rPr>
                <w:sz w:val="16"/>
                <w:szCs w:val="16"/>
                <w:color w:val="auto"/>
              </w:rPr>
            </w:pPr>
          </w:p>
        </w:tc>
        <w:tc>
          <w:tcPr>
            <w:tcW w:w="19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(Unaudited)</w:t>
            </w:r>
          </w:p>
        </w:tc>
        <w:tc>
          <w:tcPr>
            <w:tcW w:w="1600" w:type="dxa"/>
            <w:vAlign w:val="bottom"/>
          </w:tcPr>
          <w:p>
            <w:pPr>
              <w:spacing w:after="0"/>
              <w:rPr>
                <w:sz w:val="16"/>
                <w:szCs w:val="16"/>
                <w:color w:val="auto"/>
              </w:rPr>
            </w:pPr>
          </w:p>
        </w:tc>
      </w:tr>
      <w:tr>
        <w:trPr>
          <w:trHeight w:val="373"/>
        </w:trPr>
        <w:tc>
          <w:tcPr>
            <w:tcW w:w="70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3"/>
        </w:trPr>
        <w:tc>
          <w:tcPr>
            <w:tcW w:w="708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546.8</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382.1</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Employee compensation payable</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98.6</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93.2</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Accrued liabilities</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273.2</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234.9</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Accrued payroll taxes and insurance</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294.2</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300.8</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Value added taxes payable</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298.4</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255.9</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Short-term borrowings and current maturities of long-term debt</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175.0</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23.7</w:t>
            </w:r>
          </w:p>
        </w:tc>
      </w:tr>
      <w:tr>
        <w:trPr>
          <w:trHeight w:val="186"/>
        </w:trPr>
        <w:tc>
          <w:tcPr>
            <w:tcW w:w="7080" w:type="dxa"/>
            <w:vAlign w:val="bottom"/>
          </w:tcPr>
          <w:p>
            <w:pPr>
              <w:spacing w:after="0"/>
              <w:rPr>
                <w:sz w:val="16"/>
                <w:szCs w:val="16"/>
                <w:color w:val="auto"/>
              </w:rPr>
            </w:pP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ind w:left="380"/>
              <w:spacing w:after="0"/>
              <w:rPr>
                <w:sz w:val="20"/>
                <w:szCs w:val="20"/>
                <w:color w:val="auto"/>
              </w:rPr>
            </w:pPr>
            <w:r>
              <w:rPr>
                <w:rFonts w:ascii="Courier New" w:cs="Courier New" w:eastAsia="Courier New" w:hAnsi="Courier New"/>
                <w:sz w:val="16"/>
                <w:szCs w:val="16"/>
                <w:color w:val="auto"/>
              </w:rPr>
              <w:t>Total current liabilities</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1,686.2</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1,290.6</w:t>
            </w:r>
          </w:p>
        </w:tc>
      </w:tr>
      <w:tr>
        <w:trPr>
          <w:trHeight w:val="373"/>
        </w:trPr>
        <w:tc>
          <w:tcPr>
            <w:tcW w:w="708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3"/>
        </w:trPr>
        <w:tc>
          <w:tcPr>
            <w:tcW w:w="70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743.8</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811.1</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Other long-term liabilities</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329.1</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322.6</w:t>
            </w:r>
          </w:p>
        </w:tc>
      </w:tr>
      <w:tr>
        <w:trPr>
          <w:trHeight w:val="186"/>
        </w:trPr>
        <w:tc>
          <w:tcPr>
            <w:tcW w:w="7080" w:type="dxa"/>
            <w:vAlign w:val="bottom"/>
          </w:tcPr>
          <w:p>
            <w:pPr>
              <w:spacing w:after="0"/>
              <w:rPr>
                <w:sz w:val="16"/>
                <w:szCs w:val="16"/>
                <w:color w:val="auto"/>
              </w:rPr>
            </w:pP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ind w:left="300"/>
              <w:spacing w:after="0"/>
              <w:rPr>
                <w:sz w:val="20"/>
                <w:szCs w:val="20"/>
                <w:color w:val="auto"/>
              </w:rPr>
            </w:pPr>
            <w:r>
              <w:rPr>
                <w:rFonts w:ascii="Courier New" w:cs="Courier New" w:eastAsia="Courier New" w:hAnsi="Courier New"/>
                <w:sz w:val="16"/>
                <w:szCs w:val="16"/>
                <w:color w:val="auto"/>
              </w:rPr>
              <w:t>Total other liabilities</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1,072.9</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1,133.7</w:t>
            </w:r>
          </w:p>
        </w:tc>
      </w:tr>
      <w:tr>
        <w:trPr>
          <w:trHeight w:val="373"/>
        </w:trPr>
        <w:tc>
          <w:tcPr>
            <w:tcW w:w="70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3"/>
        </w:trPr>
        <w:tc>
          <w:tcPr>
            <w:tcW w:w="7080" w:type="dxa"/>
            <w:vAlign w:val="bottom"/>
          </w:tcPr>
          <w:p>
            <w:pPr>
              <w:spacing w:after="0"/>
              <w:rPr>
                <w:sz w:val="20"/>
                <w:szCs w:val="20"/>
                <w:color w:val="auto"/>
              </w:rPr>
            </w:pPr>
            <w:r>
              <w:rPr>
                <w:rFonts w:ascii="Courier New" w:cs="Courier New" w:eastAsia="Courier New" w:hAnsi="Courier New"/>
                <w:sz w:val="16"/>
                <w:szCs w:val="16"/>
                <w:color w:val="auto"/>
              </w:rPr>
              <w:t>Preferred stock, $.01 par value, authorized 25,000,000 shares,</w:t>
            </w:r>
          </w:p>
        </w:tc>
        <w:tc>
          <w:tcPr>
            <w:tcW w:w="1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6"/>
        </w:trPr>
        <w:tc>
          <w:tcPr>
            <w:tcW w:w="7080" w:type="dxa"/>
            <w:vAlign w:val="bottom"/>
          </w:tcPr>
          <w:p>
            <w:pPr>
              <w:ind w:left="200"/>
              <w:spacing w:after="0"/>
              <w:rPr>
                <w:sz w:val="20"/>
                <w:szCs w:val="20"/>
                <w:color w:val="auto"/>
              </w:rPr>
            </w:pPr>
            <w:r>
              <w:rPr>
                <w:rFonts w:ascii="Courier New" w:cs="Courier New" w:eastAsia="Courier New" w:hAnsi="Courier New"/>
                <w:sz w:val="16"/>
                <w:szCs w:val="16"/>
                <w:color w:val="auto"/>
              </w:rPr>
              <w:t>none issued</w:t>
            </w:r>
          </w:p>
        </w:tc>
        <w:tc>
          <w:tcPr>
            <w:tcW w:w="19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Common stock, $.01 par value, authorized 125,000,000 shares,</w:t>
            </w:r>
          </w:p>
        </w:tc>
        <w:tc>
          <w:tcPr>
            <w:tcW w:w="19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6"/>
        </w:trPr>
        <w:tc>
          <w:tcPr>
            <w:tcW w:w="7080" w:type="dxa"/>
            <w:vAlign w:val="bottom"/>
          </w:tcPr>
          <w:p>
            <w:pPr>
              <w:ind w:left="200"/>
              <w:spacing w:after="0"/>
              <w:rPr>
                <w:sz w:val="20"/>
                <w:szCs w:val="20"/>
                <w:color w:val="auto"/>
              </w:rPr>
            </w:pPr>
            <w:r>
              <w:rPr>
                <w:rFonts w:ascii="Courier New" w:cs="Courier New" w:eastAsia="Courier New" w:hAnsi="Courier New"/>
                <w:sz w:val="16"/>
                <w:szCs w:val="16"/>
                <w:color w:val="auto"/>
              </w:rPr>
              <w:t>issued 86,491,307 and 85,173,961 shares, respectively</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Capital in excess of par value</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1,686.0</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1,644.9</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9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(362.6)</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(387.6)</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9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(158.1)</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(190.8)</w:t>
            </w:r>
          </w:p>
        </w:tc>
      </w:tr>
      <w:tr>
        <w:trPr>
          <w:trHeight w:val="186"/>
        </w:trPr>
        <w:tc>
          <w:tcPr>
            <w:tcW w:w="7080" w:type="dxa"/>
            <w:vAlign w:val="bottom"/>
          </w:tcPr>
          <w:p>
            <w:pPr>
              <w:spacing w:after="0"/>
              <w:rPr>
                <w:sz w:val="20"/>
                <w:szCs w:val="20"/>
                <w:color w:val="auto"/>
              </w:rPr>
            </w:pPr>
            <w:r>
              <w:rPr>
                <w:rFonts w:ascii="Courier New" w:cs="Courier New" w:eastAsia="Courier New" w:hAnsi="Courier New"/>
                <w:sz w:val="16"/>
                <w:szCs w:val="16"/>
                <w:color w:val="auto"/>
              </w:rPr>
              <w:t>Treasury stock at cost, 9,945,200 and 9,045,200 shares, respectively</w:t>
            </w:r>
          </w:p>
        </w:tc>
        <w:tc>
          <w:tcPr>
            <w:tcW w:w="19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(283.8)</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(253.1)</w:t>
            </w:r>
          </w:p>
        </w:tc>
      </w:tr>
      <w:tr>
        <w:trPr>
          <w:trHeight w:val="186"/>
        </w:trPr>
        <w:tc>
          <w:tcPr>
            <w:tcW w:w="7080" w:type="dxa"/>
            <w:vAlign w:val="bottom"/>
          </w:tcPr>
          <w:p>
            <w:pPr>
              <w:spacing w:after="0"/>
              <w:rPr>
                <w:sz w:val="16"/>
                <w:szCs w:val="16"/>
                <w:color w:val="auto"/>
              </w:rPr>
            </w:pP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ind w:left="300"/>
              <w:spacing w:after="0"/>
              <w:rPr>
                <w:sz w:val="20"/>
                <w:szCs w:val="20"/>
                <w:color w:val="auto"/>
              </w:rPr>
            </w:pPr>
            <w:r>
              <w:rPr>
                <w:rFonts w:ascii="Courier New" w:cs="Courier New" w:eastAsia="Courier New" w:hAnsi="Courier New"/>
                <w:sz w:val="16"/>
                <w:szCs w:val="16"/>
                <w:color w:val="auto"/>
              </w:rPr>
              <w:t>Total shareholders' equity</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882.4</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814.3</w:t>
            </w:r>
          </w:p>
        </w:tc>
      </w:tr>
      <w:tr>
        <w:trPr>
          <w:trHeight w:val="186"/>
        </w:trPr>
        <w:tc>
          <w:tcPr>
            <w:tcW w:w="7080" w:type="dxa"/>
            <w:vAlign w:val="bottom"/>
          </w:tcPr>
          <w:p>
            <w:pPr>
              <w:spacing w:after="0"/>
              <w:rPr>
                <w:sz w:val="16"/>
                <w:szCs w:val="16"/>
                <w:color w:val="auto"/>
              </w:rPr>
            </w:pP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tcPr>
          <w:p>
            <w:pPr>
              <w:ind w:left="30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$3,641.5</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$3,238.6</w:t>
            </w:r>
          </w:p>
        </w:tc>
      </w:tr>
      <w:tr>
        <w:trPr>
          <w:trHeight w:val="186"/>
        </w:trPr>
        <w:tc>
          <w:tcPr>
            <w:tcW w:w="7080" w:type="dxa"/>
            <w:vAlign w:val="bottom"/>
          </w:tcPr>
          <w:p>
            <w:pPr>
              <w:spacing w:after="0"/>
              <w:rPr>
                <w:sz w:val="16"/>
                <w:szCs w:val="16"/>
                <w:color w:val="auto"/>
              </w:rPr>
            </w:pPr>
          </w:p>
        </w:tc>
        <w:tc>
          <w:tcPr>
            <w:tcW w:w="1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820"/>
        <w:spacing w:after="0"/>
        <w:rPr>
          <w:sz w:val="20"/>
          <w:szCs w:val="20"/>
          <w:color w:val="auto"/>
        </w:rPr>
      </w:pPr>
      <w:r>
        <w:rPr>
          <w:rFonts w:ascii="Courier New" w:cs="Courier New" w:eastAsia="Courier New" w:hAnsi="Courier New"/>
          <w:sz w:val="16"/>
          <w:szCs w:val="16"/>
          <w:color w:val="auto"/>
        </w:rPr>
        <w:t>The accompanying notes to consolidated financial statements</w:t>
      </w:r>
    </w:p>
    <w:p>
      <w:pPr>
        <w:spacing w:after="0" w:line="5" w:lineRule="exact"/>
        <w:rPr>
          <w:sz w:val="20"/>
          <w:szCs w:val="20"/>
          <w:color w:val="auto"/>
        </w:rPr>
      </w:pPr>
    </w:p>
    <w:p>
      <w:pPr>
        <w:jc w:val="center"/>
        <w:ind w:right="2820"/>
        <w:spacing w:after="0"/>
        <w:rPr>
          <w:sz w:val="20"/>
          <w:szCs w:val="20"/>
          <w:color w:val="auto"/>
        </w:rPr>
      </w:pPr>
      <w:r>
        <w:rPr>
          <w:rFonts w:ascii="Courier New" w:cs="Courier New" w:eastAsia="Courier New" w:hAnsi="Courier New"/>
          <w:sz w:val="16"/>
          <w:szCs w:val="16"/>
          <w:color w:val="auto"/>
        </w:rPr>
        <w:t>are an integral part of these balance sheets.</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660"/>
          </w:cols>
          <w:pgMar w:left="240" w:top="489" w:right="999" w:bottom="1440" w:gutter="0" w:footer="0" w:header="0"/>
        </w:sectPr>
      </w:pPr>
    </w:p>
    <w:bookmarkStart w:id="4" w:name="page5"/>
    <w:bookmarkEnd w:id="4"/>
    <w:p>
      <w:pPr>
        <w:ind w:left="2420"/>
        <w:spacing w:after="0"/>
        <w:rPr>
          <w:sz w:val="20"/>
          <w:szCs w:val="20"/>
          <w:color w:val="auto"/>
        </w:rPr>
      </w:pPr>
      <w:r>
        <w:rPr>
          <w:rFonts w:ascii="Courier New" w:cs="Courier New" w:eastAsia="Courier New" w:hAnsi="Courier New"/>
          <w:sz w:val="16"/>
          <w:szCs w:val="16"/>
          <w:color w:val="auto"/>
        </w:rPr>
        <w:t>MANPOWER INC. AND SUBSIDIARIES</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CONSOLIDATED STATEMENTS OF OPERATIONS (UNAUDITED)</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3 MONTHS ENDED</w:t>
            </w: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6 MONTHS ENDED</w:t>
            </w:r>
          </w:p>
        </w:tc>
        <w:tc>
          <w:tcPr>
            <w:tcW w:w="860" w:type="dxa"/>
            <w:vAlign w:val="bottom"/>
          </w:tcPr>
          <w:p>
            <w:pPr>
              <w:spacing w:after="0"/>
              <w:rPr>
                <w:sz w:val="15"/>
                <w:szCs w:val="15"/>
                <w:color w:val="auto"/>
              </w:rPr>
            </w:pPr>
          </w:p>
        </w:tc>
      </w:tr>
      <w:tr>
        <w:trPr>
          <w:trHeight w:val="186"/>
        </w:trPr>
        <w:tc>
          <w:tcPr>
            <w:tcW w:w="4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JUNE 30,</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JUNE 30,</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4700" w:type="dxa"/>
            <w:vAlign w:val="bottom"/>
          </w:tcPr>
          <w:p>
            <w:pPr>
              <w:spacing w:after="0"/>
              <w:rPr>
                <w:sz w:val="16"/>
                <w:szCs w:val="16"/>
                <w:color w:val="auto"/>
              </w:rPr>
            </w:pPr>
          </w:p>
        </w:tc>
        <w:tc>
          <w:tcPr>
            <w:tcW w:w="3820" w:type="dxa"/>
            <w:vAlign w:val="bottom"/>
            <w:gridSpan w:val="4"/>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3000" w:type="dxa"/>
            <w:vAlign w:val="bottom"/>
            <w:gridSpan w:val="5"/>
          </w:tcPr>
          <w:p>
            <w:pPr>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2002</w:t>
            </w:r>
          </w:p>
        </w:tc>
        <w:tc>
          <w:tcPr>
            <w:tcW w:w="2320" w:type="dxa"/>
            <w:vAlign w:val="bottom"/>
            <w:gridSpan w:val="2"/>
          </w:tcPr>
          <w:p>
            <w:pPr>
              <w:jc w:val="right"/>
              <w:ind w:right="979"/>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6"/>
                <w:szCs w:val="16"/>
                <w:color w:val="auto"/>
              </w:rPr>
            </w:pP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2002</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4700" w:type="dxa"/>
            <w:vAlign w:val="bottom"/>
          </w:tcPr>
          <w:p>
            <w:pPr>
              <w:spacing w:after="0"/>
              <w:rPr>
                <w:sz w:val="16"/>
                <w:szCs w:val="16"/>
                <w:color w:val="auto"/>
              </w:rPr>
            </w:pPr>
          </w:p>
        </w:tc>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w w:val="98"/>
              </w:rPr>
              <w:t>------------</w:t>
            </w:r>
          </w:p>
        </w:tc>
      </w:tr>
      <w:tr>
        <w:trPr>
          <w:trHeight w:val="559"/>
        </w:trPr>
        <w:tc>
          <w:tcPr>
            <w:tcW w:w="470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1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$ 2,602.9</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$ 2,620.1</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$ 4,886.9</w:t>
            </w:r>
          </w:p>
        </w:tc>
        <w:tc>
          <w:tcPr>
            <w:tcW w:w="7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$ 5,272.0</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Cost of services</w:t>
            </w:r>
          </w:p>
        </w:tc>
        <w:tc>
          <w:tcPr>
            <w:tcW w:w="480" w:type="dxa"/>
            <w:vAlign w:val="bottom"/>
          </w:tcPr>
          <w:p>
            <w:pPr>
              <w:spacing w:after="0"/>
              <w:rPr>
                <w:sz w:val="24"/>
                <w:szCs w:val="24"/>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2,135.3</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2,131.0</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4,004.5</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4,299.0</w:t>
            </w:r>
          </w:p>
        </w:tc>
      </w:tr>
      <w:tr>
        <w:trPr>
          <w:trHeight w:val="186"/>
        </w:trPr>
        <w:tc>
          <w:tcPr>
            <w:tcW w:w="4700" w:type="dxa"/>
            <w:vAlign w:val="bottom"/>
          </w:tcPr>
          <w:p>
            <w:pPr>
              <w:spacing w:after="0"/>
              <w:rPr>
                <w:sz w:val="16"/>
                <w:szCs w:val="16"/>
                <w:color w:val="auto"/>
              </w:rPr>
            </w:pPr>
          </w:p>
        </w:tc>
        <w:tc>
          <w:tcPr>
            <w:tcW w:w="1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380"/>
              <w:spacing w:after="0"/>
              <w:rPr>
                <w:sz w:val="20"/>
                <w:szCs w:val="20"/>
                <w:color w:val="auto"/>
              </w:rPr>
            </w:pPr>
            <w:r>
              <w:rPr>
                <w:rFonts w:ascii="Courier New" w:cs="Courier New" w:eastAsia="Courier New" w:hAnsi="Courier New"/>
                <w:sz w:val="16"/>
                <w:szCs w:val="16"/>
                <w:color w:val="auto"/>
              </w:rPr>
              <w:t>Gross profit</w:t>
            </w:r>
          </w:p>
        </w:tc>
        <w:tc>
          <w:tcPr>
            <w:tcW w:w="48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467.6</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489.1</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882.4</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973.0</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Selling and administrative expenses</w:t>
            </w:r>
          </w:p>
        </w:tc>
        <w:tc>
          <w:tcPr>
            <w:tcW w:w="480" w:type="dxa"/>
            <w:vAlign w:val="bottom"/>
          </w:tcPr>
          <w:p>
            <w:pPr>
              <w:spacing w:after="0"/>
              <w:rPr>
                <w:sz w:val="24"/>
                <w:szCs w:val="24"/>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415.8</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426.4</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811.9</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858.2</w:t>
            </w:r>
          </w:p>
        </w:tc>
      </w:tr>
      <w:tr>
        <w:trPr>
          <w:trHeight w:val="186"/>
        </w:trPr>
        <w:tc>
          <w:tcPr>
            <w:tcW w:w="4700" w:type="dxa"/>
            <w:vAlign w:val="bottom"/>
          </w:tcPr>
          <w:p>
            <w:pPr>
              <w:spacing w:after="0"/>
              <w:rPr>
                <w:sz w:val="16"/>
                <w:szCs w:val="16"/>
                <w:color w:val="auto"/>
              </w:rPr>
            </w:pPr>
          </w:p>
        </w:tc>
        <w:tc>
          <w:tcPr>
            <w:tcW w:w="1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380"/>
              <w:spacing w:after="0"/>
              <w:rPr>
                <w:sz w:val="20"/>
                <w:szCs w:val="20"/>
                <w:color w:val="auto"/>
              </w:rPr>
            </w:pPr>
            <w:r>
              <w:rPr>
                <w:rFonts w:ascii="Courier New" w:cs="Courier New" w:eastAsia="Courier New" w:hAnsi="Courier New"/>
                <w:sz w:val="16"/>
                <w:szCs w:val="16"/>
                <w:color w:val="auto"/>
              </w:rPr>
              <w:t>Operating profit</w:t>
            </w:r>
          </w:p>
        </w:tc>
        <w:tc>
          <w:tcPr>
            <w:tcW w:w="48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51.8</w:t>
            </w:r>
          </w:p>
        </w:tc>
        <w:tc>
          <w:tcPr>
            <w:tcW w:w="1160" w:type="dxa"/>
            <w:vAlign w:val="bottom"/>
          </w:tcPr>
          <w:p>
            <w:pPr>
              <w:spacing w:after="0"/>
              <w:rPr>
                <w:sz w:val="16"/>
                <w:szCs w:val="16"/>
                <w:color w:val="auto"/>
              </w:rPr>
            </w:pPr>
          </w:p>
        </w:tc>
        <w:tc>
          <w:tcPr>
            <w:tcW w:w="1160" w:type="dxa"/>
            <w:vAlign w:val="bottom"/>
          </w:tcPr>
          <w:p>
            <w:pPr>
              <w:jc w:val="right"/>
              <w:ind w:right="679"/>
              <w:spacing w:after="0"/>
              <w:rPr>
                <w:sz w:val="20"/>
                <w:szCs w:val="20"/>
                <w:color w:val="auto"/>
              </w:rPr>
            </w:pPr>
            <w:r>
              <w:rPr>
                <w:rFonts w:ascii="Courier New" w:cs="Courier New" w:eastAsia="Courier New" w:hAnsi="Courier New"/>
                <w:sz w:val="16"/>
                <w:szCs w:val="16"/>
                <w:color w:val="auto"/>
                <w:w w:val="98"/>
              </w:rPr>
              <w:t>62.7</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70.5</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114.8</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Interest and other expense</w:t>
            </w:r>
          </w:p>
        </w:tc>
        <w:tc>
          <w:tcPr>
            <w:tcW w:w="480" w:type="dxa"/>
            <w:vAlign w:val="bottom"/>
          </w:tcPr>
          <w:p>
            <w:pPr>
              <w:spacing w:after="0"/>
              <w:rPr>
                <w:sz w:val="24"/>
                <w:szCs w:val="24"/>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9.6</w:t>
            </w:r>
          </w:p>
        </w:tc>
        <w:tc>
          <w:tcPr>
            <w:tcW w:w="1160" w:type="dxa"/>
            <w:vAlign w:val="bottom"/>
          </w:tcPr>
          <w:p>
            <w:pPr>
              <w:spacing w:after="0"/>
              <w:rPr>
                <w:sz w:val="24"/>
                <w:szCs w:val="24"/>
                <w:color w:val="auto"/>
              </w:rPr>
            </w:pPr>
          </w:p>
        </w:tc>
        <w:tc>
          <w:tcPr>
            <w:tcW w:w="116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8.6</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6"/>
        </w:trPr>
        <w:tc>
          <w:tcPr>
            <w:tcW w:w="4700" w:type="dxa"/>
            <w:vAlign w:val="bottom"/>
          </w:tcPr>
          <w:p>
            <w:pPr>
              <w:spacing w:after="0"/>
              <w:rPr>
                <w:sz w:val="16"/>
                <w:szCs w:val="16"/>
                <w:color w:val="auto"/>
              </w:rPr>
            </w:pPr>
          </w:p>
        </w:tc>
        <w:tc>
          <w:tcPr>
            <w:tcW w:w="1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380"/>
              <w:spacing w:after="0"/>
              <w:rPr>
                <w:sz w:val="20"/>
                <w:szCs w:val="20"/>
                <w:color w:val="auto"/>
              </w:rPr>
            </w:pPr>
            <w:r>
              <w:rPr>
                <w:rFonts w:ascii="Courier New" w:cs="Courier New" w:eastAsia="Courier New" w:hAnsi="Courier New"/>
                <w:sz w:val="16"/>
                <w:szCs w:val="16"/>
                <w:color w:val="auto"/>
              </w:rPr>
              <w:t>Earnings before income taxes</w:t>
            </w:r>
          </w:p>
        </w:tc>
        <w:tc>
          <w:tcPr>
            <w:tcW w:w="48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42.2</w:t>
            </w:r>
          </w:p>
        </w:tc>
        <w:tc>
          <w:tcPr>
            <w:tcW w:w="1160" w:type="dxa"/>
            <w:vAlign w:val="bottom"/>
          </w:tcPr>
          <w:p>
            <w:pPr>
              <w:spacing w:after="0"/>
              <w:rPr>
                <w:sz w:val="16"/>
                <w:szCs w:val="16"/>
                <w:color w:val="auto"/>
              </w:rPr>
            </w:pPr>
          </w:p>
        </w:tc>
        <w:tc>
          <w:tcPr>
            <w:tcW w:w="1160" w:type="dxa"/>
            <w:vAlign w:val="bottom"/>
          </w:tcPr>
          <w:p>
            <w:pPr>
              <w:jc w:val="right"/>
              <w:ind w:right="679"/>
              <w:spacing w:after="0"/>
              <w:rPr>
                <w:sz w:val="20"/>
                <w:szCs w:val="20"/>
                <w:color w:val="auto"/>
              </w:rPr>
            </w:pPr>
            <w:r>
              <w:rPr>
                <w:rFonts w:ascii="Courier New" w:cs="Courier New" w:eastAsia="Courier New" w:hAnsi="Courier New"/>
                <w:sz w:val="16"/>
                <w:szCs w:val="16"/>
                <w:color w:val="auto"/>
                <w:w w:val="98"/>
              </w:rPr>
              <w:t>54.1</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52.9</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96.0</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480" w:type="dxa"/>
            <w:vAlign w:val="bottom"/>
          </w:tcPr>
          <w:p>
            <w:pPr>
              <w:spacing w:after="0"/>
              <w:rPr>
                <w:sz w:val="24"/>
                <w:szCs w:val="24"/>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16.5</w:t>
            </w:r>
          </w:p>
        </w:tc>
        <w:tc>
          <w:tcPr>
            <w:tcW w:w="1160" w:type="dxa"/>
            <w:vAlign w:val="bottom"/>
          </w:tcPr>
          <w:p>
            <w:pPr>
              <w:spacing w:after="0"/>
              <w:rPr>
                <w:sz w:val="24"/>
                <w:szCs w:val="24"/>
                <w:color w:val="auto"/>
              </w:rPr>
            </w:pPr>
          </w:p>
        </w:tc>
        <w:tc>
          <w:tcPr>
            <w:tcW w:w="1160" w:type="dxa"/>
            <w:vAlign w:val="bottom"/>
          </w:tcPr>
          <w:p>
            <w:pPr>
              <w:jc w:val="right"/>
              <w:ind w:right="679"/>
              <w:spacing w:after="0"/>
              <w:rPr>
                <w:sz w:val="20"/>
                <w:szCs w:val="20"/>
                <w:color w:val="auto"/>
              </w:rPr>
            </w:pPr>
            <w:r>
              <w:rPr>
                <w:rFonts w:ascii="Courier New" w:cs="Courier New" w:eastAsia="Courier New" w:hAnsi="Courier New"/>
                <w:sz w:val="16"/>
                <w:szCs w:val="16"/>
                <w:color w:val="auto"/>
                <w:w w:val="98"/>
              </w:rPr>
              <w:t>19.5</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20.3</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34.5</w:t>
            </w:r>
          </w:p>
        </w:tc>
      </w:tr>
      <w:tr>
        <w:trPr>
          <w:trHeight w:val="186"/>
        </w:trPr>
        <w:tc>
          <w:tcPr>
            <w:tcW w:w="4700" w:type="dxa"/>
            <w:vAlign w:val="bottom"/>
          </w:tcPr>
          <w:p>
            <w:pPr>
              <w:spacing w:after="0"/>
              <w:rPr>
                <w:sz w:val="16"/>
                <w:szCs w:val="16"/>
                <w:color w:val="auto"/>
              </w:rPr>
            </w:pPr>
          </w:p>
        </w:tc>
        <w:tc>
          <w:tcPr>
            <w:tcW w:w="1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ind w:left="380"/>
              <w:spacing w:after="0"/>
              <w:rPr>
                <w:sz w:val="20"/>
                <w:szCs w:val="20"/>
                <w:color w:val="auto"/>
              </w:rPr>
            </w:pPr>
            <w:r>
              <w:rPr>
                <w:rFonts w:ascii="Courier New" w:cs="Courier New" w:eastAsia="Courier New" w:hAnsi="Courier New"/>
                <w:sz w:val="16"/>
                <w:szCs w:val="16"/>
                <w:color w:val="auto"/>
              </w:rPr>
              <w:t>Net earnings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25.7</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79"/>
              <w:spacing w:after="0"/>
              <w:rPr>
                <w:sz w:val="20"/>
                <w:szCs w:val="20"/>
                <w:color w:val="auto"/>
              </w:rPr>
            </w:pPr>
            <w:r>
              <w:rPr>
                <w:rFonts w:ascii="Courier New" w:cs="Courier New" w:eastAsia="Courier New" w:hAnsi="Courier New"/>
                <w:sz w:val="16"/>
                <w:szCs w:val="16"/>
                <w:color w:val="auto"/>
                <w:w w:val="98"/>
              </w:rPr>
              <w:t>34.6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32.6</w:t>
            </w:r>
          </w:p>
        </w:tc>
        <w:tc>
          <w:tcPr>
            <w:tcW w:w="760" w:type="dxa"/>
            <w:vAlign w:val="bottom"/>
          </w:tcPr>
          <w:p>
            <w:pPr>
              <w:spacing w:after="0"/>
              <w:rPr>
                <w:sz w:val="16"/>
                <w:szCs w:val="16"/>
                <w:color w:val="auto"/>
              </w:rPr>
            </w:pP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61.5</w:t>
            </w:r>
          </w:p>
        </w:tc>
      </w:tr>
      <w:tr>
        <w:trPr>
          <w:trHeight w:val="186"/>
        </w:trPr>
        <w:tc>
          <w:tcPr>
            <w:tcW w:w="4700" w:type="dxa"/>
            <w:vAlign w:val="bottom"/>
          </w:tcPr>
          <w:p>
            <w:pPr>
              <w:spacing w:after="0"/>
              <w:rPr>
                <w:sz w:val="16"/>
                <w:szCs w:val="16"/>
                <w:color w:val="auto"/>
              </w:rPr>
            </w:pPr>
          </w:p>
        </w:tc>
        <w:tc>
          <w:tcPr>
            <w:tcW w:w="1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Net earnings per share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.34</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.46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76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r>
        <w:trPr>
          <w:trHeight w:val="186"/>
        </w:trPr>
        <w:tc>
          <w:tcPr>
            <w:tcW w:w="4700" w:type="dxa"/>
            <w:vAlign w:val="bottom"/>
          </w:tcPr>
          <w:p>
            <w:pPr>
              <w:spacing w:after="0"/>
              <w:rPr>
                <w:sz w:val="16"/>
                <w:szCs w:val="16"/>
                <w:color w:val="auto"/>
              </w:rPr>
            </w:pPr>
          </w:p>
        </w:tc>
        <w:tc>
          <w:tcPr>
            <w:tcW w:w="1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Net earnings per share - diluted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.33</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.45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76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6"/>
        </w:trPr>
        <w:tc>
          <w:tcPr>
            <w:tcW w:w="4700" w:type="dxa"/>
            <w:vAlign w:val="bottom"/>
          </w:tcPr>
          <w:p>
            <w:pPr>
              <w:spacing w:after="0"/>
              <w:rPr>
                <w:sz w:val="16"/>
                <w:szCs w:val="16"/>
                <w:color w:val="auto"/>
              </w:rPr>
            </w:pPr>
          </w:p>
        </w:tc>
        <w:tc>
          <w:tcPr>
            <w:tcW w:w="1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w:t>
            </w:r>
          </w:p>
        </w:tc>
        <w:tc>
          <w:tcPr>
            <w:tcW w:w="480" w:type="dxa"/>
            <w:vAlign w:val="bottom"/>
          </w:tcPr>
          <w:p>
            <w:pPr>
              <w:spacing w:after="0"/>
              <w:rPr>
                <w:sz w:val="24"/>
                <w:szCs w:val="24"/>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75.9</w:t>
            </w:r>
          </w:p>
        </w:tc>
        <w:tc>
          <w:tcPr>
            <w:tcW w:w="1160" w:type="dxa"/>
            <w:vAlign w:val="bottom"/>
          </w:tcPr>
          <w:p>
            <w:pPr>
              <w:spacing w:after="0"/>
              <w:rPr>
                <w:sz w:val="24"/>
                <w:szCs w:val="24"/>
                <w:color w:val="auto"/>
              </w:rPr>
            </w:pPr>
          </w:p>
        </w:tc>
        <w:tc>
          <w:tcPr>
            <w:tcW w:w="1160" w:type="dxa"/>
            <w:vAlign w:val="bottom"/>
          </w:tcPr>
          <w:p>
            <w:pPr>
              <w:jc w:val="right"/>
              <w:ind w:right="679"/>
              <w:spacing w:after="0"/>
              <w:rPr>
                <w:sz w:val="20"/>
                <w:szCs w:val="20"/>
                <w:color w:val="auto"/>
              </w:rPr>
            </w:pPr>
            <w:r>
              <w:rPr>
                <w:rFonts w:ascii="Courier New" w:cs="Courier New" w:eastAsia="Courier New" w:hAnsi="Courier New"/>
                <w:sz w:val="16"/>
                <w:szCs w:val="16"/>
                <w:color w:val="auto"/>
                <w:w w:val="98"/>
              </w:rPr>
              <w:t>75.8</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76.0</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75.8</w:t>
            </w:r>
          </w:p>
        </w:tc>
      </w:tr>
      <w:tr>
        <w:trPr>
          <w:trHeight w:val="186"/>
        </w:trPr>
        <w:tc>
          <w:tcPr>
            <w:tcW w:w="4700" w:type="dxa"/>
            <w:vAlign w:val="bottom"/>
          </w:tcPr>
          <w:p>
            <w:pPr>
              <w:spacing w:after="0"/>
              <w:rPr>
                <w:sz w:val="16"/>
                <w:szCs w:val="16"/>
                <w:color w:val="auto"/>
              </w:rPr>
            </w:pPr>
          </w:p>
        </w:tc>
        <w:tc>
          <w:tcPr>
            <w:tcW w:w="1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 - diluted</w:t>
            </w:r>
          </w:p>
        </w:tc>
        <w:tc>
          <w:tcPr>
            <w:tcW w:w="480" w:type="dxa"/>
            <w:vAlign w:val="bottom"/>
          </w:tcPr>
          <w:p>
            <w:pPr>
              <w:spacing w:after="0"/>
              <w:rPr>
                <w:sz w:val="24"/>
                <w:szCs w:val="24"/>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77.5</w:t>
            </w:r>
          </w:p>
        </w:tc>
        <w:tc>
          <w:tcPr>
            <w:tcW w:w="1160" w:type="dxa"/>
            <w:vAlign w:val="bottom"/>
          </w:tcPr>
          <w:p>
            <w:pPr>
              <w:spacing w:after="0"/>
              <w:rPr>
                <w:sz w:val="24"/>
                <w:szCs w:val="24"/>
                <w:color w:val="auto"/>
              </w:rPr>
            </w:pPr>
          </w:p>
        </w:tc>
        <w:tc>
          <w:tcPr>
            <w:tcW w:w="1160" w:type="dxa"/>
            <w:vAlign w:val="bottom"/>
          </w:tcPr>
          <w:p>
            <w:pPr>
              <w:jc w:val="right"/>
              <w:ind w:right="679"/>
              <w:spacing w:after="0"/>
              <w:rPr>
                <w:sz w:val="20"/>
                <w:szCs w:val="20"/>
                <w:color w:val="auto"/>
              </w:rPr>
            </w:pPr>
            <w:r>
              <w:rPr>
                <w:rFonts w:ascii="Courier New" w:cs="Courier New" w:eastAsia="Courier New" w:hAnsi="Courier New"/>
                <w:sz w:val="16"/>
                <w:szCs w:val="16"/>
                <w:color w:val="auto"/>
                <w:w w:val="98"/>
              </w:rPr>
              <w:t>76.9</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77.6</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76.9</w:t>
            </w:r>
          </w:p>
        </w:tc>
      </w:tr>
      <w:tr>
        <w:trPr>
          <w:trHeight w:val="186"/>
        </w:trPr>
        <w:tc>
          <w:tcPr>
            <w:tcW w:w="4700" w:type="dxa"/>
            <w:vAlign w:val="bottom"/>
          </w:tcPr>
          <w:p>
            <w:pPr>
              <w:spacing w:after="0"/>
              <w:rPr>
                <w:sz w:val="16"/>
                <w:szCs w:val="16"/>
                <w:color w:val="auto"/>
              </w:rPr>
            </w:pPr>
          </w:p>
        </w:tc>
        <w:tc>
          <w:tcPr>
            <w:tcW w:w="1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745"/>
        </w:trPr>
        <w:tc>
          <w:tcPr>
            <w:tcW w:w="7360" w:type="dxa"/>
            <w:vAlign w:val="bottom"/>
            <w:gridSpan w:val="4"/>
          </w:tcPr>
          <w:p>
            <w:pPr>
              <w:jc w:val="center"/>
              <w:ind w:left="399"/>
              <w:spacing w:after="0"/>
              <w:rPr>
                <w:sz w:val="20"/>
                <w:szCs w:val="20"/>
                <w:color w:val="auto"/>
              </w:rPr>
            </w:pPr>
            <w:r>
              <w:rPr>
                <w:rFonts w:ascii="Courier New" w:cs="Courier New" w:eastAsia="Courier New" w:hAnsi="Courier New"/>
                <w:sz w:val="16"/>
                <w:szCs w:val="16"/>
                <w:color w:val="auto"/>
              </w:rPr>
              <w:t>The accompanying notes to consolidated financial statements</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620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are an integral part of these statements.</w:t>
            </w: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932"/>
        </w:trPr>
        <w:tc>
          <w:tcPr>
            <w:tcW w:w="6200" w:type="dxa"/>
            <w:vAlign w:val="bottom"/>
            <w:gridSpan w:val="3"/>
          </w:tcPr>
          <w:p>
            <w:pPr>
              <w:jc w:val="center"/>
              <w:ind w:left="1559"/>
              <w:spacing w:after="0"/>
              <w:rPr>
                <w:sz w:val="20"/>
                <w:szCs w:val="20"/>
                <w:color w:val="auto"/>
              </w:rPr>
            </w:pPr>
            <w:r>
              <w:rPr>
                <w:rFonts w:ascii="Courier New" w:cs="Courier New" w:eastAsia="Courier New" w:hAnsi="Courier New"/>
                <w:sz w:val="16"/>
                <w:szCs w:val="16"/>
                <w:color w:val="auto"/>
              </w:rPr>
              <w:t>SUPPLEMENTAL SYSTEMWIDE INFORMATION (UNAUDITED)</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4700" w:type="dxa"/>
            <w:vAlign w:val="bottom"/>
          </w:tcPr>
          <w:p>
            <w:pPr>
              <w:jc w:val="center"/>
              <w:ind w:left="3079"/>
              <w:spacing w:after="0"/>
              <w:rPr>
                <w:sz w:val="20"/>
                <w:szCs w:val="20"/>
                <w:color w:val="auto"/>
              </w:rPr>
            </w:pPr>
            <w:r>
              <w:rPr>
                <w:rFonts w:ascii="Courier New" w:cs="Courier New" w:eastAsia="Courier New" w:hAnsi="Courier New"/>
                <w:sz w:val="16"/>
                <w:szCs w:val="16"/>
                <w:color w:val="auto"/>
              </w:rPr>
              <w:t>(IN MILLIONS)</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932"/>
        </w:trPr>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3 MONTHS ENDED</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1920" w:type="dxa"/>
            <w:vAlign w:val="bottom"/>
            <w:gridSpan w:val="3"/>
          </w:tcPr>
          <w:p>
            <w:pPr>
              <w:jc w:val="center"/>
              <w:ind w:right="499"/>
              <w:spacing w:after="0"/>
              <w:rPr>
                <w:sz w:val="20"/>
                <w:szCs w:val="20"/>
                <w:color w:val="auto"/>
              </w:rPr>
            </w:pPr>
            <w:r>
              <w:rPr>
                <w:rFonts w:ascii="Courier New" w:cs="Courier New" w:eastAsia="Courier New" w:hAnsi="Courier New"/>
                <w:sz w:val="16"/>
                <w:szCs w:val="16"/>
                <w:color w:val="auto"/>
              </w:rPr>
              <w:t>MONTHS ENDED</w:t>
            </w:r>
          </w:p>
        </w:tc>
      </w:tr>
      <w:tr>
        <w:trPr>
          <w:trHeight w:val="186"/>
        </w:trPr>
        <w:tc>
          <w:tcPr>
            <w:tcW w:w="4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2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JUNE 30,</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gridSpan w:val="2"/>
          </w:tcPr>
          <w:p>
            <w:pPr>
              <w:jc w:val="center"/>
              <w:ind w:left="199"/>
              <w:spacing w:after="0"/>
              <w:rPr>
                <w:sz w:val="20"/>
                <w:szCs w:val="20"/>
                <w:color w:val="auto"/>
              </w:rPr>
            </w:pPr>
            <w:r>
              <w:rPr>
                <w:rFonts w:ascii="Courier New" w:cs="Courier New" w:eastAsia="Courier New" w:hAnsi="Courier New"/>
                <w:sz w:val="16"/>
                <w:szCs w:val="16"/>
                <w:color w:val="auto"/>
              </w:rPr>
              <w:t>JUNE 30,</w:t>
            </w:r>
          </w:p>
        </w:tc>
        <w:tc>
          <w:tcPr>
            <w:tcW w:w="860" w:type="dxa"/>
            <w:vAlign w:val="bottom"/>
          </w:tcPr>
          <w:p>
            <w:pPr>
              <w:spacing w:after="0"/>
              <w:rPr>
                <w:sz w:val="16"/>
                <w:szCs w:val="16"/>
                <w:color w:val="auto"/>
              </w:rPr>
            </w:pPr>
          </w:p>
        </w:tc>
      </w:tr>
      <w:tr>
        <w:trPr>
          <w:trHeight w:val="186"/>
        </w:trPr>
        <w:tc>
          <w:tcPr>
            <w:tcW w:w="4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Courier New" w:cs="Courier New" w:eastAsia="Courier New" w:hAnsi="Courier New"/>
                <w:sz w:val="16"/>
                <w:szCs w:val="16"/>
                <w:color w:val="auto"/>
                <w:w w:val="92"/>
              </w:rPr>
              <w:t>--------------------------</w:t>
            </w:r>
          </w:p>
        </w:tc>
        <w:tc>
          <w:tcPr>
            <w:tcW w:w="3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2002</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6"/>
                <w:szCs w:val="16"/>
                <w:color w:val="auto"/>
              </w:rPr>
            </w:pPr>
          </w:p>
        </w:tc>
        <w:tc>
          <w:tcPr>
            <w:tcW w:w="150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2002</w:t>
            </w:r>
          </w:p>
        </w:tc>
        <w:tc>
          <w:tcPr>
            <w:tcW w:w="11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4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6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26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559"/>
        </w:trPr>
        <w:tc>
          <w:tcPr>
            <w:tcW w:w="4700" w:type="dxa"/>
            <w:vAlign w:val="bottom"/>
          </w:tcPr>
          <w:p>
            <w:pPr>
              <w:ind w:left="100"/>
              <w:spacing w:after="0"/>
              <w:rPr>
                <w:sz w:val="20"/>
                <w:szCs w:val="20"/>
                <w:color w:val="auto"/>
              </w:rPr>
            </w:pPr>
            <w:r>
              <w:rPr>
                <w:rFonts w:ascii="Courier New" w:cs="Courier New" w:eastAsia="Courier New" w:hAnsi="Courier New"/>
                <w:sz w:val="16"/>
                <w:szCs w:val="16"/>
                <w:color w:val="auto"/>
              </w:rPr>
              <w:t>Systemwide Sales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2,892.1</w:t>
            </w:r>
          </w:p>
        </w:tc>
        <w:tc>
          <w:tcPr>
            <w:tcW w:w="15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2,944.1</w:t>
            </w:r>
          </w:p>
        </w:tc>
        <w:tc>
          <w:tcPr>
            <w:tcW w:w="1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  5,432.1</w:t>
            </w:r>
          </w:p>
        </w:tc>
        <w:tc>
          <w:tcPr>
            <w:tcW w:w="3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5,955.2</w:t>
            </w:r>
          </w:p>
        </w:tc>
      </w:tr>
      <w:tr>
        <w:trPr>
          <w:trHeight w:val="186"/>
        </w:trPr>
        <w:tc>
          <w:tcPr>
            <w:tcW w:w="4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960" w:firstLine="872"/>
        <w:spacing w:after="0" w:line="248" w:lineRule="auto"/>
        <w:rPr>
          <w:sz w:val="20"/>
          <w:szCs w:val="20"/>
          <w:color w:val="auto"/>
        </w:rPr>
      </w:pPr>
      <w:r>
        <w:rPr>
          <w:rFonts w:ascii="Courier New" w:cs="Courier New" w:eastAsia="Courier New" w:hAnsi="Courier New"/>
          <w:sz w:val="16"/>
          <w:szCs w:val="16"/>
          <w:color w:val="auto"/>
        </w:rPr>
        <w:t>Systemwide information represents the total of Company-owned branches and franchises.</w:t>
      </w:r>
    </w:p>
    <w:p>
      <w:pPr>
        <w:spacing w:after="0" w:line="200" w:lineRule="exact"/>
        <w:rPr>
          <w:sz w:val="20"/>
          <w:szCs w:val="20"/>
          <w:color w:val="auto"/>
        </w:rPr>
      </w:pPr>
    </w:p>
    <w:p>
      <w:pPr>
        <w:spacing w:after="0" w:line="35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489" w:right="139" w:bottom="881" w:gutter="0" w:footer="0" w:header="0"/>
        </w:sectPr>
      </w:pPr>
    </w:p>
    <w:bookmarkStart w:id="5" w:name="page6"/>
    <w:bookmarkEnd w:id="5"/>
    <w:p>
      <w:pPr>
        <w:ind w:left="2420"/>
        <w:spacing w:after="0"/>
        <w:rPr>
          <w:sz w:val="20"/>
          <w:szCs w:val="20"/>
          <w:color w:val="auto"/>
        </w:rPr>
      </w:pPr>
      <w:r>
        <w:rPr>
          <w:rFonts w:ascii="Courier New" w:cs="Courier New" w:eastAsia="Courier New" w:hAnsi="Courier New"/>
          <w:sz w:val="16"/>
          <w:szCs w:val="16"/>
          <w:color w:val="auto"/>
        </w:rPr>
        <w:t>MANPOWER INC. AND SUBSIDIARIES</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15"/>
                <w:szCs w:val="15"/>
                <w:color w:val="auto"/>
              </w:rPr>
            </w:pP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6 MONTHS ENDED</w:t>
            </w:r>
          </w:p>
        </w:tc>
      </w:tr>
      <w:tr>
        <w:trPr>
          <w:trHeight w:val="186"/>
        </w:trPr>
        <w:tc>
          <w:tcPr>
            <w:tcW w:w="6100" w:type="dxa"/>
            <w:vAlign w:val="bottom"/>
          </w:tcPr>
          <w:p>
            <w:pPr>
              <w:spacing w:after="0"/>
              <w:rPr>
                <w:sz w:val="16"/>
                <w:szCs w:val="16"/>
                <w:color w:val="auto"/>
              </w:rPr>
            </w:pPr>
          </w:p>
        </w:tc>
        <w:tc>
          <w:tcPr>
            <w:tcW w:w="232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6100" w:type="dxa"/>
            <w:vAlign w:val="bottom"/>
          </w:tcPr>
          <w:p>
            <w:pPr>
              <w:spacing w:after="0"/>
              <w:rPr>
                <w:sz w:val="16"/>
                <w:szCs w:val="16"/>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2002</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Net earnings</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$ 32.6</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61.5</w:t>
            </w:r>
          </w:p>
        </w:tc>
      </w:tr>
      <w:tr>
        <w:trPr>
          <w:trHeight w:val="186"/>
        </w:trPr>
        <w:tc>
          <w:tcPr>
            <w:tcW w:w="6100" w:type="dxa"/>
            <w:vAlign w:val="bottom"/>
          </w:tcPr>
          <w:p>
            <w:pPr>
              <w:ind w:left="680"/>
              <w:spacing w:after="0"/>
              <w:rPr>
                <w:sz w:val="20"/>
                <w:szCs w:val="20"/>
                <w:color w:val="auto"/>
              </w:rPr>
            </w:pPr>
            <w:r>
              <w:rPr>
                <w:rFonts w:ascii="Courier New" w:cs="Courier New" w:eastAsia="Courier New" w:hAnsi="Courier New"/>
                <w:sz w:val="16"/>
                <w:szCs w:val="16"/>
                <w:color w:val="auto"/>
              </w:rPr>
              <w:t>Adjustments to reconcile net earnings to net cash</w:t>
            </w: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100" w:type="dxa"/>
            <w:vAlign w:val="bottom"/>
          </w:tcPr>
          <w:p>
            <w:pPr>
              <w:ind w:left="680"/>
              <w:spacing w:after="0"/>
              <w:rPr>
                <w:sz w:val="20"/>
                <w:szCs w:val="20"/>
                <w:color w:val="auto"/>
              </w:rPr>
            </w:pPr>
            <w:r>
              <w:rPr>
                <w:rFonts w:ascii="Courier New" w:cs="Courier New" w:eastAsia="Courier New" w:hAnsi="Courier New"/>
                <w:sz w:val="16"/>
                <w:szCs w:val="16"/>
                <w:color w:val="auto"/>
              </w:rPr>
              <w:t>provided by operating activities:</w:t>
            </w: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100" w:type="dxa"/>
            <w:vAlign w:val="bottom"/>
          </w:tcPr>
          <w:p>
            <w:pPr>
              <w:ind w:left="880"/>
              <w:spacing w:after="0"/>
              <w:rPr>
                <w:sz w:val="20"/>
                <w:szCs w:val="20"/>
                <w:color w:val="auto"/>
              </w:rPr>
            </w:pPr>
            <w:r>
              <w:rPr>
                <w:rFonts w:ascii="Courier New" w:cs="Courier New" w:eastAsia="Courier New" w:hAnsi="Courier New"/>
                <w:sz w:val="16"/>
                <w:szCs w:val="16"/>
                <w:color w:val="auto"/>
              </w:rPr>
              <w:t>Depreciation and amortization</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32.8</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37.1</w:t>
            </w:r>
          </w:p>
        </w:tc>
      </w:tr>
      <w:tr>
        <w:trPr>
          <w:trHeight w:val="186"/>
        </w:trPr>
        <w:tc>
          <w:tcPr>
            <w:tcW w:w="6100" w:type="dxa"/>
            <w:vAlign w:val="bottom"/>
          </w:tcPr>
          <w:p>
            <w:pPr>
              <w:ind w:left="880"/>
              <w:spacing w:after="0"/>
              <w:rPr>
                <w:sz w:val="20"/>
                <w:szCs w:val="20"/>
                <w:color w:val="auto"/>
              </w:rPr>
            </w:pPr>
            <w:r>
              <w:rPr>
                <w:rFonts w:ascii="Courier New" w:cs="Courier New" w:eastAsia="Courier New" w:hAnsi="Courier New"/>
                <w:sz w:val="16"/>
                <w:szCs w:val="16"/>
                <w:color w:val="auto"/>
              </w:rPr>
              <w:t>Deferred income taxes</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6"/>
        </w:trPr>
        <w:tc>
          <w:tcPr>
            <w:tcW w:w="6100" w:type="dxa"/>
            <w:vAlign w:val="bottom"/>
          </w:tcPr>
          <w:p>
            <w:pPr>
              <w:ind w:left="880"/>
              <w:spacing w:after="0"/>
              <w:rPr>
                <w:sz w:val="20"/>
                <w:szCs w:val="20"/>
                <w:color w:val="auto"/>
              </w:rPr>
            </w:pPr>
            <w:r>
              <w:rPr>
                <w:rFonts w:ascii="Courier New" w:cs="Courier New" w:eastAsia="Courier New" w:hAnsi="Courier New"/>
                <w:sz w:val="16"/>
                <w:szCs w:val="16"/>
                <w:color w:val="auto"/>
              </w:rPr>
              <w:t>Provision for doubtful accounts</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9.1</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10.1</w:t>
            </w:r>
          </w:p>
        </w:tc>
      </w:tr>
      <w:tr>
        <w:trPr>
          <w:trHeight w:val="186"/>
        </w:trPr>
        <w:tc>
          <w:tcPr>
            <w:tcW w:w="6100" w:type="dxa"/>
            <w:vAlign w:val="bottom"/>
          </w:tcPr>
          <w:p>
            <w:pPr>
              <w:ind w:left="8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100" w:type="dxa"/>
            <w:vAlign w:val="bottom"/>
          </w:tcPr>
          <w:p>
            <w:pPr>
              <w:ind w:left="1260"/>
              <w:spacing w:after="0"/>
              <w:rPr>
                <w:sz w:val="20"/>
                <w:szCs w:val="20"/>
                <w:color w:val="auto"/>
              </w:rPr>
            </w:pPr>
            <w:r>
              <w:rPr>
                <w:rFonts w:ascii="Courier New" w:cs="Courier New" w:eastAsia="Courier New" w:hAnsi="Courier New"/>
                <w:sz w:val="16"/>
                <w:szCs w:val="16"/>
                <w:color w:val="auto"/>
              </w:rPr>
              <w:t>Amounts advanced under the Receivables Facility</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(80.0)</w:t>
            </w:r>
          </w:p>
        </w:tc>
      </w:tr>
      <w:tr>
        <w:trPr>
          <w:trHeight w:val="186"/>
        </w:trPr>
        <w:tc>
          <w:tcPr>
            <w:tcW w:w="6100" w:type="dxa"/>
            <w:vAlign w:val="bottom"/>
          </w:tcPr>
          <w:p>
            <w:pPr>
              <w:ind w:left="1260"/>
              <w:spacing w:after="0"/>
              <w:rPr>
                <w:sz w:val="20"/>
                <w:szCs w:val="20"/>
                <w:color w:val="auto"/>
              </w:rPr>
            </w:pPr>
            <w:r>
              <w:rPr>
                <w:rFonts w:ascii="Courier New" w:cs="Courier New" w:eastAsia="Courier New" w:hAnsi="Courier New"/>
                <w:sz w:val="16"/>
                <w:szCs w:val="16"/>
                <w:color w:val="auto"/>
              </w:rPr>
              <w:t>Accounts receivable</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(146.4)</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28.3</w:t>
            </w:r>
          </w:p>
        </w:tc>
      </w:tr>
      <w:tr>
        <w:trPr>
          <w:trHeight w:val="186"/>
        </w:trPr>
        <w:tc>
          <w:tcPr>
            <w:tcW w:w="6100" w:type="dxa"/>
            <w:vAlign w:val="bottom"/>
          </w:tcPr>
          <w:p>
            <w:pPr>
              <w:ind w:left="1260"/>
              <w:spacing w:after="0"/>
              <w:rPr>
                <w:sz w:val="20"/>
                <w:szCs w:val="20"/>
                <w:color w:val="auto"/>
              </w:rPr>
            </w:pPr>
            <w:r>
              <w:rPr>
                <w:rFonts w:ascii="Courier New" w:cs="Courier New" w:eastAsia="Courier New" w:hAnsi="Courier New"/>
                <w:sz w:val="16"/>
                <w:szCs w:val="16"/>
                <w:color w:val="auto"/>
              </w:rPr>
              <w:t>Other assets</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(40.8)</w:t>
            </w:r>
          </w:p>
        </w:tc>
      </w:tr>
      <w:tr>
        <w:trPr>
          <w:trHeight w:val="186"/>
        </w:trPr>
        <w:tc>
          <w:tcPr>
            <w:tcW w:w="6100" w:type="dxa"/>
            <w:vAlign w:val="bottom"/>
          </w:tcPr>
          <w:p>
            <w:pPr>
              <w:ind w:left="1260"/>
              <w:spacing w:after="0"/>
              <w:rPr>
                <w:sz w:val="20"/>
                <w:szCs w:val="20"/>
                <w:color w:val="auto"/>
              </w:rPr>
            </w:pPr>
            <w:r>
              <w:rPr>
                <w:rFonts w:ascii="Courier New" w:cs="Courier New" w:eastAsia="Courier New" w:hAnsi="Courier New"/>
                <w:sz w:val="16"/>
                <w:szCs w:val="16"/>
                <w:color w:val="auto"/>
              </w:rPr>
              <w:t>Other liabilities</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88.3</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50.1</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ind w:left="100"/>
              <w:spacing w:after="0"/>
              <w:rPr>
                <w:sz w:val="20"/>
                <w:szCs w:val="20"/>
                <w:color w:val="auto"/>
              </w:rPr>
            </w:pPr>
            <w:r>
              <w:rPr>
                <w:rFonts w:ascii="Courier New" w:cs="Courier New" w:eastAsia="Courier New" w:hAnsi="Courier New"/>
                <w:sz w:val="16"/>
                <w:szCs w:val="16"/>
                <w:color w:val="auto"/>
              </w:rPr>
              <w:t>Cash provided by operating activities</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38.1</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62.1</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Capital expenditures</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(43.9)</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Acquisitions of businesses, net of cash acquired</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(29.6)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(96.1)</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Proceeds from the sale of property and equipment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used by investing activities</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(136.8)</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Net change in payables to banks</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(25.0)</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Proceeds from long-term debt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364.3</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220.4</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Repayment of long-term debt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(368.1)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(116.2)</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Proceeds from stock option and purchase plans</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26.1</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7.4</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Repurchase of common stock</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6"/>
        </w:trPr>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Dividends paid</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provided by financing activities</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5.1</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75.7</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245.8</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181.7</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$249.0</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$169.7</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559"/>
        </w:trPr>
        <w:tc>
          <w:tcPr>
            <w:tcW w:w="610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6100" w:type="dxa"/>
            <w:vAlign w:val="bottom"/>
          </w:tcPr>
          <w:p>
            <w:pPr>
              <w:ind w:left="380"/>
              <w:spacing w:after="0"/>
              <w:rPr>
                <w:sz w:val="20"/>
                <w:szCs w:val="20"/>
                <w:color w:val="auto"/>
              </w:rPr>
            </w:pPr>
            <w:r>
              <w:rPr>
                <w:rFonts w:ascii="Courier New" w:cs="Courier New" w:eastAsia="Courier New" w:hAnsi="Courier New"/>
                <w:sz w:val="16"/>
                <w:szCs w:val="16"/>
                <w:color w:val="auto"/>
              </w:rPr>
              <w:t>Interest paid</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$ 14.4</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$ 16.8</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ind w:left="380"/>
              <w:spacing w:after="0"/>
              <w:rPr>
                <w:sz w:val="20"/>
                <w:szCs w:val="20"/>
                <w:color w:val="auto"/>
              </w:rPr>
            </w:pPr>
            <w:r>
              <w:rPr>
                <w:rFonts w:ascii="Courier New" w:cs="Courier New" w:eastAsia="Courier New" w:hAnsi="Courier New"/>
                <w:sz w:val="16"/>
                <w:szCs w:val="16"/>
                <w:color w:val="auto"/>
              </w:rPr>
              <w:t>Income taxes paid</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$ 46.7</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$ 71.2</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840" w:right="3439" w:hanging="774"/>
        <w:spacing w:after="0" w:line="248"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35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89" w:right="1440" w:bottom="1440" w:gutter="0" w:footer="0" w:header="0"/>
        </w:sectPr>
      </w:pPr>
    </w:p>
    <w:bookmarkStart w:id="6" w:name="page7"/>
    <w:bookmarkEnd w:id="6"/>
    <w:p>
      <w:pPr>
        <w:jc w:val="center"/>
        <w:ind w:right="2459"/>
        <w:spacing w:after="0"/>
        <w:rPr>
          <w:sz w:val="20"/>
          <w:szCs w:val="20"/>
          <w:color w:val="auto"/>
        </w:rPr>
      </w:pPr>
      <w:r>
        <w:rPr>
          <w:rFonts w:ascii="Courier New" w:cs="Courier New" w:eastAsia="Courier New" w:hAnsi="Courier New"/>
          <w:sz w:val="16"/>
          <w:szCs w:val="16"/>
          <w:color w:val="auto"/>
        </w:rPr>
        <w:t>MANPOWER INC. AND SUBSIDIARIES</w:t>
      </w:r>
    </w:p>
    <w:p>
      <w:pPr>
        <w:spacing w:after="0" w:line="19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NOTES TO CONSOLIDATED FINANCIAL STATEMENTS (UNAUDITED)</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FOR THE SIX MONTHS ENDED JUNE 30, 2002 AND 2001</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2001 Annual Report to Shareholders.</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Debt</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Our unsecured zero-coupon convertible debentures, due August 17, 2021 ("Debentures"), allow holders of the Debentures to require us to repurchase these Debentures at the issue price, plus accreted original issue discount, on the first, third, fifth, tenth and fifteenth anniversary dates. We have the option to settle this obligation in cash, common stock, or a combination thereof. As indicated in our press release dated July 17, 2002, we have formally elected to settle any "put" on the first anniversary date in cash. Under the current economic environment, we do not anticipate that the Debentures will be "put" on the first anniversary date. However, if a "put" does become likely for a substantial amount of the Debentures, we may alter the terms of the agreement with the holders of the Debentures to prevent a "put." Our intent is to settle any future "put" in cash. In the event of a significant change in the economic environment, we may choose to settle a future "put" with common stock, which may have a dilutive effect on existing shareholders.</w:t>
      </w:r>
    </w:p>
    <w:p>
      <w:pPr>
        <w:spacing w:after="0" w:line="19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Due to our ability to refinance a portion of these Debentures on a long-term basis, in the event of a "put," under our existing credit facilities, $124.3 of the $246.3 carrying value has been classified as long term debt on June 30, 2002. Amounts available under our existing credit agreements are calculated using the period end foreign currency exchange rates, which are subject to change.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Acquisitions</w:t>
      </w:r>
    </w:p>
    <w:p>
      <w:pPr>
        <w:spacing w:after="0" w:line="191"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During the first half of 2002, we acquired certain companies, primarily U.S. franchises, and made other acquisition-related payments totaling $29.6, the majority of which was recorded as goodwill in the United States segment. In addition, during June 2002, we acquired an equity interest in one of our U.S. franchises in exchange for $15.0 of our common stock (approximately 390,000 shares).</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8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(4) Income Taxes</w:t>
      </w:r>
    </w:p>
    <w:p>
      <w:pPr>
        <w:spacing w:after="0" w:line="191"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We provided for income taxes during the second quarter of 2002 at a rate of 39.1%, which resulted in an income tax provision for the first half of 2002 of</w:t>
      </w:r>
    </w:p>
    <w:p>
      <w:pPr>
        <w:spacing w:after="0" w:line="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38.5%. Based on information currently available, we estimate that our annual effective tax rate will be 38.5%. This rate is higher than the U.S. Federal statutory rate of 35% due primarily to foreign repatriations and higher foreign tax rates. For the year ended December 31, 2001, excluding the effect of goodwill amortization, we provided for income taxes at 35.1%. The estimated effective tax rate for 2002 is higher than the 2001 rate due to changes in the mix of taxable income between countries and other permanent items.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Earnings Per Share</w:t>
      </w:r>
    </w:p>
    <w:p>
      <w:pPr>
        <w:spacing w:after="0" w:line="191"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The calculations of net earnings per share and net earnings per share - diluted are as follows:</w:t>
      </w:r>
    </w:p>
    <w:p>
      <w:pPr>
        <w:spacing w:after="0" w:line="200" w:lineRule="exact"/>
        <w:rPr>
          <w:sz w:val="20"/>
          <w:szCs w:val="20"/>
          <w:color w:val="auto"/>
        </w:rPr>
      </w:pPr>
    </w:p>
    <w:p>
      <w:pPr>
        <w:spacing w:after="0" w:line="357" w:lineRule="exact"/>
        <w:rPr>
          <w:sz w:val="20"/>
          <w:szCs w:val="20"/>
          <w:color w:val="auto"/>
        </w:rPr>
      </w:pPr>
    </w:p>
    <w:tbl>
      <w:tblPr>
        <w:tblLayout w:type="fixed"/>
        <w:tblInd w:w="380"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Courier New" w:cs="Courier New" w:eastAsia="Courier New" w:hAnsi="Courier New"/>
                <w:sz w:val="16"/>
                <w:szCs w:val="16"/>
                <w:color w:val="auto"/>
              </w:rPr>
              <w:t>3 MONTHS ENDED</w:t>
            </w:r>
          </w:p>
        </w:tc>
        <w:tc>
          <w:tcPr>
            <w:tcW w:w="34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Courier New" w:cs="Courier New" w:eastAsia="Courier New" w:hAnsi="Courier New"/>
                <w:sz w:val="16"/>
                <w:szCs w:val="16"/>
                <w:color w:val="auto"/>
              </w:rPr>
              <w:t>6 MONTHS ENDED</w:t>
            </w:r>
          </w:p>
        </w:tc>
      </w:tr>
      <w:tr>
        <w:trPr>
          <w:trHeight w:val="186"/>
        </w:trPr>
        <w:tc>
          <w:tcPr>
            <w:tcW w:w="4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80" w:type="dxa"/>
            <w:vAlign w:val="bottom"/>
            <w:gridSpan w:val="3"/>
          </w:tcPr>
          <w:p>
            <w:pPr>
              <w:jc w:val="right"/>
              <w:ind w:right="539"/>
              <w:spacing w:after="0"/>
              <w:rPr>
                <w:sz w:val="20"/>
                <w:szCs w:val="20"/>
                <w:color w:val="auto"/>
              </w:rPr>
            </w:pPr>
            <w:r>
              <w:rPr>
                <w:rFonts w:ascii="Courier New" w:cs="Courier New" w:eastAsia="Courier New" w:hAnsi="Courier New"/>
                <w:sz w:val="16"/>
                <w:szCs w:val="16"/>
                <w:color w:val="auto"/>
              </w:rPr>
              <w:t>JUNE 30,</w:t>
            </w:r>
          </w:p>
        </w:tc>
        <w:tc>
          <w:tcPr>
            <w:tcW w:w="340" w:type="dxa"/>
            <w:vAlign w:val="bottom"/>
          </w:tcPr>
          <w:p>
            <w:pPr>
              <w:spacing w:after="0"/>
              <w:rPr>
                <w:sz w:val="16"/>
                <w:szCs w:val="16"/>
                <w:color w:val="auto"/>
              </w:rPr>
            </w:pPr>
          </w:p>
        </w:tc>
        <w:tc>
          <w:tcPr>
            <w:tcW w:w="176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4800" w:type="dxa"/>
            <w:vAlign w:val="bottom"/>
          </w:tcPr>
          <w:p>
            <w:pPr>
              <w:spacing w:after="0"/>
              <w:rPr>
                <w:sz w:val="16"/>
                <w:szCs w:val="16"/>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4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34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Courier New" w:cs="Courier New" w:eastAsia="Courier New" w:hAnsi="Courier New"/>
                <w:sz w:val="16"/>
                <w:szCs w:val="16"/>
                <w:color w:val="auto"/>
                <w:w w:val="98"/>
              </w:rPr>
              <w:t>2001</w:t>
            </w:r>
          </w:p>
        </w:tc>
        <w:tc>
          <w:tcPr>
            <w:tcW w:w="34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34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2001</w:t>
            </w:r>
          </w:p>
        </w:tc>
      </w:tr>
      <w:tr>
        <w:trPr>
          <w:trHeight w:val="186"/>
        </w:trPr>
        <w:tc>
          <w:tcPr>
            <w:tcW w:w="4800" w:type="dxa"/>
            <w:vAlign w:val="bottom"/>
          </w:tcPr>
          <w:p>
            <w:pPr>
              <w:spacing w:after="0"/>
              <w:rPr>
                <w:sz w:val="16"/>
                <w:szCs w:val="16"/>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Net earnings per share:</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Net earnings available to common shareholders</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$ 25.7</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$ 34.6</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$ 32.6</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$ 61.5</w:t>
            </w: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common shares outstanding</w:t>
            </w:r>
          </w:p>
        </w:tc>
        <w:tc>
          <w:tcPr>
            <w:tcW w:w="5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75.9</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75.8</w:t>
            </w:r>
          </w:p>
        </w:tc>
        <w:tc>
          <w:tcPr>
            <w:tcW w:w="34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76.0</w:t>
            </w:r>
          </w:p>
        </w:tc>
        <w:tc>
          <w:tcPr>
            <w:tcW w:w="3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75.8</w:t>
            </w:r>
          </w:p>
        </w:tc>
      </w:tr>
      <w:tr>
        <w:trPr>
          <w:trHeight w:val="186"/>
        </w:trPr>
        <w:tc>
          <w:tcPr>
            <w:tcW w:w="480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w:t>
            </w:r>
          </w:p>
        </w:tc>
      </w:tr>
      <w:tr>
        <w:trPr>
          <w:trHeight w:val="186"/>
        </w:trPr>
        <w:tc>
          <w:tcPr>
            <w:tcW w:w="480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559"/>
        </w:trPr>
        <w:tc>
          <w:tcPr>
            <w:tcW w:w="4800" w:type="dxa"/>
            <w:vAlign w:val="bottom"/>
          </w:tcPr>
          <w:p>
            <w:pPr>
              <w:spacing w:after="0"/>
              <w:rPr>
                <w:sz w:val="20"/>
                <w:szCs w:val="20"/>
                <w:color w:val="auto"/>
              </w:rPr>
            </w:pPr>
            <w:r>
              <w:rPr>
                <w:rFonts w:ascii="Courier New" w:cs="Courier New" w:eastAsia="Courier New" w:hAnsi="Courier New"/>
                <w:sz w:val="16"/>
                <w:szCs w:val="16"/>
                <w:color w:val="auto"/>
              </w:rPr>
              <w:t>Net earnings per share - diluted:</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Net earnings available to common shareholders</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$ 25.7</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$ 34.6</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$ 32.6</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$ 61.5</w:t>
            </w:r>
          </w:p>
        </w:tc>
      </w:tr>
      <w:tr>
        <w:trPr>
          <w:trHeight w:val="373"/>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common shares outstanding</w:t>
            </w:r>
          </w:p>
        </w:tc>
        <w:tc>
          <w:tcPr>
            <w:tcW w:w="540" w:type="dxa"/>
            <w:vAlign w:val="bottom"/>
          </w:tcPr>
          <w:p>
            <w:pPr>
              <w:spacing w:after="0"/>
              <w:rPr>
                <w:sz w:val="24"/>
                <w:szCs w:val="24"/>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75.9</w:t>
            </w:r>
          </w:p>
        </w:tc>
        <w:tc>
          <w:tcPr>
            <w:tcW w:w="340" w:type="dxa"/>
            <w:vAlign w:val="bottom"/>
          </w:tcPr>
          <w:p>
            <w:pPr>
              <w:spacing w:after="0"/>
              <w:rPr>
                <w:sz w:val="24"/>
                <w:szCs w:val="24"/>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75.8</w:t>
            </w:r>
          </w:p>
        </w:tc>
        <w:tc>
          <w:tcPr>
            <w:tcW w:w="34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76.0</w:t>
            </w:r>
          </w:p>
        </w:tc>
        <w:tc>
          <w:tcPr>
            <w:tcW w:w="340" w:type="dxa"/>
            <w:vAlign w:val="bottom"/>
          </w:tcPr>
          <w:p>
            <w:pPr>
              <w:spacing w:after="0"/>
              <w:rPr>
                <w:sz w:val="24"/>
                <w:szCs w:val="24"/>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75.8</w:t>
            </w: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Dilutive effect of stock options</w:t>
            </w:r>
          </w:p>
        </w:tc>
        <w:tc>
          <w:tcPr>
            <w:tcW w:w="5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w:t>
            </w:r>
          </w:p>
        </w:tc>
        <w:tc>
          <w:tcPr>
            <w:tcW w:w="34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w:t>
            </w:r>
          </w:p>
        </w:tc>
        <w:tc>
          <w:tcPr>
            <w:tcW w:w="3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w:t>
            </w:r>
          </w:p>
        </w:tc>
      </w:tr>
      <w:tr>
        <w:trPr>
          <w:trHeight w:val="186"/>
        </w:trPr>
        <w:tc>
          <w:tcPr>
            <w:tcW w:w="480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77.5</w:t>
            </w:r>
          </w:p>
        </w:tc>
        <w:tc>
          <w:tcPr>
            <w:tcW w:w="34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76.9</w:t>
            </w:r>
          </w:p>
        </w:tc>
        <w:tc>
          <w:tcPr>
            <w:tcW w:w="340" w:type="dxa"/>
            <w:vAlign w:val="bottom"/>
          </w:tcPr>
          <w:p>
            <w:pPr>
              <w:spacing w:after="0"/>
              <w:rPr>
                <w:sz w:val="16"/>
                <w:szCs w:val="16"/>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77.6</w:t>
            </w:r>
          </w:p>
        </w:tc>
        <w:tc>
          <w:tcPr>
            <w:tcW w:w="3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76.9</w:t>
            </w:r>
          </w:p>
        </w:tc>
      </w:tr>
      <w:tr>
        <w:trPr>
          <w:trHeight w:val="186"/>
        </w:trPr>
        <w:tc>
          <w:tcPr>
            <w:tcW w:w="480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w:t>
            </w:r>
          </w:p>
        </w:tc>
      </w:tr>
      <w:tr>
        <w:trPr>
          <w:trHeight w:val="186"/>
        </w:trPr>
        <w:tc>
          <w:tcPr>
            <w:tcW w:w="4800" w:type="dxa"/>
            <w:vAlign w:val="bottom"/>
          </w:tcPr>
          <w:p>
            <w:pPr>
              <w:spacing w:after="0"/>
              <w:rPr>
                <w:sz w:val="16"/>
                <w:szCs w:val="16"/>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calculation of net earnings per share - diluted excludes shares related to stock options with exercise prices in excess of the average market price for the respective period. There were .0 and .9 such shares excluded from the calculation for the three months ended June 30, 2002 and 2001, respectively, and</w:t>
      </w:r>
    </w:p>
    <w:p>
      <w:pPr>
        <w:spacing w:after="0" w:line="2"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..1 and .8 such shares excluded from the calculation for the six months ended June 30, 2002 and 2001, respectively.</w:t>
      </w:r>
    </w:p>
    <w:p>
      <w:pPr>
        <w:spacing w:after="0" w:line="18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In addition, there were 6.1 shares of common stock that were contingently issuable under our Debentures for both the three- and six-month periods ended June 30, 2002. Such shares are excluded from the calculation of earnings per share - diluted based upon the terms of the Debentures and our intent to settle any potential "put" of the Debentures in cash.</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8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(6) Shareholders' Equity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income (loss) consists of the following: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60" w:type="dxa"/>
            <w:vAlign w:val="bottom"/>
          </w:tcPr>
          <w:p>
            <w:pPr>
              <w:spacing w:after="0"/>
              <w:rPr>
                <w:sz w:val="15"/>
                <w:szCs w:val="15"/>
                <w:color w:val="auto"/>
              </w:rPr>
            </w:pPr>
          </w:p>
        </w:tc>
        <w:tc>
          <w:tcPr>
            <w:tcW w:w="23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3 MONTHS ENDED</w:t>
            </w:r>
          </w:p>
        </w:tc>
        <w:tc>
          <w:tcPr>
            <w:tcW w:w="19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6 MONTHS ENDED</w:t>
            </w:r>
          </w:p>
        </w:tc>
      </w:tr>
      <w:tr>
        <w:trPr>
          <w:trHeight w:val="186"/>
        </w:trPr>
        <w:tc>
          <w:tcPr>
            <w:tcW w:w="6160" w:type="dxa"/>
            <w:vAlign w:val="bottom"/>
          </w:tcPr>
          <w:p>
            <w:pPr>
              <w:spacing w:after="0"/>
              <w:rPr>
                <w:sz w:val="16"/>
                <w:szCs w:val="16"/>
                <w:color w:val="auto"/>
              </w:rPr>
            </w:pPr>
          </w:p>
        </w:tc>
        <w:tc>
          <w:tcPr>
            <w:tcW w:w="236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JUNE 30,</w:t>
            </w:r>
          </w:p>
        </w:tc>
        <w:tc>
          <w:tcPr>
            <w:tcW w:w="194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6160" w:type="dxa"/>
            <w:vAlign w:val="bottom"/>
          </w:tcPr>
          <w:p>
            <w:pPr>
              <w:spacing w:after="0"/>
              <w:rPr>
                <w:sz w:val="16"/>
                <w:szCs w:val="16"/>
                <w:color w:val="auto"/>
              </w:rPr>
            </w:pPr>
          </w:p>
        </w:tc>
        <w:tc>
          <w:tcPr>
            <w:tcW w:w="2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16"/>
                <w:szCs w:val="16"/>
                <w:color w:val="auto"/>
              </w:rPr>
            </w:pP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2002</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2002</w:t>
            </w: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616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616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$25.7</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$34.6</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$32.6</w:t>
            </w: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$61.5</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Other comprehensive income (loss) - net of tax:</w:t>
            </w: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Foreign currency translation adjustments</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50.0</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(12.9)</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36.5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(50.5)</w:t>
            </w: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Unrealized gain (loss) on available for sale securities</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Unrealized gain (loss) on derivative financial</w:t>
            </w: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instruments</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6"/>
        </w:trPr>
        <w:tc>
          <w:tcPr>
            <w:tcW w:w="616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Comprehensive income (loss)</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$72.3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$25.2</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$65.3</w:t>
            </w: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$ 7.2</w:t>
            </w:r>
          </w:p>
        </w:tc>
      </w:tr>
      <w:tr>
        <w:trPr>
          <w:trHeight w:val="186"/>
        </w:trPr>
        <w:tc>
          <w:tcPr>
            <w:tcW w:w="616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700"/>
        <w:spacing w:after="0" w:line="248" w:lineRule="auto"/>
        <w:rPr>
          <w:sz w:val="20"/>
          <w:szCs w:val="20"/>
          <w:color w:val="auto"/>
        </w:rPr>
      </w:pPr>
      <w:r>
        <w:rPr>
          <w:rFonts w:ascii="Courier New" w:cs="Courier New" w:eastAsia="Courier New" w:hAnsi="Courier New"/>
          <w:sz w:val="16"/>
          <w:szCs w:val="16"/>
          <w:color w:val="auto"/>
        </w:rPr>
        <w:t>On April 30, 2002, the Board of Directors declared a cash dividend of $.10 per share which was paid on June 14, 2002 to shareholders of record on June 3, 2002.</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Interest and Other Expense (Income)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and other expense (income) consists of the following:</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80" w:type="dxa"/>
            <w:vAlign w:val="bottom"/>
          </w:tcPr>
          <w:p>
            <w:pPr>
              <w:spacing w:after="0"/>
              <w:rPr>
                <w:sz w:val="15"/>
                <w:szCs w:val="15"/>
                <w:color w:val="auto"/>
              </w:rPr>
            </w:pPr>
          </w:p>
        </w:tc>
        <w:tc>
          <w:tcPr>
            <w:tcW w:w="224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3 MONTHS ENDED</w:t>
            </w:r>
          </w:p>
        </w:tc>
        <w:tc>
          <w:tcPr>
            <w:tcW w:w="18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6 MONTHS ENDED</w:t>
            </w:r>
          </w:p>
        </w:tc>
      </w:tr>
      <w:tr>
        <w:trPr>
          <w:trHeight w:val="186"/>
        </w:trPr>
        <w:tc>
          <w:tcPr>
            <w:tcW w:w="3680" w:type="dxa"/>
            <w:vAlign w:val="bottom"/>
          </w:tcPr>
          <w:p>
            <w:pPr>
              <w:spacing w:after="0"/>
              <w:rPr>
                <w:sz w:val="16"/>
                <w:szCs w:val="16"/>
                <w:color w:val="auto"/>
              </w:rPr>
            </w:pPr>
          </w:p>
        </w:tc>
        <w:tc>
          <w:tcPr>
            <w:tcW w:w="22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JUNE 30,</w:t>
            </w:r>
          </w:p>
        </w:tc>
        <w:tc>
          <w:tcPr>
            <w:tcW w:w="184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3680" w:type="dxa"/>
            <w:vAlign w:val="bottom"/>
          </w:tcPr>
          <w:p>
            <w:pPr>
              <w:spacing w:after="0"/>
              <w:rPr>
                <w:sz w:val="16"/>
                <w:szCs w:val="16"/>
                <w:color w:val="auto"/>
              </w:rPr>
            </w:pPr>
          </w:p>
        </w:tc>
        <w:tc>
          <w:tcPr>
            <w:tcW w:w="22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2002</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2001</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2002</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368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$10.5</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$8.7</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$20.4</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$17.4</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Foreign exchange gains</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Loss on sale of accounts receivable</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Miscellaneous, net</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w:t>
            </w:r>
          </w:p>
        </w:tc>
      </w:tr>
      <w:tr>
        <w:trPr>
          <w:trHeight w:val="186"/>
        </w:trPr>
        <w:tc>
          <w:tcPr>
            <w:tcW w:w="368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ind w:left="380"/>
              <w:spacing w:after="0"/>
              <w:rPr>
                <w:sz w:val="20"/>
                <w:szCs w:val="20"/>
                <w:color w:val="auto"/>
              </w:rPr>
            </w:pPr>
            <w:r>
              <w:rPr>
                <w:rFonts w:ascii="Courier New" w:cs="Courier New" w:eastAsia="Courier New" w:hAnsi="Courier New"/>
                <w:sz w:val="16"/>
                <w:szCs w:val="16"/>
                <w:color w:val="auto"/>
              </w:rPr>
              <w:t>Total</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$ 9.6</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$8.6</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$17.6</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$18.8</w:t>
            </w:r>
          </w:p>
        </w:tc>
      </w:tr>
      <w:tr>
        <w:trPr>
          <w:trHeight w:val="186"/>
        </w:trPr>
        <w:tc>
          <w:tcPr>
            <w:tcW w:w="368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Goodwill and Other Intangible Assets</w:t>
      </w:r>
    </w:p>
    <w:p>
      <w:pPr>
        <w:spacing w:after="0" w:line="191" w:lineRule="exact"/>
        <w:rPr>
          <w:sz w:val="20"/>
          <w:szCs w:val="20"/>
          <w:color w:val="auto"/>
        </w:rPr>
      </w:pPr>
    </w:p>
    <w:p>
      <w:pPr>
        <w:ind w:right="3200"/>
        <w:spacing w:after="0" w:line="247" w:lineRule="auto"/>
        <w:rPr>
          <w:sz w:val="20"/>
          <w:szCs w:val="20"/>
          <w:color w:val="auto"/>
        </w:rPr>
      </w:pPr>
      <w:r>
        <w:rPr>
          <w:rFonts w:ascii="Courier New" w:cs="Courier New" w:eastAsia="Courier New" w:hAnsi="Courier New"/>
          <w:sz w:val="16"/>
          <w:szCs w:val="16"/>
          <w:color w:val="auto"/>
        </w:rPr>
        <w:t>During June 2001, the Financial Accounting Standards Board (`FASB') issued Statement of Financial Accounting Standards (`SFAS') No. 142, "Goodwill and Other Intangible Assets," which prohibits the amortization of goodwill or identifiable intangible assets with an indefinite life. We adopted this statement on January 1, 2002.</w:t>
      </w:r>
    </w:p>
    <w:p>
      <w:pPr>
        <w:spacing w:after="0" w:line="185" w:lineRule="exact"/>
        <w:rPr>
          <w:sz w:val="20"/>
          <w:szCs w:val="20"/>
          <w:color w:val="auto"/>
        </w:rPr>
      </w:pPr>
    </w:p>
    <w:p>
      <w:pPr>
        <w:ind w:right="2700"/>
        <w:spacing w:after="0" w:line="246" w:lineRule="auto"/>
        <w:rPr>
          <w:sz w:val="20"/>
          <w:szCs w:val="20"/>
          <w:color w:val="auto"/>
        </w:rPr>
      </w:pPr>
      <w:r>
        <w:rPr>
          <w:rFonts w:ascii="Courier New" w:cs="Courier New" w:eastAsia="Courier New" w:hAnsi="Courier New"/>
          <w:sz w:val="16"/>
          <w:szCs w:val="16"/>
          <w:color w:val="auto"/>
        </w:rPr>
        <w:t>This statement requires goodwill impairment reviews to be performed at least annually by applying a fair-value-based test at the reporting unit level, which generally represents operations one level below the segments that we report. The first step in this test is to compare each reporting unit's estimated fair value to its carrying value. If the reporting unit's estimated fair value is in excess of its carrying value, the test is complete and no impairment is recorded. However, if the reporting unit's estimated fair value is less than its carrying value, additional procedures are performed to determine if any impairment of goodwill exists. The calculation of estimated fair value required us to make estimates and assumptions about future operating results, which may differ from actual amounts. We have completed the first step of this test and have determined that there are no impairments.</w:t>
      </w:r>
    </w:p>
    <w:p>
      <w:pPr>
        <w:spacing w:after="0" w:line="200" w:lineRule="exact"/>
        <w:rPr>
          <w:sz w:val="20"/>
          <w:szCs w:val="20"/>
          <w:color w:val="auto"/>
        </w:rPr>
      </w:pPr>
    </w:p>
    <w:p>
      <w:pPr>
        <w:spacing w:after="0" w:line="36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460"/>
          </w:cols>
          <w:pgMar w:left="240" w:top="489" w:right="1199" w:bottom="1440" w:gutter="0" w:footer="0" w:header="0"/>
        </w:sectPr>
      </w:pPr>
    </w:p>
    <w:bookmarkStart w:id="9" w:name="page10"/>
    <w:bookmarkEnd w:id="9"/>
    <w:p>
      <w:pPr>
        <w:ind w:right="3280"/>
        <w:spacing w:after="0" w:line="248" w:lineRule="auto"/>
        <w:rPr>
          <w:sz w:val="20"/>
          <w:szCs w:val="20"/>
          <w:color w:val="auto"/>
        </w:rPr>
      </w:pPr>
      <w:r>
        <w:rPr>
          <w:rFonts w:ascii="Courier New" w:cs="Courier New" w:eastAsia="Courier New" w:hAnsi="Courier New"/>
          <w:sz w:val="16"/>
          <w:szCs w:val="16"/>
          <w:color w:val="auto"/>
        </w:rPr>
        <w:t>A summary of net earnings and net earnings per share, as if we had accounted for goodwill under SFAS No. 142 as of January 1, 2001, is as follows:</w:t>
      </w:r>
    </w:p>
    <w:p>
      <w:pPr>
        <w:spacing w:after="0" w:line="200" w:lineRule="exact"/>
        <w:rPr>
          <w:sz w:val="20"/>
          <w:szCs w:val="20"/>
          <w:color w:val="auto"/>
        </w:rPr>
      </w:pPr>
    </w:p>
    <w:p>
      <w:pPr>
        <w:spacing w:after="0" w:line="357" w:lineRule="exact"/>
        <w:rPr>
          <w:sz w:val="20"/>
          <w:szCs w:val="20"/>
          <w:color w:val="auto"/>
        </w:rPr>
      </w:pPr>
    </w:p>
    <w:tbl>
      <w:tblPr>
        <w:tblLayout w:type="fixed"/>
        <w:tblInd w:w="380"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80" w:type="dxa"/>
            <w:vAlign w:val="bottom"/>
            <w:gridSpan w:val="3"/>
          </w:tcPr>
          <w:p>
            <w:pPr>
              <w:jc w:val="center"/>
              <w:ind w:right="639"/>
              <w:spacing w:after="0"/>
              <w:rPr>
                <w:sz w:val="20"/>
                <w:szCs w:val="20"/>
                <w:color w:val="auto"/>
              </w:rPr>
            </w:pPr>
            <w:r>
              <w:rPr>
                <w:rFonts w:ascii="Courier New" w:cs="Courier New" w:eastAsia="Courier New" w:hAnsi="Courier New"/>
                <w:sz w:val="16"/>
                <w:szCs w:val="16"/>
                <w:color w:val="auto"/>
              </w:rPr>
              <w:t>3 MONTHS ENDED</w:t>
            </w:r>
          </w:p>
        </w:tc>
        <w:tc>
          <w:tcPr>
            <w:tcW w:w="4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6 MONTHS ENDED</w:t>
            </w:r>
          </w:p>
        </w:tc>
      </w:tr>
      <w:tr>
        <w:trPr>
          <w:trHeight w:val="186"/>
        </w:trPr>
        <w:tc>
          <w:tcPr>
            <w:tcW w:w="4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gridSpan w:val="2"/>
          </w:tcPr>
          <w:p>
            <w:pPr>
              <w:jc w:val="center"/>
              <w:ind w:left="199"/>
              <w:spacing w:after="0"/>
              <w:rPr>
                <w:sz w:val="20"/>
                <w:szCs w:val="20"/>
                <w:color w:val="auto"/>
              </w:rPr>
            </w:pPr>
            <w:r>
              <w:rPr>
                <w:rFonts w:ascii="Courier New" w:cs="Courier New" w:eastAsia="Courier New" w:hAnsi="Courier New"/>
                <w:sz w:val="16"/>
                <w:szCs w:val="16"/>
                <w:color w:val="auto"/>
              </w:rPr>
              <w:t>JUNE 30,</w:t>
            </w: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JUNE 30,</w:t>
            </w:r>
          </w:p>
        </w:tc>
        <w:tc>
          <w:tcPr>
            <w:tcW w:w="720" w:type="dxa"/>
            <w:vAlign w:val="bottom"/>
          </w:tcPr>
          <w:p>
            <w:pPr>
              <w:spacing w:after="0"/>
              <w:rPr>
                <w:sz w:val="16"/>
                <w:szCs w:val="16"/>
                <w:color w:val="auto"/>
              </w:rPr>
            </w:pPr>
          </w:p>
        </w:tc>
      </w:tr>
      <w:tr>
        <w:trPr>
          <w:trHeight w:val="186"/>
        </w:trPr>
        <w:tc>
          <w:tcPr>
            <w:tcW w:w="4800" w:type="dxa"/>
            <w:vAlign w:val="bottom"/>
          </w:tcPr>
          <w:p>
            <w:pPr>
              <w:spacing w:after="0"/>
              <w:rPr>
                <w:sz w:val="16"/>
                <w:szCs w:val="16"/>
                <w:color w:val="auto"/>
              </w:rPr>
            </w:pPr>
          </w:p>
        </w:tc>
        <w:tc>
          <w:tcPr>
            <w:tcW w:w="2000" w:type="dxa"/>
            <w:vAlign w:val="bottom"/>
            <w:gridSpan w:val="2"/>
          </w:tcPr>
          <w:p>
            <w:pPr>
              <w:ind w:left="740"/>
              <w:spacing w:after="0"/>
              <w:rPr>
                <w:sz w:val="20"/>
                <w:szCs w:val="20"/>
                <w:color w:val="auto"/>
              </w:rPr>
            </w:pPr>
            <w:r>
              <w:rPr>
                <w:rFonts w:ascii="Courier New" w:cs="Courier New" w:eastAsia="Courier New" w:hAnsi="Courier New"/>
                <w:sz w:val="11"/>
                <w:szCs w:val="11"/>
                <w:color w:val="auto"/>
                <w:w w:val="75"/>
              </w:rPr>
              <w:t>-------------------------</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3"/>
              </w:rPr>
              <w:t>2002</w:t>
            </w:r>
          </w:p>
        </w:tc>
        <w:tc>
          <w:tcPr>
            <w:tcW w:w="38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2001</w:t>
            </w:r>
          </w:p>
        </w:tc>
        <w:tc>
          <w:tcPr>
            <w:tcW w:w="440" w:type="dxa"/>
            <w:vAlign w:val="bottom"/>
          </w:tcPr>
          <w:p>
            <w:pPr>
              <w:spacing w:after="0"/>
              <w:rPr>
                <w:sz w:val="16"/>
                <w:szCs w:val="16"/>
                <w:color w:val="auto"/>
              </w:rPr>
            </w:pPr>
          </w:p>
        </w:tc>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2002</w:t>
            </w:r>
          </w:p>
        </w:tc>
        <w:tc>
          <w:tcPr>
            <w:tcW w:w="380" w:type="dxa"/>
            <w:vAlign w:val="bottom"/>
          </w:tcPr>
          <w:p>
            <w:pPr>
              <w:spacing w:after="0"/>
              <w:rPr>
                <w:sz w:val="16"/>
                <w:szCs w:val="16"/>
                <w:color w:val="auto"/>
              </w:rPr>
            </w:pPr>
          </w:p>
        </w:tc>
        <w:tc>
          <w:tcPr>
            <w:tcW w:w="7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4800" w:type="dxa"/>
            <w:vAlign w:val="bottom"/>
          </w:tcPr>
          <w:p>
            <w:pPr>
              <w:spacing w:after="0"/>
              <w:rPr>
                <w:sz w:val="16"/>
                <w:szCs w:val="16"/>
                <w:color w:val="auto"/>
              </w:rPr>
            </w:pPr>
          </w:p>
        </w:tc>
        <w:tc>
          <w:tcPr>
            <w:tcW w:w="200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Adjusted net earnings:</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6"/>
        </w:trPr>
        <w:tc>
          <w:tcPr>
            <w:tcW w:w="4800" w:type="dxa"/>
            <w:vAlign w:val="bottom"/>
          </w:tcPr>
          <w:p>
            <w:pPr>
              <w:ind w:left="400"/>
              <w:spacing w:after="0"/>
              <w:rPr>
                <w:sz w:val="20"/>
                <w:szCs w:val="20"/>
                <w:color w:val="auto"/>
              </w:rPr>
            </w:pPr>
            <w:r>
              <w:rPr>
                <w:rFonts w:ascii="Courier New" w:cs="Courier New" w:eastAsia="Courier New" w:hAnsi="Courier New"/>
                <w:sz w:val="16"/>
                <w:szCs w:val="16"/>
                <w:color w:val="auto"/>
              </w:rPr>
              <w:t>Reported net earnings</w:t>
            </w:r>
          </w:p>
        </w:tc>
        <w:tc>
          <w:tcPr>
            <w:tcW w:w="112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280"/>
              <w:spacing w:after="0"/>
              <w:rPr>
                <w:sz w:val="20"/>
                <w:szCs w:val="20"/>
                <w:color w:val="auto"/>
              </w:rPr>
            </w:pPr>
            <w:r>
              <w:rPr>
                <w:rFonts w:ascii="Courier New" w:cs="Courier New" w:eastAsia="Courier New" w:hAnsi="Courier New"/>
                <w:sz w:val="16"/>
                <w:szCs w:val="16"/>
                <w:color w:val="auto"/>
              </w:rPr>
              <w:t>25.7</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34.6</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32.6</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61.5</w:t>
            </w:r>
          </w:p>
        </w:tc>
      </w:tr>
      <w:tr>
        <w:trPr>
          <w:trHeight w:val="186"/>
        </w:trPr>
        <w:tc>
          <w:tcPr>
            <w:tcW w:w="4800" w:type="dxa"/>
            <w:vAlign w:val="bottom"/>
          </w:tcPr>
          <w:p>
            <w:pPr>
              <w:ind w:left="400"/>
              <w:spacing w:after="0"/>
              <w:rPr>
                <w:sz w:val="20"/>
                <w:szCs w:val="20"/>
                <w:color w:val="auto"/>
              </w:rPr>
            </w:pPr>
            <w:r>
              <w:rPr>
                <w:rFonts w:ascii="Courier New" w:cs="Courier New" w:eastAsia="Courier New" w:hAnsi="Courier New"/>
                <w:sz w:val="16"/>
                <w:szCs w:val="16"/>
                <w:color w:val="auto"/>
              </w:rPr>
              <w:t>Goodwill amortization, net of tax</w:t>
            </w:r>
          </w:p>
        </w:tc>
        <w:tc>
          <w:tcPr>
            <w:tcW w:w="1120" w:type="dxa"/>
            <w:vAlign w:val="bottom"/>
          </w:tcPr>
          <w:p>
            <w:pPr>
              <w:spacing w:after="0"/>
              <w:rPr>
                <w:sz w:val="16"/>
                <w:szCs w:val="16"/>
                <w:color w:val="auto"/>
              </w:rPr>
            </w:pPr>
          </w:p>
        </w:tc>
        <w:tc>
          <w:tcPr>
            <w:tcW w:w="880" w:type="dxa"/>
            <w:vAlign w:val="bottom"/>
          </w:tcPr>
          <w:p>
            <w:pPr>
              <w:jc w:val="center"/>
              <w:ind w:left="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w:t>
            </w:r>
          </w:p>
        </w:tc>
        <w:tc>
          <w:tcPr>
            <w:tcW w:w="44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6"/>
        </w:trPr>
        <w:tc>
          <w:tcPr>
            <w:tcW w:w="4800" w:type="dxa"/>
            <w:vAlign w:val="bottom"/>
          </w:tcPr>
          <w:p>
            <w:pPr>
              <w:spacing w:after="0"/>
              <w:rPr>
                <w:sz w:val="16"/>
                <w:szCs w:val="16"/>
                <w:color w:val="auto"/>
              </w:rPr>
            </w:pPr>
          </w:p>
        </w:tc>
        <w:tc>
          <w:tcPr>
            <w:tcW w:w="200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112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280"/>
              <w:spacing w:after="0"/>
              <w:rPr>
                <w:sz w:val="20"/>
                <w:szCs w:val="20"/>
                <w:color w:val="auto"/>
              </w:rPr>
            </w:pPr>
            <w:r>
              <w:rPr>
                <w:rFonts w:ascii="Courier New" w:cs="Courier New" w:eastAsia="Courier New" w:hAnsi="Courier New"/>
                <w:sz w:val="16"/>
                <w:szCs w:val="16"/>
                <w:color w:val="auto"/>
              </w:rPr>
              <w:t>25.7</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38.0</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32.6</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68.1</w:t>
            </w:r>
          </w:p>
        </w:tc>
      </w:tr>
      <w:tr>
        <w:trPr>
          <w:trHeight w:val="186"/>
        </w:trPr>
        <w:tc>
          <w:tcPr>
            <w:tcW w:w="4800" w:type="dxa"/>
            <w:vAlign w:val="bottom"/>
          </w:tcPr>
          <w:p>
            <w:pPr>
              <w:spacing w:after="0"/>
              <w:rPr>
                <w:sz w:val="16"/>
                <w:szCs w:val="16"/>
                <w:color w:val="auto"/>
              </w:rPr>
            </w:pPr>
          </w:p>
        </w:tc>
        <w:tc>
          <w:tcPr>
            <w:tcW w:w="200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Adjusted net earnings per share - basic:</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6"/>
        </w:trPr>
        <w:tc>
          <w:tcPr>
            <w:tcW w:w="4800" w:type="dxa"/>
            <w:vAlign w:val="bottom"/>
          </w:tcPr>
          <w:p>
            <w:pPr>
              <w:ind w:left="400"/>
              <w:spacing w:after="0"/>
              <w:rPr>
                <w:sz w:val="20"/>
                <w:szCs w:val="20"/>
                <w:color w:val="auto"/>
              </w:rPr>
            </w:pPr>
            <w:r>
              <w:rPr>
                <w:rFonts w:ascii="Courier New" w:cs="Courier New" w:eastAsia="Courier New" w:hAnsi="Courier New"/>
                <w:sz w:val="16"/>
                <w:szCs w:val="16"/>
                <w:color w:val="auto"/>
              </w:rPr>
              <w:t>Reported net earnings</w:t>
            </w:r>
          </w:p>
        </w:tc>
        <w:tc>
          <w:tcPr>
            <w:tcW w:w="112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left="99"/>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.43</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r>
        <w:trPr>
          <w:trHeight w:val="186"/>
        </w:trPr>
        <w:tc>
          <w:tcPr>
            <w:tcW w:w="4800" w:type="dxa"/>
            <w:vAlign w:val="bottom"/>
          </w:tcPr>
          <w:p>
            <w:pPr>
              <w:ind w:left="400"/>
              <w:spacing w:after="0"/>
              <w:rPr>
                <w:sz w:val="20"/>
                <w:szCs w:val="20"/>
                <w:color w:val="auto"/>
              </w:rPr>
            </w:pPr>
            <w:r>
              <w:rPr>
                <w:rFonts w:ascii="Courier New" w:cs="Courier New" w:eastAsia="Courier New" w:hAnsi="Courier New"/>
                <w:sz w:val="16"/>
                <w:szCs w:val="16"/>
                <w:color w:val="auto"/>
              </w:rPr>
              <w:t>Goodwill amortization, net of tax</w:t>
            </w:r>
          </w:p>
        </w:tc>
        <w:tc>
          <w:tcPr>
            <w:tcW w:w="1120" w:type="dxa"/>
            <w:vAlign w:val="bottom"/>
          </w:tcPr>
          <w:p>
            <w:pPr>
              <w:spacing w:after="0"/>
              <w:rPr>
                <w:sz w:val="16"/>
                <w:szCs w:val="16"/>
                <w:color w:val="auto"/>
              </w:rPr>
            </w:pPr>
          </w:p>
        </w:tc>
        <w:tc>
          <w:tcPr>
            <w:tcW w:w="880" w:type="dxa"/>
            <w:vAlign w:val="bottom"/>
          </w:tcPr>
          <w:p>
            <w:pPr>
              <w:jc w:val="center"/>
              <w:ind w:left="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.04</w:t>
            </w:r>
          </w:p>
        </w:tc>
        <w:tc>
          <w:tcPr>
            <w:tcW w:w="44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r>
      <w:tr>
        <w:trPr>
          <w:trHeight w:val="186"/>
        </w:trPr>
        <w:tc>
          <w:tcPr>
            <w:tcW w:w="4800" w:type="dxa"/>
            <w:vAlign w:val="bottom"/>
          </w:tcPr>
          <w:p>
            <w:pPr>
              <w:spacing w:after="0"/>
              <w:rPr>
                <w:sz w:val="16"/>
                <w:szCs w:val="16"/>
                <w:color w:val="auto"/>
              </w:rPr>
            </w:pPr>
          </w:p>
        </w:tc>
        <w:tc>
          <w:tcPr>
            <w:tcW w:w="200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112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left="99"/>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.43</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6"/>
        </w:trPr>
        <w:tc>
          <w:tcPr>
            <w:tcW w:w="4800" w:type="dxa"/>
            <w:vAlign w:val="bottom"/>
          </w:tcPr>
          <w:p>
            <w:pPr>
              <w:spacing w:after="0"/>
              <w:rPr>
                <w:sz w:val="16"/>
                <w:szCs w:val="16"/>
                <w:color w:val="auto"/>
              </w:rPr>
            </w:pPr>
          </w:p>
        </w:tc>
        <w:tc>
          <w:tcPr>
            <w:tcW w:w="200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Adjusted net earnings per share - diluted:</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6"/>
        </w:trPr>
        <w:tc>
          <w:tcPr>
            <w:tcW w:w="4800" w:type="dxa"/>
            <w:vAlign w:val="bottom"/>
          </w:tcPr>
          <w:p>
            <w:pPr>
              <w:ind w:left="400"/>
              <w:spacing w:after="0"/>
              <w:rPr>
                <w:sz w:val="20"/>
                <w:szCs w:val="20"/>
                <w:color w:val="auto"/>
              </w:rPr>
            </w:pPr>
            <w:r>
              <w:rPr>
                <w:rFonts w:ascii="Courier New" w:cs="Courier New" w:eastAsia="Courier New" w:hAnsi="Courier New"/>
                <w:sz w:val="16"/>
                <w:szCs w:val="16"/>
                <w:color w:val="auto"/>
              </w:rPr>
              <w:t>Reported net earnings</w:t>
            </w:r>
          </w:p>
        </w:tc>
        <w:tc>
          <w:tcPr>
            <w:tcW w:w="112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left="99"/>
              <w:spacing w:after="0"/>
              <w:rPr>
                <w:sz w:val="20"/>
                <w:szCs w:val="20"/>
                <w:color w:val="auto"/>
              </w:rPr>
            </w:pPr>
            <w:r>
              <w:rPr>
                <w:rFonts w:ascii="Courier New" w:cs="Courier New" w:eastAsia="Courier New" w:hAnsi="Courier New"/>
                <w:sz w:val="16"/>
                <w:szCs w:val="16"/>
                <w:color w:val="auto"/>
              </w:rPr>
              <w:t>.33</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.45</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.42</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6"/>
        </w:trPr>
        <w:tc>
          <w:tcPr>
            <w:tcW w:w="4800" w:type="dxa"/>
            <w:vAlign w:val="bottom"/>
          </w:tcPr>
          <w:p>
            <w:pPr>
              <w:ind w:left="400"/>
              <w:spacing w:after="0"/>
              <w:rPr>
                <w:sz w:val="20"/>
                <w:szCs w:val="20"/>
                <w:color w:val="auto"/>
              </w:rPr>
            </w:pPr>
            <w:r>
              <w:rPr>
                <w:rFonts w:ascii="Courier New" w:cs="Courier New" w:eastAsia="Courier New" w:hAnsi="Courier New"/>
                <w:sz w:val="16"/>
                <w:szCs w:val="16"/>
                <w:color w:val="auto"/>
              </w:rPr>
              <w:t>Goodwill amortization, net of tax</w:t>
            </w:r>
          </w:p>
        </w:tc>
        <w:tc>
          <w:tcPr>
            <w:tcW w:w="1120" w:type="dxa"/>
            <w:vAlign w:val="bottom"/>
          </w:tcPr>
          <w:p>
            <w:pPr>
              <w:spacing w:after="0"/>
              <w:rPr>
                <w:sz w:val="16"/>
                <w:szCs w:val="16"/>
                <w:color w:val="auto"/>
              </w:rPr>
            </w:pPr>
          </w:p>
        </w:tc>
        <w:tc>
          <w:tcPr>
            <w:tcW w:w="880" w:type="dxa"/>
            <w:vAlign w:val="bottom"/>
          </w:tcPr>
          <w:p>
            <w:pPr>
              <w:jc w:val="center"/>
              <w:ind w:left="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.04</w:t>
            </w:r>
          </w:p>
        </w:tc>
        <w:tc>
          <w:tcPr>
            <w:tcW w:w="440" w:type="dxa"/>
            <w:vAlign w:val="bottom"/>
          </w:tcPr>
          <w:p>
            <w:pPr>
              <w:spacing w:after="0"/>
              <w:rPr>
                <w:sz w:val="16"/>
                <w:szCs w:val="16"/>
                <w:color w:val="auto"/>
              </w:rPr>
            </w:pPr>
          </w:p>
        </w:tc>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r>
      <w:tr>
        <w:trPr>
          <w:trHeight w:val="186"/>
        </w:trPr>
        <w:tc>
          <w:tcPr>
            <w:tcW w:w="4800" w:type="dxa"/>
            <w:vAlign w:val="bottom"/>
          </w:tcPr>
          <w:p>
            <w:pPr>
              <w:spacing w:after="0"/>
              <w:rPr>
                <w:sz w:val="16"/>
                <w:szCs w:val="16"/>
                <w:color w:val="auto"/>
              </w:rPr>
            </w:pPr>
          </w:p>
        </w:tc>
        <w:tc>
          <w:tcPr>
            <w:tcW w:w="200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112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280"/>
              <w:spacing w:after="0"/>
              <w:rPr>
                <w:sz w:val="20"/>
                <w:szCs w:val="20"/>
                <w:color w:val="auto"/>
              </w:rPr>
            </w:pPr>
            <w:r>
              <w:rPr>
                <w:rFonts w:ascii="Courier New" w:cs="Courier New" w:eastAsia="Courier New" w:hAnsi="Courier New"/>
                <w:sz w:val="16"/>
                <w:szCs w:val="16"/>
                <w:color w:val="auto"/>
              </w:rPr>
              <w:t>.33</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.49</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.42</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6"/>
        </w:trPr>
        <w:tc>
          <w:tcPr>
            <w:tcW w:w="4800" w:type="dxa"/>
            <w:vAlign w:val="bottom"/>
          </w:tcPr>
          <w:p>
            <w:pPr>
              <w:spacing w:after="0"/>
              <w:rPr>
                <w:sz w:val="16"/>
                <w:szCs w:val="16"/>
                <w:color w:val="auto"/>
              </w:rPr>
            </w:pPr>
          </w:p>
        </w:tc>
        <w:tc>
          <w:tcPr>
            <w:tcW w:w="200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040"/>
          </w:cols>
          <w:pgMar w:left="240" w:top="489" w:right="619" w:bottom="1440" w:gutter="0" w:footer="0" w:header="0"/>
        </w:sectPr>
      </w:pPr>
    </w:p>
    <w:bookmarkStart w:id="10" w:name="page11"/>
    <w:bookmarkEnd w:id="10"/>
    <w:p>
      <w:pPr>
        <w:ind w:left="1"/>
        <w:spacing w:after="0"/>
        <w:rPr>
          <w:sz w:val="20"/>
          <w:szCs w:val="20"/>
          <w:color w:val="auto"/>
        </w:rPr>
      </w:pPr>
      <w:r>
        <w:rPr>
          <w:rFonts w:ascii="Courier New" w:cs="Courier New" w:eastAsia="Courier New" w:hAnsi="Courier New"/>
          <w:sz w:val="16"/>
          <w:szCs w:val="16"/>
          <w:color w:val="auto"/>
        </w:rPr>
        <w:t>(9) Segment Information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Segment information is as follows:</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40" w:type="dxa"/>
            <w:vAlign w:val="bottom"/>
            <w:gridSpan w:val="3"/>
          </w:tcPr>
          <w:p>
            <w:pPr>
              <w:jc w:val="right"/>
              <w:ind w:right="559"/>
              <w:spacing w:after="0"/>
              <w:rPr>
                <w:sz w:val="20"/>
                <w:szCs w:val="20"/>
                <w:color w:val="auto"/>
              </w:rPr>
            </w:pPr>
            <w:r>
              <w:rPr>
                <w:rFonts w:ascii="Courier New" w:cs="Courier New" w:eastAsia="Courier New" w:hAnsi="Courier New"/>
                <w:sz w:val="16"/>
                <w:szCs w:val="16"/>
                <w:color w:val="auto"/>
              </w:rPr>
              <w:t>3 MONTHS ENDED</w:t>
            </w:r>
          </w:p>
        </w:tc>
        <w:tc>
          <w:tcPr>
            <w:tcW w:w="340" w:type="dxa"/>
            <w:vAlign w:val="bottom"/>
          </w:tcPr>
          <w:p>
            <w:pPr>
              <w:spacing w:after="0"/>
              <w:rPr>
                <w:sz w:val="15"/>
                <w:szCs w:val="15"/>
                <w:color w:val="auto"/>
              </w:rPr>
            </w:pPr>
          </w:p>
        </w:tc>
        <w:tc>
          <w:tcPr>
            <w:tcW w:w="212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6 MONTHS ENDED</w:t>
            </w:r>
          </w:p>
        </w:tc>
      </w:tr>
      <w:tr>
        <w:trPr>
          <w:trHeight w:val="186"/>
        </w:trPr>
        <w:tc>
          <w:tcPr>
            <w:tcW w:w="3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780" w:type="dxa"/>
            <w:vAlign w:val="bottom"/>
          </w:tcPr>
          <w:p>
            <w:pPr>
              <w:spacing w:after="0"/>
              <w:rPr>
                <w:sz w:val="16"/>
                <w:szCs w:val="16"/>
                <w:color w:val="auto"/>
              </w:rPr>
            </w:pPr>
          </w:p>
        </w:tc>
      </w:tr>
      <w:tr>
        <w:trPr>
          <w:trHeight w:val="186"/>
        </w:trPr>
        <w:tc>
          <w:tcPr>
            <w:tcW w:w="3480" w:type="dxa"/>
            <w:vAlign w:val="bottom"/>
          </w:tcPr>
          <w:p>
            <w:pPr>
              <w:spacing w:after="0"/>
              <w:rPr>
                <w:sz w:val="16"/>
                <w:szCs w:val="16"/>
                <w:color w:val="auto"/>
              </w:rPr>
            </w:pPr>
          </w:p>
        </w:tc>
        <w:tc>
          <w:tcPr>
            <w:tcW w:w="2680" w:type="dxa"/>
            <w:vAlign w:val="bottom"/>
            <w:gridSpan w:val="4"/>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420" w:type="dxa"/>
            <w:vAlign w:val="bottom"/>
          </w:tcPr>
          <w:p>
            <w:pPr>
              <w:spacing w:after="0"/>
              <w:rPr>
                <w:sz w:val="16"/>
                <w:szCs w:val="16"/>
                <w:color w:val="auto"/>
              </w:rPr>
            </w:pPr>
          </w:p>
        </w:tc>
        <w:tc>
          <w:tcPr>
            <w:tcW w:w="84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8"/>
              </w:rPr>
              <w:t>2001</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420" w:type="dxa"/>
            <w:vAlign w:val="bottom"/>
          </w:tcPr>
          <w:p>
            <w:pPr>
              <w:spacing w:after="0"/>
              <w:rPr>
                <w:sz w:val="16"/>
                <w:szCs w:val="16"/>
                <w:color w:val="auto"/>
              </w:rPr>
            </w:pPr>
          </w:p>
        </w:tc>
        <w:tc>
          <w:tcPr>
            <w:tcW w:w="78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2001</w:t>
            </w:r>
          </w:p>
        </w:tc>
      </w:tr>
      <w:tr>
        <w:trPr>
          <w:trHeight w:val="186"/>
        </w:trPr>
        <w:tc>
          <w:tcPr>
            <w:tcW w:w="3480" w:type="dxa"/>
            <w:vAlign w:val="bottom"/>
          </w:tcPr>
          <w:p>
            <w:pPr>
              <w:spacing w:after="0"/>
              <w:rPr>
                <w:sz w:val="16"/>
                <w:szCs w:val="16"/>
                <w:color w:val="auto"/>
              </w:rPr>
            </w:pPr>
          </w:p>
        </w:tc>
        <w:tc>
          <w:tcPr>
            <w:tcW w:w="14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48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United States  (a)</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474.9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523.5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903.6</w:t>
            </w:r>
          </w:p>
        </w:tc>
        <w:tc>
          <w:tcPr>
            <w:tcW w:w="1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$1,069.8</w:t>
            </w: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France</w:t>
            </w:r>
          </w:p>
        </w:tc>
        <w:tc>
          <w:tcPr>
            <w:tcW w:w="5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943.3</w:t>
            </w:r>
          </w:p>
        </w:tc>
        <w:tc>
          <w:tcPr>
            <w:tcW w:w="4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948.6</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1,710.4</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1,887.8</w:t>
            </w: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United Kingdom</w:t>
            </w:r>
          </w:p>
        </w:tc>
        <w:tc>
          <w:tcPr>
            <w:tcW w:w="5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332.4</w:t>
            </w:r>
          </w:p>
        </w:tc>
        <w:tc>
          <w:tcPr>
            <w:tcW w:w="4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369.6</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654.6</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750.5</w:t>
            </w: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Other Europe</w:t>
            </w:r>
          </w:p>
        </w:tc>
        <w:tc>
          <w:tcPr>
            <w:tcW w:w="5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497.7</w:t>
            </w:r>
          </w:p>
        </w:tc>
        <w:tc>
          <w:tcPr>
            <w:tcW w:w="4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475.3</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939.7</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974.6</w:t>
            </w: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Other Operations (b)</w:t>
            </w:r>
          </w:p>
        </w:tc>
        <w:tc>
          <w:tcPr>
            <w:tcW w:w="5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354.6</w:t>
            </w:r>
          </w:p>
        </w:tc>
        <w:tc>
          <w:tcPr>
            <w:tcW w:w="4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303.1</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678.6</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589.3</w:t>
            </w:r>
          </w:p>
        </w:tc>
      </w:tr>
      <w:tr>
        <w:trPr>
          <w:trHeight w:val="186"/>
        </w:trPr>
        <w:tc>
          <w:tcPr>
            <w:tcW w:w="3480" w:type="dxa"/>
            <w:vAlign w:val="bottom"/>
          </w:tcPr>
          <w:p>
            <w:pPr>
              <w:spacing w:after="0"/>
              <w:rPr>
                <w:sz w:val="16"/>
                <w:szCs w:val="16"/>
                <w:color w:val="auto"/>
              </w:rPr>
            </w:pP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80" w:type="dxa"/>
            <w:vAlign w:val="bottom"/>
          </w:tcPr>
          <w:p>
            <w:pPr>
              <w:spacing w:after="0"/>
              <w:rPr>
                <w:sz w:val="16"/>
                <w:szCs w:val="16"/>
                <w:color w:val="auto"/>
              </w:rPr>
            </w:pP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$2,602.9</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$2,620.1</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$4,886.9</w:t>
            </w:r>
          </w:p>
        </w:tc>
        <w:tc>
          <w:tcPr>
            <w:tcW w:w="1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$5,272.0</w:t>
            </w:r>
          </w:p>
        </w:tc>
      </w:tr>
      <w:tr>
        <w:trPr>
          <w:trHeight w:val="186"/>
        </w:trPr>
        <w:tc>
          <w:tcPr>
            <w:tcW w:w="3480" w:type="dxa"/>
            <w:vAlign w:val="bottom"/>
          </w:tcPr>
          <w:p>
            <w:pPr>
              <w:spacing w:after="0"/>
              <w:rPr>
                <w:sz w:val="16"/>
                <w:szCs w:val="16"/>
                <w:color w:val="auto"/>
              </w:rPr>
            </w:pP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480" w:type="dxa"/>
            <w:vAlign w:val="bottom"/>
          </w:tcPr>
          <w:p>
            <w:pPr>
              <w:spacing w:after="0"/>
              <w:rPr>
                <w:sz w:val="20"/>
                <w:szCs w:val="20"/>
                <w:color w:val="auto"/>
              </w:rPr>
            </w:pPr>
            <w:r>
              <w:rPr>
                <w:rFonts w:ascii="Courier New" w:cs="Courier New" w:eastAsia="Courier New" w:hAnsi="Courier New"/>
                <w:sz w:val="16"/>
                <w:szCs w:val="16"/>
                <w:color w:val="auto"/>
              </w:rPr>
              <w:t>Operating Unit Profit:</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United States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w:t>
            </w: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France</w:t>
            </w:r>
          </w:p>
        </w:tc>
        <w:tc>
          <w:tcPr>
            <w:tcW w:w="5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32.7</w:t>
            </w:r>
          </w:p>
        </w:tc>
        <w:tc>
          <w:tcPr>
            <w:tcW w:w="4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35.4</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54.9</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61.7</w:t>
            </w: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United Kingdom</w:t>
            </w:r>
          </w:p>
        </w:tc>
        <w:tc>
          <w:tcPr>
            <w:tcW w:w="5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w:t>
            </w:r>
          </w:p>
        </w:tc>
        <w:tc>
          <w:tcPr>
            <w:tcW w:w="4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10.2</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7.5</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w:t>
            </w: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Other Europe</w:t>
            </w:r>
          </w:p>
        </w:tc>
        <w:tc>
          <w:tcPr>
            <w:tcW w:w="5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15.6</w:t>
            </w:r>
          </w:p>
        </w:tc>
        <w:tc>
          <w:tcPr>
            <w:tcW w:w="4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17.7</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26.1</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37.0</w:t>
            </w: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Other Operations</w:t>
            </w:r>
          </w:p>
        </w:tc>
        <w:tc>
          <w:tcPr>
            <w:tcW w:w="5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w:t>
            </w:r>
          </w:p>
        </w:tc>
        <w:tc>
          <w:tcPr>
            <w:tcW w:w="4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w:t>
            </w:r>
          </w:p>
        </w:tc>
        <w:tc>
          <w:tcPr>
            <w:tcW w:w="34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w:t>
            </w:r>
          </w:p>
        </w:tc>
      </w:tr>
      <w:tr>
        <w:trPr>
          <w:trHeight w:val="186"/>
        </w:trPr>
        <w:tc>
          <w:tcPr>
            <w:tcW w:w="3480" w:type="dxa"/>
            <w:vAlign w:val="bottom"/>
          </w:tcPr>
          <w:p>
            <w:pPr>
              <w:spacing w:after="0"/>
              <w:rPr>
                <w:sz w:val="16"/>
                <w:szCs w:val="16"/>
                <w:color w:val="auto"/>
              </w:rPr>
            </w:pP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62.5</w:t>
            </w:r>
          </w:p>
        </w:tc>
        <w:tc>
          <w:tcPr>
            <w:tcW w:w="4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76.6</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91.7</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142.0</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Corporate expenses</w:t>
            </w:r>
          </w:p>
        </w:tc>
        <w:tc>
          <w:tcPr>
            <w:tcW w:w="5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10.6</w:t>
            </w:r>
          </w:p>
        </w:tc>
        <w:tc>
          <w:tcPr>
            <w:tcW w:w="4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21.1</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19.6</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Amortization of intangible assets</w:t>
            </w:r>
          </w:p>
        </w:tc>
        <w:tc>
          <w:tcPr>
            <w:tcW w:w="5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w:t>
            </w:r>
          </w:p>
        </w:tc>
        <w:tc>
          <w:tcPr>
            <w:tcW w:w="4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Interest and other expense</w:t>
            </w:r>
          </w:p>
        </w:tc>
        <w:tc>
          <w:tcPr>
            <w:tcW w:w="5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9.6</w:t>
            </w:r>
          </w:p>
        </w:tc>
        <w:tc>
          <w:tcPr>
            <w:tcW w:w="42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8.6</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17.6</w:t>
            </w:r>
          </w:p>
        </w:tc>
        <w:tc>
          <w:tcPr>
            <w:tcW w:w="4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18.8</w:t>
            </w:r>
          </w:p>
        </w:tc>
      </w:tr>
      <w:tr>
        <w:trPr>
          <w:trHeight w:val="186"/>
        </w:trPr>
        <w:tc>
          <w:tcPr>
            <w:tcW w:w="3480" w:type="dxa"/>
            <w:vAlign w:val="bottom"/>
          </w:tcPr>
          <w:p>
            <w:pPr>
              <w:spacing w:after="0"/>
              <w:rPr>
                <w:sz w:val="16"/>
                <w:szCs w:val="16"/>
                <w:color w:val="auto"/>
              </w:rPr>
            </w:pP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480" w:type="dxa"/>
            <w:vAlign w:val="bottom"/>
          </w:tcPr>
          <w:p>
            <w:pPr>
              <w:ind w:left="380"/>
              <w:spacing w:after="0"/>
              <w:rPr>
                <w:sz w:val="20"/>
                <w:szCs w:val="20"/>
                <w:color w:val="auto"/>
              </w:rPr>
            </w:pPr>
            <w:r>
              <w:rPr>
                <w:rFonts w:ascii="Courier New" w:cs="Courier New" w:eastAsia="Courier New" w:hAnsi="Courier New"/>
                <w:sz w:val="16"/>
                <w:szCs w:val="16"/>
                <w:color w:val="auto"/>
              </w:rPr>
              <w:t>Earnings before income taxes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52.9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96.0</w:t>
            </w:r>
          </w:p>
        </w:tc>
      </w:tr>
      <w:tr>
        <w:trPr>
          <w:trHeight w:val="186"/>
        </w:trPr>
        <w:tc>
          <w:tcPr>
            <w:tcW w:w="3480" w:type="dxa"/>
            <w:vAlign w:val="bottom"/>
          </w:tcPr>
          <w:p>
            <w:pPr>
              <w:spacing w:after="0"/>
              <w:rPr>
                <w:sz w:val="16"/>
                <w:szCs w:val="16"/>
                <w:color w:val="auto"/>
              </w:rPr>
            </w:pP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1741" w:right="2459" w:hanging="869"/>
        <w:spacing w:after="0" w:line="247" w:lineRule="auto"/>
        <w:tabs>
          <w:tab w:leader="none" w:pos="17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Systemwide sales in the United States, which includes sales of Company-owned branches and franchises, were $721.4 and $801.5 for the three months ended June 30, 2002 and 2001, respectively, and $1,378.3 and $1,663.0 for the six months ended June 30, 2002 and 2001, respectively.</w:t>
      </w:r>
    </w:p>
    <w:p>
      <w:pPr>
        <w:spacing w:after="0" w:line="185" w:lineRule="exact"/>
        <w:rPr>
          <w:rFonts w:ascii="Courier New" w:cs="Courier New" w:eastAsia="Courier New" w:hAnsi="Courier New"/>
          <w:sz w:val="16"/>
          <w:szCs w:val="16"/>
          <w:color w:val="auto"/>
        </w:rPr>
      </w:pPr>
    </w:p>
    <w:p>
      <w:pPr>
        <w:jc w:val="both"/>
        <w:ind w:left="1741" w:right="2459" w:hanging="869"/>
        <w:spacing w:after="0" w:line="247" w:lineRule="auto"/>
        <w:tabs>
          <w:tab w:leader="none" w:pos="17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segment, formerly Other Countries, has been renamed Other Operations to more properly reflect the makeup of the segment. There was no change to the historical makeup of the segment.</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Receivable Securitization</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Subsequent to June 30, 2002, we extended our Receivables Facility to expire in July 2003 and this agreement may be extended further with the financial institution's consent. There were no other significant changes made to the terms of this agreement.</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0"/>
          </w:cols>
          <w:pgMar w:left="239" w:top="489" w:right="1440" w:bottom="1440" w:gutter="0" w:footer="0" w:header="0"/>
        </w:sectPr>
      </w:pPr>
    </w:p>
    <w:bookmarkStart w:id="11" w:name="page12"/>
    <w:bookmarkEnd w:id="11"/>
    <w:p>
      <w:pPr>
        <w:ind w:left="880" w:right="2459" w:hanging="871"/>
        <w:spacing w:after="0" w:line="248" w:lineRule="auto"/>
        <w:rPr>
          <w:sz w:val="20"/>
          <w:szCs w:val="20"/>
          <w:color w:val="auto"/>
        </w:rPr>
      </w:pPr>
      <w:r>
        <w:rPr>
          <w:rFonts w:ascii="Courier New" w:cs="Courier New" w:eastAsia="Courier New" w:hAnsi="Courier New"/>
          <w:sz w:val="16"/>
          <w:szCs w:val="16"/>
          <w:color w:val="auto"/>
        </w:rPr>
        <w:t>Item 2 -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Operating Results - Three Months Ended June 30, 2002 and 2001</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Revenues decreased .7% to $2,602.9 million for the second quarter of 2002 from the same period in 2001. Revenues were favorably impacted by changes in foreign currency exchange rates during the second quarter of 2002 compared to 2001 due to the weakening of the U.S. dollar relative to the currencies in most of our non-U.S. markets. At constant exchange rates, revenues would have decreased 3.3%. On an organic constant currency basis, revenues declined 5.7% in the second quarter of 2002 compared to 2001.</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Gross profit decreased 4.4% to $467.6 million for the second quarter of 2002 compared to 2001. Gross profit margin decreased 70 basis points (.7%) from the second quarter of 2001 to 18.0% in 2002. This decrease was attributable to a number of factors including an increase in social costs in the United States and France, and an unfavorable change in business mix and pricing pressures experienced throughout the world. On an organic constant currency basis, gross profit decreased 11.4% in the second quarter of 2002 compared to 2001. Acquisitions had a 40 basis point (.4%) favorable impact on the gross profit margin in the second quarter of 2002.</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Selling and administrative expenses, excluding goodwill amortization during the second quarter of 2001, decreased 1.6% to $415.8 million in the second quarter of 2002. As a percent of revenues, excluding goodwill amortization in 2001, selling and administrative expenses were 16.0% in the second quarter of 2002 compared to 16.1% in the second quarter of 2001. The decrease in expense levels and the improved expense trend are the result of our cost control initiatives implemented in all countries during the past year and the leveraging impact of our increasing revenue levels throughout 2002. As a percent of gross profit, excluding goodwill amortization in 2001, selling and administrative expenses were 88.9% in the second quarter of 2002 compared to 86.4% in the second quarter of 2001. These trends are a result of the lower gross profit levels.</w:t>
      </w:r>
    </w:p>
    <w:p>
      <w:pPr>
        <w:spacing w:after="0" w:line="193"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Operating profit decreased 17.4% for the second quarter of 2002 compared to 2001 and operating profit, as a percent of revenues, was 2.0% and 2.4% for 2002 and 2001, respectively. Excluding goodwill amortization in 2001, operating profit decreased 22.1% from 2001 (26.8% on a constant currency basis). This decrease was primarily due to the decline in the gross profit margin levels in 2002 compared to 2001. On an organic constant currency basis, excluding goodwill amortization in 2001, operating profit decreased 28.6% in the second quarter of 2002 compared to 2001.</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Interest and other expense increased $1.0 million from the second quarter of 2001 to $9.6 million in the second quarter of 2002. Net interest expense, including the loss on sale of accounts receivable, was $8.5 million in the second quarter of 2002 compared to $8.0 million in the second quarter of 2001. This increase is primarily due to higher borrowing levels resulting from acquisitions made over the past year. These higher borrowing levels are somewhat offset by lower interest rate levels. Miscellaneous expenses, net, also increased $.5 million from 2001 to 2002.</w:t>
      </w:r>
    </w:p>
    <w:p>
      <w:pPr>
        <w:spacing w:after="0" w:line="191"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We provided for income taxes during the second quarter of 2002 at a rate of 39.1%, which resulted in an income tax provision for the first half of 2002 of</w:t>
      </w:r>
    </w:p>
    <w:p>
      <w:pPr>
        <w:spacing w:after="0" w:line="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38.5%. Based on information currently available, we estimate that our annual effective tax rate will be 38.5%. This rate is higher than the U.S. Federal statutory rate of 35% due primarily to foreign repatriations and higher foreign tax rates. For the year ended December 31, 2001, excluding the effect of goodwill amortization, we provided for income taxes at 35.1%. The estimated effective tax rate for 2002 is higher than the 2001 rate due to changes in the mix of taxable income between countries and other permanent items.</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89" w:right="1440" w:bottom="1440" w:gutter="0" w:footer="0" w:header="0"/>
        </w:sectPr>
      </w:pPr>
    </w:p>
    <w:bookmarkStart w:id="12" w:name="page13"/>
    <w:bookmarkEnd w:id="12"/>
    <w:p>
      <w:pPr>
        <w:ind w:right="2759"/>
        <w:spacing w:after="0" w:line="247" w:lineRule="auto"/>
        <w:rPr>
          <w:sz w:val="20"/>
          <w:szCs w:val="20"/>
          <w:color w:val="auto"/>
        </w:rPr>
      </w:pPr>
      <w:r>
        <w:rPr>
          <w:rFonts w:ascii="Courier New" w:cs="Courier New" w:eastAsia="Courier New" w:hAnsi="Courier New"/>
          <w:sz w:val="16"/>
          <w:szCs w:val="16"/>
          <w:color w:val="auto"/>
        </w:rPr>
        <w:t>On a diluted basis, net earnings per share was $.33 in the second quarter of 2002 compared to $.45 in the second quarter of 2001. The diluted net earnings per share for the second quarter of 2002 compared to 2001 was positively impacted by $.03 due to changes in foreign currency exchange rates. Excluding the effect of goodwill amortization during the second quarter of 2001, net earnings per share on a diluted basis, was $.49.</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Operating Results - Six Months Ended June 30, 2002 and 2001</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Revenues decreased 7.3% to $4,886.9 million for the first six months of 2002 compared to the same period in 2001. At constant foreign currency exchange rates, revenues would have decreased 6.8%. An unfavorable impact from changes in exchange rates experienced during the first quarter of 2002 was offset by a favorable impact experienced during the second quarter of 2002. On an organic constant currency basis, revenues declined 9.3% in the first half of 2002 compared to 2001.</w:t>
      </w:r>
    </w:p>
    <w:p>
      <w:pPr>
        <w:spacing w:after="0" w:line="18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Gross profit decreased 9.3% to $882.4 million for the first six months of 2002 compared to 2001. Gross profit margin decreased 40 basis points (.4%) from the first six months of 2001 to 18.1% in 2002. The gross profit margin gains experienced during the first quarter of 2002 compared to 2001 were offset by margin declines experienced during the second quarter of 2002. On an organic constant currency basis, gross profit decreased 13.2% in the first half of 2002 compared to 2001 and the gross profit margin in 2002 was 17.7%, excluding acquisitions.</w:t>
      </w:r>
    </w:p>
    <w:p>
      <w:pPr>
        <w:spacing w:after="0" w:line="191"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Selling and administrative expenses, excluding goodwill amortization during the first half of 2001, decreased 4.6% to $811.9 million in the first half of 2002. As a percent of revenues, excluding goodwill amortization in 2001, selling and administrative expenses were 16.6% in the first half of 2002 compared to 16.1% in the first half of 2001. As a percent of gross profit, excluding goodwill amortization in 2001, selling and administrative expenses were 92.0% and 87.4% in the first half of 2002 and 2001, respectively. This increase in the expense ratios is due primarily to the results of the first quarter of 2002, which reflected the continued deleveraging of business, caused by the lower revenue levels. In the second quarter of 2002, we experienced increasing revenue levels along with continued cost control, resulting in improved expense ratios.</w:t>
      </w:r>
    </w:p>
    <w:p>
      <w:pPr>
        <w:spacing w:after="0" w:line="193"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Operating profit decreased 38.6% for the first half of 2002 compared to 2001 and operating profit, as a percent of revenues, was 1.4% and 2.2% for 2002 and 2001, respectively. Excluding goodwill amortization in 2001, operating profit decreased 42.4% from 2001 (43.7% on a constant currency basis). This decrease was due to lower gross profit levels in 2002 compared to 2001 coupled with the deleveraging experienced during the first three months of 2002 due to the lower revenue levels. On an organic constant currency basis, excluding goodwill amortization in 2001, operating profit decreased 44.5% in the first half of 2002 compared to 2001.</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Interest and other expense decreased $1.2 million from the first six months of 2001 to $17.6 million in the first six months of 2002. Net interest expense, including the loss on sale of accounts receivable, was $15.9 million in the first six months of 2002 compared to $16.4 million in the first six months of 2001. This decrease is primarily due to lower interest rates during 2002, offset somewhat by higher borrowing levels resulting from acquisitions made over the prior year. Translation gains were $.7 million during the first half of 2002 compared to $.2 million in 2001.</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We provided for income taxes during the first half of 2002 at a rate of 38.5%. Based on information currently available, we estimate that our annual effective tax rate will be 38.5%. This rate is higher than the U.S. Federal statutory rate of 35% due primarily to foreign repatriations and higher foreign tax rates. For the year ended December 31, 2001, excluding the effect of goodwill amortization, we provided for income taxes at 35.1%. The estimated effective tax rate for 2002 is higher than the 2001 rate due to changes in the mix of taxable income between countries and other permanent items.</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89" w:right="1440" w:bottom="1440" w:gutter="0" w:footer="0" w:header="0"/>
        </w:sectPr>
      </w:pPr>
    </w:p>
    <w:bookmarkStart w:id="13" w:name="page14"/>
    <w:bookmarkEnd w:id="13"/>
    <w:p>
      <w:pPr>
        <w:ind w:right="2559"/>
        <w:spacing w:after="0" w:line="247" w:lineRule="auto"/>
        <w:rPr>
          <w:sz w:val="20"/>
          <w:szCs w:val="20"/>
          <w:color w:val="auto"/>
        </w:rPr>
      </w:pPr>
      <w:r>
        <w:rPr>
          <w:rFonts w:ascii="Courier New" w:cs="Courier New" w:eastAsia="Courier New" w:hAnsi="Courier New"/>
          <w:sz w:val="16"/>
          <w:szCs w:val="16"/>
          <w:color w:val="auto"/>
        </w:rPr>
        <w:t>On a diluted basis, net earnings per share was $.42 in the first half of 2002 compared to $.80 in the first half of 2001. The diluted net earnings per share for the first half of 2002 compared to 2001 was positively impacted by $.02 due to changes in foreign currency exchange rates. Excluding the effect of goodwill amortization during the first half of 2001, net earnings per share on a diluted basis, was $.89.</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We currently account for all of our fixed stock option plans and the 1990 Employee Stock Purchase Plan in accordance with APB Opinion No. 25 and related Interpretations. Accordingly, no compensation cost related to these plans has been charged to earnings. If we had determined compensation cost consistent with the method of SFAS No. 123, our reported net earnings per share, on a diluted basis, was $.32 and $.40 for the second quarter and first half of 2002, respectively.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Operating Results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United States experienced a decrease in revenues of 9.3% for the second quarter of 2002 compared to 2001 due to lower customer demand resulting from the economic slowdown. However, year-over-year revenue growth trends, especially in the Light Industrial sector, continued to improve throughout the period. Franchise acquisitions had a positive impact on revenue variances. Excluding these acquisitions, revenues declined 12.7% from the second quarter of 2001. For the first six months of 2002 compared to 2001, revenues decreased 15.5%, or 18.6% excluding acquisitions.</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Operating unit profit (`OUP'), as a percent of revenues, in the United States was 1.7% and 2.3% for the second quarter of 2002 and 2001, respectively, and .4% and 1.9% for the first six months of 2002 and 2001, respectively. The year-over-year OUP percentage decline in the second quarter was mainly due to lower gross profit levels. The decrease in OUP percentage for the six-month period was primarily due to the deleveraging experienced by the lower revenue levels.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 France, on a local currency basis, revenues contracted 5.6% during the second quarter of 2002 compared to 2001 due to lower customer demand resulting from the economic slowdown. This decline is an improvement from the first quarter of 2002, where revenues, on a local currency basis, declined 14.1% compared to the first quarter of 2001. Revenues, on a local currency basis, for the first six months of 2002 compared to 2001 were down 9.8%.</w:t>
      </w:r>
    </w:p>
    <w:p>
      <w:pPr>
        <w:spacing w:after="0" w:line="18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During the second quarter of 2002 and 2001, OUP, as a percent of revenues, in France was 3.5% and 3.7% respectively. Year-over-year gross profit margin decreases were largely offset by the effect of continued cost control efforts. OUP, as a percent of revenue, for the first half of 2002 was relatively consistent with that experienced in 2001.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91"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United Kingdom revenues during the second quarter of 2002, on a constant currency basis, were 12.8% below the second quarter of 2001, which represents the continued lower demand for workers in the United Kingdom. On a constant currency basis, revenues decreased 13.1% during the first six months of 2002 compared to 2001. During the second quarter of 2002, there was a reduction in contact center business with three of our more significant customers in the United Kingdom, causing part of the year-over-year revenue decline.</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In the United Kingdom, OUP as a percent of revenues, for the second quarter of 2002 was 1.3% compared to 2.7% in 2001. The decrease was a direct result of the lower gross profit levels. In the first half of 2002, OUP as a percent of revenues, was 1.1% compared to 2.7% for 2001.</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8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Other Europe</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 Other Europe, revenues, on a constant currency basis, during the second quarter of 2002 were consistent with that of the same period in 2001. During the second quarter of 2002, we experienced positive year-over-year growth in southern Europe, offset by continued negative variances in central and northern Europe. During the first six months of 2002 compared to 2001, revenues, on a constant currency basis, decreased 3.5%.</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OUP, as a percent of revenues, in Other Europe was 3.1% and 3.7% for the second quarter of 2002 and 2001, respectively, and 2.8% and 3.8% for the first six months of 2002 and 2001, respectively. The year-over-year OUP percentage decrease is mainly a result of lower gross profit levels, as we had higher revenue growth in the countries with lower gross profit margins. This decline was partially offset by lower selling and administrative expenses as a result of our cost control efforts.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Operations</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Revenues of Other Operations increased 21.0%, on a constant currency basis, during the second quarter of 2002 compared to 2001. Although recent acquisitions accounted for a majority of the increase, Other Operations posted organic revenue growth of 6.8% in constant currency. Revenues increased 21.5%, on a constant currency basis, during the first six months of 2002 compared to 2001, 5.2% of which was organic.</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In Other Operations, OUP as a percent of revenues, for the second quarter of 2002 was .4%, which is consistent with that of the prior year. In the first six months of 2002 and 2001, the OUP percentage was 0% and .5%, respectively. The impact of higher gross profit acquisitions has been offset by continued investments in this segment.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June 30, 2002</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The consolidated operating results for the second quarter of 2002 include the impact of recent acquisitions. Revenue growth in the period attributable to acquisitions was less than 2.5% of consolidated revenues, and gross margin improvement attributable to these acquisitions was 40 basis points (.4%). These acquisitions contributed less than 2.5% of the consolidated operating profit.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 June 30, 2002</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The consolidated operating results for the first six months of 2002 include the impact of recent acquisitions. Revenue growth in the period attributable to acquisitions was less than 3% of consolidated revenues, and these acquisitions accounted for 40 basis points (.4%) of gross margin improvement. These acquisitions contributed less than 1.5% of the consolidated operating profit.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March 31, 2002</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consolidated operating results for the first quarter of 2002 include the impact of recent acquisitions. Revenue growth in the quarter attributable to acquisitions was approximately 3.0% of consolidated revenues. These acquisitions accounted for 40 basis points (.4%) of gross margin improvement, however there was no significant impact on operating profit.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8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Cash provided by operating activities was $38.1 million in the first six months of 2002 compared to $62.1 million for the same period in 2001. Excluding the changes in amounts advanced under the Receivables Facility, cash used by changes in working capital requirements was $38.8 million for the first half of 2002 compared to $37.6 million in cash provided during 2001. This change is primarily a result of higher accounts receivable balances in 2002 compared to 2001 due to the change in revenue growth trends, offset by a one day reduction in Days Sales Outstanding (`DSO'). Cash provided by operating activities before changes in working capital requirements was $76.9 million and $104.5 million in the first half of 2002 and 2001, respectively. This decrease is a result of lower earnings levels in 2002.</w:t>
      </w:r>
    </w:p>
    <w:p>
      <w:pPr>
        <w:spacing w:after="0" w:line="193" w:lineRule="exact"/>
        <w:rPr>
          <w:sz w:val="20"/>
          <w:szCs w:val="20"/>
          <w:color w:val="auto"/>
        </w:rPr>
      </w:pPr>
    </w:p>
    <w:p>
      <w:pPr>
        <w:ind w:right="2759"/>
        <w:spacing w:after="0" w:line="246" w:lineRule="auto"/>
        <w:rPr>
          <w:sz w:val="20"/>
          <w:szCs w:val="20"/>
          <w:color w:val="auto"/>
        </w:rPr>
      </w:pPr>
      <w:r>
        <w:rPr>
          <w:rFonts w:ascii="Courier New" w:cs="Courier New" w:eastAsia="Courier New" w:hAnsi="Courier New"/>
          <w:sz w:val="16"/>
          <w:szCs w:val="16"/>
          <w:color w:val="auto"/>
        </w:rPr>
        <w:t>Capital expenditures were $31.0 million in the first half of 2002 compared to $43.9 million during the first half of 2001. In general, expenditures during</w:t>
      </w:r>
    </w:p>
    <w:p>
      <w:pPr>
        <w:spacing w:after="0" w:line="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2002 were lower than 2001 levels due to fewer new office openings as a result of the economic slowdown. These expenditures were primarily comprised of purchases of computer equipment, office furniture and other costs related to office openings and refurbishments, as well as capitalized software costs.</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During the first half of 2002, we acquired certain companies, primarily U.S. franchises, and made other acquisition-related payments totaling $29.6 million. In addition, during June 2002, we acquired an equity interest in one of our U.S. franchises in exchange for $15.0 million of our common stock (approximately 390,000 shares).</w:t>
      </w:r>
    </w:p>
    <w:p>
      <w:pPr>
        <w:spacing w:after="0" w:line="18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Net cash provided by borrowings was $17.3 million and $79.2 million in the six months of 2002 and 2001, respectively. This decrease relates to the decreased level of capital expenditures and acquisitions. The amounts shown as Proceeds from long-term debt and Repayment of long-term debt relate primarily to commercial paper borrowings.</w:t>
      </w:r>
    </w:p>
    <w:p>
      <w:pPr>
        <w:spacing w:after="0" w:line="18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As of June 30, 2002, we had aggregate commitments related to debt and operating leases that totaled $1.2 billion. We had $1.1 billion in aggregate commitments related to debt, operating leases and the forward repurchase agreement as of December 31, 2001. This increase was due primarily to an increase in foreign currency exchange rates over the respective period. During March 2002, we repurchased the remaining 900,000 shares of common stock under the forward repurchase agreement at a cost of $30.7 million. No further obligations exist under this agreement.</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Accounts receivable increased to $2,226.8 million at June 30, 2002 from $1,917.8 million at December 31, 2001. Changes in foreign currency exchange rates during the first half of 2002 increased the receivable balance by approximately $163 million. The remaining increase is a result of higher business volume. There were no amounts advanced under the Receivables Facility as of June 30, 2002, or December 31, 2001. As of June 30, 2001, there was $65.0 million advanced under this facility.</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As of June 30, 2002, we had borrowings of $197.1 million and letters of credit of $71.5 million outstanding under our $450.0 million five-year credit facility, and borrowings of $57.1 million outstanding under our U.S. commercial paper program. Commercial paper borrowings, which are backed by the five-year credit facility, have been classified as long-term debt due to the availability to refinance them on a long-term basis under this facility.</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Our $450.0 million five-year credit facility and $300.0 million 364-day revolving credit facility require, among other things, that we comply with a Debt-to-EBITDA ratio of less than 3.75 to 1 throughout 2002 (less than 3.25 to 1 beginning in March 2003) and a fixed charge ratio of greater than 2.00 to 1. As defined in the agreement, we had a Debt-to-EBITDA ratio of 3.52 to 1 and a fixed charge ratio of 2.22 to 1 as of June 30, 2002. Based upon our forecasts for the remainder of the year, we believe we will remain in compliance with these covenants.</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89" w:right="1440" w:bottom="1440" w:gutter="0" w:footer="0" w:header="0"/>
        </w:sectPr>
      </w:pPr>
    </w:p>
    <w:bookmarkStart w:id="16" w:name="page17"/>
    <w:bookmarkEnd w:id="16"/>
    <w:p>
      <w:pPr>
        <w:ind w:right="2659"/>
        <w:spacing w:after="0" w:line="247" w:lineRule="auto"/>
        <w:rPr>
          <w:sz w:val="20"/>
          <w:szCs w:val="20"/>
          <w:color w:val="auto"/>
        </w:rPr>
      </w:pPr>
      <w:r>
        <w:rPr>
          <w:rFonts w:ascii="Courier New" w:cs="Courier New" w:eastAsia="Courier New" w:hAnsi="Courier New"/>
          <w:sz w:val="16"/>
          <w:szCs w:val="16"/>
          <w:color w:val="auto"/>
        </w:rPr>
        <w:t>We and some of our foreign subsidiaries maintain separate lines of credit with foreign financial institutions to meet short-term working capital needs. As of June 30, 2002, such lines totaled $179.0 million, of which $144.6 million was unused.</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Our unsecured zero-coupon convertible debentures, due August 17, 2021 ("Debentures"), allow holders of the Debentures to require us to repurchase these Debentures at the issue price, plus accreted original issue discount, on the first, third, fifth, tenth and fifteenth anniversary dates. We have the option to settle this obligation in cash, common stock, or a combination thereof. As indicated in our press release dated July 17, 2002, we have formally elected to settle any "put" on the first anniversary date in cash. Under the current economic environment, we do not anticipate that the Debentures will be "put" on the first anniversary date. However, if a "put" does become likely for a substantial amount of the Debentures, we may alter the terms of the agreement with the holders of the Debentures to prevent a "put." Our intent is to settle any future "put" in cash. In the event of a significant change in the economic environment, we may choose to settle a future "put" with common stock, which may have a dilutive effect on existing shareholders.</w:t>
      </w:r>
    </w:p>
    <w:p>
      <w:pPr>
        <w:spacing w:after="0" w:line="194"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During June 2002, Moody's Corporation downgraded our credit rating one notch from Baa2 to Baa3. During April 2002, Standard &amp; Poor's (`S&amp;P') changed our credit rating outlook from neutral to negative, and then in August 2002, S&amp;P issued a press release indicating that we have been put on "CreditWatch" with negative implications, which may result in our credit rating being downgraded later this year. Our current rating with S&amp;P is BBB and according to the press release, "the downgrade potential is limited to one notch, to the BBB- level." The results of these actions did not have a significant impact on our credit facilities, however if S&amp;P does downgrade our rating to BBB-, the facility fee and interest rate charged on our revolving credit agreements will increase by</w:t>
      </w:r>
    </w:p>
    <w:p>
      <w:pPr>
        <w:spacing w:after="0" w:line="6"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..05% and .175%, respectively. Given our current debt levels, these increases will not significantly impact our total facility fees and interest expense.</w:t>
      </w:r>
    </w:p>
    <w:p>
      <w:pPr>
        <w:spacing w:after="0" w:line="18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Subsequent to June 30, 2002, we extended our Receivables Facility to expire in July 2003 and this agreement may be extended further with the financial institution's consent. There were no other significant changes made to the terms of this agreement.</w:t>
      </w:r>
    </w:p>
    <w:p>
      <w:pPr>
        <w:spacing w:after="0" w:line="186"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On April 30, 2002, the Board of Directors declared a cash dividend of $.10 per share which was paid on June 14, 2002 to shareholders of record on June 3, 2002.</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During July 2002, the French government announced that they would be reviewing certain of their social programs later this year, including the 35-hour workweek, minimum working wage and social contribution subsidies. As no specific changes have been announced, we cannot currently estimate the impact, if any, on the future results of our French operations or our consolidated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Statements made in this quarterly report that are not statements of historical fact are forward-looking statements. All forward-looking statements involve risks and uncertainties. The information under the heading "Forward-Looking Statements" in our Annual Report on Form 10-K for the year ended December 31, 2001,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Report on Form 10-K may be beyond our control. Forward-looking statements can be identified by words such as "expect", "anticipate", "intend", "plan", "may", "will", "believe", "seek", "estimate", and similar expressions. We caution you that any forward-looking statement reflects only our belief at the time the statement is made. We undertake no obligation to update any forward-looking statements to reflect subsequent events or circumstances.</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8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Item 3 - Quantitative and Qualitative Disclosures about Market Risk</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Our 2001 Annual Report on Form 10-K contains certain disclosures about market risks affecting the Company. There have been no material changes to the information provided which would require additional disclosures as of the date of this filing.</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90" w:right="1440" w:bottom="1440" w:gutter="0" w:footer="0" w:header="0"/>
        </w:sectPr>
      </w:pPr>
    </w:p>
    <w:bookmarkStart w:id="18" w:name="page19"/>
    <w:bookmarkEnd w:id="18"/>
    <w:p>
      <w:pPr>
        <w:ind w:left="2620"/>
        <w:spacing w:after="0"/>
        <w:rPr>
          <w:sz w:val="20"/>
          <w:szCs w:val="20"/>
          <w:color w:val="auto"/>
        </w:rPr>
      </w:pPr>
      <w:r>
        <w:rPr>
          <w:rFonts w:ascii="Courier New" w:cs="Courier New" w:eastAsia="Courier New" w:hAnsi="Courier New"/>
          <w:sz w:val="16"/>
          <w:szCs w:val="16"/>
          <w:color w:val="auto"/>
        </w:rPr>
        <w:t>PART II - OTHER INFORMATION</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 Submission of Matters to a Vote of Security Holders</w:t>
      </w:r>
    </w:p>
    <w:p>
      <w:pPr>
        <w:spacing w:after="0" w:line="191" w:lineRule="exact"/>
        <w:rPr>
          <w:sz w:val="20"/>
          <w:szCs w:val="20"/>
          <w:color w:val="auto"/>
        </w:rPr>
      </w:pPr>
    </w:p>
    <w:p>
      <w:pPr>
        <w:ind w:right="3480"/>
        <w:spacing w:after="0" w:line="246" w:lineRule="auto"/>
        <w:rPr>
          <w:sz w:val="20"/>
          <w:szCs w:val="20"/>
          <w:color w:val="auto"/>
        </w:rPr>
      </w:pPr>
      <w:r>
        <w:rPr>
          <w:rFonts w:ascii="Courier New" w:cs="Courier New" w:eastAsia="Courier New" w:hAnsi="Courier New"/>
          <w:sz w:val="16"/>
          <w:szCs w:val="16"/>
          <w:color w:val="auto"/>
        </w:rPr>
        <w:t>On April 30, 2002, at the Company's Annual Meeting of Shareholders (the "Annual Meeting") the shareholders of the Company voted on proposals to: (1) elect three directors to serve until 2005 as Class III directors; (2) approve a performance-based incentive compensation arrangement for the Company's Chief Executive Officer and the Company's Chief Financial Officer; and (3) approve a shareholder proposal on non-audit services. In addition, Dennis Stevenson, John R. Walter and Jeffrey A. Joerres continued as Class I directors (term expiring 2003), and J. Ira Harris, Terry A. Hueneke and Willie D. Davis continued as Class II directors (term expiring 2004). Dudley J. Godfrey, Jr. and Marvin B. Goodman, whose terms as Class III directors expired at the Annual Meeting, did not stand for re-election. The results of the proposals voted upon at the Annual Meeting are as follows:</w:t>
      </w:r>
    </w:p>
    <w:p>
      <w:pPr>
        <w:spacing w:after="0" w:line="200" w:lineRule="exact"/>
        <w:rPr>
          <w:sz w:val="20"/>
          <w:szCs w:val="20"/>
          <w:color w:val="auto"/>
        </w:rPr>
      </w:pPr>
    </w:p>
    <w:p>
      <w:pPr>
        <w:spacing w:after="0" w:line="366" w:lineRule="exact"/>
        <w:rPr>
          <w:sz w:val="20"/>
          <w:szCs w:val="20"/>
          <w:color w:val="auto"/>
        </w:rPr>
      </w:pPr>
    </w:p>
    <w:tbl>
      <w:tblPr>
        <w:tblLayout w:type="fixed"/>
        <w:tblInd w:w="200" w:type="dxa"/>
        <w:tblCellMar>
          <w:top w:w="0" w:type="dxa"/>
          <w:left w:w="0" w:type="dxa"/>
          <w:bottom w:w="0" w:type="dxa"/>
          <w:right w:w="0" w:type="dxa"/>
        </w:tblCellMar>
      </w:tblPr>
      <w:tr>
        <w:trPr>
          <w:trHeight w:val="183"/>
        </w:trPr>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Broker</w:t>
            </w:r>
          </w:p>
        </w:tc>
      </w:tr>
      <w:tr>
        <w:trPr>
          <w:trHeight w:val="186"/>
        </w:trPr>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For</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Against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Withheld</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Abstain</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Non-Vote</w:t>
            </w:r>
          </w:p>
        </w:tc>
      </w:tr>
      <w:tr>
        <w:trPr>
          <w:trHeight w:val="186"/>
        </w:trPr>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r>
      <w:tr>
        <w:trPr>
          <w:trHeight w:val="559"/>
        </w:trPr>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1.</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a)</w:t>
            </w:r>
          </w:p>
        </w:tc>
        <w:tc>
          <w:tcPr>
            <w:tcW w:w="1200" w:type="dxa"/>
            <w:vAlign w:val="bottom"/>
          </w:tcPr>
          <w:p>
            <w:pPr>
              <w:ind w:left="80"/>
              <w:spacing w:after="0"/>
              <w:rPr>
                <w:sz w:val="20"/>
                <w:szCs w:val="20"/>
                <w:color w:val="auto"/>
              </w:rPr>
            </w:pPr>
            <w:r>
              <w:rPr>
                <w:rFonts w:ascii="Courier New" w:cs="Courier New" w:eastAsia="Courier New" w:hAnsi="Courier New"/>
                <w:sz w:val="16"/>
                <w:szCs w:val="16"/>
                <w:color w:val="auto"/>
              </w:rPr>
              <w:t>Election of</w:t>
            </w:r>
          </w:p>
        </w:tc>
        <w:tc>
          <w:tcPr>
            <w:tcW w:w="3000" w:type="dxa"/>
            <w:vAlign w:val="bottom"/>
          </w:tcPr>
          <w:p>
            <w:pPr>
              <w:ind w:left="60"/>
              <w:spacing w:after="0"/>
              <w:rPr>
                <w:sz w:val="20"/>
                <w:szCs w:val="20"/>
                <w:color w:val="auto"/>
              </w:rPr>
            </w:pPr>
            <w:r>
              <w:rPr>
                <w:rFonts w:ascii="Courier New" w:cs="Courier New" w:eastAsia="Courier New" w:hAnsi="Courier New"/>
                <w:sz w:val="16"/>
                <w:szCs w:val="16"/>
                <w:color w:val="auto"/>
              </w:rPr>
              <w:t>J. Thomas Bouchard</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64,539,696</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1,173,720</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28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b)</w:t>
            </w:r>
          </w:p>
        </w:tc>
        <w:tc>
          <w:tcPr>
            <w:tcW w:w="1200" w:type="dxa"/>
            <w:vAlign w:val="bottom"/>
          </w:tcPr>
          <w:p>
            <w:pPr>
              <w:ind w:left="80"/>
              <w:spacing w:after="0"/>
              <w:rPr>
                <w:sz w:val="20"/>
                <w:szCs w:val="20"/>
                <w:color w:val="auto"/>
              </w:rPr>
            </w:pPr>
            <w:r>
              <w:rPr>
                <w:rFonts w:ascii="Courier New" w:cs="Courier New" w:eastAsia="Courier New" w:hAnsi="Courier New"/>
                <w:sz w:val="16"/>
                <w:szCs w:val="16"/>
                <w:color w:val="auto"/>
              </w:rPr>
              <w:t>Election of</w:t>
            </w:r>
          </w:p>
        </w:tc>
        <w:tc>
          <w:tcPr>
            <w:tcW w:w="3000" w:type="dxa"/>
            <w:vAlign w:val="bottom"/>
          </w:tcPr>
          <w:p>
            <w:pPr>
              <w:ind w:left="60"/>
              <w:spacing w:after="0"/>
              <w:rPr>
                <w:sz w:val="20"/>
                <w:szCs w:val="20"/>
                <w:color w:val="auto"/>
              </w:rPr>
            </w:pPr>
            <w:r>
              <w:rPr>
                <w:rFonts w:ascii="Courier New" w:cs="Courier New" w:eastAsia="Courier New" w:hAnsi="Courier New"/>
                <w:sz w:val="16"/>
                <w:szCs w:val="16"/>
                <w:color w:val="auto"/>
              </w:rPr>
              <w:t>Rozanne L. Ridgway</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64,992,435</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720,981</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28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c)</w:t>
            </w:r>
          </w:p>
        </w:tc>
        <w:tc>
          <w:tcPr>
            <w:tcW w:w="1200" w:type="dxa"/>
            <w:vAlign w:val="bottom"/>
          </w:tcPr>
          <w:p>
            <w:pPr>
              <w:ind w:left="80"/>
              <w:spacing w:after="0"/>
              <w:rPr>
                <w:sz w:val="20"/>
                <w:szCs w:val="20"/>
                <w:color w:val="auto"/>
              </w:rPr>
            </w:pPr>
            <w:r>
              <w:rPr>
                <w:rFonts w:ascii="Courier New" w:cs="Courier New" w:eastAsia="Courier New" w:hAnsi="Courier New"/>
                <w:sz w:val="16"/>
                <w:szCs w:val="16"/>
                <w:color w:val="auto"/>
              </w:rPr>
              <w:t>Election of</w:t>
            </w:r>
          </w:p>
        </w:tc>
        <w:tc>
          <w:tcPr>
            <w:tcW w:w="3000" w:type="dxa"/>
            <w:vAlign w:val="bottom"/>
          </w:tcPr>
          <w:p>
            <w:pPr>
              <w:ind w:left="60"/>
              <w:spacing w:after="0"/>
              <w:rPr>
                <w:sz w:val="20"/>
                <w:szCs w:val="20"/>
                <w:color w:val="auto"/>
              </w:rPr>
            </w:pPr>
            <w:r>
              <w:rPr>
                <w:rFonts w:ascii="Courier New" w:cs="Courier New" w:eastAsia="Courier New" w:hAnsi="Courier New"/>
                <w:sz w:val="16"/>
                <w:szCs w:val="16"/>
                <w:color w:val="auto"/>
              </w:rPr>
              <w:t>Edward J. Zore</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64,539,304</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1,174,112</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2.</w:t>
            </w:r>
          </w:p>
        </w:tc>
        <w:tc>
          <w:tcPr>
            <w:tcW w:w="46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Approval of performance-based incentive</w:t>
            </w: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46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compensation arrangement for the Company's</w:t>
            </w:r>
          </w:p>
        </w:tc>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Chief Executive</w:t>
            </w:r>
          </w:p>
        </w:tc>
        <w:tc>
          <w:tcPr>
            <w:tcW w:w="3000" w:type="dxa"/>
            <w:vAlign w:val="bottom"/>
          </w:tcPr>
          <w:p>
            <w:pPr>
              <w:ind w:left="60"/>
              <w:spacing w:after="0"/>
              <w:rPr>
                <w:sz w:val="20"/>
                <w:szCs w:val="20"/>
                <w:color w:val="auto"/>
              </w:rPr>
            </w:pPr>
            <w:r>
              <w:rPr>
                <w:rFonts w:ascii="Courier New" w:cs="Courier New" w:eastAsia="Courier New" w:hAnsi="Courier New"/>
                <w:sz w:val="16"/>
                <w:szCs w:val="16"/>
                <w:color w:val="auto"/>
              </w:rPr>
              <w:t>Officer and the Company's</w:t>
            </w:r>
          </w:p>
        </w:tc>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28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Chief Financial</w:t>
            </w:r>
          </w:p>
        </w:tc>
        <w:tc>
          <w:tcPr>
            <w:tcW w:w="3000" w:type="dxa"/>
            <w:vAlign w:val="bottom"/>
          </w:tcPr>
          <w:p>
            <w:pPr>
              <w:ind w:left="60"/>
              <w:spacing w:after="0"/>
              <w:rPr>
                <w:sz w:val="20"/>
                <w:szCs w:val="20"/>
                <w:color w:val="auto"/>
              </w:rPr>
            </w:pPr>
            <w:r>
              <w:rPr>
                <w:rFonts w:ascii="Courier New" w:cs="Courier New" w:eastAsia="Courier New" w:hAnsi="Courier New"/>
                <w:sz w:val="16"/>
                <w:szCs w:val="16"/>
                <w:color w:val="auto"/>
              </w:rPr>
              <w:t>Officer</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63,804,145</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1,763,314</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145,957</w:t>
            </w: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3.</w:t>
            </w:r>
          </w:p>
        </w:tc>
        <w:tc>
          <w:tcPr>
            <w:tcW w:w="46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Approval of a shareholder proposal on</w:t>
            </w: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46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non-audit services</w:t>
            </w:r>
          </w:p>
        </w:tc>
        <w:tc>
          <w:tcPr>
            <w:tcW w:w="15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10,911,293</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49,196,281</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808,108</w:t>
            </w: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w w:val="99"/>
              </w:rPr>
              <w:t>4,797,734</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 Other Information</w:t>
      </w:r>
    </w:p>
    <w:p>
      <w:pPr>
        <w:spacing w:after="0" w:line="191" w:lineRule="exact"/>
        <w:rPr>
          <w:sz w:val="20"/>
          <w:szCs w:val="20"/>
          <w:color w:val="auto"/>
        </w:rPr>
      </w:pPr>
    </w:p>
    <w:p>
      <w:pPr>
        <w:ind w:right="3480"/>
        <w:spacing w:after="0" w:line="246" w:lineRule="auto"/>
        <w:rPr>
          <w:sz w:val="20"/>
          <w:szCs w:val="20"/>
          <w:color w:val="auto"/>
        </w:rPr>
      </w:pPr>
      <w:r>
        <w:rPr>
          <w:rFonts w:ascii="Courier New" w:cs="Courier New" w:eastAsia="Courier New" w:hAnsi="Courier New"/>
          <w:sz w:val="16"/>
          <w:szCs w:val="16"/>
          <w:color w:val="auto"/>
        </w:rPr>
        <w:t>Our Annual Report on Form 10-K for the fiscal year ended December 31, 2001 and our Quarterly Report on Form 10-Q for the quarter ended March 31, 2002 were reviewed by the SEC as part of their normal review process. As a result of the SEC's review, we have added additional disclosure to our Management's Discussion and Analysis of Financial Condition and Results of Operations (`MD&amp;A') discussing the impact of acquisitions on our operating results in each of the quarters and first six months of this year. We will also file a Form 10-K/A for the fiscal year ended December 31, 2001 to add the following discussion in MD&amp;A related to the impact of acquisitions on our operating results for the years ended December 31, 2001 and 2000:</w:t>
      </w:r>
    </w:p>
    <w:p>
      <w:pPr>
        <w:spacing w:after="0" w:line="200" w:lineRule="exact"/>
        <w:rPr>
          <w:sz w:val="20"/>
          <w:szCs w:val="20"/>
          <w:color w:val="auto"/>
        </w:rPr>
      </w:pPr>
    </w:p>
    <w:p>
      <w:pPr>
        <w:spacing w:after="0" w:line="3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1240"/>
          </w:cols>
          <w:pgMar w:left="240" w:top="489" w:right="41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Year Ended December 31, 2001</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Included in the 2001 consolidated operating results is the impact of acquisitions. Revenue growth in 2001 attributable to acquisitions was less than 2% of 2001 consolidated revenues, and gross margin improvement attributable to these acquisitions was 30 basis points (.3%). The impact on operating profit of these acquisitions was not significant.</w:t>
      </w:r>
    </w:p>
    <w:p>
      <w:pPr>
        <w:spacing w:after="0" w:line="18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Acquisitions made during 2000 and 2001, in total, had revenues of approximately 4% of 2001 consolidated revenues and accounted for approximately 5% of consolidated gross profit. They experienced an operating loss of approximately 5% of consolidated operating profit. Excluding goodwill amortization, the operating loss of these acquisitions was less than 1% of consolidated operating profit.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2000</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Included in the 2000 consolidated operating results is the impact of acquisitions. Revenue growth attributable to acquisitions was less than 2.5% of consolidated revenues, and gross margin improvement attributable to these acquisitions was 10 basis points (.1%). These acquisitions did not have a significant impact on consolidated operating profit.</w:t>
      </w:r>
    </w:p>
    <w:p>
      <w:pPr>
        <w:spacing w:after="0" w:line="372"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339"/>
          </w:cols>
          <w:pgMar w:left="1120" w:top="48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Item 6 - Exhibits and Reports on Form 8-K</w:t>
      </w:r>
    </w:p>
    <w:p>
      <w:pPr>
        <w:spacing w:after="0" w:line="191" w:lineRule="exact"/>
        <w:rPr>
          <w:sz w:val="20"/>
          <w:szCs w:val="20"/>
          <w:color w:val="auto"/>
        </w:rPr>
      </w:pPr>
    </w:p>
    <w:p>
      <w:pPr>
        <w:ind w:left="680" w:hanging="390"/>
        <w:spacing w:after="0"/>
        <w:tabs>
          <w:tab w:leader="none" w:pos="6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5" w:lineRule="exact"/>
        <w:rPr>
          <w:rFonts w:ascii="Courier New" w:cs="Courier New" w:eastAsia="Courier New" w:hAnsi="Courier New"/>
          <w:sz w:val="16"/>
          <w:szCs w:val="16"/>
          <w:color w:val="auto"/>
        </w:rPr>
      </w:pPr>
    </w:p>
    <w:p>
      <w:pPr>
        <w:ind w:left="6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360" w:right="3139" w:hanging="67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Employment Agreement between Barbara Beck and Manpower Inc. dated as of December 18, 2001.</w:t>
      </w:r>
    </w:p>
    <w:p>
      <w:pPr>
        <w:spacing w:after="0" w:line="184" w:lineRule="exact"/>
        <w:rPr>
          <w:rFonts w:ascii="Courier New" w:cs="Courier New" w:eastAsia="Courier New" w:hAnsi="Courier New"/>
          <w:sz w:val="16"/>
          <w:szCs w:val="16"/>
          <w:color w:val="auto"/>
        </w:rPr>
      </w:pPr>
    </w:p>
    <w:p>
      <w:pPr>
        <w:ind w:left="6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10.2   Description of Bonus Arrangement for Yoav Michaely.</w:t>
      </w:r>
    </w:p>
    <w:p>
      <w:pPr>
        <w:spacing w:after="0" w:line="191" w:lineRule="exact"/>
        <w:rPr>
          <w:rFonts w:ascii="Courier New" w:cs="Courier New" w:eastAsia="Courier New" w:hAnsi="Courier New"/>
          <w:sz w:val="16"/>
          <w:szCs w:val="16"/>
          <w:color w:val="auto"/>
        </w:rPr>
      </w:pPr>
    </w:p>
    <w:p>
      <w:pPr>
        <w:ind w:left="6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10.3   Description of Bonus Arrangement for Jean-Pierre Lemonnier.</w:t>
      </w:r>
    </w:p>
    <w:p>
      <w:pPr>
        <w:spacing w:after="0" w:line="191" w:lineRule="exact"/>
        <w:rPr>
          <w:rFonts w:ascii="Courier New" w:cs="Courier New" w:eastAsia="Courier New" w:hAnsi="Courier New"/>
          <w:sz w:val="16"/>
          <w:szCs w:val="16"/>
          <w:color w:val="auto"/>
        </w:rPr>
      </w:pPr>
    </w:p>
    <w:p>
      <w:pPr>
        <w:ind w:left="1360" w:right="2959" w:hanging="67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12.1 Statement Regarding Computation of Ratio of Earnings to Fixed Charges.</w:t>
      </w:r>
    </w:p>
    <w:p>
      <w:pPr>
        <w:spacing w:after="0" w:line="184" w:lineRule="exact"/>
        <w:rPr>
          <w:rFonts w:ascii="Courier New" w:cs="Courier New" w:eastAsia="Courier New" w:hAnsi="Courier New"/>
          <w:sz w:val="16"/>
          <w:szCs w:val="16"/>
          <w:color w:val="auto"/>
        </w:rPr>
      </w:pPr>
    </w:p>
    <w:p>
      <w:pPr>
        <w:ind w:left="1360" w:right="2959" w:hanging="67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99.1 Statement of Jeffery A. Joerres, Chairman and Chief Executive Officer, pursuant to 18 U.S.C. ss. 1350.</w:t>
      </w:r>
    </w:p>
    <w:p>
      <w:pPr>
        <w:spacing w:after="0" w:line="184" w:lineRule="exact"/>
        <w:rPr>
          <w:rFonts w:ascii="Courier New" w:cs="Courier New" w:eastAsia="Courier New" w:hAnsi="Courier New"/>
          <w:sz w:val="16"/>
          <w:szCs w:val="16"/>
          <w:color w:val="auto"/>
        </w:rPr>
      </w:pPr>
    </w:p>
    <w:p>
      <w:pPr>
        <w:jc w:val="right"/>
        <w:ind w:left="1360" w:right="3039" w:hanging="67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99.2   Statement of Michael J. Van Handel, Executive Vice President and Chief Financial Officer, pursuant to 18 U.S.C. ss. 1350.</w:t>
      </w:r>
    </w:p>
    <w:p>
      <w:pPr>
        <w:spacing w:after="0" w:line="184" w:lineRule="exact"/>
        <w:rPr>
          <w:rFonts w:ascii="Courier New" w:cs="Courier New" w:eastAsia="Courier New" w:hAnsi="Courier New"/>
          <w:sz w:val="16"/>
          <w:szCs w:val="16"/>
          <w:color w:val="auto"/>
        </w:rPr>
      </w:pPr>
    </w:p>
    <w:p>
      <w:pPr>
        <w:ind w:left="680" w:right="2459" w:hanging="390"/>
        <w:spacing w:after="0" w:line="248" w:lineRule="auto"/>
        <w:tabs>
          <w:tab w:leader="none" w:pos="6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one current report on Form 8-K dated April 16, 2002 with respect to Item 4 - Changes in Registrant's Certifying Accountant.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89" w:right="1440" w:bottom="1440" w:gutter="0" w:footer="0" w:header="0"/>
        </w:sectPr>
      </w:pPr>
    </w:p>
    <w:bookmarkStart w:id="21" w:name="page22"/>
    <w:bookmarkEnd w:id="21"/>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3239"/>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MANPOWER INC.</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4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 Michael J. Van Handel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Michael J. Van Handel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Executive Vice President, Chief Financial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Officer and Secretary (Signing on behalf of</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the Registrant and as the Principal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Financial Officer and Principal Accounting</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Officer)</w:t>
      </w:r>
    </w:p>
    <w:p>
      <w:pPr>
        <w:spacing w:after="0" w:line="200" w:lineRule="exact"/>
        <w:rPr>
          <w:sz w:val="20"/>
          <w:szCs w:val="20"/>
          <w:color w:val="auto"/>
        </w:rPr>
      </w:pPr>
    </w:p>
    <w:p>
      <w:pPr>
        <w:sectPr>
          <w:pgSz w:w="11900" w:h="16838" w:orient="portrait"/>
          <w:cols w:equalWidth="0" w:num="3">
            <w:col w:w="480" w:space="200"/>
            <w:col w:w="2000" w:space="720"/>
            <w:col w:w="6819"/>
          </w:cols>
          <w:pgMar w:left="240" w:top="4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89" w:right="1440" w:bottom="1440" w:gutter="0" w:footer="0" w:header="0"/>
          <w:type w:val="continuous"/>
        </w:sectPr>
      </w:pPr>
    </w:p>
    <w:bookmarkStart w:id="22" w:name="page23"/>
    <w:bookmarkEnd w:id="22"/>
    <w:p>
      <w:pPr>
        <w:jc w:val="right"/>
        <w:ind w:right="2459"/>
        <w:spacing w:after="0"/>
        <w:rPr>
          <w:sz w:val="20"/>
          <w:szCs w:val="20"/>
          <w:color w:val="auto"/>
        </w:rPr>
      </w:pPr>
      <w:r>
        <w:rPr>
          <w:rFonts w:ascii="Courier New" w:cs="Courier New" w:eastAsia="Courier New" w:hAnsi="Courier New"/>
          <w:sz w:val="16"/>
          <w:szCs w:val="16"/>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December 18, 2001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Ms Barbara Beck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6235 Camino Del Pajaro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Rancho Santa Fe, CA 92067</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Offer of Employment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Barbara:</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This letter confirms an offer of employment, on the terms and conditions stated below, made to you by Manpower Inc. (the "Company"). This offer anticipates your employment will commence on a mutually agreed date on or before January 28,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DUTIES</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You will be appointed to the position of Executive Vice President of the Company and will have overall management responsibility for the United States and Canadian operations of the Company, reporting to and subject to the direction of the Chief Executive Officer of the Company. You agree to devote your full time and efforts to the business of the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You will be entitled to a base salary at the rate of $350,000 per year for the term of your employment. Your base salary will be paid to you, less withholding for income and employment taxes, in accordance with the Company's regular payroll practices.</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You also will be entitled to an incentive bonus for each full calendar year included within the term of your employment (2002 will be calculated as a full year if commencement of employment is prior to January 30, 2002) determined under a "balanced scorecard" approach, described as follows:</w:t>
      </w:r>
    </w:p>
    <w:p>
      <w:pPr>
        <w:spacing w:after="0" w:line="186" w:lineRule="exact"/>
        <w:rPr>
          <w:sz w:val="20"/>
          <w:szCs w:val="20"/>
          <w:color w:val="auto"/>
        </w:rPr>
      </w:pPr>
    </w:p>
    <w:p>
      <w:pPr>
        <w:ind w:left="1740" w:right="2459" w:hanging="869"/>
        <w:spacing w:after="0" w:line="247" w:lineRule="auto"/>
        <w:tabs>
          <w:tab w:leader="none" w:pos="1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eligibility for the bonus each year will be based on three components: (i) the Adjusted Operating Profit of the Company's United States and Canadian operations during the relevant calendar year (with a weighting factor of 0.70), (ii) the Company's earnings per share during that year (with a weighting factor of 0.20), and (iii) an</w:t>
      </w:r>
    </w:p>
    <w:p>
      <w:pPr>
        <w:sectPr>
          <w:pgSz w:w="11900" w:h="16838" w:orient="portrait"/>
          <w:cols w:equalWidth="0" w:num="1">
            <w:col w:w="10219"/>
          </w:cols>
          <w:pgMar w:left="240" w:top="328"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Ms Barbara Beck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18,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378" w:lineRule="exact"/>
        <w:rPr>
          <w:sz w:val="20"/>
          <w:szCs w:val="20"/>
          <w:color w:val="auto"/>
        </w:rPr>
      </w:pPr>
    </w:p>
    <w:p>
      <w:pPr>
        <w:ind w:left="1740" w:right="2459"/>
        <w:spacing w:after="0" w:line="246" w:lineRule="auto"/>
        <w:rPr>
          <w:sz w:val="20"/>
          <w:szCs w:val="20"/>
          <w:color w:val="auto"/>
        </w:rPr>
      </w:pPr>
      <w:r>
        <w:rPr>
          <w:rFonts w:ascii="Courier New" w:cs="Courier New" w:eastAsia="Courier New" w:hAnsi="Courier New"/>
          <w:sz w:val="16"/>
          <w:szCs w:val="16"/>
          <w:color w:val="auto"/>
        </w:rPr>
        <w:t>appraisal by the Chief Executive Officer, in the exercise of his sole discretion, of your performance respecting development issues affecting the Company's United States and Canadian operations during that year (with a weighting factor of 0.10). The bonus will be based on performance as compared to pre-established performance goals for each component. These performance goals will be determined in the sole discretion of the Chief Executive Officer no later than January 31 of the relevant year.</w:t>
      </w:r>
    </w:p>
    <w:p>
      <w:pPr>
        <w:spacing w:after="0" w:line="191" w:lineRule="exact"/>
        <w:rPr>
          <w:sz w:val="20"/>
          <w:szCs w:val="20"/>
          <w:color w:val="auto"/>
        </w:rPr>
      </w:pPr>
    </w:p>
    <w:p>
      <w:pPr>
        <w:ind w:left="1740" w:right="2759" w:hanging="869"/>
        <w:spacing w:after="0" w:line="247" w:lineRule="auto"/>
        <w:tabs>
          <w:tab w:leader="none" w:pos="1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bonus will equal the sum of the bonus amounts determined for each component. The bonus amount for each component will equal the amount described in (3), below, multiplied by the weighting factor described in (1), above.</w:t>
      </w:r>
    </w:p>
    <w:p>
      <w:pPr>
        <w:spacing w:after="0" w:line="185" w:lineRule="exact"/>
        <w:rPr>
          <w:rFonts w:ascii="Courier New" w:cs="Courier New" w:eastAsia="Courier New" w:hAnsi="Courier New"/>
          <w:sz w:val="16"/>
          <w:szCs w:val="16"/>
          <w:color w:val="auto"/>
        </w:rPr>
      </w:pPr>
    </w:p>
    <w:p>
      <w:pPr>
        <w:ind w:left="1740" w:right="2559" w:hanging="869"/>
        <w:spacing w:after="0" w:line="247" w:lineRule="auto"/>
        <w:tabs>
          <w:tab w:leader="none" w:pos="1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component, goals will be pre-established for threshold, target, and outstanding performance which, if achieved, will result in a bonus amount for that component as follows:</w:t>
      </w:r>
    </w:p>
    <w:p>
      <w:pPr>
        <w:spacing w:after="0" w:line="186" w:lineRule="exact"/>
        <w:rPr>
          <w:sz w:val="20"/>
          <w:szCs w:val="20"/>
          <w:color w:val="auto"/>
        </w:rPr>
      </w:pPr>
    </w:p>
    <w:tbl>
      <w:tblPr>
        <w:tblLayout w:type="fixed"/>
        <w:tblInd w:w="3200" w:type="dxa"/>
        <w:tblCellMar>
          <w:top w:w="0" w:type="dxa"/>
          <w:left w:w="0" w:type="dxa"/>
          <w:bottom w:w="0" w:type="dxa"/>
          <w:right w:w="0" w:type="dxa"/>
        </w:tblCellMar>
      </w:tblPr>
      <w:tr>
        <w:trPr>
          <w:trHeight w:val="183"/>
        </w:trPr>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rPr>
              <w:t>Goal</w:t>
            </w:r>
          </w:p>
        </w:tc>
        <w:tc>
          <w:tcPr>
            <w:tcW w:w="204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Bonus Amount</w:t>
            </w:r>
          </w:p>
        </w:tc>
      </w:tr>
      <w:tr>
        <w:trPr>
          <w:trHeight w:val="186"/>
        </w:trPr>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w:t>
            </w:r>
          </w:p>
        </w:tc>
      </w:tr>
      <w:tr>
        <w:trPr>
          <w:trHeight w:val="186"/>
        </w:trPr>
        <w:tc>
          <w:tcPr>
            <w:tcW w:w="164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Achievement</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164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1640" w:type="dxa"/>
            <w:vAlign w:val="bottom"/>
          </w:tcPr>
          <w:p>
            <w:pPr>
              <w:jc w:val="center"/>
              <w:ind w:right="499"/>
              <w:spacing w:after="0"/>
              <w:rPr>
                <w:sz w:val="20"/>
                <w:szCs w:val="20"/>
                <w:color w:val="auto"/>
              </w:rPr>
            </w:pPr>
            <w:r>
              <w:rPr>
                <w:rFonts w:ascii="Courier New" w:cs="Courier New" w:eastAsia="Courier New" w:hAnsi="Courier New"/>
                <w:sz w:val="16"/>
                <w:szCs w:val="16"/>
                <w:color w:val="auto"/>
                <w:w w:val="99"/>
              </w:rPr>
              <w:t>Threshold</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0.25</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w w:val="97"/>
              </w:rPr>
              <w:t>times base</w:t>
            </w:r>
          </w:p>
        </w:tc>
      </w:tr>
      <w:tr>
        <w:trPr>
          <w:trHeight w:val="186"/>
        </w:trPr>
        <w:tc>
          <w:tcPr>
            <w:tcW w:w="1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salary</w:t>
            </w:r>
          </w:p>
        </w:tc>
      </w:tr>
      <w:tr>
        <w:trPr>
          <w:trHeight w:val="186"/>
        </w:trPr>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rPr>
              <w:t>Target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0.50</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w w:val="97"/>
              </w:rPr>
              <w:t>times base</w:t>
            </w:r>
          </w:p>
        </w:tc>
      </w:tr>
      <w:tr>
        <w:trPr>
          <w:trHeight w:val="186"/>
        </w:trPr>
        <w:tc>
          <w:tcPr>
            <w:tcW w:w="1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salary</w:t>
            </w:r>
          </w:p>
        </w:tc>
      </w:tr>
      <w:tr>
        <w:trPr>
          <w:trHeight w:val="186"/>
        </w:trPr>
        <w:tc>
          <w:tcPr>
            <w:tcW w:w="164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Outstanding</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w w:val="97"/>
              </w:rPr>
              <w:t>times base</w:t>
            </w:r>
          </w:p>
        </w:tc>
      </w:tr>
      <w:tr>
        <w:trPr>
          <w:trHeight w:val="186"/>
        </w:trPr>
        <w:tc>
          <w:tcPr>
            <w:tcW w:w="1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salary</w:t>
            </w:r>
          </w:p>
        </w:tc>
      </w:tr>
    </w:tbl>
    <w:p>
      <w:pPr>
        <w:spacing w:after="0" w:line="190" w:lineRule="exact"/>
        <w:rPr>
          <w:sz w:val="20"/>
          <w:szCs w:val="20"/>
          <w:color w:val="auto"/>
        </w:rPr>
      </w:pPr>
    </w:p>
    <w:p>
      <w:pPr>
        <w:ind w:left="1740" w:right="2459"/>
        <w:spacing w:after="0" w:line="246" w:lineRule="auto"/>
        <w:rPr>
          <w:sz w:val="20"/>
          <w:szCs w:val="20"/>
          <w:color w:val="auto"/>
        </w:rPr>
      </w:pPr>
      <w:r>
        <w:rPr>
          <w:rFonts w:ascii="Courier New" w:cs="Courier New" w:eastAsia="Courier New" w:hAnsi="Courier New"/>
          <w:sz w:val="16"/>
          <w:szCs w:val="16"/>
          <w:color w:val="auto"/>
        </w:rPr>
        <w:t>For performance below threshold, the bonus amount will equal zero. For performance between threshold and target, or between target and outstanding, the bonus amount will equal the interpolated amount between the bonus amounts for threshold and target performance, or between target and outstanding performance, as the case may be. For performance above outstanding, the bonus amount will be capped at the outstanding bonus amount. In addition to the above, an additional bonus can be earned in 2002, 2003 and 2004 through a bonus multiplier. The multiplier will range from 1 times to 1.2 times based upon the achievement of increased net operating profit percentage. For example, threshold will be set at 3% and outstanding set at 5%. If at the end of 2002 the net operating profit was 4%, an additional 10% of base salary will be paid out as bonus.</w:t>
      </w:r>
    </w:p>
    <w:p>
      <w:pPr>
        <w:spacing w:after="0" w:line="195" w:lineRule="exact"/>
        <w:rPr>
          <w:sz w:val="20"/>
          <w:szCs w:val="20"/>
          <w:color w:val="auto"/>
        </w:rPr>
      </w:pPr>
    </w:p>
    <w:p>
      <w:pPr>
        <w:ind w:left="1740" w:right="2559" w:hanging="869"/>
        <w:spacing w:after="0" w:line="247" w:lineRule="auto"/>
        <w:tabs>
          <w:tab w:leader="none" w:pos="1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Operating Profit of the Company's United States and Canadian operations" means the operating profit increase generated</w:t>
      </w:r>
    </w:p>
    <w:p>
      <w:pPr>
        <w:sectPr>
          <w:pgSz w:w="11900" w:h="16838" w:orient="portrait"/>
          <w:cols w:equalWidth="0" w:num="1">
            <w:col w:w="10219"/>
          </w:cols>
          <w:pgMar w:left="240" w:top="489"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Ms Barbara Beck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18,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pacing w:after="0" w:line="191" w:lineRule="exact"/>
        <w:rPr>
          <w:sz w:val="20"/>
          <w:szCs w:val="20"/>
          <w:color w:val="auto"/>
        </w:rPr>
      </w:pPr>
    </w:p>
    <w:p>
      <w:pPr>
        <w:ind w:left="1740" w:right="2459"/>
        <w:spacing w:after="0" w:line="248" w:lineRule="auto"/>
        <w:rPr>
          <w:sz w:val="20"/>
          <w:szCs w:val="20"/>
          <w:color w:val="auto"/>
        </w:rPr>
      </w:pPr>
      <w:r>
        <w:rPr>
          <w:rFonts w:ascii="Courier New" w:cs="Courier New" w:eastAsia="Courier New" w:hAnsi="Courier New"/>
          <w:sz w:val="16"/>
          <w:szCs w:val="16"/>
          <w:color w:val="auto"/>
        </w:rPr>
        <w:t>from the two operations minus the receivables times a 12% cost of capital.</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Your incentive bonus for each calendar year will be determined and paid on or before February 28 of the following year. If your employment ends during any calendar year, you will be entitled to a bonus for such partial year to the extent provided in the severance protection agreement described below. Payment of any bonus will be subject to withholding for income and employment taxes.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Jeff Joerres will recommend to the Executive Compensation Committee of the Board of Directors (which has sole authority over the granting of options in Company stock) that you-.</w:t>
      </w:r>
    </w:p>
    <w:p>
      <w:pPr>
        <w:spacing w:after="0" w:line="186" w:lineRule="exact"/>
        <w:rPr>
          <w:sz w:val="20"/>
          <w:szCs w:val="20"/>
          <w:color w:val="auto"/>
        </w:rPr>
      </w:pPr>
    </w:p>
    <w:p>
      <w:pPr>
        <w:ind w:left="1740" w:right="2659" w:hanging="869"/>
        <w:spacing w:after="0" w:line="247" w:lineRule="auto"/>
        <w:tabs>
          <w:tab w:leader="none" w:pos="1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 an initial grant for an option over 50,000 shares of Manpower common stock, having an exercise price equal to market value at the date of the grant and vesting 20% on the first anniversary of your start of employment, 20% on the second anniversary, 30% on the third anniversary and 30% on the fourth anniversary; and</w:t>
      </w:r>
    </w:p>
    <w:p>
      <w:pPr>
        <w:spacing w:after="0" w:line="185" w:lineRule="exact"/>
        <w:rPr>
          <w:rFonts w:ascii="Courier New" w:cs="Courier New" w:eastAsia="Courier New" w:hAnsi="Courier New"/>
          <w:sz w:val="16"/>
          <w:szCs w:val="16"/>
          <w:color w:val="auto"/>
        </w:rPr>
      </w:pPr>
    </w:p>
    <w:p>
      <w:pPr>
        <w:ind w:left="1740" w:right="2459" w:hanging="869"/>
        <w:spacing w:after="0" w:line="247" w:lineRule="auto"/>
        <w:tabs>
          <w:tab w:leader="none" w:pos="1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considered for future annual option grants in February of each year beginning 2002 and continuing at least through 2005, based solely on the Company's assessment of your performance, of between 15,000 to 25,000 shares of Company common stock each year, each such option having an exercise price equal to market value on the date of grant, and vesting 25% on each of the first four anniversaries of the date of grant.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Unvested grants are forfeited on termination of employment.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BENEFITS AND EXPENSES</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You will be eligible to participate in the Company's benefit programs, and entitled to vacations and other perquisites, that are generally made available to the Company's senior executive officers according to the terms of such programs. The Company will reimburse you for all expenses reasonably incurred by you in the performance of your duties according to the Company's regulations and procedures for expense reimbursement in effect from time to time.</w:t>
      </w:r>
    </w:p>
    <w:p>
      <w:pPr>
        <w:sectPr>
          <w:pgSz w:w="11900" w:h="16838" w:orient="portrait"/>
          <w:cols w:equalWidth="0" w:num="1">
            <w:col w:w="10219"/>
          </w:cols>
          <w:pgMar w:left="240" w:top="489"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Ms Barbara Beck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18,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SEVERANCE PROTECTION</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While we look forward to a long and productive relationship, you should be mindful that both you and the Company will be entitled to end the employment relationship at any time, for any reason and with or without notice. However, prior to your commencement of employment with the Company, the Company will enter into an agreement with you, on mutually satisfactory terms, providing generally for the following:</w:t>
      </w:r>
    </w:p>
    <w:p>
      <w:pPr>
        <w:spacing w:after="0" w:line="185" w:lineRule="exact"/>
        <w:rPr>
          <w:sz w:val="20"/>
          <w:szCs w:val="20"/>
          <w:color w:val="auto"/>
        </w:rPr>
      </w:pPr>
    </w:p>
    <w:p>
      <w:pPr>
        <w:ind w:left="1740" w:right="2459" w:hanging="869"/>
        <w:spacing w:after="0" w:line="246" w:lineRule="auto"/>
        <w:tabs>
          <w:tab w:leader="none" w:pos="1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employment terminates for any reason prior to December 31, 2005, except because of your death or disability or a termination by the Company for "cause" or by you without "good reason," you will be entitled to (a) an incentive bonus for the year in which termination occurs based on prior year bonus amounts (subject to a minimum for the first year), prorated for the period of employment during the year in which termination occurs, and (b) a lump-sum severance payment equal to 50 percent of your annual base salary.</w:t>
      </w:r>
    </w:p>
    <w:p>
      <w:pPr>
        <w:spacing w:after="0" w:line="191" w:lineRule="exact"/>
        <w:rPr>
          <w:rFonts w:ascii="Courier New" w:cs="Courier New" w:eastAsia="Courier New" w:hAnsi="Courier New"/>
          <w:sz w:val="16"/>
          <w:szCs w:val="16"/>
          <w:color w:val="auto"/>
        </w:rPr>
      </w:pPr>
    </w:p>
    <w:p>
      <w:pPr>
        <w:ind w:left="1740" w:right="2459" w:hanging="869"/>
        <w:spacing w:after="0" w:line="247" w:lineRule="auto"/>
        <w:tabs>
          <w:tab w:leader="none" w:pos="1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employment terminates for any reason, except for the reasons listed in (1), above, within two years after a change of control of the Company occurring before December 31, 2005, you will be entitled to (a) a prorated incentive bonus for the year in which termination occurs as described in (1)(a), above, and (b) a lump-sum severance payment equal to 100 percent of your annual base salary.</w:t>
      </w:r>
    </w:p>
    <w:p>
      <w:pPr>
        <w:spacing w:after="0" w:line="185" w:lineRule="exact"/>
        <w:rPr>
          <w:rFonts w:ascii="Courier New" w:cs="Courier New" w:eastAsia="Courier New" w:hAnsi="Courier New"/>
          <w:sz w:val="16"/>
          <w:szCs w:val="16"/>
          <w:color w:val="auto"/>
        </w:rPr>
      </w:pPr>
    </w:p>
    <w:p>
      <w:pPr>
        <w:ind w:left="1740" w:right="2459" w:hanging="869"/>
        <w:spacing w:after="0" w:line="247" w:lineRule="auto"/>
        <w:tabs>
          <w:tab w:leader="none" w:pos="1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termination due to death or disability, you will be entitled to a prorated bonus for the year as described in (1)(a), above, but instead of any severance benefit will be entitled to the benefits under the Company's life insurance or disability plans.</w:t>
      </w:r>
    </w:p>
    <w:p>
      <w:pPr>
        <w:spacing w:after="0" w:line="185"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and "good reason" will be defined in the agreement.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RESTRICTIVE COVENANTS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Prior to the commencement of your employment with the Company, you will be required to sign a restrictive covenant agreement that will include provisions related to noncompetition, nonsolicitation of customers and Company employees, and protection of Company confidential information and trade secrets.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RELOCATION</w:t>
      </w:r>
    </w:p>
    <w:p>
      <w:pPr>
        <w:spacing w:after="0" w:line="191"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You will be expected to relocate to the Milwaukee area. In this regard, the Company will assist you as follows:</w:t>
      </w:r>
    </w:p>
    <w:p>
      <w:pPr>
        <w:spacing w:after="0" w:line="184" w:lineRule="exact"/>
        <w:rPr>
          <w:sz w:val="20"/>
          <w:szCs w:val="20"/>
          <w:color w:val="auto"/>
        </w:rPr>
      </w:pPr>
    </w:p>
    <w:p>
      <w:pPr>
        <w:ind w:left="1740" w:right="2659" w:hanging="869"/>
        <w:spacing w:after="0" w:line="247" w:lineRule="auto"/>
        <w:tabs>
          <w:tab w:leader="none" w:pos="17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reimburse you for your actual out-of-pocket reasonable moving expenses, including but not limited to, title charges, escrow charges, loan charges, processing fees and real</w:t>
      </w:r>
    </w:p>
    <w:p>
      <w:pPr>
        <w:sectPr>
          <w:pgSz w:w="11900" w:h="16838" w:orient="portrait"/>
          <w:cols w:equalWidth="0" w:num="1">
            <w:col w:w="10219"/>
          </w:cols>
          <w:pgMar w:left="240" w:top="489" w:right="1440" w:bottom="1440" w:gutter="0" w:footer="0" w:header="0"/>
        </w:sectPr>
      </w:pPr>
    </w:p>
    <w:bookmarkStart w:id="26" w:name="page27"/>
    <w:bookmarkEnd w:id="26"/>
    <w:p>
      <w:pPr>
        <w:ind w:left="1"/>
        <w:spacing w:after="0"/>
        <w:rPr>
          <w:sz w:val="20"/>
          <w:szCs w:val="20"/>
          <w:color w:val="auto"/>
        </w:rPr>
      </w:pPr>
      <w:r>
        <w:rPr>
          <w:rFonts w:ascii="Courier New" w:cs="Courier New" w:eastAsia="Courier New" w:hAnsi="Courier New"/>
          <w:sz w:val="16"/>
          <w:szCs w:val="16"/>
          <w:color w:val="auto"/>
        </w:rPr>
        <w:t>Ms Barbara Beck</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18, 2001</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Page 5</w:t>
      </w:r>
    </w:p>
    <w:p>
      <w:pPr>
        <w:spacing w:after="0" w:line="191" w:lineRule="exact"/>
        <w:rPr>
          <w:sz w:val="20"/>
          <w:szCs w:val="20"/>
          <w:color w:val="auto"/>
        </w:rPr>
      </w:pPr>
    </w:p>
    <w:p>
      <w:pPr>
        <w:ind w:left="1741" w:right="2459"/>
        <w:spacing w:after="0" w:line="247" w:lineRule="auto"/>
        <w:rPr>
          <w:sz w:val="20"/>
          <w:szCs w:val="20"/>
          <w:color w:val="auto"/>
        </w:rPr>
      </w:pPr>
      <w:r>
        <w:rPr>
          <w:rFonts w:ascii="Courier New" w:cs="Courier New" w:eastAsia="Courier New" w:hAnsi="Courier New"/>
          <w:sz w:val="16"/>
          <w:szCs w:val="16"/>
          <w:color w:val="auto"/>
        </w:rPr>
        <w:t>estate commissions relative to the sale of the California property and purchase of the Milwaukee property, costs related to the transportation of personal goods and legal fees incurred to alter existing family trusts.</w:t>
      </w:r>
    </w:p>
    <w:p>
      <w:pPr>
        <w:spacing w:after="0" w:line="186" w:lineRule="exact"/>
        <w:rPr>
          <w:sz w:val="20"/>
          <w:szCs w:val="20"/>
          <w:color w:val="auto"/>
        </w:rPr>
      </w:pPr>
    </w:p>
    <w:p>
      <w:pPr>
        <w:ind w:left="1741" w:right="2459" w:hanging="869"/>
        <w:spacing w:after="0" w:line="247" w:lineRule="auto"/>
        <w:tabs>
          <w:tab w:leader="none" w:pos="17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reimburse you for the cost of reasonable temporary housing for you in Milwaukee through the end of June 2002.</w:t>
      </w:r>
    </w:p>
    <w:p>
      <w:pPr>
        <w:spacing w:after="0" w:line="185" w:lineRule="exact"/>
        <w:rPr>
          <w:rFonts w:ascii="Courier New" w:cs="Courier New" w:eastAsia="Courier New" w:hAnsi="Courier New"/>
          <w:sz w:val="16"/>
          <w:szCs w:val="16"/>
          <w:color w:val="auto"/>
        </w:rPr>
      </w:pPr>
    </w:p>
    <w:p>
      <w:pPr>
        <w:ind w:left="1741" w:right="2659" w:hanging="869"/>
        <w:spacing w:after="0" w:line="247" w:lineRule="auto"/>
        <w:tabs>
          <w:tab w:leader="none" w:pos="17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successful in selling your home in California before the end of June 2002, the Company will reimburse you for the cost of reasonable temporary housing for your family in California until the end of June 2002.</w:t>
      </w:r>
    </w:p>
    <w:p>
      <w:pPr>
        <w:spacing w:after="0" w:line="185"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unsuccessful in selling your home in California by the end of June 2002, the Company will purchase your home at a price equal to the average of two appraisals performed by appraisers acceptable to you and the Company.</w:t>
      </w:r>
    </w:p>
    <w:p>
      <w:pPr>
        <w:spacing w:after="0" w:line="186" w:lineRule="exact"/>
        <w:rPr>
          <w:sz w:val="20"/>
          <w:szCs w:val="20"/>
          <w:color w:val="auto"/>
        </w:rPr>
      </w:pPr>
    </w:p>
    <w:p>
      <w:pPr>
        <w:ind w:left="1" w:right="2759" w:firstLine="872"/>
        <w:spacing w:after="0" w:line="248" w:lineRule="auto"/>
        <w:rPr>
          <w:sz w:val="20"/>
          <w:szCs w:val="20"/>
          <w:color w:val="auto"/>
        </w:rPr>
      </w:pPr>
      <w:r>
        <w:rPr>
          <w:rFonts w:ascii="Courier New" w:cs="Courier New" w:eastAsia="Courier New" w:hAnsi="Courier New"/>
          <w:sz w:val="16"/>
          <w:szCs w:val="16"/>
          <w:color w:val="auto"/>
        </w:rPr>
        <w:t>If the foregoing is acceptable, please sign both originals below and return one to the Company.</w:t>
      </w:r>
    </w:p>
    <w:p>
      <w:pPr>
        <w:spacing w:after="0" w:line="184" w:lineRule="exact"/>
        <w:rPr>
          <w:sz w:val="20"/>
          <w:szCs w:val="20"/>
          <w:color w:val="auto"/>
        </w:rPr>
      </w:pPr>
    </w:p>
    <w:p>
      <w:pPr>
        <w:ind w:left="3981"/>
        <w:spacing w:after="0"/>
        <w:rPr>
          <w:sz w:val="20"/>
          <w:szCs w:val="20"/>
          <w:color w:val="auto"/>
        </w:rPr>
      </w:pPr>
      <w:r>
        <w:rPr>
          <w:rFonts w:ascii="Courier New" w:cs="Courier New" w:eastAsia="Courier New" w:hAnsi="Courier New"/>
          <w:sz w:val="16"/>
          <w:szCs w:val="16"/>
          <w:color w:val="auto"/>
        </w:rPr>
        <w:t>Sincerely,</w:t>
      </w:r>
    </w:p>
    <w:p>
      <w:pPr>
        <w:spacing w:after="0" w:line="191" w:lineRule="exact"/>
        <w:rPr>
          <w:sz w:val="20"/>
          <w:szCs w:val="20"/>
          <w:color w:val="auto"/>
        </w:rPr>
      </w:pPr>
    </w:p>
    <w:p>
      <w:pPr>
        <w:ind w:left="3981"/>
        <w:spacing w:after="0"/>
        <w:rPr>
          <w:sz w:val="20"/>
          <w:szCs w:val="20"/>
          <w:color w:val="auto"/>
        </w:rPr>
      </w:pPr>
      <w:r>
        <w:rPr>
          <w:rFonts w:ascii="Courier New" w:cs="Courier New" w:eastAsia="Courier New" w:hAnsi="Courier New"/>
          <w:sz w:val="16"/>
          <w:szCs w:val="16"/>
          <w:color w:val="auto"/>
        </w:rPr>
        <w:t>MANPOWER INC.</w:t>
      </w:r>
    </w:p>
    <w:p>
      <w:pPr>
        <w:spacing w:after="0" w:line="37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By: /s/ Jeffrey A. Joerres</w:t>
      </w:r>
    </w:p>
    <w:p>
      <w:pPr>
        <w:spacing w:after="0" w:line="5" w:lineRule="exact"/>
        <w:rPr>
          <w:sz w:val="20"/>
          <w:szCs w:val="20"/>
          <w:color w:val="auto"/>
        </w:rPr>
      </w:pPr>
    </w:p>
    <w:p>
      <w:pPr>
        <w:ind w:left="426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Agreed to and Accepted this 31st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day of December, 2001.</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Barbara Beck</w:t>
      </w:r>
    </w:p>
    <w:p>
      <w:pPr>
        <w:spacing w:after="0" w:line="5" w:lineRule="exact"/>
        <w:rPr>
          <w:sz w:val="20"/>
          <w:szCs w:val="20"/>
          <w:color w:val="auto"/>
        </w:rPr>
      </w:pPr>
    </w:p>
    <w:p>
      <w:pPr>
        <w:ind w:left="201" w:hanging="201"/>
        <w:spacing w:after="0"/>
        <w:tabs>
          <w:tab w:leader="none" w:pos="2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Barbara Beck</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12/31/01</w:t>
      </w:r>
    </w:p>
    <w:p>
      <w:pPr>
        <w:spacing w:after="0" w:line="5" w:lineRule="exact"/>
        <w:rPr>
          <w:sz w:val="20"/>
          <w:szCs w:val="20"/>
          <w:color w:val="auto"/>
        </w:rPr>
      </w:pPr>
    </w:p>
    <w:p>
      <w:pPr>
        <w:ind w:left="201" w:hanging="201"/>
        <w:spacing w:after="0"/>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w:t>
      </w:r>
    </w:p>
    <w:p>
      <w:pPr>
        <w:sectPr>
          <w:pgSz w:w="11900" w:h="16838" w:orient="portrait"/>
          <w:cols w:equalWidth="0" w:num="1">
            <w:col w:w="10220"/>
          </w:cols>
          <w:pgMar w:left="239" w:top="489" w:right="1440" w:bottom="1440" w:gutter="0" w:footer="0" w:header="0"/>
        </w:sectPr>
      </w:pPr>
    </w:p>
    <w:bookmarkStart w:id="27" w:name="page28"/>
    <w:bookmarkEnd w:id="27"/>
    <w:p>
      <w:pPr>
        <w:jc w:val="right"/>
        <w:ind w:right="2459"/>
        <w:spacing w:after="0"/>
        <w:rPr>
          <w:sz w:val="20"/>
          <w:szCs w:val="20"/>
          <w:color w:val="auto"/>
        </w:rPr>
      </w:pPr>
      <w:r>
        <w:rPr>
          <w:rFonts w:ascii="Courier New" w:cs="Courier New" w:eastAsia="Courier New" w:hAnsi="Courier New"/>
          <w:sz w:val="16"/>
          <w:szCs w:val="16"/>
          <w:color w:val="auto"/>
        </w:rPr>
        <w:t>EXHIBIT 10.2</w:t>
      </w:r>
    </w:p>
    <w:p>
      <w:pPr>
        <w:spacing w:after="0" w:line="191"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DESCRIPTION OF BONUS ARRANGEMENT FOR YOAV MICHAELY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The incentive bonus paid to Yoav Michaely for each full calendar year included within the term of his employment is currently determined under a "balanced scorecard" approach, described as follows:</w:t>
      </w:r>
    </w:p>
    <w:p>
      <w:pPr>
        <w:spacing w:after="0" w:line="186" w:lineRule="exact"/>
        <w:rPr>
          <w:sz w:val="20"/>
          <w:szCs w:val="20"/>
          <w:color w:val="auto"/>
        </w:rPr>
      </w:pPr>
    </w:p>
    <w:p>
      <w:pPr>
        <w:ind w:left="1361" w:right="2459" w:hanging="1361"/>
        <w:spacing w:after="0" w:line="246" w:lineRule="auto"/>
        <w:tabs>
          <w:tab w:leader="none" w:pos="136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for the bonus each year will be based on certain performance indicators for the operations in Europe, Middle East and Africa (excluding France). These indicators could include (i) Adjusted Operating Profit, (ii) efficiency improvement, as measured by certain expense ratios, (iii) the Company's earnings per share, and (iv) other components. The bonus will be based on performance as compared to pre-established performance goals for each component. The specific components, as well as the respective weighting and the performance goals for each component, will be determined in the sole discretion of the Chief Executive Officer no later than January 31 of the relevant year.</w:t>
      </w:r>
    </w:p>
    <w:p>
      <w:pPr>
        <w:spacing w:after="0" w:line="192" w:lineRule="exact"/>
        <w:rPr>
          <w:rFonts w:ascii="Courier New" w:cs="Courier New" w:eastAsia="Courier New" w:hAnsi="Courier New"/>
          <w:sz w:val="16"/>
          <w:szCs w:val="16"/>
          <w:color w:val="auto"/>
        </w:rPr>
      </w:pPr>
    </w:p>
    <w:p>
      <w:pPr>
        <w:ind w:left="1361" w:right="2459" w:hanging="1361"/>
        <w:spacing w:after="0" w:line="247" w:lineRule="auto"/>
        <w:tabs>
          <w:tab w:leader="none" w:pos="136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bonus will equal the sum of the bonus amounts determined for each component. The bonus amount for each component will equal the amount described in (3), below, multiplied by the weighting factor described in (1), above.</w:t>
      </w:r>
    </w:p>
    <w:p>
      <w:pPr>
        <w:spacing w:after="0" w:line="185" w:lineRule="exact"/>
        <w:rPr>
          <w:rFonts w:ascii="Courier New" w:cs="Courier New" w:eastAsia="Courier New" w:hAnsi="Courier New"/>
          <w:sz w:val="16"/>
          <w:szCs w:val="16"/>
          <w:color w:val="auto"/>
        </w:rPr>
      </w:pPr>
    </w:p>
    <w:p>
      <w:pPr>
        <w:ind w:left="1361" w:right="2659" w:hanging="1361"/>
        <w:spacing w:after="0" w:line="247" w:lineRule="auto"/>
        <w:tabs>
          <w:tab w:leader="none" w:pos="136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component, goals will be pre-established for threshold, target, and outstanding performance which, if achieved, will result in a bonus amount for that component as follows:</w:t>
      </w:r>
    </w:p>
    <w:p>
      <w:pPr>
        <w:spacing w:after="0" w:line="186" w:lineRule="exact"/>
        <w:rPr>
          <w:sz w:val="20"/>
          <w:szCs w:val="20"/>
          <w:color w:val="auto"/>
        </w:rPr>
      </w:pPr>
    </w:p>
    <w:tbl>
      <w:tblPr>
        <w:tblLayout w:type="fixed"/>
        <w:tblInd w:w="2521" w:type="dxa"/>
        <w:tblCellMar>
          <w:top w:w="0" w:type="dxa"/>
          <w:left w:w="0" w:type="dxa"/>
          <w:bottom w:w="0" w:type="dxa"/>
          <w:right w:w="0" w:type="dxa"/>
        </w:tblCellMar>
      </w:tblPr>
      <w:tr>
        <w:trPr>
          <w:trHeight w:val="183"/>
        </w:trPr>
        <w:tc>
          <w:tcPr>
            <w:tcW w:w="2140" w:type="dxa"/>
            <w:vAlign w:val="bottom"/>
          </w:tcPr>
          <w:p>
            <w:pPr>
              <w:spacing w:after="0"/>
              <w:rPr>
                <w:sz w:val="20"/>
                <w:szCs w:val="20"/>
                <w:color w:val="auto"/>
              </w:rPr>
            </w:pPr>
            <w:r>
              <w:rPr>
                <w:rFonts w:ascii="Courier New" w:cs="Courier New" w:eastAsia="Courier New" w:hAnsi="Courier New"/>
                <w:sz w:val="16"/>
                <w:szCs w:val="16"/>
                <w:color w:val="auto"/>
              </w:rPr>
              <w:t>Goal Achievement</w:t>
            </w:r>
          </w:p>
        </w:tc>
        <w:tc>
          <w:tcPr>
            <w:tcW w:w="27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Bonus Amount</w:t>
            </w:r>
          </w:p>
        </w:tc>
      </w:tr>
      <w:tr>
        <w:trPr>
          <w:trHeight w:val="373"/>
        </w:trPr>
        <w:tc>
          <w:tcPr>
            <w:tcW w:w="2140" w:type="dxa"/>
            <w:vAlign w:val="bottom"/>
          </w:tcPr>
          <w:p>
            <w:pPr>
              <w:spacing w:after="0"/>
              <w:rPr>
                <w:sz w:val="20"/>
                <w:szCs w:val="20"/>
                <w:color w:val="auto"/>
              </w:rPr>
            </w:pPr>
            <w:r>
              <w:rPr>
                <w:rFonts w:ascii="Courier New" w:cs="Courier New" w:eastAsia="Courier New" w:hAnsi="Courier New"/>
                <w:sz w:val="16"/>
                <w:szCs w:val="16"/>
                <w:color w:val="auto"/>
              </w:rPr>
              <w:t>Threshold</w:t>
            </w:r>
          </w:p>
        </w:tc>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0.25</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w w:val="99"/>
              </w:rPr>
              <w:t>times base salary</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Target</w:t>
            </w:r>
          </w:p>
        </w:tc>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0.50</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w w:val="99"/>
              </w:rPr>
              <w:t>times base salary</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Outstanding</w:t>
            </w:r>
          </w:p>
        </w:tc>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1.00</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w w:val="99"/>
              </w:rPr>
              <w:t>times base salary</w:t>
            </w:r>
          </w:p>
        </w:tc>
      </w:tr>
    </w:tbl>
    <w:p>
      <w:pPr>
        <w:spacing w:after="0" w:line="190" w:lineRule="exact"/>
        <w:rPr>
          <w:sz w:val="20"/>
          <w:szCs w:val="20"/>
          <w:color w:val="auto"/>
        </w:rPr>
      </w:pPr>
    </w:p>
    <w:p>
      <w:pPr>
        <w:ind w:left="1361" w:right="2459"/>
        <w:spacing w:after="0" w:line="246" w:lineRule="auto"/>
        <w:rPr>
          <w:sz w:val="20"/>
          <w:szCs w:val="20"/>
          <w:color w:val="auto"/>
        </w:rPr>
      </w:pPr>
      <w:r>
        <w:rPr>
          <w:rFonts w:ascii="Courier New" w:cs="Courier New" w:eastAsia="Courier New" w:hAnsi="Courier New"/>
          <w:sz w:val="16"/>
          <w:szCs w:val="16"/>
          <w:color w:val="auto"/>
        </w:rPr>
        <w:t>For performance below threshold, the bonus amount will equal zero. For performance between threshold and target, or between target and outstanding, the bonus amount will equal the interpolated amount between the bonus amounts for threshold and target performance, or between target and outstanding performance, as the case may be. For performance above outstanding, the bonus amount will be capped at the outstanding bonus amount. In addition to the above, an additional bonus can be earned through a bonus multiplier. The multiplier will range from 1 times to 1.2 times based upon the achievement of increased net operating profit percentage.</w:t>
      </w:r>
    </w:p>
    <w:p>
      <w:pPr>
        <w:spacing w:after="0" w:line="193" w:lineRule="exact"/>
        <w:rPr>
          <w:sz w:val="20"/>
          <w:szCs w:val="20"/>
          <w:color w:val="auto"/>
        </w:rPr>
      </w:pPr>
    </w:p>
    <w:p>
      <w:pPr>
        <w:ind w:left="1361" w:right="2459" w:hanging="1361"/>
        <w:spacing w:after="0" w:line="248" w:lineRule="auto"/>
        <w:tabs>
          <w:tab w:leader="none" w:pos="136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Operating Profit" means operating profit minus a cost of capital, as defined by the Company.</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August 13, 2002</w:t>
      </w:r>
    </w:p>
    <w:p>
      <w:pPr>
        <w:sectPr>
          <w:pgSz w:w="11900" w:h="16838" w:orient="portrait"/>
          <w:cols w:equalWidth="0" w:num="1">
            <w:col w:w="10220"/>
          </w:cols>
          <w:pgMar w:left="239" w:top="328" w:right="1440" w:bottom="1440" w:gutter="0" w:footer="0" w:header="0"/>
        </w:sectPr>
      </w:pPr>
    </w:p>
    <w:bookmarkStart w:id="28" w:name="page29"/>
    <w:bookmarkEnd w:id="28"/>
    <w:p>
      <w:pPr>
        <w:ind w:left="6581"/>
        <w:spacing w:after="0"/>
        <w:rPr>
          <w:sz w:val="20"/>
          <w:szCs w:val="20"/>
          <w:color w:val="auto"/>
        </w:rPr>
      </w:pPr>
      <w:r>
        <w:rPr>
          <w:rFonts w:ascii="Courier New" w:cs="Courier New" w:eastAsia="Courier New" w:hAnsi="Courier New"/>
          <w:sz w:val="16"/>
          <w:szCs w:val="16"/>
          <w:color w:val="auto"/>
        </w:rPr>
        <w:t>EXHIBIT 10.3</w:t>
      </w:r>
    </w:p>
    <w:p>
      <w:pPr>
        <w:spacing w:after="0" w:line="191"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DESCRIPTION OF BONUS ARRANGEMENT FOR JEAN-PIERRE LEMONNIER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The incentive bonus paid to Jean-Pierre Lemonnier for each full calendar year included within the term of his employment is currently determined under a "balanced scorecard" approach, described as follows:</w:t>
      </w:r>
    </w:p>
    <w:p>
      <w:pPr>
        <w:spacing w:after="0" w:line="186" w:lineRule="exact"/>
        <w:rPr>
          <w:sz w:val="20"/>
          <w:szCs w:val="20"/>
          <w:color w:val="auto"/>
        </w:rPr>
      </w:pPr>
    </w:p>
    <w:p>
      <w:pPr>
        <w:ind w:left="1361" w:right="2459" w:hanging="1361"/>
        <w:spacing w:after="0" w:line="246" w:lineRule="auto"/>
        <w:tabs>
          <w:tab w:leader="none" w:pos="136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for the bonus each year will be based on certain performance indicators for the Consolidated France operations. These indicators could include (i) Adjusted Operating Profit, (ii) efficiency improvement, as measured by certain expense ratios,</w:t>
      </w:r>
    </w:p>
    <w:p>
      <w:pPr>
        <w:spacing w:after="0" w:line="2" w:lineRule="exact"/>
        <w:rPr>
          <w:rFonts w:ascii="Courier New" w:cs="Courier New" w:eastAsia="Courier New" w:hAnsi="Courier New"/>
          <w:sz w:val="16"/>
          <w:szCs w:val="16"/>
          <w:color w:val="auto"/>
        </w:rPr>
      </w:pPr>
    </w:p>
    <w:p>
      <w:pPr>
        <w:ind w:left="1361" w:right="2459" w:hanging="4"/>
        <w:spacing w:after="0" w:line="247" w:lineRule="auto"/>
        <w:tabs>
          <w:tab w:leader="none" w:pos="1942"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earnings per share, and (iv) other components. The bonus will be based on performance as compared to pre-established performance goals for each component. The specific components, as well as the respective weighting and the performance goals for each component, will be determined in the sole discretion of the Chief Executive Officer no later than January 31 of the relevant year.</w:t>
      </w:r>
    </w:p>
    <w:p>
      <w:pPr>
        <w:spacing w:after="0" w:line="185" w:lineRule="exact"/>
        <w:rPr>
          <w:rFonts w:ascii="Courier New" w:cs="Courier New" w:eastAsia="Courier New" w:hAnsi="Courier New"/>
          <w:sz w:val="16"/>
          <w:szCs w:val="16"/>
          <w:color w:val="auto"/>
        </w:rPr>
      </w:pPr>
    </w:p>
    <w:p>
      <w:pPr>
        <w:ind w:left="1361" w:right="2459" w:hanging="1361"/>
        <w:spacing w:after="0" w:line="247" w:lineRule="auto"/>
        <w:tabs>
          <w:tab w:leader="none" w:pos="136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bonus will equal the sum of the bonus amounts determined for each component. The bonus amount for each component will equal the amount described in (3), below, multiplied by the weighting factor described in (1), above.</w:t>
      </w:r>
    </w:p>
    <w:p>
      <w:pPr>
        <w:spacing w:after="0" w:line="185" w:lineRule="exact"/>
        <w:rPr>
          <w:rFonts w:ascii="Courier New" w:cs="Courier New" w:eastAsia="Courier New" w:hAnsi="Courier New"/>
          <w:sz w:val="16"/>
          <w:szCs w:val="16"/>
          <w:color w:val="auto"/>
        </w:rPr>
      </w:pPr>
    </w:p>
    <w:p>
      <w:pPr>
        <w:ind w:left="1361" w:right="2659" w:hanging="1361"/>
        <w:spacing w:after="0" w:line="247" w:lineRule="auto"/>
        <w:tabs>
          <w:tab w:leader="none" w:pos="136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component, goals will be pre-established for threshold, target, and outstanding performance which, if achieved, will result in a bonus amount for that component as follows:</w:t>
      </w:r>
    </w:p>
    <w:p>
      <w:pPr>
        <w:spacing w:after="0" w:line="186" w:lineRule="exact"/>
        <w:rPr>
          <w:sz w:val="20"/>
          <w:szCs w:val="20"/>
          <w:color w:val="auto"/>
        </w:rPr>
      </w:pPr>
    </w:p>
    <w:tbl>
      <w:tblPr>
        <w:tblLayout w:type="fixed"/>
        <w:tblInd w:w="2521" w:type="dxa"/>
        <w:tblCellMar>
          <w:top w:w="0" w:type="dxa"/>
          <w:left w:w="0" w:type="dxa"/>
          <w:bottom w:w="0" w:type="dxa"/>
          <w:right w:w="0" w:type="dxa"/>
        </w:tblCellMar>
      </w:tblPr>
      <w:tr>
        <w:trPr>
          <w:trHeight w:val="183"/>
        </w:trPr>
        <w:tc>
          <w:tcPr>
            <w:tcW w:w="2140" w:type="dxa"/>
            <w:vAlign w:val="bottom"/>
          </w:tcPr>
          <w:p>
            <w:pPr>
              <w:spacing w:after="0"/>
              <w:rPr>
                <w:sz w:val="20"/>
                <w:szCs w:val="20"/>
                <w:color w:val="auto"/>
              </w:rPr>
            </w:pPr>
            <w:r>
              <w:rPr>
                <w:rFonts w:ascii="Courier New" w:cs="Courier New" w:eastAsia="Courier New" w:hAnsi="Courier New"/>
                <w:sz w:val="16"/>
                <w:szCs w:val="16"/>
                <w:color w:val="auto"/>
              </w:rPr>
              <w:t>Goal Achievement</w:t>
            </w:r>
          </w:p>
        </w:tc>
        <w:tc>
          <w:tcPr>
            <w:tcW w:w="27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Bonus Amount</w:t>
            </w:r>
          </w:p>
        </w:tc>
      </w:tr>
      <w:tr>
        <w:trPr>
          <w:trHeight w:val="373"/>
        </w:trPr>
        <w:tc>
          <w:tcPr>
            <w:tcW w:w="2140" w:type="dxa"/>
            <w:vAlign w:val="bottom"/>
          </w:tcPr>
          <w:p>
            <w:pPr>
              <w:spacing w:after="0"/>
              <w:rPr>
                <w:sz w:val="20"/>
                <w:szCs w:val="20"/>
                <w:color w:val="auto"/>
              </w:rPr>
            </w:pPr>
            <w:r>
              <w:rPr>
                <w:rFonts w:ascii="Courier New" w:cs="Courier New" w:eastAsia="Courier New" w:hAnsi="Courier New"/>
                <w:sz w:val="16"/>
                <w:szCs w:val="16"/>
                <w:color w:val="auto"/>
              </w:rPr>
              <w:t>Threshold</w:t>
            </w:r>
          </w:p>
        </w:tc>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0.25</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w w:val="99"/>
              </w:rPr>
              <w:t>times base salary</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Target</w:t>
            </w:r>
          </w:p>
        </w:tc>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0.50</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w w:val="99"/>
              </w:rPr>
              <w:t>times base salary</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Outstanding</w:t>
            </w:r>
          </w:p>
        </w:tc>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1.00</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w w:val="99"/>
              </w:rPr>
              <w:t>times base salary</w:t>
            </w:r>
          </w:p>
        </w:tc>
      </w:tr>
    </w:tbl>
    <w:p>
      <w:pPr>
        <w:spacing w:after="0" w:line="190" w:lineRule="exact"/>
        <w:rPr>
          <w:sz w:val="20"/>
          <w:szCs w:val="20"/>
          <w:color w:val="auto"/>
        </w:rPr>
      </w:pPr>
    </w:p>
    <w:p>
      <w:pPr>
        <w:ind w:left="1361" w:right="2459"/>
        <w:spacing w:after="0" w:line="246" w:lineRule="auto"/>
        <w:rPr>
          <w:sz w:val="20"/>
          <w:szCs w:val="20"/>
          <w:color w:val="auto"/>
        </w:rPr>
      </w:pPr>
      <w:r>
        <w:rPr>
          <w:rFonts w:ascii="Courier New" w:cs="Courier New" w:eastAsia="Courier New" w:hAnsi="Courier New"/>
          <w:sz w:val="16"/>
          <w:szCs w:val="16"/>
          <w:color w:val="auto"/>
        </w:rPr>
        <w:t>For performance below threshold, the bonus amount will equal zero. For performance between threshold and target, or between target and outstanding, the bonus amount will equal the interpolated amount between the bonus amounts for threshold and target performance, or between target and outstanding performance, as the case may be. For performance above outstanding, the bonus amount will be capped at the outstanding bonus amount. In addition to the above, an additional bonus can be earned through a bonus multiplier. The multiplier will range from 1 times to 1.2 times based upon the achievement of increased net operating profit percentage.</w:t>
      </w:r>
    </w:p>
    <w:p>
      <w:pPr>
        <w:spacing w:after="0" w:line="193" w:lineRule="exact"/>
        <w:rPr>
          <w:sz w:val="20"/>
          <w:szCs w:val="20"/>
          <w:color w:val="auto"/>
        </w:rPr>
      </w:pPr>
    </w:p>
    <w:p>
      <w:pPr>
        <w:ind w:left="1361" w:right="2459" w:hanging="1361"/>
        <w:spacing w:after="0" w:line="248" w:lineRule="auto"/>
        <w:tabs>
          <w:tab w:leader="none" w:pos="136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Operating Profit" means operating profit minus a cost of capital, as defined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August 13, 2002</w:t>
      </w:r>
    </w:p>
    <w:p>
      <w:pPr>
        <w:sectPr>
          <w:pgSz w:w="11900" w:h="16838" w:orient="portrait"/>
          <w:cols w:equalWidth="0" w:num="1">
            <w:col w:w="10220"/>
          </w:cols>
          <w:pgMar w:left="239" w:top="328" w:right="1440" w:bottom="1440" w:gutter="0" w:footer="0" w:header="0"/>
        </w:sectPr>
      </w:pPr>
    </w:p>
    <w:bookmarkStart w:id="29" w:name="page30"/>
    <w:bookmarkEnd w:id="29"/>
    <w:p>
      <w:pPr>
        <w:ind w:left="6580"/>
        <w:spacing w:after="0"/>
        <w:rPr>
          <w:sz w:val="20"/>
          <w:szCs w:val="20"/>
          <w:color w:val="auto"/>
        </w:rPr>
      </w:pPr>
      <w:r>
        <w:rPr>
          <w:rFonts w:ascii="Courier New" w:cs="Courier New" w:eastAsia="Courier New" w:hAnsi="Courier New"/>
          <w:sz w:val="16"/>
          <w:szCs w:val="16"/>
          <w:color w:val="auto"/>
        </w:rPr>
        <w:t>EXHIBIT 12.1</w:t>
      </w:r>
    </w:p>
    <w:p>
      <w:pPr>
        <w:spacing w:after="0" w:line="191"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MANPOWER INC.</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Statement Regarding Computation of Ratio of Earnings to Fixed Charges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80" w:type="dxa"/>
            <w:vAlign w:val="bottom"/>
          </w:tcPr>
          <w:p>
            <w:pPr>
              <w:ind w:left="3300"/>
              <w:spacing w:after="0"/>
              <w:rPr>
                <w:sz w:val="20"/>
                <w:szCs w:val="20"/>
                <w:color w:val="auto"/>
              </w:rPr>
            </w:pPr>
            <w:r>
              <w:rPr>
                <w:rFonts w:ascii="Courier New" w:cs="Courier New" w:eastAsia="Courier New" w:hAnsi="Courier New"/>
                <w:sz w:val="16"/>
                <w:szCs w:val="16"/>
                <w:color w:val="auto"/>
              </w:rPr>
              <w:t>(in millions)</w:t>
            </w: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932"/>
        </w:trPr>
        <w:tc>
          <w:tcPr>
            <w:tcW w:w="4980" w:type="dxa"/>
            <w:vAlign w:val="bottom"/>
          </w:tcPr>
          <w:p>
            <w:pPr>
              <w:spacing w:after="0"/>
              <w:rPr>
                <w:sz w:val="24"/>
                <w:szCs w:val="24"/>
                <w:color w:val="auto"/>
              </w:rPr>
            </w:pPr>
          </w:p>
        </w:tc>
        <w:tc>
          <w:tcPr>
            <w:tcW w:w="238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6 MONTHS ENDED</w:t>
            </w:r>
          </w:p>
        </w:tc>
      </w:tr>
      <w:tr>
        <w:trPr>
          <w:trHeight w:val="186"/>
        </w:trPr>
        <w:tc>
          <w:tcPr>
            <w:tcW w:w="4980" w:type="dxa"/>
            <w:vAlign w:val="bottom"/>
          </w:tcPr>
          <w:p>
            <w:pPr>
              <w:spacing w:after="0"/>
              <w:rPr>
                <w:sz w:val="16"/>
                <w:szCs w:val="16"/>
                <w:color w:val="auto"/>
              </w:rPr>
            </w:pPr>
          </w:p>
        </w:tc>
        <w:tc>
          <w:tcPr>
            <w:tcW w:w="238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JUNE 30, 2002</w:t>
            </w:r>
          </w:p>
        </w:tc>
      </w:tr>
      <w:tr>
        <w:trPr>
          <w:trHeight w:val="186"/>
        </w:trPr>
        <w:tc>
          <w:tcPr>
            <w:tcW w:w="4980" w:type="dxa"/>
            <w:vAlign w:val="bottom"/>
          </w:tcPr>
          <w:p>
            <w:pPr>
              <w:spacing w:after="0"/>
              <w:rPr>
                <w:sz w:val="16"/>
                <w:szCs w:val="16"/>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498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4980" w:type="dxa"/>
            <w:vAlign w:val="bottom"/>
          </w:tcPr>
          <w:p>
            <w:pPr>
              <w:ind w:left="380"/>
              <w:spacing w:after="0"/>
              <w:rPr>
                <w:sz w:val="20"/>
                <w:szCs w:val="20"/>
                <w:color w:val="auto"/>
              </w:rPr>
            </w:pPr>
            <w:r>
              <w:rPr>
                <w:rFonts w:ascii="Courier New" w:cs="Courier New" w:eastAsia="Courier New" w:hAnsi="Courier New"/>
                <w:sz w:val="16"/>
                <w:szCs w:val="16"/>
                <w:color w:val="auto"/>
              </w:rPr>
              <w:t>Earnings before income taxes</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52.9</w:t>
            </w:r>
          </w:p>
        </w:tc>
      </w:tr>
      <w:tr>
        <w:trPr>
          <w:trHeight w:val="186"/>
        </w:trPr>
        <w:tc>
          <w:tcPr>
            <w:tcW w:w="4980" w:type="dxa"/>
            <w:vAlign w:val="bottom"/>
          </w:tcPr>
          <w:p>
            <w:pPr>
              <w:ind w:left="380"/>
              <w:spacing w:after="0"/>
              <w:rPr>
                <w:sz w:val="20"/>
                <w:szCs w:val="20"/>
                <w:color w:val="auto"/>
              </w:rPr>
            </w:pPr>
            <w:r>
              <w:rPr>
                <w:rFonts w:ascii="Courier New" w:cs="Courier New" w:eastAsia="Courier New" w:hAnsi="Courier New"/>
                <w:sz w:val="16"/>
                <w:szCs w:val="16"/>
                <w:color w:val="auto"/>
              </w:rPr>
              <w:t>Fixed charges</w:t>
            </w:r>
          </w:p>
        </w:tc>
        <w:tc>
          <w:tcPr>
            <w:tcW w:w="1220" w:type="dxa"/>
            <w:vAlign w:val="bottom"/>
          </w:tcPr>
          <w:p>
            <w:pPr>
              <w:spacing w:after="0"/>
              <w:rPr>
                <w:sz w:val="16"/>
                <w:szCs w:val="16"/>
                <w:color w:val="auto"/>
              </w:rPr>
            </w:pPr>
          </w:p>
        </w:tc>
        <w:tc>
          <w:tcPr>
            <w:tcW w:w="1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56.2</w:t>
            </w:r>
          </w:p>
        </w:tc>
      </w:tr>
      <w:tr>
        <w:trPr>
          <w:trHeight w:val="186"/>
        </w:trPr>
        <w:tc>
          <w:tcPr>
            <w:tcW w:w="4980" w:type="dxa"/>
            <w:vAlign w:val="bottom"/>
          </w:tcPr>
          <w:p>
            <w:pPr>
              <w:spacing w:after="0"/>
              <w:rPr>
                <w:sz w:val="16"/>
                <w:szCs w:val="16"/>
                <w:color w:val="auto"/>
              </w:rPr>
            </w:pPr>
          </w:p>
        </w:tc>
        <w:tc>
          <w:tcPr>
            <w:tcW w:w="23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16"/>
                <w:szCs w:val="16"/>
                <w:color w:val="auto"/>
              </w:rPr>
            </w:pPr>
          </w:p>
        </w:tc>
        <w:tc>
          <w:tcPr>
            <w:tcW w:w="23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$ 109.1</w:t>
            </w:r>
          </w:p>
        </w:tc>
      </w:tr>
      <w:tr>
        <w:trPr>
          <w:trHeight w:val="186"/>
        </w:trPr>
        <w:tc>
          <w:tcPr>
            <w:tcW w:w="4980" w:type="dxa"/>
            <w:vAlign w:val="bottom"/>
          </w:tcPr>
          <w:p>
            <w:pPr>
              <w:spacing w:after="0"/>
              <w:rPr>
                <w:sz w:val="16"/>
                <w:szCs w:val="16"/>
                <w:color w:val="auto"/>
              </w:rPr>
            </w:pPr>
          </w:p>
        </w:tc>
        <w:tc>
          <w:tcPr>
            <w:tcW w:w="23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373"/>
        </w:trPr>
        <w:tc>
          <w:tcPr>
            <w:tcW w:w="498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4980" w:type="dxa"/>
            <w:vAlign w:val="bottom"/>
          </w:tcPr>
          <w:p>
            <w:pPr>
              <w:ind w:left="380"/>
              <w:spacing w:after="0"/>
              <w:rPr>
                <w:sz w:val="20"/>
                <w:szCs w:val="20"/>
                <w:color w:val="auto"/>
              </w:rPr>
            </w:pPr>
            <w:r>
              <w:rPr>
                <w:rFonts w:ascii="Courier New" w:cs="Courier New" w:eastAsia="Courier New" w:hAnsi="Courier New"/>
                <w:sz w:val="16"/>
                <w:szCs w:val="16"/>
                <w:color w:val="auto"/>
              </w:rPr>
              <w:t>Interest (expensed or capitalized)</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20.4</w:t>
            </w:r>
          </w:p>
        </w:tc>
      </w:tr>
      <w:tr>
        <w:trPr>
          <w:trHeight w:val="186"/>
        </w:trPr>
        <w:tc>
          <w:tcPr>
            <w:tcW w:w="4980" w:type="dxa"/>
            <w:vAlign w:val="bottom"/>
          </w:tcPr>
          <w:p>
            <w:pPr>
              <w:ind w:left="380"/>
              <w:spacing w:after="0"/>
              <w:rPr>
                <w:sz w:val="20"/>
                <w:szCs w:val="20"/>
                <w:color w:val="auto"/>
              </w:rPr>
            </w:pPr>
            <w:r>
              <w:rPr>
                <w:rFonts w:ascii="Courier New" w:cs="Courier New" w:eastAsia="Courier New" w:hAnsi="Courier New"/>
                <w:sz w:val="16"/>
                <w:szCs w:val="16"/>
                <w:color w:val="auto"/>
              </w:rPr>
              <w:t>Estimated interest portion of rent expense</w:t>
            </w:r>
          </w:p>
        </w:tc>
        <w:tc>
          <w:tcPr>
            <w:tcW w:w="1220" w:type="dxa"/>
            <w:vAlign w:val="bottom"/>
          </w:tcPr>
          <w:p>
            <w:pPr>
              <w:spacing w:after="0"/>
              <w:rPr>
                <w:sz w:val="16"/>
                <w:szCs w:val="16"/>
                <w:color w:val="auto"/>
              </w:rPr>
            </w:pPr>
          </w:p>
        </w:tc>
        <w:tc>
          <w:tcPr>
            <w:tcW w:w="1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35.8</w:t>
            </w:r>
          </w:p>
        </w:tc>
      </w:tr>
      <w:tr>
        <w:trPr>
          <w:trHeight w:val="186"/>
        </w:trPr>
        <w:tc>
          <w:tcPr>
            <w:tcW w:w="4980" w:type="dxa"/>
            <w:vAlign w:val="bottom"/>
          </w:tcPr>
          <w:p>
            <w:pPr>
              <w:spacing w:after="0"/>
              <w:rPr>
                <w:sz w:val="16"/>
                <w:szCs w:val="16"/>
                <w:color w:val="auto"/>
              </w:rPr>
            </w:pPr>
          </w:p>
        </w:tc>
        <w:tc>
          <w:tcPr>
            <w:tcW w:w="23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56.2</w:t>
            </w:r>
          </w:p>
        </w:tc>
      </w:tr>
      <w:tr>
        <w:trPr>
          <w:trHeight w:val="186"/>
        </w:trPr>
        <w:tc>
          <w:tcPr>
            <w:tcW w:w="4980" w:type="dxa"/>
            <w:vAlign w:val="bottom"/>
          </w:tcPr>
          <w:p>
            <w:pPr>
              <w:spacing w:after="0"/>
              <w:rPr>
                <w:sz w:val="16"/>
                <w:szCs w:val="16"/>
                <w:color w:val="auto"/>
              </w:rPr>
            </w:pPr>
          </w:p>
        </w:tc>
        <w:tc>
          <w:tcPr>
            <w:tcW w:w="23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373"/>
        </w:trPr>
        <w:tc>
          <w:tcPr>
            <w:tcW w:w="498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220" w:type="dxa"/>
            <w:vAlign w:val="bottom"/>
          </w:tcPr>
          <w:p>
            <w:pPr>
              <w:spacing w:after="0"/>
              <w:rPr>
                <w:sz w:val="24"/>
                <w:szCs w:val="24"/>
                <w:color w:val="auto"/>
              </w:rPr>
            </w:pPr>
          </w:p>
        </w:tc>
        <w:tc>
          <w:tcPr>
            <w:tcW w:w="11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w:t>
            </w:r>
          </w:p>
        </w:tc>
      </w:tr>
      <w:tr>
        <w:trPr>
          <w:trHeight w:val="186"/>
        </w:trPr>
        <w:tc>
          <w:tcPr>
            <w:tcW w:w="4980" w:type="dxa"/>
            <w:vAlign w:val="bottom"/>
          </w:tcPr>
          <w:p>
            <w:pPr>
              <w:spacing w:after="0"/>
              <w:rPr>
                <w:sz w:val="16"/>
                <w:szCs w:val="16"/>
                <w:color w:val="auto"/>
              </w:rPr>
            </w:pPr>
          </w:p>
        </w:tc>
        <w:tc>
          <w:tcPr>
            <w:tcW w:w="23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YEARS ENDED DECEMBER 31,</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6"/>
        </w:trPr>
        <w:tc>
          <w:tcPr>
            <w:tcW w:w="5180" w:type="dxa"/>
            <w:vAlign w:val="bottom"/>
          </w:tcPr>
          <w:p>
            <w:pPr>
              <w:spacing w:after="0"/>
              <w:rPr>
                <w:sz w:val="16"/>
                <w:szCs w:val="16"/>
                <w:color w:val="auto"/>
              </w:rPr>
            </w:pPr>
          </w:p>
        </w:tc>
        <w:tc>
          <w:tcPr>
            <w:tcW w:w="576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spacing w:after="0"/>
              <w:rPr>
                <w:sz w:val="16"/>
                <w:szCs w:val="16"/>
                <w:color w:val="auto"/>
              </w:rPr>
            </w:pP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2000</w:t>
            </w:r>
          </w:p>
        </w:tc>
        <w:tc>
          <w:tcPr>
            <w:tcW w:w="300" w:type="dxa"/>
            <w:vAlign w:val="bottom"/>
          </w:tcPr>
          <w:p>
            <w:pPr>
              <w:spacing w:after="0"/>
              <w:rPr>
                <w:sz w:val="16"/>
                <w:szCs w:val="16"/>
                <w:color w:val="auto"/>
              </w:rPr>
            </w:pPr>
          </w:p>
        </w:tc>
        <w:tc>
          <w:tcPr>
            <w:tcW w:w="7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3"/>
              </w:rPr>
              <w:t>1999</w:t>
            </w:r>
          </w:p>
        </w:tc>
        <w:tc>
          <w:tcPr>
            <w:tcW w:w="28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1998</w:t>
            </w:r>
          </w:p>
        </w:tc>
        <w:tc>
          <w:tcPr>
            <w:tcW w:w="340" w:type="dxa"/>
            <w:vAlign w:val="bottom"/>
          </w:tcPr>
          <w:p>
            <w:pPr>
              <w:spacing w:after="0"/>
              <w:rPr>
                <w:sz w:val="16"/>
                <w:szCs w:val="16"/>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1997</w:t>
            </w:r>
          </w:p>
        </w:tc>
      </w:tr>
      <w:tr>
        <w:trPr>
          <w:trHeight w:val="186"/>
        </w:trPr>
        <w:tc>
          <w:tcPr>
            <w:tcW w:w="5180" w:type="dxa"/>
            <w:vAlign w:val="bottom"/>
          </w:tcPr>
          <w:p>
            <w:pPr>
              <w:spacing w:after="0"/>
              <w:rPr>
                <w:sz w:val="16"/>
                <w:szCs w:val="16"/>
                <w:color w:val="auto"/>
              </w:rPr>
            </w:pP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518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6"/>
        </w:trPr>
        <w:tc>
          <w:tcPr>
            <w:tcW w:w="5180" w:type="dxa"/>
            <w:vAlign w:val="bottom"/>
          </w:tcPr>
          <w:p>
            <w:pPr>
              <w:ind w:left="380"/>
              <w:spacing w:after="0"/>
              <w:rPr>
                <w:sz w:val="20"/>
                <w:szCs w:val="20"/>
                <w:color w:val="auto"/>
              </w:rPr>
            </w:pPr>
            <w:r>
              <w:rPr>
                <w:rFonts w:ascii="Courier New" w:cs="Courier New" w:eastAsia="Courier New" w:hAnsi="Courier New"/>
                <w:sz w:val="16"/>
                <w:szCs w:val="16"/>
                <w:color w:val="auto"/>
              </w:rPr>
              <w:t>Earnings before income taxes</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$ 197.9</w:t>
            </w:r>
          </w:p>
        </w:tc>
        <w:tc>
          <w:tcPr>
            <w:tcW w:w="10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$ 265.2</w:t>
            </w: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$ 205.8</w:t>
            </w:r>
          </w:p>
        </w:tc>
        <w:tc>
          <w:tcPr>
            <w:tcW w:w="10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$ 113.8</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$ 249.2</w:t>
            </w:r>
          </w:p>
        </w:tc>
      </w:tr>
      <w:tr>
        <w:trPr>
          <w:trHeight w:val="186"/>
        </w:trPr>
        <w:tc>
          <w:tcPr>
            <w:tcW w:w="5180" w:type="dxa"/>
            <w:vAlign w:val="bottom"/>
          </w:tcPr>
          <w:p>
            <w:pPr>
              <w:ind w:left="380"/>
              <w:spacing w:after="0"/>
              <w:rPr>
                <w:sz w:val="20"/>
                <w:szCs w:val="20"/>
                <w:color w:val="auto"/>
              </w:rPr>
            </w:pPr>
            <w:r>
              <w:rPr>
                <w:rFonts w:ascii="Courier New" w:cs="Courier New" w:eastAsia="Courier New" w:hAnsi="Courier New"/>
                <w:sz w:val="16"/>
                <w:szCs w:val="16"/>
                <w:color w:val="auto"/>
              </w:rPr>
              <w:t>Fixed charges</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107.4</w:t>
            </w:r>
          </w:p>
        </w:tc>
        <w:tc>
          <w:tcPr>
            <w:tcW w:w="340" w:type="dxa"/>
            <w:vAlign w:val="bottom"/>
          </w:tcPr>
          <w:p>
            <w:pPr>
              <w:spacing w:after="0"/>
              <w:rPr>
                <w:sz w:val="16"/>
                <w:szCs w:val="16"/>
                <w:color w:val="auto"/>
              </w:rPr>
            </w:pP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94.0</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71.6</w:t>
            </w:r>
          </w:p>
        </w:tc>
        <w:tc>
          <w:tcPr>
            <w:tcW w:w="28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65.1</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47.2</w:t>
            </w:r>
          </w:p>
        </w:tc>
      </w:tr>
      <w:tr>
        <w:trPr>
          <w:trHeight w:val="186"/>
        </w:trPr>
        <w:tc>
          <w:tcPr>
            <w:tcW w:w="5180" w:type="dxa"/>
            <w:vAlign w:val="bottom"/>
          </w:tcPr>
          <w:p>
            <w:pPr>
              <w:spacing w:after="0"/>
              <w:rPr>
                <w:sz w:val="16"/>
                <w:szCs w:val="16"/>
                <w:color w:val="auto"/>
              </w:rPr>
            </w:pP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spacing w:after="0"/>
              <w:rPr>
                <w:sz w:val="16"/>
                <w:szCs w:val="16"/>
                <w:color w:val="auto"/>
              </w:rPr>
            </w:pP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$ 305.3</w:t>
            </w:r>
          </w:p>
        </w:tc>
        <w:tc>
          <w:tcPr>
            <w:tcW w:w="10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$ 359.2</w:t>
            </w: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$ 277.4</w:t>
            </w:r>
          </w:p>
        </w:tc>
        <w:tc>
          <w:tcPr>
            <w:tcW w:w="10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$ 178.9</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$ 296.4</w:t>
            </w:r>
          </w:p>
        </w:tc>
      </w:tr>
      <w:tr>
        <w:trPr>
          <w:trHeight w:val="186"/>
        </w:trPr>
        <w:tc>
          <w:tcPr>
            <w:tcW w:w="5180" w:type="dxa"/>
            <w:vAlign w:val="bottom"/>
          </w:tcPr>
          <w:p>
            <w:pPr>
              <w:spacing w:after="0"/>
              <w:rPr>
                <w:sz w:val="16"/>
                <w:szCs w:val="16"/>
                <w:color w:val="auto"/>
              </w:rPr>
            </w:pP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518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6"/>
        </w:trPr>
        <w:tc>
          <w:tcPr>
            <w:tcW w:w="5180" w:type="dxa"/>
            <w:vAlign w:val="bottom"/>
          </w:tcPr>
          <w:p>
            <w:pPr>
              <w:ind w:left="380"/>
              <w:spacing w:after="0"/>
              <w:rPr>
                <w:sz w:val="20"/>
                <w:szCs w:val="20"/>
                <w:color w:val="auto"/>
              </w:rPr>
            </w:pPr>
            <w:r>
              <w:rPr>
                <w:rFonts w:ascii="Courier New" w:cs="Courier New" w:eastAsia="Courier New" w:hAnsi="Courier New"/>
                <w:sz w:val="16"/>
                <w:szCs w:val="16"/>
                <w:color w:val="auto"/>
              </w:rPr>
              <w:t>Interest (expensed or capitalized)</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39.1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r>
      <w:tr>
        <w:trPr>
          <w:trHeight w:val="186"/>
        </w:trPr>
        <w:tc>
          <w:tcPr>
            <w:tcW w:w="5180" w:type="dxa"/>
            <w:vAlign w:val="bottom"/>
          </w:tcPr>
          <w:p>
            <w:pPr>
              <w:ind w:left="380"/>
              <w:spacing w:after="0"/>
              <w:rPr>
                <w:sz w:val="20"/>
                <w:szCs w:val="20"/>
                <w:color w:val="auto"/>
              </w:rPr>
            </w:pPr>
            <w:r>
              <w:rPr>
                <w:rFonts w:ascii="Courier New" w:cs="Courier New" w:eastAsia="Courier New" w:hAnsi="Courier New"/>
                <w:sz w:val="16"/>
                <w:szCs w:val="16"/>
                <w:color w:val="auto"/>
              </w:rPr>
              <w:t>Estimated interest portion of rent expense</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68.3</w:t>
            </w:r>
          </w:p>
        </w:tc>
        <w:tc>
          <w:tcPr>
            <w:tcW w:w="340" w:type="dxa"/>
            <w:vAlign w:val="bottom"/>
          </w:tcPr>
          <w:p>
            <w:pPr>
              <w:spacing w:after="0"/>
              <w:rPr>
                <w:sz w:val="16"/>
                <w:szCs w:val="16"/>
                <w:color w:val="auto"/>
              </w:rPr>
            </w:pP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59.0</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54.3</w:t>
            </w:r>
          </w:p>
        </w:tc>
        <w:tc>
          <w:tcPr>
            <w:tcW w:w="28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45.9</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36.1</w:t>
            </w:r>
          </w:p>
        </w:tc>
      </w:tr>
      <w:tr>
        <w:trPr>
          <w:trHeight w:val="186"/>
        </w:trPr>
        <w:tc>
          <w:tcPr>
            <w:tcW w:w="5180" w:type="dxa"/>
            <w:vAlign w:val="bottom"/>
          </w:tcPr>
          <w:p>
            <w:pPr>
              <w:spacing w:after="0"/>
              <w:rPr>
                <w:sz w:val="16"/>
                <w:szCs w:val="16"/>
                <w:color w:val="auto"/>
              </w:rPr>
            </w:pP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spacing w:after="0"/>
              <w:rPr>
                <w:sz w:val="16"/>
                <w:szCs w:val="16"/>
                <w:color w:val="auto"/>
              </w:rPr>
            </w:pP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$ 107.4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94.0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47.2</w:t>
            </w:r>
          </w:p>
        </w:tc>
      </w:tr>
      <w:tr>
        <w:trPr>
          <w:trHeight w:val="186"/>
        </w:trPr>
        <w:tc>
          <w:tcPr>
            <w:tcW w:w="5180" w:type="dxa"/>
            <w:vAlign w:val="bottom"/>
          </w:tcPr>
          <w:p>
            <w:pPr>
              <w:spacing w:after="0"/>
              <w:rPr>
                <w:sz w:val="16"/>
                <w:szCs w:val="16"/>
                <w:color w:val="auto"/>
              </w:rPr>
            </w:pP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18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w:t>
            </w:r>
          </w:p>
        </w:tc>
        <w:tc>
          <w:tcPr>
            <w:tcW w:w="340" w:type="dxa"/>
            <w:vAlign w:val="bottom"/>
          </w:tcPr>
          <w:p>
            <w:pPr>
              <w:spacing w:after="0"/>
              <w:rPr>
                <w:sz w:val="24"/>
                <w:szCs w:val="24"/>
                <w:color w:val="auto"/>
              </w:rPr>
            </w:pP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w:t>
            </w:r>
          </w:p>
        </w:tc>
        <w:tc>
          <w:tcPr>
            <w:tcW w:w="300" w:type="dxa"/>
            <w:vAlign w:val="bottom"/>
          </w:tcPr>
          <w:p>
            <w:pPr>
              <w:spacing w:after="0"/>
              <w:rPr>
                <w:sz w:val="24"/>
                <w:szCs w:val="24"/>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w:t>
            </w:r>
          </w:p>
        </w:tc>
        <w:tc>
          <w:tcPr>
            <w:tcW w:w="28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6"/>
        </w:trPr>
        <w:tc>
          <w:tcPr>
            <w:tcW w:w="5180" w:type="dxa"/>
            <w:vAlign w:val="bottom"/>
          </w:tcPr>
          <w:p>
            <w:pPr>
              <w:spacing w:after="0"/>
              <w:rPr>
                <w:sz w:val="16"/>
                <w:szCs w:val="16"/>
                <w:color w:val="auto"/>
              </w:rPr>
            </w:pP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880" w:right="3380" w:hanging="879"/>
        <w:spacing w:after="0" w:line="247" w:lineRule="auto"/>
        <w:tabs>
          <w:tab w:leader="none" w:pos="86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The calculation of Ratio of Earnings to Fixed Charges set forth above is in accordance with Regulation S-K, Item 601(12). Based on the seasonality of our business, the ratio calculated for the six months ended June 30, 2002 is not necessarily indicative of the ratio that will result for the year ended December 31, 2002. This calculation is different than the fixed charge ratio that is required by our various borrowing facilities.</w:t>
      </w:r>
    </w:p>
    <w:p>
      <w:pPr>
        <w:sectPr>
          <w:pgSz w:w="11900" w:h="16838" w:orient="portrait"/>
          <w:cols w:equalWidth="0" w:num="1">
            <w:col w:w="10940"/>
          </w:cols>
          <w:pgMar w:left="240" w:top="328" w:right="719" w:bottom="1440" w:gutter="0" w:footer="0" w:header="0"/>
        </w:sectPr>
      </w:pPr>
    </w:p>
    <w:bookmarkStart w:id="30" w:name="page31"/>
    <w:bookmarkEnd w:id="30"/>
    <w:p>
      <w:pPr>
        <w:jc w:val="right"/>
        <w:ind w:right="2459"/>
        <w:spacing w:after="0"/>
        <w:rPr>
          <w:sz w:val="20"/>
          <w:szCs w:val="20"/>
          <w:color w:val="auto"/>
        </w:rPr>
      </w:pPr>
      <w:r>
        <w:rPr>
          <w:rFonts w:ascii="Courier New" w:cs="Courier New" w:eastAsia="Courier New" w:hAnsi="Courier New"/>
          <w:sz w:val="16"/>
          <w:szCs w:val="16"/>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STATEMENT</w:t>
      </w:r>
    </w:p>
    <w:p>
      <w:pPr>
        <w:spacing w:after="0" w:line="378" w:lineRule="exact"/>
        <w:rPr>
          <w:sz w:val="20"/>
          <w:szCs w:val="20"/>
          <w:color w:val="auto"/>
        </w:rPr>
      </w:pPr>
    </w:p>
    <w:p>
      <w:pPr>
        <w:jc w:val="both"/>
        <w:ind w:right="2859"/>
        <w:spacing w:after="0" w:line="248" w:lineRule="auto"/>
        <w:rPr>
          <w:sz w:val="20"/>
          <w:szCs w:val="20"/>
          <w:color w:val="auto"/>
        </w:rPr>
      </w:pPr>
      <w:r>
        <w:rPr>
          <w:rFonts w:ascii="Courier New" w:cs="Courier New" w:eastAsia="Courier New" w:hAnsi="Courier New"/>
          <w:sz w:val="16"/>
          <w:szCs w:val="16"/>
          <w:color w:val="auto"/>
        </w:rPr>
        <w:t>Pursuant to ss.906 of the Sarbanes-Oxley Act of 2002, 18 U.S.C. ss.1350, the undersigned officer of Manpower Inc. (the "Company"), hereby certifies that: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0" w:type="dxa"/>
            <w:vAlign w:val="bottom"/>
          </w:tcPr>
          <w:p>
            <w:pPr>
              <w:jc w:val="right"/>
              <w:ind w:right="679"/>
              <w:spacing w:after="0"/>
              <w:rPr>
                <w:sz w:val="20"/>
                <w:szCs w:val="20"/>
                <w:color w:val="auto"/>
              </w:rPr>
            </w:pPr>
            <w:r>
              <w:rPr>
                <w:rFonts w:ascii="Courier New" w:cs="Courier New" w:eastAsia="Courier New" w:hAnsi="Courier New"/>
                <w:sz w:val="16"/>
                <w:szCs w:val="16"/>
                <w:color w:val="auto"/>
                <w:w w:val="97"/>
              </w:rPr>
              <w:t>(1)</w:t>
            </w:r>
          </w:p>
        </w:tc>
        <w:tc>
          <w:tcPr>
            <w:tcW w:w="670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the Company's Quarterly Report on Form 10-Q for the quarter</w:t>
            </w:r>
          </w:p>
        </w:tc>
      </w:tr>
      <w:tr>
        <w:trPr>
          <w:trHeight w:val="186"/>
        </w:trPr>
        <w:tc>
          <w:tcPr>
            <w:tcW w:w="1060" w:type="dxa"/>
            <w:vAlign w:val="bottom"/>
          </w:tcPr>
          <w:p>
            <w:pPr>
              <w:spacing w:after="0"/>
              <w:rPr>
                <w:sz w:val="16"/>
                <w:szCs w:val="16"/>
                <w:color w:val="auto"/>
              </w:rPr>
            </w:pPr>
          </w:p>
        </w:tc>
        <w:tc>
          <w:tcPr>
            <w:tcW w:w="670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ended June 30, 2002 fully complies with the requirements of</w:t>
            </w:r>
          </w:p>
        </w:tc>
      </w:tr>
      <w:tr>
        <w:trPr>
          <w:trHeight w:val="186"/>
        </w:trPr>
        <w:tc>
          <w:tcPr>
            <w:tcW w:w="1060" w:type="dxa"/>
            <w:vAlign w:val="bottom"/>
          </w:tcPr>
          <w:p>
            <w:pPr>
              <w:spacing w:after="0"/>
              <w:rPr>
                <w:sz w:val="16"/>
                <w:szCs w:val="16"/>
                <w:color w:val="auto"/>
              </w:rPr>
            </w:pPr>
          </w:p>
        </w:tc>
        <w:tc>
          <w:tcPr>
            <w:tcW w:w="3340" w:type="dxa"/>
            <w:vAlign w:val="bottom"/>
          </w:tcPr>
          <w:p>
            <w:pPr>
              <w:ind w:left="780"/>
              <w:spacing w:after="0"/>
              <w:rPr>
                <w:sz w:val="20"/>
                <w:szCs w:val="20"/>
                <w:color w:val="auto"/>
              </w:rPr>
            </w:pPr>
            <w:r>
              <w:rPr>
                <w:rFonts w:ascii="Courier New" w:cs="Courier New" w:eastAsia="Courier New" w:hAnsi="Courier New"/>
                <w:sz w:val="16"/>
                <w:szCs w:val="16"/>
                <w:color w:val="auto"/>
              </w:rPr>
              <w:t>Section 13(a) or 15(d), as</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applicable, of the Securities</w:t>
            </w:r>
          </w:p>
        </w:tc>
      </w:tr>
      <w:tr>
        <w:trPr>
          <w:trHeight w:val="186"/>
        </w:trPr>
        <w:tc>
          <w:tcPr>
            <w:tcW w:w="1060" w:type="dxa"/>
            <w:vAlign w:val="bottom"/>
          </w:tcPr>
          <w:p>
            <w:pPr>
              <w:spacing w:after="0"/>
              <w:rPr>
                <w:sz w:val="16"/>
                <w:szCs w:val="16"/>
                <w:color w:val="auto"/>
              </w:rPr>
            </w:pPr>
          </w:p>
        </w:tc>
        <w:tc>
          <w:tcPr>
            <w:tcW w:w="3340" w:type="dxa"/>
            <w:vAlign w:val="bottom"/>
          </w:tcPr>
          <w:p>
            <w:pPr>
              <w:ind w:left="780"/>
              <w:spacing w:after="0"/>
              <w:rPr>
                <w:sz w:val="20"/>
                <w:szCs w:val="20"/>
                <w:color w:val="auto"/>
              </w:rPr>
            </w:pPr>
            <w:r>
              <w:rPr>
                <w:rFonts w:ascii="Courier New" w:cs="Courier New" w:eastAsia="Courier New" w:hAnsi="Courier New"/>
                <w:sz w:val="16"/>
                <w:szCs w:val="16"/>
                <w:color w:val="auto"/>
              </w:rPr>
              <w:t>Exchange Act of 1934, and</w:t>
            </w:r>
          </w:p>
        </w:tc>
        <w:tc>
          <w:tcPr>
            <w:tcW w:w="3360" w:type="dxa"/>
            <w:vAlign w:val="bottom"/>
          </w:tcPr>
          <w:p>
            <w:pPr>
              <w:spacing w:after="0"/>
              <w:rPr>
                <w:sz w:val="16"/>
                <w:szCs w:val="16"/>
                <w:color w:val="auto"/>
              </w:rPr>
            </w:pPr>
          </w:p>
        </w:tc>
      </w:tr>
      <w:tr>
        <w:trPr>
          <w:trHeight w:val="373"/>
        </w:trPr>
        <w:tc>
          <w:tcPr>
            <w:tcW w:w="1060" w:type="dxa"/>
            <w:vAlign w:val="bottom"/>
          </w:tcPr>
          <w:p>
            <w:pPr>
              <w:jc w:val="right"/>
              <w:ind w:right="679"/>
              <w:spacing w:after="0"/>
              <w:rPr>
                <w:sz w:val="20"/>
                <w:szCs w:val="20"/>
                <w:color w:val="auto"/>
              </w:rPr>
            </w:pPr>
            <w:r>
              <w:rPr>
                <w:rFonts w:ascii="Courier New" w:cs="Courier New" w:eastAsia="Courier New" w:hAnsi="Courier New"/>
                <w:sz w:val="16"/>
                <w:szCs w:val="16"/>
                <w:color w:val="auto"/>
                <w:w w:val="97"/>
              </w:rPr>
              <w:t>(2)</w:t>
            </w:r>
          </w:p>
        </w:tc>
        <w:tc>
          <w:tcPr>
            <w:tcW w:w="670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the information contained in the report fairly presents, in</w:t>
            </w:r>
          </w:p>
        </w:tc>
      </w:tr>
      <w:tr>
        <w:trPr>
          <w:trHeight w:val="186"/>
        </w:trPr>
        <w:tc>
          <w:tcPr>
            <w:tcW w:w="1060" w:type="dxa"/>
            <w:vAlign w:val="bottom"/>
          </w:tcPr>
          <w:p>
            <w:pPr>
              <w:spacing w:after="0"/>
              <w:rPr>
                <w:sz w:val="16"/>
                <w:szCs w:val="16"/>
                <w:color w:val="auto"/>
              </w:rPr>
            </w:pPr>
          </w:p>
        </w:tc>
        <w:tc>
          <w:tcPr>
            <w:tcW w:w="3340" w:type="dxa"/>
            <w:vAlign w:val="bottom"/>
          </w:tcPr>
          <w:p>
            <w:pPr>
              <w:ind w:left="780"/>
              <w:spacing w:after="0"/>
              <w:rPr>
                <w:sz w:val="20"/>
                <w:szCs w:val="20"/>
                <w:color w:val="auto"/>
              </w:rPr>
            </w:pPr>
            <w:r>
              <w:rPr>
                <w:rFonts w:ascii="Courier New" w:cs="Courier New" w:eastAsia="Courier New" w:hAnsi="Courier New"/>
                <w:sz w:val="16"/>
                <w:szCs w:val="16"/>
                <w:color w:val="auto"/>
              </w:rPr>
              <w:t>all material respects, the</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financial condition and results of</w:t>
            </w:r>
          </w:p>
        </w:tc>
      </w:tr>
      <w:tr>
        <w:trPr>
          <w:trHeight w:val="186"/>
        </w:trPr>
        <w:tc>
          <w:tcPr>
            <w:tcW w:w="1060" w:type="dxa"/>
            <w:vAlign w:val="bottom"/>
          </w:tcPr>
          <w:p>
            <w:pPr>
              <w:spacing w:after="0"/>
              <w:rPr>
                <w:sz w:val="16"/>
                <w:szCs w:val="16"/>
                <w:color w:val="auto"/>
              </w:rPr>
            </w:pPr>
          </w:p>
        </w:tc>
        <w:tc>
          <w:tcPr>
            <w:tcW w:w="3340" w:type="dxa"/>
            <w:vAlign w:val="bottom"/>
          </w:tcPr>
          <w:p>
            <w:pPr>
              <w:ind w:left="780"/>
              <w:spacing w:after="0"/>
              <w:rPr>
                <w:sz w:val="20"/>
                <w:szCs w:val="20"/>
                <w:color w:val="auto"/>
              </w:rPr>
            </w:pPr>
            <w:r>
              <w:rPr>
                <w:rFonts w:ascii="Courier New" w:cs="Courier New" w:eastAsia="Courier New" w:hAnsi="Courier New"/>
                <w:sz w:val="16"/>
                <w:szCs w:val="16"/>
                <w:color w:val="auto"/>
              </w:rPr>
              <w:t>operations of the Company.</w:t>
            </w:r>
          </w:p>
        </w:tc>
        <w:tc>
          <w:tcPr>
            <w:tcW w:w="33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6"/>
          <w:szCs w:val="16"/>
          <w:color w:val="auto"/>
        </w:rPr>
        <w:t>MANPOWER INC.</w:t>
      </w:r>
    </w:p>
    <w:p>
      <w:pPr>
        <w:spacing w:after="0" w:line="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5"/>
          <w:szCs w:val="15"/>
          <w:color w:val="auto"/>
        </w:rPr>
        <w:t>August 13, 2002</w:t>
      </w:r>
    </w:p>
    <w:p>
      <w:pPr>
        <w:spacing w:after="0" w:line="191"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/s/ Jeffrey A. Joerres</w:t>
      </w:r>
    </w:p>
    <w:p>
      <w:pPr>
        <w:spacing w:after="0" w:line="191"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Jeffrey A. Joerres</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Chairman, Chief Executive Officer</w:t>
      </w:r>
    </w:p>
    <w:p>
      <w:pPr>
        <w:sectPr>
          <w:pgSz w:w="11900" w:h="16838" w:orient="portrait"/>
          <w:cols w:equalWidth="0" w:num="1">
            <w:col w:w="10219"/>
          </w:cols>
          <w:pgMar w:left="240" w:top="328" w:right="1440" w:bottom="1440" w:gutter="0" w:footer="0" w:header="0"/>
        </w:sectPr>
      </w:pPr>
    </w:p>
    <w:bookmarkStart w:id="31" w:name="page32"/>
    <w:bookmarkEnd w:id="31"/>
    <w:p>
      <w:pPr>
        <w:jc w:val="right"/>
        <w:ind w:right="2459"/>
        <w:spacing w:after="0"/>
        <w:rPr>
          <w:sz w:val="20"/>
          <w:szCs w:val="20"/>
          <w:color w:val="auto"/>
        </w:rPr>
      </w:pPr>
      <w:r>
        <w:rPr>
          <w:rFonts w:ascii="Courier New" w:cs="Courier New" w:eastAsia="Courier New" w:hAnsi="Courier New"/>
          <w:sz w:val="16"/>
          <w:szCs w:val="16"/>
          <w:color w:val="auto"/>
        </w:rPr>
        <w:t>EXHIBIT 99.2</w:t>
      </w: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STATEMENT</w:t>
      </w:r>
    </w:p>
    <w:p>
      <w:pPr>
        <w:spacing w:after="0" w:line="378" w:lineRule="exact"/>
        <w:rPr>
          <w:sz w:val="20"/>
          <w:szCs w:val="20"/>
          <w:color w:val="auto"/>
        </w:rPr>
      </w:pPr>
    </w:p>
    <w:p>
      <w:pPr>
        <w:jc w:val="both"/>
        <w:ind w:right="2859"/>
        <w:spacing w:after="0" w:line="248" w:lineRule="auto"/>
        <w:rPr>
          <w:sz w:val="20"/>
          <w:szCs w:val="20"/>
          <w:color w:val="auto"/>
        </w:rPr>
      </w:pPr>
      <w:r>
        <w:rPr>
          <w:rFonts w:ascii="Courier New" w:cs="Courier New" w:eastAsia="Courier New" w:hAnsi="Courier New"/>
          <w:sz w:val="16"/>
          <w:szCs w:val="16"/>
          <w:color w:val="auto"/>
        </w:rPr>
        <w:t>Pursuant to ss.906 of the Sarbanes-Oxley Act of 2002, 18 U.S.C. ss.1350, the undersigned officer of Manpower Inc. (the "Company"), hereby certifies that: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0" w:type="dxa"/>
            <w:vAlign w:val="bottom"/>
          </w:tcPr>
          <w:p>
            <w:pPr>
              <w:jc w:val="right"/>
              <w:ind w:right="679"/>
              <w:spacing w:after="0"/>
              <w:rPr>
                <w:sz w:val="20"/>
                <w:szCs w:val="20"/>
                <w:color w:val="auto"/>
              </w:rPr>
            </w:pPr>
            <w:r>
              <w:rPr>
                <w:rFonts w:ascii="Courier New" w:cs="Courier New" w:eastAsia="Courier New" w:hAnsi="Courier New"/>
                <w:sz w:val="16"/>
                <w:szCs w:val="16"/>
                <w:color w:val="auto"/>
                <w:w w:val="97"/>
              </w:rPr>
              <w:t>(1)</w:t>
            </w:r>
          </w:p>
        </w:tc>
        <w:tc>
          <w:tcPr>
            <w:tcW w:w="670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the Company's Quarterly Report on Form 10-Q for the quarter</w:t>
            </w:r>
          </w:p>
        </w:tc>
      </w:tr>
      <w:tr>
        <w:trPr>
          <w:trHeight w:val="186"/>
        </w:trPr>
        <w:tc>
          <w:tcPr>
            <w:tcW w:w="1060" w:type="dxa"/>
            <w:vAlign w:val="bottom"/>
          </w:tcPr>
          <w:p>
            <w:pPr>
              <w:spacing w:after="0"/>
              <w:rPr>
                <w:sz w:val="16"/>
                <w:szCs w:val="16"/>
                <w:color w:val="auto"/>
              </w:rPr>
            </w:pPr>
          </w:p>
        </w:tc>
        <w:tc>
          <w:tcPr>
            <w:tcW w:w="670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ended June 30, 2002 fully complies with the requirements of</w:t>
            </w:r>
          </w:p>
        </w:tc>
      </w:tr>
      <w:tr>
        <w:trPr>
          <w:trHeight w:val="186"/>
        </w:trPr>
        <w:tc>
          <w:tcPr>
            <w:tcW w:w="1060" w:type="dxa"/>
            <w:vAlign w:val="bottom"/>
          </w:tcPr>
          <w:p>
            <w:pPr>
              <w:spacing w:after="0"/>
              <w:rPr>
                <w:sz w:val="16"/>
                <w:szCs w:val="16"/>
                <w:color w:val="auto"/>
              </w:rPr>
            </w:pPr>
          </w:p>
        </w:tc>
        <w:tc>
          <w:tcPr>
            <w:tcW w:w="3340" w:type="dxa"/>
            <w:vAlign w:val="bottom"/>
          </w:tcPr>
          <w:p>
            <w:pPr>
              <w:ind w:left="780"/>
              <w:spacing w:after="0"/>
              <w:rPr>
                <w:sz w:val="20"/>
                <w:szCs w:val="20"/>
                <w:color w:val="auto"/>
              </w:rPr>
            </w:pPr>
            <w:r>
              <w:rPr>
                <w:rFonts w:ascii="Courier New" w:cs="Courier New" w:eastAsia="Courier New" w:hAnsi="Courier New"/>
                <w:sz w:val="16"/>
                <w:szCs w:val="16"/>
                <w:color w:val="auto"/>
              </w:rPr>
              <w:t>Section 13(a) or 15(d), as</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applicable, of the Securities</w:t>
            </w:r>
          </w:p>
        </w:tc>
      </w:tr>
      <w:tr>
        <w:trPr>
          <w:trHeight w:val="186"/>
        </w:trPr>
        <w:tc>
          <w:tcPr>
            <w:tcW w:w="1060" w:type="dxa"/>
            <w:vAlign w:val="bottom"/>
          </w:tcPr>
          <w:p>
            <w:pPr>
              <w:spacing w:after="0"/>
              <w:rPr>
                <w:sz w:val="16"/>
                <w:szCs w:val="16"/>
                <w:color w:val="auto"/>
              </w:rPr>
            </w:pPr>
          </w:p>
        </w:tc>
        <w:tc>
          <w:tcPr>
            <w:tcW w:w="3340" w:type="dxa"/>
            <w:vAlign w:val="bottom"/>
          </w:tcPr>
          <w:p>
            <w:pPr>
              <w:ind w:left="780"/>
              <w:spacing w:after="0"/>
              <w:rPr>
                <w:sz w:val="20"/>
                <w:szCs w:val="20"/>
                <w:color w:val="auto"/>
              </w:rPr>
            </w:pPr>
            <w:r>
              <w:rPr>
                <w:rFonts w:ascii="Courier New" w:cs="Courier New" w:eastAsia="Courier New" w:hAnsi="Courier New"/>
                <w:sz w:val="16"/>
                <w:szCs w:val="16"/>
                <w:color w:val="auto"/>
              </w:rPr>
              <w:t>Exchange Act of 1934, and</w:t>
            </w:r>
          </w:p>
        </w:tc>
        <w:tc>
          <w:tcPr>
            <w:tcW w:w="3360" w:type="dxa"/>
            <w:vAlign w:val="bottom"/>
          </w:tcPr>
          <w:p>
            <w:pPr>
              <w:spacing w:after="0"/>
              <w:rPr>
                <w:sz w:val="16"/>
                <w:szCs w:val="16"/>
                <w:color w:val="auto"/>
              </w:rPr>
            </w:pPr>
          </w:p>
        </w:tc>
      </w:tr>
      <w:tr>
        <w:trPr>
          <w:trHeight w:val="373"/>
        </w:trPr>
        <w:tc>
          <w:tcPr>
            <w:tcW w:w="1060" w:type="dxa"/>
            <w:vAlign w:val="bottom"/>
          </w:tcPr>
          <w:p>
            <w:pPr>
              <w:jc w:val="right"/>
              <w:ind w:right="679"/>
              <w:spacing w:after="0"/>
              <w:rPr>
                <w:sz w:val="20"/>
                <w:szCs w:val="20"/>
                <w:color w:val="auto"/>
              </w:rPr>
            </w:pPr>
            <w:r>
              <w:rPr>
                <w:rFonts w:ascii="Courier New" w:cs="Courier New" w:eastAsia="Courier New" w:hAnsi="Courier New"/>
                <w:sz w:val="16"/>
                <w:szCs w:val="16"/>
                <w:color w:val="auto"/>
                <w:w w:val="97"/>
              </w:rPr>
              <w:t>(2)</w:t>
            </w:r>
          </w:p>
        </w:tc>
        <w:tc>
          <w:tcPr>
            <w:tcW w:w="670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the information contained in the report fairly presents, in</w:t>
            </w:r>
          </w:p>
        </w:tc>
      </w:tr>
      <w:tr>
        <w:trPr>
          <w:trHeight w:val="186"/>
        </w:trPr>
        <w:tc>
          <w:tcPr>
            <w:tcW w:w="1060" w:type="dxa"/>
            <w:vAlign w:val="bottom"/>
          </w:tcPr>
          <w:p>
            <w:pPr>
              <w:spacing w:after="0"/>
              <w:rPr>
                <w:sz w:val="16"/>
                <w:szCs w:val="16"/>
                <w:color w:val="auto"/>
              </w:rPr>
            </w:pPr>
          </w:p>
        </w:tc>
        <w:tc>
          <w:tcPr>
            <w:tcW w:w="3340" w:type="dxa"/>
            <w:vAlign w:val="bottom"/>
          </w:tcPr>
          <w:p>
            <w:pPr>
              <w:ind w:left="780"/>
              <w:spacing w:after="0"/>
              <w:rPr>
                <w:sz w:val="20"/>
                <w:szCs w:val="20"/>
                <w:color w:val="auto"/>
              </w:rPr>
            </w:pPr>
            <w:r>
              <w:rPr>
                <w:rFonts w:ascii="Courier New" w:cs="Courier New" w:eastAsia="Courier New" w:hAnsi="Courier New"/>
                <w:sz w:val="16"/>
                <w:szCs w:val="16"/>
                <w:color w:val="auto"/>
              </w:rPr>
              <w:t>all material respects, the</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financial condition and results of</w:t>
            </w:r>
          </w:p>
        </w:tc>
      </w:tr>
      <w:tr>
        <w:trPr>
          <w:trHeight w:val="186"/>
        </w:trPr>
        <w:tc>
          <w:tcPr>
            <w:tcW w:w="1060" w:type="dxa"/>
            <w:vAlign w:val="bottom"/>
          </w:tcPr>
          <w:p>
            <w:pPr>
              <w:spacing w:after="0"/>
              <w:rPr>
                <w:sz w:val="16"/>
                <w:szCs w:val="16"/>
                <w:color w:val="auto"/>
              </w:rPr>
            </w:pPr>
          </w:p>
        </w:tc>
        <w:tc>
          <w:tcPr>
            <w:tcW w:w="3340" w:type="dxa"/>
            <w:vAlign w:val="bottom"/>
          </w:tcPr>
          <w:p>
            <w:pPr>
              <w:ind w:left="780"/>
              <w:spacing w:after="0"/>
              <w:rPr>
                <w:sz w:val="20"/>
                <w:szCs w:val="20"/>
                <w:color w:val="auto"/>
              </w:rPr>
            </w:pPr>
            <w:r>
              <w:rPr>
                <w:rFonts w:ascii="Courier New" w:cs="Courier New" w:eastAsia="Courier New" w:hAnsi="Courier New"/>
                <w:sz w:val="16"/>
                <w:szCs w:val="16"/>
                <w:color w:val="auto"/>
              </w:rPr>
              <w:t>operations of the Company.</w:t>
            </w:r>
          </w:p>
        </w:tc>
        <w:tc>
          <w:tcPr>
            <w:tcW w:w="33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MANPOWER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13, 2002</w:t>
      </w:r>
    </w:p>
    <w:p>
      <w:pPr>
        <w:spacing w:after="0" w:line="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/s/ Michael J. Van Handel</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Michael J. Van Handel</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Executive Vice President,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Chief Financial Officer</w:t>
      </w:r>
    </w:p>
    <w:sectPr>
      <w:pgSz w:w="11900" w:h="16838" w:orient="portrait"/>
      <w:cols w:equalWidth="0" w:num="1">
        <w:col w:w="10219"/>
      </w:cols>
      <w:pgMar w:left="24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10"/>
    </w:lvl>
    <w:lvl w:ilvl="1">
      <w:lvlJc w:val="left"/>
      <w:lvlText w:val="%2"/>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decimal"/>
      <w:start w:val="4"/>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4"/>
    </w:lvl>
  </w:abstractNum>
  <w:abstractNum w:abstractNumId="15">
    <w:nsid w:val="4E6AFB66"/>
    <w:multiLevelType w:val="hybridMultilevel"/>
    <w:lvl w:ilvl="0">
      <w:lvlJc w:val="left"/>
      <w:lvlText w:val="(%1)"/>
      <w:numFmt w:val="decimal"/>
      <w:start w:val="1"/>
    </w:lvl>
    <w:lvl w:ilvl="1">
      <w:lvlJc w:val="left"/>
      <w:lvlText w:val="(%2)"/>
      <w:numFmt w:val="lowerRoman"/>
      <w:start w:val="3"/>
    </w:lvl>
  </w:abstractNum>
  <w:abstractNum w:abstractNumId="16">
    <w:nsid w:val="25E45D3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2019-12-20T04:53:59Z</dcterms:created>
  <dcterms:modified xsi:type="dcterms:W3CDTF">2019-12-20T04:53:59Z</dcterms:modified>
</cp:coreProperties>
</file>