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20, 2011</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(d/b/a ManpowerGroup)</w:t>
      </w: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Wisconsin</w:t>
            </w:r>
          </w:p>
        </w:tc>
        <w:tc>
          <w:tcPr>
            <w:tcW w:w="2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3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39-1672779</w:t>
            </w:r>
          </w:p>
        </w:tc>
      </w:tr>
      <w:tr>
        <w:trPr>
          <w:trHeight w:val="198"/>
        </w:trPr>
        <w:tc>
          <w:tcPr>
            <w:tcW w:w="328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6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31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9"/>
              </w:rPr>
              <w:t>(IRS Employer Identification No.)</w:t>
            </w:r>
          </w:p>
        </w:tc>
      </w:tr>
      <w:tr>
        <w:trPr>
          <w:trHeight w:val="234"/>
        </w:trPr>
        <w:tc>
          <w:tcPr>
            <w:tcW w:w="3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w:t>
            </w:r>
          </w:p>
        </w:tc>
        <w:tc>
          <w:tcPr>
            <w:tcW w:w="2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84"/>
        </w:trPr>
        <w:tc>
          <w:tcPr>
            <w:tcW w:w="32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100 Manpower Place</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26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53212</w:t>
            </w:r>
          </w:p>
        </w:tc>
      </w:tr>
      <w:tr>
        <w:trPr>
          <w:trHeight w:val="234"/>
        </w:trPr>
        <w:tc>
          <w:tcPr>
            <w:tcW w:w="596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February 16, 2011, ManpowerGroup (the “Company”) appointed William Downe and Patricia Hemingway Hall to its Board of Directors, subject to ratification of the Company’s shareholders at the 2011 Annual Meeting, scheduled for May 3, 2011. If ratified, Mr. Downe’s appointment will be effective at the close of the 2011 Annual Meeting and Ms. Hemingway Hall’s appointment will be effective at the close of the Board of Directors Meeting held that same day.</w:t>
      </w:r>
    </w:p>
    <w:p>
      <w:pPr>
        <w:spacing w:after="0" w:line="21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press release issued by the Company announcing the appointments of Mr. Downe and Ms. Hemingway Hall is attached hereto as Exhibit 99.1 and is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720" w:type="dxa"/>
            <w:vAlign w:val="bottom"/>
          </w:tcPr>
          <w:p>
            <w:pPr>
              <w:ind w:left="62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4560" w:type="dxa"/>
            <w:vAlign w:val="bottom"/>
          </w:tcPr>
          <w:p>
            <w:pPr>
              <w:spacing w:after="0"/>
              <w:rPr>
                <w:sz w:val="20"/>
                <w:szCs w:val="20"/>
                <w:color w:val="auto"/>
              </w:rPr>
            </w:pPr>
          </w:p>
        </w:tc>
      </w:tr>
      <w:tr>
        <w:trPr>
          <w:trHeight w:val="466"/>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Description</w:t>
            </w:r>
          </w:p>
        </w:tc>
        <w:tc>
          <w:tcPr>
            <w:tcW w:w="456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5720" w:type="dxa"/>
            <w:vAlign w:val="bottom"/>
          </w:tcPr>
          <w:p>
            <w:pPr>
              <w:ind w:left="260"/>
              <w:spacing w:after="0"/>
              <w:rPr>
                <w:sz w:val="20"/>
                <w:szCs w:val="20"/>
                <w:color w:val="auto"/>
              </w:rPr>
            </w:pPr>
            <w:r>
              <w:rPr>
                <w:rFonts w:ascii="Arial" w:cs="Arial" w:eastAsia="Arial" w:hAnsi="Arial"/>
                <w:sz w:val="18"/>
                <w:szCs w:val="18"/>
                <w:color w:val="auto"/>
              </w:rPr>
              <w:t>Press Release dated April 20, 2011</w:t>
            </w:r>
          </w:p>
        </w:tc>
        <w:tc>
          <w:tcPr>
            <w:tcW w:w="4560" w:type="dxa"/>
            <w:vAlign w:val="bottom"/>
          </w:tcPr>
          <w:p>
            <w:pPr>
              <w:spacing w:after="0"/>
              <w:rPr>
                <w:sz w:val="20"/>
                <w:szCs w:val="20"/>
                <w:color w:val="auto"/>
              </w:rPr>
            </w:pPr>
          </w:p>
        </w:tc>
      </w:tr>
      <w:tr>
        <w:trPr>
          <w:trHeight w:val="739"/>
        </w:trPr>
        <w:tc>
          <w:tcPr>
            <w:tcW w:w="11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April 20,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5720" w:type="dxa"/>
            <w:vAlign w:val="bottom"/>
          </w:tcPr>
          <w:p>
            <w:pPr>
              <w:ind w:left="260"/>
              <w:spacing w:after="0"/>
              <w:rPr>
                <w:sz w:val="20"/>
                <w:szCs w:val="20"/>
                <w:color w:val="auto"/>
              </w:rPr>
            </w:pPr>
            <w:r>
              <w:rPr>
                <w:rFonts w:ascii="Arial" w:cs="Arial" w:eastAsia="Arial" w:hAnsi="Arial"/>
                <w:sz w:val="18"/>
                <w:szCs w:val="18"/>
                <w:color w:val="auto"/>
              </w:rPr>
              <w:t>Press Release dated April 20, 2011</w:t>
            </w:r>
          </w:p>
        </w:tc>
      </w:tr>
    </w:tbl>
    <w:p>
      <w:pPr>
        <w:sectPr>
          <w:pgSz w:w="11900" w:h="16838" w:orient="portrait"/>
          <w:cols w:equalWidth="0" w:num="1">
            <w:col w:w="10219"/>
          </w:cols>
          <w:pgMar w:left="2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08077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460" w:type="dxa"/>
            <w:vAlign w:val="bottom"/>
          </w:tcPr>
          <w:p>
            <w:pPr>
              <w:jc w:val="right"/>
              <w:ind w:right="1444"/>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216"/>
        </w:trPr>
        <w:tc>
          <w:tcPr>
            <w:tcW w:w="3760" w:type="dxa"/>
            <w:vAlign w:val="bottom"/>
          </w:tcPr>
          <w:p>
            <w:pPr>
              <w:ind w:left="660"/>
              <w:spacing w:after="0"/>
              <w:rPr>
                <w:sz w:val="20"/>
                <w:szCs w:val="20"/>
                <w:color w:val="auto"/>
              </w:rPr>
            </w:pPr>
            <w:r>
              <w:rPr>
                <w:rFonts w:ascii="Arial" w:cs="Arial" w:eastAsia="Arial" w:hAnsi="Arial"/>
                <w:sz w:val="18"/>
                <w:szCs w:val="18"/>
                <w:color w:val="auto"/>
              </w:rPr>
              <w:t>Britt Zarling</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60"/>
              <w:spacing w:after="0"/>
              <w:rPr>
                <w:sz w:val="20"/>
                <w:szCs w:val="20"/>
                <w:color w:val="auto"/>
              </w:rPr>
            </w:pPr>
            <w:r>
              <w:rPr>
                <w:rFonts w:ascii="Arial" w:cs="Arial" w:eastAsia="Arial" w:hAnsi="Arial"/>
                <w:sz w:val="18"/>
                <w:szCs w:val="18"/>
                <w:color w:val="auto"/>
              </w:rPr>
              <w:t>+1.414.526.3107</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660"/>
              <w:spacing w:after="0"/>
              <w:rPr>
                <w:sz w:val="20"/>
                <w:szCs w:val="20"/>
                <w:color w:val="auto"/>
              </w:rPr>
            </w:pPr>
            <w:r>
              <w:rPr>
                <w:rFonts w:ascii="Arial" w:cs="Arial" w:eastAsia="Arial" w:hAnsi="Arial"/>
                <w:sz w:val="18"/>
                <w:szCs w:val="18"/>
                <w:color w:val="auto"/>
              </w:rPr>
              <w:t>britt.zarling@manpowergroup.com</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60" w:type="dxa"/>
            <w:vAlign w:val="bottom"/>
          </w:tcPr>
          <w:p>
            <w:pPr>
              <w:ind w:left="860"/>
              <w:spacing w:after="0"/>
              <w:rPr>
                <w:sz w:val="20"/>
                <w:szCs w:val="20"/>
                <w:color w:val="auto"/>
              </w:rPr>
            </w:pPr>
            <w:r>
              <w:rPr>
                <w:rFonts w:ascii="Arial" w:cs="Arial" w:eastAsia="Arial" w:hAnsi="Arial"/>
                <w:sz w:val="18"/>
                <w:szCs w:val="18"/>
                <w:color w:val="auto"/>
              </w:rPr>
              <w:t>Mark Jelfs</w:t>
            </w:r>
          </w:p>
        </w:tc>
        <w:tc>
          <w:tcPr>
            <w:tcW w:w="3460" w:type="dxa"/>
            <w:vAlign w:val="bottom"/>
            <w:vMerge w:val="restart"/>
          </w:tcPr>
          <w:p>
            <w:pPr>
              <w:jc w:val="right"/>
              <w:ind w:right="1344"/>
              <w:spacing w:after="0"/>
              <w:rPr>
                <w:sz w:val="20"/>
                <w:szCs w:val="20"/>
                <w:color w:val="auto"/>
              </w:rPr>
            </w:pPr>
            <w:r>
              <w:rPr>
                <w:rFonts w:ascii="Arial" w:cs="Arial" w:eastAsia="Arial" w:hAnsi="Arial"/>
                <w:sz w:val="22"/>
                <w:szCs w:val="22"/>
                <w:color w:val="auto"/>
              </w:rPr>
              <w:t>+1.414.906.6675</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Arial" w:cs="Arial" w:eastAsia="Arial" w:hAnsi="Arial"/>
                <w:sz w:val="18"/>
                <w:szCs w:val="18"/>
                <w:color w:val="auto"/>
              </w:rPr>
              <w:t>mark.jelfs@manpowergroup.com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ManpowerGroup Appoints William Downe and Patricia Hemingway Hall to Board of Directors</w:t>
      </w:r>
    </w:p>
    <w:p>
      <w:pPr>
        <w:spacing w:after="0" w:line="200" w:lineRule="exact"/>
        <w:rPr>
          <w:sz w:val="20"/>
          <w:szCs w:val="20"/>
          <w:color w:val="auto"/>
        </w:rPr>
      </w:pPr>
    </w:p>
    <w:p>
      <w:pPr>
        <w:spacing w:after="0" w:line="295" w:lineRule="exact"/>
        <w:rPr>
          <w:sz w:val="20"/>
          <w:szCs w:val="20"/>
          <w:color w:val="auto"/>
        </w:rPr>
      </w:pPr>
    </w:p>
    <w:p>
      <w:pPr>
        <w:jc w:val="both"/>
        <w:ind w:right="340" w:firstLine="666"/>
        <w:spacing w:after="0" w:line="266" w:lineRule="auto"/>
        <w:rPr>
          <w:sz w:val="20"/>
          <w:szCs w:val="20"/>
          <w:color w:val="auto"/>
        </w:rPr>
      </w:pPr>
      <w:r>
        <w:rPr>
          <w:rFonts w:ascii="Arial" w:cs="Arial" w:eastAsia="Arial" w:hAnsi="Arial"/>
          <w:sz w:val="18"/>
          <w:szCs w:val="18"/>
          <w:b w:val="1"/>
          <w:bCs w:val="1"/>
          <w:color w:val="auto"/>
        </w:rPr>
        <w:t xml:space="preserve">MILWAUKEE (20 April 2011) -- </w:t>
      </w:r>
      <w:r>
        <w:rPr>
          <w:rFonts w:ascii="Arial" w:cs="Arial" w:eastAsia="Arial" w:hAnsi="Arial"/>
          <w:sz w:val="18"/>
          <w:szCs w:val="18"/>
          <w:color w:val="auto"/>
        </w:rPr>
        <w:t>ManpowerGroup, (NYSE: MAN), the world leader in innovative workforce solutions, announced today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appointments of William Downe, President and CEO of BMO Financial Group, and Patricia Hemingway Hall, President and CEO of Health Care Service Corporation, to its board of directors.</w:t>
      </w:r>
    </w:p>
    <w:p>
      <w:pPr>
        <w:spacing w:after="0" w:line="207" w:lineRule="exact"/>
        <w:rPr>
          <w:sz w:val="20"/>
          <w:szCs w:val="20"/>
          <w:color w:val="auto"/>
        </w:rPr>
      </w:pPr>
    </w:p>
    <w:p>
      <w:pPr>
        <w:ind w:right="920"/>
        <w:spacing w:after="0" w:line="286" w:lineRule="auto"/>
        <w:rPr>
          <w:sz w:val="20"/>
          <w:szCs w:val="20"/>
          <w:color w:val="auto"/>
        </w:rPr>
      </w:pPr>
      <w:r>
        <w:rPr>
          <w:rFonts w:ascii="Arial" w:cs="Arial" w:eastAsia="Arial" w:hAnsi="Arial"/>
          <w:sz w:val="17"/>
          <w:szCs w:val="17"/>
          <w:color w:val="auto"/>
        </w:rPr>
        <w:t>“Bill and Patricia both bring with them tremendous knowledge and experience and both possess true leadership qualities,” said Jeffrey A. Joerres, ManpowerGroup Chairman and CEO. “Bill’s well-known focus on customers and customer experience is a natural fit for what we strive for at ManpowerGroup and Patricia will bring depth to our board in several areas, particularly in regulation and new technologies.”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Downe is President and CEO of BMO Financial Group, a bank founded in 1817 that today serves 11 million personal, commercial, corporate and institutional customers in North America and internationally. He held the role of Chief Operating Officer prior to being appointed CEO in 2007 and has held a variety of senior management positions in the U.S. since joining the company in 1983. He is a member of the International Business Leaders Advisory Council of the Mayor of Beijing, and the International Advisory Council of Guanghua School of Management at Peking University. Downe is on the Board of Trustees of the Rush University Medical Center and a member of the Board’s Compensation and Human Resources Committee. He is a director of Catalyst, Inc. and a member of Catalyst’s Canadian Board of Advisors. Downe is also a member of the Economic Club of Chicago and Past President of the Federal Reserve Board’s Federal Advisory Council.</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Hemingway Hall leads Health Care Service Corporation, which operates Blue Cross and Blue Shield of Illinois, Texas, New Mexico and Oklahoma, the fourth largest health insurance company in the United States, serving over 13 million members. She previously held the role of Chief Operating Officer and Executive Vice President of Internal Operations. She serves on the boards of Prime Therapeutics, MEDecision, BCS Financial, Blue Cross Blue Shield Association, America's Health Insurance Plans, National Institute for Health Care Management, Salvation Army Advisory Board, and the Health Care Leadership Council. She has been named one of Crain's Chicago Business Magazine's Top 25 Women to Watch and one of the 100 Most Powerful People in Health Care by Modern Healthcare Magazine.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r>
        <w:rPr>
          <w:rFonts w:ascii="Arial" w:cs="Arial" w:eastAsia="Arial" w:hAnsi="Arial"/>
          <w:sz w:val="18"/>
          <w:szCs w:val="18"/>
          <w:color w:val="auto"/>
        </w:rPr>
        <w:t>™</w:t>
      </w:r>
    </w:p>
    <w:p>
      <w:pPr>
        <w:spacing w:after="0" w:line="256" w:lineRule="exact"/>
        <w:rPr>
          <w:sz w:val="20"/>
          <w:szCs w:val="20"/>
          <w:color w:val="auto"/>
        </w:rPr>
      </w:pPr>
    </w:p>
    <w:p>
      <w:pPr>
        <w:jc w:val="both"/>
        <w:ind w:right="640"/>
        <w:spacing w:after="0" w:line="269" w:lineRule="auto"/>
        <w:rPr>
          <w:sz w:val="20"/>
          <w:szCs w:val="20"/>
          <w:color w:val="auto"/>
        </w:rPr>
      </w:pPr>
      <w:r>
        <w:rPr>
          <w:rFonts w:ascii="Arial" w:cs="Arial" w:eastAsia="Arial" w:hAnsi="Arial"/>
          <w:sz w:val="17"/>
          <w:szCs w:val="17"/>
          <w:color w:val="auto"/>
        </w:rPr>
        <w:t xml:space="preserve">ManpowerGroup™ (NYSE: MAN), the world leader in innovative workforce solutions, creates and delivers high-impact solutions that enable our clients to achieve their business goals and enhance their competitiveness. With over 60 years of experience, our $19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over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t>
      </w:r>
      <w:r>
        <w:rPr>
          <w:rFonts w:ascii="Arial" w:cs="Arial" w:eastAsia="Arial" w:hAnsi="Arial"/>
          <w:sz w:val="17"/>
          <w:szCs w:val="17"/>
          <w:u w:val="single" w:color="auto"/>
          <w:color w:val="auto"/>
        </w:rPr>
        <w:t>www.manpowergroup.com</w:t>
      </w:r>
      <w:r>
        <w:rPr>
          <w:rFonts w:ascii="Arial" w:cs="Arial" w:eastAsia="Arial" w:hAnsi="Arial"/>
          <w:sz w:val="17"/>
          <w:szCs w:val="17"/>
          <w:color w:val="auto"/>
        </w:rPr>
        <w:t>.</w:t>
      </w:r>
    </w:p>
    <w:p>
      <w:pPr>
        <w:spacing w:after="0" w:line="20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 xml:space="preserve">In January 2011, at the World Economic Forum Annual Meeting in Davos, Switzerland, ManpowerGroup announced the world has entered the Human Age, where talent has replaced capital as the key competitive differentiator. Learn more about this new age at </w:t>
      </w:r>
      <w:r>
        <w:rPr>
          <w:rFonts w:ascii="Arial" w:cs="Arial" w:eastAsia="Arial" w:hAnsi="Arial"/>
          <w:sz w:val="18"/>
          <w:szCs w:val="18"/>
          <w:u w:val="single" w:color="auto"/>
          <w:color w:val="auto"/>
        </w:rPr>
        <w:t>www.manpowergroup.com/humanage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Follow ManpowerGroup Chairman and CEO Jeffrey Joerres on Twitter: twitter.com/manpowergroupjj</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2019-12-10T10:13:34Z</dcterms:created>
  <dcterms:modified xsi:type="dcterms:W3CDTF">2019-12-10T10:13:34Z</dcterms:modified>
</cp:coreProperties>
</file>