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9" w:lineRule="exact"/>
        <w:rPr>
          <w:sz w:val="24"/>
          <w:szCs w:val="24"/>
          <w:color w:val="auto"/>
        </w:rPr>
      </w:pPr>
    </w:p>
    <w:p>
      <w:pPr>
        <w:jc w:val="center"/>
        <w:ind w:right="-231"/>
        <w:spacing w:after="0"/>
        <w:rPr>
          <w:sz w:val="20"/>
          <w:szCs w:val="20"/>
          <w:color w:val="auto"/>
        </w:rPr>
      </w:pPr>
      <w:r>
        <w:rPr>
          <w:rFonts w:ascii="Arial" w:cs="Arial" w:eastAsia="Arial" w:hAnsi="Arial"/>
          <w:sz w:val="22"/>
          <w:szCs w:val="22"/>
          <w:b w:val="1"/>
          <w:bCs w:val="1"/>
          <w:color w:val="auto"/>
        </w:rPr>
        <w:t>UNITED STATES</w:t>
      </w:r>
    </w:p>
    <w:p>
      <w:pPr>
        <w:jc w:val="center"/>
        <w:ind w:right="-231"/>
        <w:spacing w:after="0" w:line="205" w:lineRule="auto"/>
        <w:rPr>
          <w:sz w:val="20"/>
          <w:szCs w:val="20"/>
          <w:color w:val="auto"/>
        </w:rPr>
      </w:pPr>
      <w:r>
        <w:rPr>
          <w:rFonts w:ascii="Arial" w:cs="Arial" w:eastAsia="Arial" w:hAnsi="Arial"/>
          <w:sz w:val="22"/>
          <w:szCs w:val="22"/>
          <w:b w:val="1"/>
          <w:bCs w:val="1"/>
          <w:color w:val="auto"/>
        </w:rPr>
        <w:t>SECURITIES AND EXCHANGE COMMISSION</w:t>
      </w:r>
    </w:p>
    <w:p>
      <w:pPr>
        <w:jc w:val="center"/>
        <w:ind w:right="-231"/>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4832"/>
        <w:spacing w:after="0"/>
        <w:rPr>
          <w:sz w:val="20"/>
          <w:szCs w:val="20"/>
          <w:color w:val="auto"/>
        </w:rPr>
      </w:pPr>
      <w:r>
        <w:rPr>
          <w:rFonts w:ascii="Arial" w:cs="Arial" w:eastAsia="Arial" w:hAnsi="Arial"/>
          <w:sz w:val="22"/>
          <w:szCs w:val="22"/>
          <w:b w:val="1"/>
          <w:bCs w:val="1"/>
          <w:color w:val="auto"/>
        </w:rPr>
        <w:t>________________</w:t>
      </w:r>
    </w:p>
    <w:p>
      <w:pPr>
        <w:spacing w:after="0" w:line="206" w:lineRule="exact"/>
        <w:rPr>
          <w:sz w:val="24"/>
          <w:szCs w:val="24"/>
          <w:color w:val="auto"/>
        </w:rPr>
      </w:pPr>
    </w:p>
    <w:p>
      <w:pPr>
        <w:ind w:left="4892"/>
        <w:spacing w:after="0"/>
        <w:rPr>
          <w:sz w:val="20"/>
          <w:szCs w:val="20"/>
          <w:color w:val="auto"/>
        </w:rPr>
      </w:pPr>
      <w:r>
        <w:rPr>
          <w:rFonts w:ascii="Arial" w:cs="Arial" w:eastAsia="Arial" w:hAnsi="Arial"/>
          <w:sz w:val="22"/>
          <w:szCs w:val="22"/>
          <w:b w:val="1"/>
          <w:bCs w:val="1"/>
          <w:color w:val="auto"/>
        </w:rPr>
        <w:t>SCHEDULE 13D</w:t>
      </w:r>
    </w:p>
    <w:p>
      <w:pPr>
        <w:spacing w:after="0" w:line="193" w:lineRule="exact"/>
        <w:rPr>
          <w:sz w:val="24"/>
          <w:szCs w:val="24"/>
          <w:color w:val="auto"/>
        </w:rPr>
      </w:pPr>
    </w:p>
    <w:p>
      <w:pPr>
        <w:ind w:left="3832"/>
        <w:spacing w:after="0"/>
        <w:rPr>
          <w:sz w:val="20"/>
          <w:szCs w:val="20"/>
          <w:color w:val="auto"/>
        </w:rPr>
      </w:pPr>
      <w:r>
        <w:rPr>
          <w:rFonts w:ascii="Arial" w:cs="Arial" w:eastAsia="Arial" w:hAnsi="Arial"/>
          <w:sz w:val="22"/>
          <w:szCs w:val="22"/>
          <w:color w:val="auto"/>
        </w:rPr>
        <w:t>Under the Securities Exchange Act of 1934</w:t>
      </w:r>
    </w:p>
    <w:p>
      <w:pPr>
        <w:jc w:val="center"/>
        <w:ind w:right="-231"/>
        <w:spacing w:after="0"/>
        <w:rPr>
          <w:sz w:val="20"/>
          <w:szCs w:val="20"/>
          <w:color w:val="auto"/>
        </w:rPr>
      </w:pPr>
      <w:r>
        <w:rPr>
          <w:rFonts w:ascii="Arial" w:cs="Arial" w:eastAsia="Arial" w:hAnsi="Arial"/>
          <w:sz w:val="22"/>
          <w:szCs w:val="22"/>
          <w:color w:val="auto"/>
        </w:rPr>
        <w:t>(Amendment No. __)*</w:t>
      </w:r>
    </w:p>
    <w:p>
      <w:pPr>
        <w:spacing w:after="0" w:line="174" w:lineRule="exact"/>
        <w:rPr>
          <w:sz w:val="24"/>
          <w:szCs w:val="24"/>
          <w:color w:val="auto"/>
        </w:rPr>
      </w:pPr>
    </w:p>
    <w:p>
      <w:pPr>
        <w:jc w:val="center"/>
        <w:ind w:right="-231"/>
        <w:spacing w:after="0"/>
        <w:rPr>
          <w:sz w:val="20"/>
          <w:szCs w:val="20"/>
          <w:color w:val="auto"/>
        </w:rPr>
      </w:pPr>
      <w:r>
        <w:rPr>
          <w:rFonts w:ascii="Arial" w:cs="Arial" w:eastAsia="Arial" w:hAnsi="Arial"/>
          <w:sz w:val="22"/>
          <w:szCs w:val="22"/>
          <w:u w:val="single" w:color="auto"/>
          <w:color w:val="auto"/>
        </w:rPr>
        <w:t>Right Management Consultants, Inc.</w:t>
      </w:r>
    </w:p>
    <w:p>
      <w:pPr>
        <w:jc w:val="center"/>
        <w:ind w:right="-231"/>
        <w:spacing w:after="0"/>
        <w:rPr>
          <w:sz w:val="20"/>
          <w:szCs w:val="20"/>
          <w:color w:val="auto"/>
        </w:rPr>
      </w:pPr>
      <w:r>
        <w:rPr>
          <w:rFonts w:ascii="Arial" w:cs="Arial" w:eastAsia="Arial" w:hAnsi="Arial"/>
          <w:sz w:val="18"/>
          <w:szCs w:val="18"/>
          <w:color w:val="auto"/>
        </w:rPr>
        <w:t>(Name of Issuer)</w:t>
      </w:r>
    </w:p>
    <w:p>
      <w:pPr>
        <w:spacing w:after="0" w:line="170" w:lineRule="exact"/>
        <w:rPr>
          <w:sz w:val="24"/>
          <w:szCs w:val="24"/>
          <w:color w:val="auto"/>
        </w:rPr>
      </w:pPr>
    </w:p>
    <w:p>
      <w:pPr>
        <w:jc w:val="center"/>
        <w:ind w:right="-231"/>
        <w:spacing w:after="0"/>
        <w:rPr>
          <w:sz w:val="20"/>
          <w:szCs w:val="20"/>
          <w:color w:val="auto"/>
        </w:rPr>
      </w:pPr>
      <w:r>
        <w:rPr>
          <w:rFonts w:ascii="Arial" w:cs="Arial" w:eastAsia="Arial" w:hAnsi="Arial"/>
          <w:sz w:val="22"/>
          <w:szCs w:val="22"/>
          <w:u w:val="single" w:color="auto"/>
          <w:color w:val="auto"/>
        </w:rPr>
        <w:t>Common Stock</w:t>
      </w:r>
    </w:p>
    <w:p>
      <w:pPr>
        <w:jc w:val="center"/>
        <w:ind w:right="-231"/>
        <w:spacing w:after="0" w:line="209" w:lineRule="auto"/>
        <w:rPr>
          <w:sz w:val="20"/>
          <w:szCs w:val="20"/>
          <w:color w:val="auto"/>
        </w:rPr>
      </w:pPr>
      <w:r>
        <w:rPr>
          <w:rFonts w:ascii="Arial" w:cs="Arial" w:eastAsia="Arial" w:hAnsi="Arial"/>
          <w:sz w:val="22"/>
          <w:szCs w:val="22"/>
          <w:u w:val="single" w:color="auto"/>
          <w:color w:val="auto"/>
        </w:rPr>
        <w:t>Par Value $0.01 per Share</w:t>
      </w:r>
    </w:p>
    <w:p>
      <w:pPr>
        <w:spacing w:after="0" w:line="1" w:lineRule="exact"/>
        <w:rPr>
          <w:sz w:val="24"/>
          <w:szCs w:val="24"/>
          <w:color w:val="auto"/>
        </w:rPr>
      </w:pPr>
    </w:p>
    <w:p>
      <w:pPr>
        <w:jc w:val="center"/>
        <w:ind w:right="-231"/>
        <w:spacing w:after="0"/>
        <w:rPr>
          <w:sz w:val="20"/>
          <w:szCs w:val="20"/>
          <w:color w:val="auto"/>
        </w:rPr>
      </w:pPr>
      <w:r>
        <w:rPr>
          <w:rFonts w:ascii="Arial" w:cs="Arial" w:eastAsia="Arial" w:hAnsi="Arial"/>
          <w:sz w:val="18"/>
          <w:szCs w:val="18"/>
          <w:color w:val="auto"/>
        </w:rPr>
        <w:t>(Title of Class of Securities)</w:t>
      </w:r>
    </w:p>
    <w:p>
      <w:pPr>
        <w:spacing w:after="0" w:line="175" w:lineRule="exact"/>
        <w:rPr>
          <w:sz w:val="24"/>
          <w:szCs w:val="24"/>
          <w:color w:val="auto"/>
        </w:rPr>
      </w:pPr>
    </w:p>
    <w:p>
      <w:pPr>
        <w:jc w:val="center"/>
        <w:ind w:right="-231"/>
        <w:spacing w:after="0"/>
        <w:rPr>
          <w:sz w:val="20"/>
          <w:szCs w:val="20"/>
          <w:color w:val="auto"/>
        </w:rPr>
      </w:pPr>
      <w:r>
        <w:rPr>
          <w:rFonts w:ascii="Arial" w:cs="Arial" w:eastAsia="Arial" w:hAnsi="Arial"/>
          <w:sz w:val="22"/>
          <w:szCs w:val="22"/>
          <w:u w:val="single" w:color="auto"/>
          <w:color w:val="auto"/>
        </w:rPr>
        <w:t>766573109</w:t>
      </w:r>
    </w:p>
    <w:p>
      <w:pPr>
        <w:jc w:val="center"/>
        <w:ind w:right="-231"/>
        <w:spacing w:after="0"/>
        <w:rPr>
          <w:sz w:val="20"/>
          <w:szCs w:val="20"/>
          <w:color w:val="auto"/>
        </w:rPr>
      </w:pPr>
      <w:r>
        <w:rPr>
          <w:rFonts w:ascii="Arial" w:cs="Arial" w:eastAsia="Arial" w:hAnsi="Arial"/>
          <w:sz w:val="18"/>
          <w:szCs w:val="18"/>
          <w:color w:val="auto"/>
        </w:rPr>
        <w:t>(CUSIP Number)</w:t>
      </w:r>
    </w:p>
    <w:p>
      <w:pPr>
        <w:spacing w:after="0" w:line="170" w:lineRule="exact"/>
        <w:rPr>
          <w:sz w:val="24"/>
          <w:szCs w:val="24"/>
          <w:color w:val="auto"/>
        </w:rPr>
      </w:pPr>
    </w:p>
    <w:p>
      <w:pPr>
        <w:jc w:val="center"/>
        <w:ind w:right="-231"/>
        <w:spacing w:after="0"/>
        <w:rPr>
          <w:sz w:val="20"/>
          <w:szCs w:val="20"/>
          <w:color w:val="auto"/>
        </w:rPr>
      </w:pPr>
      <w:r>
        <w:rPr>
          <w:rFonts w:ascii="Arial" w:cs="Arial" w:eastAsia="Arial" w:hAnsi="Arial"/>
          <w:sz w:val="22"/>
          <w:szCs w:val="22"/>
          <w:color w:val="auto"/>
        </w:rPr>
        <w:t>Michael J. Van Handel</w:t>
      </w:r>
    </w:p>
    <w:p>
      <w:pPr>
        <w:jc w:val="center"/>
        <w:ind w:right="-231"/>
        <w:spacing w:after="0" w:line="205" w:lineRule="auto"/>
        <w:rPr>
          <w:sz w:val="20"/>
          <w:szCs w:val="20"/>
          <w:color w:val="auto"/>
        </w:rPr>
      </w:pPr>
      <w:r>
        <w:rPr>
          <w:rFonts w:ascii="Arial" w:cs="Arial" w:eastAsia="Arial" w:hAnsi="Arial"/>
          <w:sz w:val="22"/>
          <w:szCs w:val="22"/>
          <w:color w:val="auto"/>
        </w:rPr>
        <w:t>Manpower Inc.</w:t>
      </w:r>
    </w:p>
    <w:p>
      <w:pPr>
        <w:jc w:val="center"/>
        <w:ind w:right="-231"/>
        <w:spacing w:after="0" w:line="205" w:lineRule="auto"/>
        <w:rPr>
          <w:sz w:val="20"/>
          <w:szCs w:val="20"/>
          <w:color w:val="auto"/>
        </w:rPr>
      </w:pPr>
      <w:r>
        <w:rPr>
          <w:rFonts w:ascii="Arial" w:cs="Arial" w:eastAsia="Arial" w:hAnsi="Arial"/>
          <w:sz w:val="22"/>
          <w:szCs w:val="22"/>
          <w:color w:val="auto"/>
        </w:rPr>
        <w:t>5301 North Ironwood Road</w:t>
      </w:r>
    </w:p>
    <w:p>
      <w:pPr>
        <w:jc w:val="center"/>
        <w:ind w:right="-231"/>
        <w:spacing w:after="0" w:line="205" w:lineRule="auto"/>
        <w:rPr>
          <w:sz w:val="20"/>
          <w:szCs w:val="20"/>
          <w:color w:val="auto"/>
        </w:rPr>
      </w:pPr>
      <w:r>
        <w:rPr>
          <w:rFonts w:ascii="Arial" w:cs="Arial" w:eastAsia="Arial" w:hAnsi="Arial"/>
          <w:sz w:val="22"/>
          <w:szCs w:val="22"/>
          <w:color w:val="auto"/>
        </w:rPr>
        <w:t>Milwaukee, Wisconsin 53217</w:t>
      </w:r>
    </w:p>
    <w:p>
      <w:pPr>
        <w:jc w:val="center"/>
        <w:ind w:right="-231"/>
        <w:spacing w:after="0" w:line="209" w:lineRule="auto"/>
        <w:rPr>
          <w:sz w:val="20"/>
          <w:szCs w:val="20"/>
          <w:color w:val="auto"/>
        </w:rPr>
      </w:pPr>
      <w:r>
        <w:rPr>
          <w:rFonts w:ascii="Arial" w:cs="Arial" w:eastAsia="Arial" w:hAnsi="Arial"/>
          <w:sz w:val="22"/>
          <w:szCs w:val="22"/>
          <w:u w:val="single" w:color="auto"/>
          <w:color w:val="auto"/>
        </w:rPr>
        <w:t>(414) 961-1000</w:t>
      </w:r>
    </w:p>
    <w:p>
      <w:pPr>
        <w:jc w:val="center"/>
        <w:ind w:right="-231"/>
        <w:spacing w:after="0" w:line="204" w:lineRule="auto"/>
        <w:rPr>
          <w:sz w:val="20"/>
          <w:szCs w:val="20"/>
          <w:color w:val="auto"/>
        </w:rPr>
      </w:pPr>
      <w:r>
        <w:rPr>
          <w:rFonts w:ascii="Arial" w:cs="Arial" w:eastAsia="Arial" w:hAnsi="Arial"/>
          <w:sz w:val="18"/>
          <w:szCs w:val="18"/>
          <w:color w:val="auto"/>
        </w:rPr>
        <w:t>(Name, Address and Telephone Number of Person</w:t>
      </w:r>
    </w:p>
    <w:p>
      <w:pPr>
        <w:spacing w:after="0" w:line="1" w:lineRule="exact"/>
        <w:rPr>
          <w:sz w:val="24"/>
          <w:szCs w:val="24"/>
          <w:color w:val="auto"/>
        </w:rPr>
      </w:pPr>
    </w:p>
    <w:p>
      <w:pPr>
        <w:jc w:val="center"/>
        <w:ind w:right="-231"/>
        <w:spacing w:after="0"/>
        <w:rPr>
          <w:sz w:val="20"/>
          <w:szCs w:val="20"/>
          <w:color w:val="auto"/>
        </w:rPr>
      </w:pPr>
      <w:r>
        <w:rPr>
          <w:rFonts w:ascii="Arial" w:cs="Arial" w:eastAsia="Arial" w:hAnsi="Arial"/>
          <w:sz w:val="18"/>
          <w:szCs w:val="18"/>
          <w:color w:val="auto"/>
        </w:rPr>
        <w:t>Authorized to Receive Notices and Communications)</w:t>
      </w:r>
    </w:p>
    <w:p>
      <w:pPr>
        <w:spacing w:after="0" w:line="175" w:lineRule="exact"/>
        <w:rPr>
          <w:sz w:val="24"/>
          <w:szCs w:val="24"/>
          <w:color w:val="auto"/>
        </w:rPr>
      </w:pPr>
    </w:p>
    <w:p>
      <w:pPr>
        <w:jc w:val="center"/>
        <w:ind w:right="-231"/>
        <w:spacing w:after="0"/>
        <w:rPr>
          <w:sz w:val="20"/>
          <w:szCs w:val="20"/>
          <w:color w:val="auto"/>
        </w:rPr>
      </w:pPr>
      <w:r>
        <w:rPr>
          <w:rFonts w:ascii="Arial" w:cs="Arial" w:eastAsia="Arial" w:hAnsi="Arial"/>
          <w:sz w:val="22"/>
          <w:szCs w:val="22"/>
          <w:u w:val="single" w:color="auto"/>
          <w:color w:val="auto"/>
        </w:rPr>
        <w:t>December 10, 2003</w:t>
      </w:r>
    </w:p>
    <w:p>
      <w:pPr>
        <w:jc w:val="center"/>
        <w:ind w:right="-231"/>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39" w:lineRule="exact"/>
        <w:rPr>
          <w:sz w:val="24"/>
          <w:szCs w:val="24"/>
          <w:color w:val="auto"/>
        </w:rPr>
      </w:pPr>
    </w:p>
    <w:p>
      <w:pPr>
        <w:ind w:left="652"/>
        <w:spacing w:after="0" w:line="235"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240.13d-1(e), Rule 240.13d-1(f) or Rule 240.13d-1(g), check the following box [ ].</w:t>
      </w:r>
    </w:p>
    <w:p>
      <w:pPr>
        <w:spacing w:after="0" w:line="162" w:lineRule="exact"/>
        <w:rPr>
          <w:sz w:val="24"/>
          <w:szCs w:val="24"/>
          <w:color w:val="auto"/>
        </w:rPr>
      </w:pPr>
    </w:p>
    <w:p>
      <w:pPr>
        <w:ind w:left="652"/>
        <w:spacing w:after="0" w:line="235"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240.13d-7 for other parties to whom copies are to be sent.</w:t>
      </w:r>
    </w:p>
    <w:p>
      <w:pPr>
        <w:spacing w:after="0" w:line="162" w:lineRule="exact"/>
        <w:rPr>
          <w:sz w:val="24"/>
          <w:szCs w:val="24"/>
          <w:color w:val="auto"/>
        </w:rPr>
      </w:pPr>
    </w:p>
    <w:p>
      <w:pPr>
        <w:ind w:left="652" w:right="20" w:hanging="652"/>
        <w:spacing w:after="0" w:line="258" w:lineRule="auto"/>
        <w:tabs>
          <w:tab w:leader="none" w:pos="652"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rFonts w:ascii="Arial" w:cs="Arial" w:eastAsia="Arial" w:hAnsi="Arial"/>
          <w:sz w:val="17"/>
          <w:szCs w:val="17"/>
          <w:color w:val="auto"/>
        </w:rPr>
      </w:pPr>
    </w:p>
    <w:p>
      <w:pPr>
        <w:ind w:left="652" w:right="40"/>
        <w:spacing w:after="0" w:line="224" w:lineRule="auto"/>
        <w:rPr>
          <w:rFonts w:ascii="Arial" w:cs="Arial" w:eastAsia="Arial" w:hAnsi="Arial"/>
          <w:sz w:val="17"/>
          <w:szCs w:val="17"/>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231"/>
        <w:spacing w:after="0"/>
        <w:rPr>
          <w:sz w:val="20"/>
          <w:szCs w:val="20"/>
          <w:color w:val="auto"/>
        </w:rPr>
      </w:pPr>
      <w:r>
        <w:rPr>
          <w:rFonts w:ascii="Arial" w:cs="Arial" w:eastAsia="Arial" w:hAnsi="Arial"/>
          <w:sz w:val="25"/>
          <w:szCs w:val="25"/>
          <w:b w:val="1"/>
          <w:bCs w:val="1"/>
          <w:color w:val="auto"/>
        </w:rPr>
        <w:t>SC 13D</w:t>
      </w:r>
    </w:p>
    <w:p>
      <w:pPr>
        <w:sectPr>
          <w:pgSz w:w="11900" w:h="16845" w:orient="portrait"/>
          <w:cols w:equalWidth="0" w:num="1">
            <w:col w:w="11172"/>
          </w:cols>
          <w:pgMar w:left="248" w:top="1440" w:right="479" w:bottom="0" w:gutter="0" w:footer="0" w:header="0"/>
        </w:sectPr>
      </w:pPr>
    </w:p>
    <w:p>
      <w:pPr>
        <w:spacing w:after="0" w:line="307" w:lineRule="exact"/>
        <w:rPr>
          <w:sz w:val="24"/>
          <w:szCs w:val="24"/>
          <w:color w:val="auto"/>
        </w:rPr>
      </w:pPr>
    </w:p>
    <w:p>
      <w:pPr>
        <w:jc w:val="center"/>
        <w:ind w:left="332"/>
        <w:spacing w:after="0"/>
        <w:rPr>
          <w:sz w:val="20"/>
          <w:szCs w:val="20"/>
          <w:color w:val="auto"/>
        </w:rPr>
      </w:pPr>
      <w:r>
        <w:rPr>
          <w:rFonts w:ascii="Arial" w:cs="Arial" w:eastAsia="Arial" w:hAnsi="Arial"/>
          <w:sz w:val="14"/>
          <w:szCs w:val="14"/>
          <w:b w:val="1"/>
          <w:bCs w:val="1"/>
          <w:color w:val="auto"/>
        </w:rPr>
        <w:t>CUSIP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-89535</wp:posOffset>
            </wp:positionV>
            <wp:extent cx="887730" cy="235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7730" cy="235585"/>
                    </a:xfrm>
                    <a:prstGeom prst="rect">
                      <a:avLst/>
                    </a:prstGeom>
                    <a:noFill/>
                  </pic:spPr>
                </pic:pic>
              </a:graphicData>
            </a:graphic>
          </wp:anchor>
        </w:drawing>
      </w:r>
    </w:p>
    <w:p>
      <w:pPr>
        <w:ind w:left="332"/>
        <w:spacing w:after="0"/>
        <w:rPr>
          <w:sz w:val="20"/>
          <w:szCs w:val="20"/>
          <w:color w:val="auto"/>
        </w:rPr>
      </w:pPr>
      <w:r>
        <w:rPr>
          <w:rFonts w:ascii="Arial" w:cs="Arial" w:eastAsia="Arial" w:hAnsi="Arial"/>
          <w:sz w:val="15"/>
          <w:szCs w:val="15"/>
          <w:color w:val="auto"/>
        </w:rPr>
        <w:t>766573109</w:t>
      </w:r>
    </w:p>
    <w:p>
      <w:pPr>
        <w:spacing w:after="0" w:line="48" w:lineRule="exact"/>
        <w:rPr>
          <w:sz w:val="24"/>
          <w:szCs w:val="24"/>
          <w:color w:val="auto"/>
        </w:rPr>
      </w:pPr>
    </w:p>
    <w:p>
      <w:pPr>
        <w:ind w:left="592"/>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-114935</wp:posOffset>
            </wp:positionV>
            <wp:extent cx="775970" cy="561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5970" cy="5613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592"/>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-114935</wp:posOffset>
            </wp:positionV>
            <wp:extent cx="775970" cy="321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5970" cy="3213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jc w:val="right"/>
        <w:ind w:right="480"/>
        <w:spacing w:after="0"/>
        <w:rPr>
          <w:sz w:val="20"/>
          <w:szCs w:val="20"/>
          <w:color w:val="auto"/>
        </w:rPr>
      </w:pPr>
      <w:r>
        <w:rPr>
          <w:rFonts w:ascii="Arial" w:cs="Arial" w:eastAsia="Arial" w:hAnsi="Arial"/>
          <w:sz w:val="14"/>
          <w:szCs w:val="14"/>
          <w:b w:val="1"/>
          <w:bCs w:val="1"/>
          <w:color w:val="auto"/>
        </w:rPr>
        <w:t>Page 2 of 7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-89535</wp:posOffset>
            </wp:positionH>
            <wp:positionV relativeFrom="paragraph">
              <wp:posOffset>-80645</wp:posOffset>
            </wp:positionV>
            <wp:extent cx="6427470" cy="810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7470" cy="810260"/>
                    </a:xfrm>
                    <a:prstGeom prst="rect">
                      <a:avLst/>
                    </a:prstGeom>
                    <a:noFill/>
                  </pic:spPr>
                </pic:pic>
              </a:graphicData>
            </a:graphic>
          </wp:anchor>
        </w:drawing>
      </w:r>
    </w:p>
    <w:p>
      <w:pPr>
        <w:spacing w:after="0" w:line="309" w:lineRule="exact"/>
        <w:rPr>
          <w:sz w:val="24"/>
          <w:szCs w:val="24"/>
          <w:color w:val="auto"/>
        </w:rPr>
      </w:pPr>
    </w:p>
    <w:p>
      <w:pPr>
        <w:ind w:left="4"/>
        <w:spacing w:after="0"/>
        <w:rPr>
          <w:sz w:val="20"/>
          <w:szCs w:val="20"/>
          <w:color w:val="auto"/>
        </w:rPr>
      </w:pPr>
      <w:r>
        <w:rPr>
          <w:rFonts w:ascii="Arial" w:cs="Arial" w:eastAsia="Arial" w:hAnsi="Arial"/>
          <w:sz w:val="14"/>
          <w:szCs w:val="14"/>
          <w:color w:val="auto"/>
        </w:rPr>
        <w:t>NAME OF REPORTING PERSON</w:t>
      </w:r>
    </w:p>
    <w:p>
      <w:pPr>
        <w:ind w:left="4"/>
        <w:spacing w:after="0" w:line="206" w:lineRule="auto"/>
        <w:rPr>
          <w:sz w:val="20"/>
          <w:szCs w:val="20"/>
          <w:color w:val="auto"/>
        </w:rPr>
      </w:pPr>
      <w:r>
        <w:rPr>
          <w:rFonts w:ascii="Arial" w:cs="Arial" w:eastAsia="Arial" w:hAnsi="Arial"/>
          <w:sz w:val="14"/>
          <w:szCs w:val="14"/>
          <w:color w:val="auto"/>
        </w:rPr>
        <w:t>I.R.S. IDENTIFICATION NO. OF ABOVE PERSON (Entities Only)</w:t>
      </w:r>
    </w:p>
    <w:p>
      <w:pPr>
        <w:ind w:left="4"/>
        <w:spacing w:after="0" w:line="205" w:lineRule="auto"/>
        <w:rPr>
          <w:sz w:val="20"/>
          <w:szCs w:val="20"/>
          <w:color w:val="auto"/>
        </w:rPr>
      </w:pPr>
      <w:r>
        <w:rPr>
          <w:rFonts w:ascii="Arial" w:cs="Arial" w:eastAsia="Arial" w:hAnsi="Arial"/>
          <w:sz w:val="22"/>
          <w:szCs w:val="22"/>
          <w:color w:val="auto"/>
        </w:rPr>
        <w:t>Manpower Inc.</w:t>
      </w:r>
    </w:p>
    <w:p>
      <w:pPr>
        <w:ind w:left="4"/>
        <w:spacing w:after="0"/>
        <w:rPr>
          <w:sz w:val="20"/>
          <w:szCs w:val="20"/>
          <w:color w:val="auto"/>
        </w:rPr>
      </w:pPr>
      <w:r>
        <w:rPr>
          <w:rFonts w:ascii="Arial" w:cs="Arial" w:eastAsia="Arial" w:hAnsi="Arial"/>
          <w:sz w:val="22"/>
          <w:szCs w:val="22"/>
          <w:color w:val="auto"/>
        </w:rPr>
        <w:t>39-1672779</w:t>
      </w:r>
    </w:p>
    <w:p>
      <w:pPr>
        <w:spacing w:after="0" w:line="37"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 IF A MEMBER OF A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-89535</wp:posOffset>
            </wp:positionH>
            <wp:positionV relativeFrom="paragraph">
              <wp:posOffset>-79375</wp:posOffset>
            </wp:positionV>
            <wp:extent cx="6427470" cy="321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7470" cy="321310"/>
                    </a:xfrm>
                    <a:prstGeom prst="rect">
                      <a:avLst/>
                    </a:prstGeom>
                    <a:noFill/>
                  </pic:spPr>
                </pic:pic>
              </a:graphicData>
            </a:graphic>
          </wp:anchor>
        </w:drawing>
      </w:r>
    </w:p>
    <w:p>
      <w:pPr>
        <w:ind w:left="344" w:hanging="344"/>
        <w:spacing w:after="0" w:line="203" w:lineRule="auto"/>
        <w:tabs>
          <w:tab w:leader="none" w:pos="344" w:val="left"/>
        </w:tabs>
        <w:numPr>
          <w:ilvl w:val="0"/>
          <w:numId w:val="2"/>
        </w:numPr>
        <w:rPr>
          <w:rFonts w:ascii="Arial" w:cs="Arial" w:eastAsia="Arial" w:hAnsi="Arial"/>
          <w:sz w:val="18"/>
          <w:szCs w:val="18"/>
          <w:color w:val="auto"/>
        </w:rPr>
      </w:pPr>
      <w:r>
        <w:rPr>
          <w:rFonts w:ascii="Arial" w:cs="Arial" w:eastAsia="Arial" w:hAnsi="Arial"/>
          <w:sz w:val="18"/>
          <w:szCs w:val="18"/>
          <w:color w:val="auto"/>
        </w:rPr>
        <w:t>[ ]</w:t>
      </w:r>
    </w:p>
    <w:p>
      <w:pPr>
        <w:ind w:left="344" w:hanging="344"/>
        <w:spacing w:after="0"/>
        <w:tabs>
          <w:tab w:leader="none" w:pos="344" w:val="left"/>
        </w:tabs>
        <w:numPr>
          <w:ilvl w:val="0"/>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1" w:lineRule="exact"/>
        <w:rPr>
          <w:sz w:val="24"/>
          <w:szCs w:val="24"/>
          <w:color w:val="auto"/>
        </w:rPr>
      </w:pPr>
    </w:p>
    <w:p>
      <w:pPr>
        <w:sectPr>
          <w:pgSz w:w="11900" w:h="16845" w:orient="portrait"/>
          <w:cols w:equalWidth="0" w:num="2">
            <w:col w:w="1112" w:space="296"/>
            <w:col w:w="9764"/>
          </w:cols>
          <w:pgMar w:left="248" w:top="1440" w:right="479" w:bottom="0" w:gutter="0" w:footer="0" w:header="0"/>
          <w:type w:val="continuous"/>
        </w:sectPr>
      </w:pPr>
    </w:p>
    <w:p>
      <w:pPr>
        <w:ind w:left="1232" w:hanging="642"/>
        <w:spacing w:after="0" w:line="185" w:lineRule="auto"/>
        <w:tabs>
          <w:tab w:leader="none" w:pos="1232" w:val="left"/>
        </w:tabs>
        <w:numPr>
          <w:ilvl w:val="0"/>
          <w:numId w:val="3"/>
        </w:numPr>
        <w:rPr>
          <w:rFonts w:ascii="Arial" w:cs="Arial" w:eastAsia="Arial" w:hAnsi="Arial"/>
          <w:sz w:val="24"/>
          <w:szCs w:val="24"/>
          <w:color w:val="auto"/>
          <w:vertAlign w:val="subscript"/>
        </w:rPr>
      </w:pPr>
      <w:r>
        <w:rPr>
          <w:sz w:val="1"/>
          <w:szCs w:val="1"/>
          <w:color w:val="auto"/>
        </w:rPr>
        <w:drawing>
          <wp:inline distT="0" distB="0" distL="0" distR="0">
            <wp:extent cx="12700" cy="1244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124460"/>
                    </a:xfrm>
                    <a:prstGeom prst="rect">
                      <a:avLst/>
                    </a:prstGeom>
                    <a:noFill/>
                    <a:ln>
                      <a:noFill/>
                    </a:ln>
                  </pic:spPr>
                </pic:pic>
              </a:graphicData>
            </a:graphic>
          </wp:inline>
        </w:drawing>
        <w:drawing>
          <wp:inline distT="0" distB="0" distL="0" distR="0">
            <wp:extent cx="12700" cy="1244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124460"/>
                    </a:xfrm>
                    <a:prstGeom prst="rect">
                      <a:avLst/>
                    </a:prstGeom>
                    <a:noFill/>
                    <a:ln>
                      <a:noFill/>
                    </a:ln>
                  </pic:spPr>
                </pic:pic>
              </a:graphicData>
            </a:graphic>
          </wp:inline>
        </w:drawing>
      </w:r>
      <w:r>
        <w:rPr>
          <w:rFonts w:ascii="Arial" w:cs="Arial" w:eastAsia="Arial" w:hAnsi="Arial"/>
          <w:sz w:val="12"/>
          <w:szCs w:val="12"/>
          <w:color w:val="auto"/>
        </w:rPr>
        <w:t xml:space="preserve">  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-123190</wp:posOffset>
            </wp:positionV>
            <wp:extent cx="7216140" cy="124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6140" cy="124460"/>
                    </a:xfrm>
                    <a:prstGeom prst="rect">
                      <a:avLst/>
                    </a:prstGeom>
                    <a:noFill/>
                  </pic:spPr>
                </pic:pic>
              </a:graphicData>
            </a:graphic>
          </wp:anchor>
        </w:drawing>
      </w:r>
    </w:p>
    <w:p>
      <w:pPr>
        <w:ind w:left="1412" w:hanging="822"/>
        <w:spacing w:after="0" w:line="181" w:lineRule="auto"/>
        <w:tabs>
          <w:tab w:leader="none" w:pos="1412" w:val="left"/>
        </w:tabs>
        <w:numPr>
          <w:ilvl w:val="0"/>
          <w:numId w:val="4"/>
        </w:numPr>
        <w:rPr>
          <w:rFonts w:ascii="Arial" w:cs="Arial" w:eastAsia="Arial" w:hAnsi="Arial"/>
          <w:sz w:val="20"/>
          <w:szCs w:val="20"/>
          <w:color w:val="auto"/>
          <w:vertAlign w:val="subscript"/>
        </w:rPr>
      </w:pPr>
      <w:r>
        <w:rPr>
          <w:rFonts w:ascii="Arial" w:cs="Arial" w:eastAsia="Arial" w:hAnsi="Arial"/>
          <w:sz w:val="11"/>
          <w:szCs w:val="11"/>
          <w:color w:val="auto"/>
        </w:rPr>
        <w:t>SOURCE OF FUNDS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-95885</wp:posOffset>
            </wp:positionV>
            <wp:extent cx="7216140" cy="372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6140" cy="372745"/>
                    </a:xfrm>
                    <a:prstGeom prst="rect">
                      <a:avLst/>
                    </a:prstGeom>
                    <a:noFill/>
                  </pic:spPr>
                </pic:pic>
              </a:graphicData>
            </a:graphic>
          </wp:anchor>
        </w:drawing>
      </w:r>
    </w:p>
    <w:p>
      <w:pPr>
        <w:spacing w:after="0" w:line="147" w:lineRule="exact"/>
        <w:rPr>
          <w:sz w:val="24"/>
          <w:szCs w:val="24"/>
          <w:color w:val="auto"/>
        </w:rPr>
      </w:pPr>
    </w:p>
    <w:p>
      <w:pPr>
        <w:ind w:left="1412"/>
        <w:spacing w:after="0"/>
        <w:rPr>
          <w:sz w:val="20"/>
          <w:szCs w:val="20"/>
          <w:color w:val="auto"/>
        </w:rPr>
      </w:pPr>
      <w:r>
        <w:rPr>
          <w:rFonts w:ascii="Arial" w:cs="Arial" w:eastAsia="Arial" w:hAnsi="Arial"/>
          <w:sz w:val="22"/>
          <w:szCs w:val="22"/>
          <w:color w:val="auto"/>
        </w:rPr>
        <w:t>OO</w:t>
      </w:r>
    </w:p>
    <w:p>
      <w:pPr>
        <w:ind w:left="1412" w:hanging="822"/>
        <w:spacing w:after="0" w:line="187" w:lineRule="auto"/>
        <w:tabs>
          <w:tab w:leader="none" w:pos="1412" w:val="left"/>
        </w:tabs>
        <w:numPr>
          <w:ilvl w:val="0"/>
          <w:numId w:val="5"/>
        </w:numPr>
        <w:rPr>
          <w:rFonts w:ascii="Arial" w:cs="Arial" w:eastAsia="Arial" w:hAnsi="Arial"/>
          <w:sz w:val="21"/>
          <w:szCs w:val="21"/>
          <w:color w:val="auto"/>
          <w:vertAlign w:val="subscript"/>
        </w:rPr>
      </w:pPr>
      <w:r>
        <w:rPr>
          <w:rFonts w:ascii="Arial" w:cs="Arial" w:eastAsia="Arial" w:hAnsi="Arial"/>
          <w:sz w:val="11"/>
          <w:szCs w:val="11"/>
          <w:color w:val="auto"/>
        </w:rPr>
        <w:t>CHECK BOX IF DISCLOSURE OF LEGAL PROCEEDINGS IS REQUIRED PURSUANT TO ITEMS 2(d) OR 2(e)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-96520</wp:posOffset>
            </wp:positionV>
            <wp:extent cx="7216140" cy="381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6140" cy="381635"/>
                    </a:xfrm>
                    <a:prstGeom prst="rect">
                      <a:avLst/>
                    </a:prstGeom>
                    <a:noFill/>
                  </pic:spPr>
                </pic:pic>
              </a:graphicData>
            </a:graphic>
          </wp:anchor>
        </w:drawing>
      </w:r>
    </w:p>
    <w:p>
      <w:pPr>
        <w:spacing w:after="0" w:line="154" w:lineRule="exact"/>
        <w:rPr>
          <w:sz w:val="24"/>
          <w:szCs w:val="24"/>
          <w:color w:val="auto"/>
        </w:rPr>
      </w:pPr>
    </w:p>
    <w:p>
      <w:pPr>
        <w:ind w:left="1412"/>
        <w:spacing w:after="0"/>
        <w:rPr>
          <w:sz w:val="20"/>
          <w:szCs w:val="20"/>
          <w:color w:val="auto"/>
        </w:rPr>
      </w:pPr>
      <w:r>
        <w:rPr>
          <w:rFonts w:ascii="Arial" w:cs="Arial" w:eastAsia="Arial" w:hAnsi="Arial"/>
          <w:sz w:val="18"/>
          <w:szCs w:val="18"/>
          <w:color w:val="auto"/>
        </w:rPr>
        <w:t>[ ]</w:t>
      </w:r>
    </w:p>
    <w:p>
      <w:pPr>
        <w:spacing w:after="0" w:line="63" w:lineRule="exact"/>
        <w:rPr>
          <w:sz w:val="24"/>
          <w:szCs w:val="24"/>
          <w:color w:val="auto"/>
        </w:rPr>
      </w:pPr>
    </w:p>
    <w:tbl>
      <w:tblPr>
        <w:tblLayout w:type="fixed"/>
        <w:tblInd w:w="592" w:type="dxa"/>
        <w:tblCellMar>
          <w:top w:w="0" w:type="dxa"/>
          <w:left w:w="0" w:type="dxa"/>
          <w:bottom w:w="0" w:type="dxa"/>
          <w:right w:w="0" w:type="dxa"/>
        </w:tblCellMar>
      </w:tblPr>
      <w:tr>
        <w:trPr>
          <w:trHeight w:val="230"/>
        </w:trPr>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6</w:t>
            </w:r>
          </w:p>
        </w:tc>
        <w:tc>
          <w:tcPr>
            <w:tcW w:w="3300" w:type="dxa"/>
            <w:vAlign w:val="bottom"/>
            <w:vMerge w:val="restart"/>
          </w:tcPr>
          <w:p>
            <w:pPr>
              <w:ind w:left="360"/>
              <w:spacing w:after="0"/>
              <w:rPr>
                <w:sz w:val="20"/>
                <w:szCs w:val="20"/>
                <w:color w:val="auto"/>
              </w:rPr>
            </w:pPr>
            <w:r>
              <w:rPr>
                <w:rFonts w:ascii="Arial" w:cs="Arial" w:eastAsia="Arial" w:hAnsi="Arial"/>
                <w:sz w:val="14"/>
                <w:szCs w:val="14"/>
                <w:color w:val="auto"/>
                <w:w w:val="98"/>
              </w:rPr>
              <w:t>CITIZENSHIP OR PLACE OF ORGANIZATION</w:t>
            </w:r>
          </w:p>
        </w:tc>
        <w:tc>
          <w:tcPr>
            <w:tcW w:w="0" w:type="dxa"/>
            <w:vAlign w:val="bottom"/>
          </w:tcPr>
          <w:p>
            <w:pPr>
              <w:spacing w:after="0"/>
              <w:rPr>
                <w:sz w:val="1"/>
                <w:szCs w:val="1"/>
                <w:color w:val="auto"/>
              </w:rPr>
            </w:pPr>
          </w:p>
        </w:tc>
      </w:tr>
      <w:tr>
        <w:trPr>
          <w:trHeight w:val="56"/>
        </w:trPr>
        <w:tc>
          <w:tcPr>
            <w:tcW w:w="460" w:type="dxa"/>
            <w:vAlign w:val="bottom"/>
          </w:tcPr>
          <w:p>
            <w:pPr>
              <w:spacing w:after="0"/>
              <w:rPr>
                <w:sz w:val="4"/>
                <w:szCs w:val="4"/>
                <w:color w:val="auto"/>
              </w:rPr>
            </w:pPr>
          </w:p>
        </w:tc>
        <w:tc>
          <w:tcPr>
            <w:tcW w:w="3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-165100</wp:posOffset>
            </wp:positionV>
            <wp:extent cx="7216140" cy="200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6140" cy="200660"/>
                    </a:xfrm>
                    <a:prstGeom prst="rect">
                      <a:avLst/>
                    </a:prstGeom>
                    <a:noFill/>
                  </pic:spPr>
                </pic:pic>
              </a:graphicData>
            </a:graphic>
          </wp:anchor>
        </w:drawing>
      </w:r>
    </w:p>
    <w:p>
      <w:pPr>
        <w:sectPr>
          <w:pgSz w:w="11900" w:h="16845" w:orient="portrait"/>
          <w:cols w:equalWidth="0" w:num="1">
            <w:col w:w="11172"/>
          </w:cols>
          <w:pgMar w:left="248" w:top="1440" w:right="479" w:bottom="0" w:gutter="0" w:footer="0" w:header="0"/>
          <w:type w:val="continuous"/>
        </w:sectPr>
      </w:pPr>
    </w:p>
    <w:bookmarkStart w:id="1" w:name="page2"/>
    <w:bookmarkEnd w:id="1"/>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6140" cy="319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6140" cy="31940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22"/>
          <w:szCs w:val="22"/>
          <w:color w:val="auto"/>
        </w:rPr>
        <w:t>Wisconsin</w:t>
      </w:r>
    </w:p>
    <w:p>
      <w:pPr>
        <w:spacing w:after="0" w:line="52" w:lineRule="exact"/>
        <w:rPr>
          <w:sz w:val="20"/>
          <w:szCs w:val="20"/>
          <w:color w:val="auto"/>
        </w:rPr>
      </w:pPr>
    </w:p>
    <w:tbl>
      <w:tblPr>
        <w:tblLayout w:type="fixed"/>
        <w:tblInd w:w="50" w:type="dxa"/>
        <w:tblCellMar>
          <w:top w:w="0" w:type="dxa"/>
          <w:left w:w="0" w:type="dxa"/>
          <w:bottom w:w="0" w:type="dxa"/>
          <w:right w:w="0" w:type="dxa"/>
        </w:tblCellMar>
      </w:tblPr>
      <w:tr>
        <w:trPr>
          <w:trHeight w:val="169"/>
        </w:trPr>
        <w:tc>
          <w:tcPr>
            <w:tcW w:w="1100" w:type="dxa"/>
            <w:vAlign w:val="bottom"/>
            <w:tcBorders>
              <w:top w:val="single" w:sz="8" w:color="auto"/>
              <w:left w:val="single" w:sz="8" w:color="auto"/>
            </w:tcBorders>
          </w:tcPr>
          <w:p>
            <w:pPr>
              <w:ind w:left="140"/>
              <w:spacing w:after="0" w:line="169" w:lineRule="exact"/>
              <w:rPr>
                <w:sz w:val="20"/>
                <w:szCs w:val="20"/>
                <w:color w:val="auto"/>
              </w:rPr>
            </w:pPr>
            <w:r>
              <w:rPr>
                <w:rFonts w:ascii="Arial" w:cs="Arial" w:eastAsia="Arial" w:hAnsi="Arial"/>
                <w:sz w:val="18"/>
                <w:szCs w:val="18"/>
                <w:color w:val="auto"/>
              </w:rPr>
              <w:t>Number of</w:t>
            </w: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right w:val="single" w:sz="8" w:color="auto"/>
            </w:tcBorders>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2520" w:type="dxa"/>
            <w:vAlign w:val="bottom"/>
            <w:tcBorders>
              <w:top w:val="single" w:sz="8" w:color="auto"/>
              <w:right w:val="single" w:sz="8" w:color="auto"/>
            </w:tcBorders>
          </w:tcPr>
          <w:p>
            <w:pPr>
              <w:ind w:left="120"/>
              <w:spacing w:after="0" w:line="169" w:lineRule="exact"/>
              <w:rPr>
                <w:sz w:val="20"/>
                <w:szCs w:val="20"/>
                <w:color w:val="auto"/>
              </w:rPr>
            </w:pPr>
            <w:r>
              <w:rPr>
                <w:rFonts w:ascii="Arial" w:cs="Arial" w:eastAsia="Arial" w:hAnsi="Arial"/>
                <w:sz w:val="18"/>
                <w:szCs w:val="18"/>
                <w:color w:val="auto"/>
              </w:rPr>
              <w:t>7</w:t>
            </w:r>
          </w:p>
        </w:tc>
        <w:tc>
          <w:tcPr>
            <w:tcW w:w="40" w:type="dxa"/>
            <w:vAlign w:val="bottom"/>
            <w:tcBorders>
              <w:right w:val="single" w:sz="8" w:color="auto"/>
            </w:tcBorders>
          </w:tcPr>
          <w:p>
            <w:pPr>
              <w:spacing w:after="0"/>
              <w:rPr>
                <w:sz w:val="14"/>
                <w:szCs w:val="14"/>
                <w:color w:val="auto"/>
              </w:rPr>
            </w:pPr>
          </w:p>
        </w:tc>
        <w:tc>
          <w:tcPr>
            <w:tcW w:w="74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SOLE VOTING POWER</w:t>
            </w: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tcBorders>
          </w:tcPr>
          <w:p>
            <w:pPr>
              <w:ind w:left="140"/>
              <w:spacing w:after="0" w:line="176" w:lineRule="exact"/>
              <w:rPr>
                <w:sz w:val="20"/>
                <w:szCs w:val="20"/>
                <w:color w:val="auto"/>
              </w:rPr>
            </w:pPr>
            <w:r>
              <w:rPr>
                <w:rFonts w:ascii="Arial" w:cs="Arial" w:eastAsia="Arial" w:hAnsi="Arial"/>
                <w:sz w:val="18"/>
                <w:szCs w:val="18"/>
                <w:color w:val="auto"/>
              </w:rPr>
              <w:t>Shares</w:t>
            </w: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440" w:type="dxa"/>
            <w:vAlign w:val="bottom"/>
            <w:tcBorders>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tcBorders>
          </w:tcPr>
          <w:p>
            <w:pPr>
              <w:ind w:left="140"/>
              <w:spacing w:after="0" w:line="176" w:lineRule="exact"/>
              <w:rPr>
                <w:sz w:val="20"/>
                <w:szCs w:val="20"/>
                <w:color w:val="auto"/>
              </w:rPr>
            </w:pPr>
            <w:r>
              <w:rPr>
                <w:rFonts w:ascii="Arial" w:cs="Arial" w:eastAsia="Arial" w:hAnsi="Arial"/>
                <w:sz w:val="18"/>
                <w:szCs w:val="18"/>
                <w:color w:val="auto"/>
              </w:rPr>
              <w:t>Beneficially</w:t>
            </w: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1100" w:type="dxa"/>
            <w:vAlign w:val="bottom"/>
            <w:tcBorders>
              <w:left w:val="single" w:sz="8" w:color="auto"/>
            </w:tcBorders>
            <w:vMerge w:val="restart"/>
          </w:tcPr>
          <w:p>
            <w:pPr>
              <w:ind w:left="140"/>
              <w:spacing w:after="0" w:line="156" w:lineRule="exact"/>
              <w:rPr>
                <w:sz w:val="20"/>
                <w:szCs w:val="20"/>
                <w:color w:val="auto"/>
              </w:rPr>
            </w:pPr>
            <w:r>
              <w:rPr>
                <w:rFonts w:ascii="Arial" w:cs="Arial" w:eastAsia="Arial" w:hAnsi="Arial"/>
                <w:sz w:val="18"/>
                <w:szCs w:val="18"/>
                <w:color w:val="auto"/>
              </w:rPr>
              <w:t>Owned by</w:t>
            </w:r>
          </w:p>
        </w:tc>
        <w:tc>
          <w:tcPr>
            <w:tcW w:w="4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2520" w:type="dxa"/>
            <w:vAlign w:val="bottom"/>
            <w:tcBorders>
              <w:bottom w:val="single" w:sz="8" w:color="auto"/>
              <w:right w:val="single" w:sz="8" w:color="auto"/>
            </w:tcBorders>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74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1100" w:type="dxa"/>
            <w:vAlign w:val="bottom"/>
            <w:tcBorders>
              <w:lef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10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color w:val="auto"/>
              </w:rPr>
              <w:t>Each</w:t>
            </w:r>
          </w:p>
        </w:tc>
        <w:tc>
          <w:tcPr>
            <w:tcW w:w="4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2520" w:type="dxa"/>
            <w:vAlign w:val="bottom"/>
            <w:tcBorders>
              <w:right w:val="single" w:sz="8" w:color="auto"/>
            </w:tcBorders>
          </w:tcPr>
          <w:p>
            <w:pPr>
              <w:ind w:left="120"/>
              <w:spacing w:after="0" w:line="54" w:lineRule="exact"/>
              <w:rPr>
                <w:sz w:val="20"/>
                <w:szCs w:val="20"/>
                <w:color w:val="auto"/>
              </w:rPr>
            </w:pPr>
            <w:r>
              <w:rPr>
                <w:rFonts w:ascii="Arial" w:cs="Arial" w:eastAsia="Arial" w:hAnsi="Arial"/>
                <w:sz w:val="6"/>
                <w:szCs w:val="6"/>
                <w:color w:val="auto"/>
              </w:rPr>
              <w:t>8</w:t>
            </w:r>
          </w:p>
        </w:tc>
        <w:tc>
          <w:tcPr>
            <w:tcW w:w="40" w:type="dxa"/>
            <w:vAlign w:val="bottom"/>
            <w:tcBorders>
              <w:right w:val="single" w:sz="8" w:color="auto"/>
            </w:tcBorders>
          </w:tcPr>
          <w:p>
            <w:pPr>
              <w:spacing w:after="0"/>
              <w:rPr>
                <w:sz w:val="4"/>
                <w:szCs w:val="4"/>
                <w:color w:val="auto"/>
              </w:rPr>
            </w:pPr>
          </w:p>
        </w:tc>
        <w:tc>
          <w:tcPr>
            <w:tcW w:w="7440" w:type="dxa"/>
            <w:vAlign w:val="bottom"/>
            <w:tcBorders>
              <w:right w:val="single" w:sz="8" w:color="auto"/>
            </w:tcBorders>
          </w:tcPr>
          <w:p>
            <w:pPr>
              <w:ind w:left="120"/>
              <w:spacing w:after="0" w:line="54" w:lineRule="exact"/>
              <w:rPr>
                <w:sz w:val="20"/>
                <w:szCs w:val="20"/>
                <w:color w:val="auto"/>
              </w:rPr>
            </w:pPr>
            <w:r>
              <w:rPr>
                <w:rFonts w:ascii="Arial" w:cs="Arial" w:eastAsia="Arial" w:hAnsi="Arial"/>
                <w:sz w:val="6"/>
                <w:szCs w:val="6"/>
                <w:color w:val="auto"/>
              </w:rPr>
              <w:t>SHARED VOTING POWER</w:t>
            </w: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440" w:type="dxa"/>
            <w:vAlign w:val="bottom"/>
            <w:tcBorders>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1,640,012 (1)</w:t>
            </w:r>
          </w:p>
        </w:tc>
        <w:tc>
          <w:tcPr>
            <w:tcW w:w="0" w:type="dxa"/>
            <w:vAlign w:val="bottom"/>
          </w:tcPr>
          <w:p>
            <w:pPr>
              <w:spacing w:after="0"/>
              <w:rPr>
                <w:sz w:val="1"/>
                <w:szCs w:val="1"/>
                <w:color w:val="auto"/>
              </w:rPr>
            </w:pPr>
          </w:p>
        </w:tc>
      </w:tr>
      <w:tr>
        <w:trPr>
          <w:trHeight w:val="122"/>
        </w:trPr>
        <w:tc>
          <w:tcPr>
            <w:tcW w:w="1100" w:type="dxa"/>
            <w:vAlign w:val="bottom"/>
            <w:tcBorders>
              <w:left w:val="single" w:sz="8" w:color="auto"/>
            </w:tcBorders>
          </w:tcPr>
          <w:p>
            <w:pPr>
              <w:ind w:left="140"/>
              <w:spacing w:after="0" w:line="122" w:lineRule="exact"/>
              <w:rPr>
                <w:sz w:val="20"/>
                <w:szCs w:val="20"/>
                <w:color w:val="auto"/>
              </w:rPr>
            </w:pPr>
            <w:r>
              <w:rPr>
                <w:rFonts w:ascii="Arial" w:cs="Arial" w:eastAsia="Arial" w:hAnsi="Arial"/>
                <w:sz w:val="14"/>
                <w:szCs w:val="14"/>
                <w:color w:val="auto"/>
              </w:rPr>
              <w:t>Reporting</w:t>
            </w:r>
          </w:p>
        </w:tc>
        <w:tc>
          <w:tcPr>
            <w:tcW w:w="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7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100" w:type="dxa"/>
            <w:vAlign w:val="bottom"/>
            <w:tcBorders>
              <w:left w:val="single" w:sz="8" w:color="auto"/>
            </w:tcBorders>
          </w:tcPr>
          <w:p>
            <w:pPr>
              <w:ind w:left="140"/>
              <w:spacing w:after="0" w:line="186" w:lineRule="exact"/>
              <w:rPr>
                <w:sz w:val="20"/>
                <w:szCs w:val="20"/>
                <w:color w:val="auto"/>
              </w:rPr>
            </w:pPr>
            <w:r>
              <w:rPr>
                <w:rFonts w:ascii="Arial" w:cs="Arial" w:eastAsia="Arial" w:hAnsi="Arial"/>
                <w:sz w:val="18"/>
                <w:szCs w:val="18"/>
                <w:color w:val="auto"/>
              </w:rPr>
              <w:t>Person</w:t>
            </w:r>
          </w:p>
        </w:tc>
        <w:tc>
          <w:tcPr>
            <w:tcW w:w="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74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100" w:type="dxa"/>
            <w:vAlign w:val="bottom"/>
            <w:tcBorders>
              <w:left w:val="single" w:sz="8" w:color="auto"/>
            </w:tcBorders>
            <w:vMerge w:val="restart"/>
          </w:tcPr>
          <w:p>
            <w:pPr>
              <w:ind w:left="140"/>
              <w:spacing w:after="0" w:line="147" w:lineRule="exact"/>
              <w:rPr>
                <w:sz w:val="20"/>
                <w:szCs w:val="20"/>
                <w:color w:val="auto"/>
              </w:rPr>
            </w:pPr>
            <w:r>
              <w:rPr>
                <w:rFonts w:ascii="Arial" w:cs="Arial" w:eastAsia="Arial" w:hAnsi="Arial"/>
                <w:sz w:val="17"/>
                <w:szCs w:val="17"/>
                <w:color w:val="auto"/>
              </w:rPr>
              <w:t>With</w:t>
            </w: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100" w:type="dxa"/>
            <w:vAlign w:val="bottom"/>
            <w:tcBorders>
              <w:lef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520" w:type="dxa"/>
            <w:vAlign w:val="bottom"/>
            <w:tcBorders>
              <w:right w:val="single" w:sz="8" w:color="auto"/>
            </w:tcBorders>
          </w:tcPr>
          <w:p>
            <w:pPr>
              <w:ind w:left="120"/>
              <w:spacing w:after="0" w:line="107" w:lineRule="exact"/>
              <w:rPr>
                <w:sz w:val="20"/>
                <w:szCs w:val="20"/>
                <w:color w:val="auto"/>
              </w:rPr>
            </w:pPr>
            <w:r>
              <w:rPr>
                <w:rFonts w:ascii="Arial" w:cs="Arial" w:eastAsia="Arial" w:hAnsi="Arial"/>
                <w:sz w:val="12"/>
                <w:szCs w:val="12"/>
                <w:color w:val="auto"/>
              </w:rPr>
              <w:t>9</w:t>
            </w:r>
          </w:p>
        </w:tc>
        <w:tc>
          <w:tcPr>
            <w:tcW w:w="40" w:type="dxa"/>
            <w:vAlign w:val="bottom"/>
            <w:tcBorders>
              <w:right w:val="single" w:sz="8" w:color="auto"/>
            </w:tcBorders>
          </w:tcPr>
          <w:p>
            <w:pPr>
              <w:spacing w:after="0"/>
              <w:rPr>
                <w:sz w:val="9"/>
                <w:szCs w:val="9"/>
                <w:color w:val="auto"/>
              </w:rPr>
            </w:pPr>
          </w:p>
        </w:tc>
        <w:tc>
          <w:tcPr>
            <w:tcW w:w="7440" w:type="dxa"/>
            <w:vAlign w:val="bottom"/>
            <w:tcBorders>
              <w:right w:val="single" w:sz="8" w:color="auto"/>
            </w:tcBorders>
          </w:tcPr>
          <w:p>
            <w:pPr>
              <w:ind w:left="120"/>
              <w:spacing w:after="0" w:line="107" w:lineRule="exact"/>
              <w:rPr>
                <w:sz w:val="20"/>
                <w:szCs w:val="20"/>
                <w:color w:val="auto"/>
              </w:rPr>
            </w:pPr>
            <w:r>
              <w:rPr>
                <w:rFonts w:ascii="Arial" w:cs="Arial" w:eastAsia="Arial" w:hAnsi="Arial"/>
                <w:sz w:val="12"/>
                <w:szCs w:val="12"/>
                <w:color w:val="auto"/>
              </w:rPr>
              <w:t>SOLE DISPOSITIVE POWER</w:t>
            </w:r>
          </w:p>
        </w:tc>
        <w:tc>
          <w:tcPr>
            <w:tcW w:w="0" w:type="dxa"/>
            <w:vAlign w:val="bottom"/>
          </w:tcPr>
          <w:p>
            <w:pPr>
              <w:spacing w:after="0"/>
              <w:rPr>
                <w:sz w:val="1"/>
                <w:szCs w:val="1"/>
                <w:color w:val="auto"/>
              </w:rPr>
            </w:pPr>
          </w:p>
        </w:tc>
      </w:tr>
      <w:tr>
        <w:trPr>
          <w:trHeight w:val="230"/>
        </w:trPr>
        <w:tc>
          <w:tcPr>
            <w:tcW w:w="11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11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100" w:type="dxa"/>
            <w:vAlign w:val="bottom"/>
            <w:tcBorders>
              <w:lef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520" w:type="dxa"/>
            <w:vAlign w:val="bottom"/>
            <w:tcBorders>
              <w:right w:val="single" w:sz="8" w:color="auto"/>
            </w:tcBorders>
          </w:tcPr>
          <w:p>
            <w:pPr>
              <w:ind w:left="120"/>
              <w:spacing w:after="0" w:line="107" w:lineRule="exact"/>
              <w:rPr>
                <w:sz w:val="20"/>
                <w:szCs w:val="20"/>
                <w:color w:val="auto"/>
              </w:rPr>
            </w:pPr>
            <w:r>
              <w:rPr>
                <w:rFonts w:ascii="Arial" w:cs="Arial" w:eastAsia="Arial" w:hAnsi="Arial"/>
                <w:sz w:val="12"/>
                <w:szCs w:val="12"/>
                <w:color w:val="auto"/>
              </w:rPr>
              <w:t>10</w:t>
            </w:r>
          </w:p>
        </w:tc>
        <w:tc>
          <w:tcPr>
            <w:tcW w:w="40" w:type="dxa"/>
            <w:vAlign w:val="bottom"/>
            <w:tcBorders>
              <w:right w:val="single" w:sz="8" w:color="auto"/>
            </w:tcBorders>
          </w:tcPr>
          <w:p>
            <w:pPr>
              <w:spacing w:after="0"/>
              <w:rPr>
                <w:sz w:val="9"/>
                <w:szCs w:val="9"/>
                <w:color w:val="auto"/>
              </w:rPr>
            </w:pPr>
          </w:p>
        </w:tc>
        <w:tc>
          <w:tcPr>
            <w:tcW w:w="7440" w:type="dxa"/>
            <w:vAlign w:val="bottom"/>
            <w:tcBorders>
              <w:right w:val="single" w:sz="8" w:color="auto"/>
            </w:tcBorders>
          </w:tcPr>
          <w:p>
            <w:pPr>
              <w:ind w:left="120"/>
              <w:spacing w:after="0" w:line="107" w:lineRule="exact"/>
              <w:rPr>
                <w:sz w:val="20"/>
                <w:szCs w:val="20"/>
                <w:color w:val="auto"/>
              </w:rPr>
            </w:pPr>
            <w:r>
              <w:rPr>
                <w:rFonts w:ascii="Arial" w:cs="Arial" w:eastAsia="Arial" w:hAnsi="Arial"/>
                <w:sz w:val="12"/>
                <w:szCs w:val="12"/>
                <w:color w:val="auto"/>
              </w:rPr>
              <w:t>SHARED DISPOSITIVE POWER</w:t>
            </w:r>
          </w:p>
        </w:tc>
        <w:tc>
          <w:tcPr>
            <w:tcW w:w="0" w:type="dxa"/>
            <w:vAlign w:val="bottom"/>
          </w:tcPr>
          <w:p>
            <w:pPr>
              <w:spacing w:after="0"/>
              <w:rPr>
                <w:sz w:val="1"/>
                <w:szCs w:val="1"/>
                <w:color w:val="auto"/>
              </w:rPr>
            </w:pPr>
          </w:p>
        </w:tc>
      </w:tr>
      <w:tr>
        <w:trPr>
          <w:trHeight w:val="230"/>
        </w:trPr>
        <w:tc>
          <w:tcPr>
            <w:tcW w:w="11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1,640,012 (1)</w:t>
            </w:r>
          </w:p>
        </w:tc>
        <w:tc>
          <w:tcPr>
            <w:tcW w:w="0" w:type="dxa"/>
            <w:vAlign w:val="bottom"/>
          </w:tcPr>
          <w:p>
            <w:pPr>
              <w:spacing w:after="0"/>
              <w:rPr>
                <w:sz w:val="1"/>
                <w:szCs w:val="1"/>
                <w:color w:val="auto"/>
              </w:rPr>
            </w:pPr>
          </w:p>
        </w:tc>
      </w:tr>
      <w:tr>
        <w:trPr>
          <w:trHeight w:val="237"/>
        </w:trPr>
        <w:tc>
          <w:tcPr>
            <w:tcW w:w="110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10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11</w:t>
            </w:r>
          </w:p>
        </w:tc>
        <w:tc>
          <w:tcPr>
            <w:tcW w:w="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4"/>
                <w:szCs w:val="14"/>
                <w:color w:val="auto"/>
                <w:w w:val="96"/>
              </w:rPr>
              <w:t>AGGREGATE AMOUNT BENEFICIALLY</w:t>
            </w:r>
          </w:p>
        </w:tc>
        <w:tc>
          <w:tcPr>
            <w:tcW w:w="40" w:type="dxa"/>
            <w:vAlign w:val="bottom"/>
          </w:tcPr>
          <w:p>
            <w:pPr>
              <w:spacing w:after="0"/>
              <w:rPr>
                <w:sz w:val="20"/>
                <w:szCs w:val="20"/>
                <w:color w:val="auto"/>
              </w:rPr>
            </w:pPr>
          </w:p>
        </w:tc>
        <w:tc>
          <w:tcPr>
            <w:tcW w:w="74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OWNED BY EACH REPORTING PERSON</w:t>
            </w:r>
          </w:p>
        </w:tc>
        <w:tc>
          <w:tcPr>
            <w:tcW w:w="0" w:type="dxa"/>
            <w:vAlign w:val="bottom"/>
          </w:tcPr>
          <w:p>
            <w:pPr>
              <w:spacing w:after="0"/>
              <w:rPr>
                <w:sz w:val="1"/>
                <w:szCs w:val="1"/>
                <w:color w:val="auto"/>
              </w:rPr>
            </w:pPr>
          </w:p>
        </w:tc>
      </w:tr>
      <w:tr>
        <w:trPr>
          <w:trHeight w:val="276"/>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1598"/>
              <w:spacing w:after="0"/>
              <w:rPr>
                <w:sz w:val="20"/>
                <w:szCs w:val="20"/>
                <w:color w:val="auto"/>
              </w:rPr>
            </w:pPr>
            <w:r>
              <w:rPr>
                <w:rFonts w:ascii="Arial" w:cs="Arial" w:eastAsia="Arial" w:hAnsi="Arial"/>
                <w:sz w:val="18"/>
                <w:szCs w:val="18"/>
                <w:color w:val="auto"/>
                <w:w w:val="98"/>
              </w:rPr>
              <w:t>1,640,012 (1)</w:t>
            </w:r>
          </w:p>
        </w:tc>
        <w:tc>
          <w:tcPr>
            <w:tcW w:w="40" w:type="dxa"/>
            <w:vAlign w:val="bottom"/>
            <w:tcBorders>
              <w:bottom w:val="single" w:sz="8" w:color="auto"/>
            </w:tcBorders>
          </w:tcPr>
          <w:p>
            <w:pPr>
              <w:spacing w:after="0"/>
              <w:rPr>
                <w:sz w:val="24"/>
                <w:szCs w:val="24"/>
                <w:color w:val="auto"/>
              </w:rPr>
            </w:pPr>
          </w:p>
        </w:tc>
        <w:tc>
          <w:tcPr>
            <w:tcW w:w="7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1300" w:hanging="808"/>
        <w:spacing w:after="0" w:line="181" w:lineRule="auto"/>
        <w:tabs>
          <w:tab w:leader="none" w:pos="1300" w:val="left"/>
        </w:tabs>
        <w:numPr>
          <w:ilvl w:val="0"/>
          <w:numId w:val="6"/>
        </w:numPr>
        <w:rPr>
          <w:rFonts w:ascii="Arial" w:cs="Arial" w:eastAsia="Arial" w:hAnsi="Arial"/>
          <w:sz w:val="20"/>
          <w:szCs w:val="20"/>
          <w:color w:val="auto"/>
          <w:vertAlign w:val="subscript"/>
        </w:rPr>
      </w:pPr>
      <w:r>
        <w:rPr>
          <w:rFonts w:ascii="Arial" w:cs="Arial" w:eastAsia="Arial" w:hAnsi="Arial"/>
          <w:sz w:val="11"/>
          <w:szCs w:val="11"/>
          <w:color w:val="auto"/>
        </w:rPr>
        <w:t>CHECK IF THE AGGREGATE AMOUNT IN ROW (11) EXCLUDES CERTAIN SHARES (See Instructions)</w:t>
      </w:r>
    </w:p>
    <w:p>
      <w:pPr>
        <w:spacing w:after="0" w:line="173" w:lineRule="exact"/>
        <w:rPr>
          <w:rFonts w:ascii="Arial" w:cs="Arial" w:eastAsia="Arial" w:hAnsi="Arial"/>
          <w:sz w:val="20"/>
          <w:szCs w:val="20"/>
          <w:color w:val="auto"/>
          <w:vertAlign w:val="subscript"/>
        </w:rPr>
      </w:pPr>
    </w:p>
    <w:p>
      <w:pPr>
        <w:ind w:left="1300"/>
        <w:spacing w:after="0"/>
        <w:rPr>
          <w:rFonts w:ascii="Arial" w:cs="Arial" w:eastAsia="Arial" w:hAnsi="Arial"/>
          <w:sz w:val="20"/>
          <w:szCs w:val="20"/>
          <w:color w:val="auto"/>
          <w:vertAlign w:val="subscript"/>
        </w:rPr>
      </w:pPr>
      <w:r>
        <w:rPr>
          <w:rFonts w:ascii="Arial" w:cs="Arial" w:eastAsia="Arial" w:hAnsi="Arial"/>
          <w:sz w:val="18"/>
          <w:szCs w:val="18"/>
          <w:color w:val="auto"/>
        </w:rPr>
        <w:t>[X] (2)</w:t>
      </w:r>
    </w:p>
    <w:p>
      <w:pPr>
        <w:spacing w:after="0" w:line="16" w:lineRule="exact"/>
        <w:rPr>
          <w:rFonts w:ascii="Arial" w:cs="Arial" w:eastAsia="Arial" w:hAnsi="Arial"/>
          <w:sz w:val="20"/>
          <w:szCs w:val="20"/>
          <w:color w:val="auto"/>
          <w:vertAlign w:val="subscript"/>
        </w:rPr>
      </w:pPr>
    </w:p>
    <w:p>
      <w:pPr>
        <w:ind w:left="1300" w:hanging="808"/>
        <w:spacing w:after="0" w:line="187" w:lineRule="auto"/>
        <w:tabs>
          <w:tab w:leader="none" w:pos="1300" w:val="left"/>
        </w:tabs>
        <w:numPr>
          <w:ilvl w:val="0"/>
          <w:numId w:val="6"/>
        </w:numPr>
        <w:rPr>
          <w:rFonts w:ascii="Arial" w:cs="Arial" w:eastAsia="Arial" w:hAnsi="Arial"/>
          <w:sz w:val="19"/>
          <w:szCs w:val="19"/>
          <w:color w:val="auto"/>
          <w:vertAlign w:val="subscript"/>
        </w:rPr>
      </w:pPr>
      <w:r>
        <w:rPr>
          <w:rFonts w:ascii="Arial" w:cs="Arial" w:eastAsia="Arial" w:hAnsi="Arial"/>
          <w:sz w:val="11"/>
          <w:szCs w:val="11"/>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-456565</wp:posOffset>
            </wp:positionV>
            <wp:extent cx="7216140" cy="7073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140" cy="707390"/>
                    </a:xfrm>
                    <a:prstGeom prst="rect">
                      <a:avLst/>
                    </a:prstGeom>
                    <a:noFill/>
                  </pic:spPr>
                </pic:pic>
              </a:graphicData>
            </a:graphic>
          </wp:anchor>
        </w:drawing>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7.2%</w:t>
      </w:r>
    </w:p>
    <w:p>
      <w:pPr>
        <w:ind w:left="1300" w:hanging="808"/>
        <w:spacing w:after="0" w:line="185" w:lineRule="auto"/>
        <w:tabs>
          <w:tab w:leader="none" w:pos="1300" w:val="left"/>
        </w:tabs>
        <w:numPr>
          <w:ilvl w:val="0"/>
          <w:numId w:val="7"/>
        </w:numPr>
        <w:rPr>
          <w:rFonts w:ascii="Arial" w:cs="Arial" w:eastAsia="Arial" w:hAnsi="Arial"/>
          <w:sz w:val="21"/>
          <w:szCs w:val="21"/>
          <w:color w:val="auto"/>
          <w:vertAlign w:val="subscript"/>
        </w:rPr>
      </w:pPr>
      <w:r>
        <w:rPr>
          <w:rFonts w:ascii="Arial" w:cs="Arial" w:eastAsia="Arial" w:hAnsi="Arial"/>
          <w:sz w:val="11"/>
          <w:szCs w:val="11"/>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-95885</wp:posOffset>
            </wp:positionV>
            <wp:extent cx="7216140" cy="364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140" cy="364490"/>
                    </a:xfrm>
                    <a:prstGeom prst="rect">
                      <a:avLst/>
                    </a:prstGeom>
                    <a:noFill/>
                  </pic:spPr>
                </pic:pic>
              </a:graphicData>
            </a:graphic>
          </wp:anchor>
        </w:drawing>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w:t>
      </w:r>
    </w:p>
    <w:p>
      <w:pPr>
        <w:spacing w:after="0" w:line="12" w:lineRule="exact"/>
        <w:rPr>
          <w:sz w:val="20"/>
          <w:szCs w:val="20"/>
          <w:color w:val="auto"/>
        </w:rPr>
      </w:pPr>
    </w:p>
    <w:p>
      <w:pPr>
        <w:ind w:left="340" w:right="180" w:hanging="332"/>
        <w:spacing w:after="0" w:line="239"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Reporting Person may be deemed to be the beneficial owner of 1,640,012 shares under the Tender and Voting Agreement described in Item 4. The Reporting Person disclaims beneficial ownership of any shares of common stock covered by the Tender and Voting Agreement.</w:t>
      </w:r>
    </w:p>
    <w:p>
      <w:pPr>
        <w:spacing w:after="0" w:line="161" w:lineRule="exact"/>
        <w:rPr>
          <w:rFonts w:ascii="Arial" w:cs="Arial" w:eastAsia="Arial" w:hAnsi="Arial"/>
          <w:sz w:val="17"/>
          <w:szCs w:val="17"/>
          <w:color w:val="auto"/>
        </w:rPr>
      </w:pPr>
    </w:p>
    <w:p>
      <w:pPr>
        <w:ind w:left="340" w:right="100" w:hanging="332"/>
        <w:spacing w:after="0" w:line="22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amounts in rows 8 and 10 exclude 4,178,818 shares of common stock subject to options held by the shareholders named in Schedule I to the Tender and Voting Agreement. The Reporting Person disclaims beneficial ownership of any shares of common stock covered by the Tender and Voting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SC 13D</w:t>
      </w:r>
    </w:p>
    <w:p>
      <w:pPr>
        <w:spacing w:after="0" w:line="29" w:lineRule="exact"/>
        <w:rPr>
          <w:sz w:val="20"/>
          <w:szCs w:val="20"/>
          <w:color w:val="auto"/>
        </w:rPr>
      </w:pPr>
    </w:p>
    <w:tbl>
      <w:tblPr>
        <w:tblLayout w:type="fixed"/>
        <w:tblInd w:w="50" w:type="dxa"/>
        <w:tblCellMar>
          <w:top w:w="0" w:type="dxa"/>
          <w:left w:w="0" w:type="dxa"/>
          <w:bottom w:w="0" w:type="dxa"/>
          <w:right w:w="0" w:type="dxa"/>
        </w:tblCellMar>
      </w:tblPr>
      <w:tr>
        <w:trPr>
          <w:trHeight w:val="305"/>
        </w:trPr>
        <w:tc>
          <w:tcPr>
            <w:tcW w:w="2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CUSIP No. </w:t>
            </w:r>
            <w:r>
              <w:rPr>
                <w:rFonts w:ascii="Arial" w:cs="Arial" w:eastAsia="Arial" w:hAnsi="Arial"/>
                <w:sz w:val="17"/>
                <w:szCs w:val="17"/>
                <w:color w:val="auto"/>
              </w:rPr>
              <w:t>766573109</w:t>
            </w:r>
          </w:p>
        </w:tc>
        <w:tc>
          <w:tcPr>
            <w:tcW w:w="60" w:type="dxa"/>
            <w:vAlign w:val="bottom"/>
            <w:tcBorders>
              <w:right w:val="single" w:sz="8" w:color="auto"/>
            </w:tcBorders>
          </w:tcPr>
          <w:p>
            <w:pPr>
              <w:spacing w:after="0"/>
              <w:rPr>
                <w:sz w:val="24"/>
                <w:szCs w:val="24"/>
                <w:color w:val="auto"/>
              </w:rPr>
            </w:pPr>
          </w:p>
        </w:tc>
        <w:tc>
          <w:tcPr>
            <w:tcW w:w="556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4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Page 3 of 7 Pages</w:t>
            </w:r>
          </w:p>
        </w:tc>
      </w:tr>
      <w:tr>
        <w:trPr>
          <w:trHeight w:val="66"/>
        </w:trPr>
        <w:tc>
          <w:tcPr>
            <w:tcW w:w="2220" w:type="dxa"/>
            <w:vAlign w:val="bottom"/>
            <w:tcBorders>
              <w:left w:val="single" w:sz="8" w:color="auto"/>
              <w:bottom w:val="single" w:sz="8" w:color="auto"/>
              <w:right w:val="single" w:sz="8" w:color="auto"/>
            </w:tcBorders>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5560" w:type="dxa"/>
            <w:vAlign w:val="bottom"/>
            <w:tcBorders>
              <w:right w:val="single" w:sz="8" w:color="auto"/>
            </w:tcBorders>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r>
    </w:tbl>
    <w:p>
      <w:pPr>
        <w:spacing w:after="0" w:line="23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189" w:lineRule="exact"/>
        <w:rPr>
          <w:sz w:val="20"/>
          <w:szCs w:val="20"/>
          <w:color w:val="auto"/>
        </w:rPr>
      </w:pPr>
    </w:p>
    <w:p>
      <w:pPr>
        <w:ind w:right="320" w:firstLine="972"/>
        <w:spacing w:after="0" w:line="300" w:lineRule="auto"/>
        <w:rPr>
          <w:sz w:val="20"/>
          <w:szCs w:val="20"/>
          <w:color w:val="auto"/>
        </w:rPr>
      </w:pPr>
      <w:r>
        <w:rPr>
          <w:rFonts w:ascii="Arial" w:cs="Arial" w:eastAsia="Arial" w:hAnsi="Arial"/>
          <w:sz w:val="16"/>
          <w:szCs w:val="16"/>
          <w:color w:val="auto"/>
        </w:rPr>
        <w:t>This Schedule 13D relates to the common stock, par value $0.01 per share (the "Right Common Stock"), of Right Management Consultants, Inc., a Pennsylvania corporation ("Right"), with principal executive offices at 1818 Market Street, 33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Floor, Philadelphia, Pennsylvania 19103.</w:t>
      </w: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89" w:lineRule="exact"/>
        <w:rPr>
          <w:sz w:val="20"/>
          <w:szCs w:val="20"/>
          <w:color w:val="auto"/>
        </w:rPr>
      </w:pPr>
    </w:p>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statement is being filed by Manpower Inc., a Wisconsin corporation ("Manpower").</w:t>
      </w:r>
    </w:p>
    <w:p>
      <w:pPr>
        <w:spacing w:after="0" w:line="184" w:lineRule="exact"/>
        <w:rPr>
          <w:rFonts w:ascii="Arial" w:cs="Arial" w:eastAsia="Arial" w:hAnsi="Arial"/>
          <w:sz w:val="18"/>
          <w:szCs w:val="18"/>
          <w:color w:val="auto"/>
        </w:rPr>
      </w:pPr>
    </w:p>
    <w:p>
      <w:pPr>
        <w:ind w:right="160" w:firstLine="8"/>
        <w:spacing w:after="0" w:line="219" w:lineRule="auto"/>
        <w:tabs>
          <w:tab w:leader="none" w:pos="81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Manpower is a global staffing leader with over 4,000 systemwide offices in 63 countries. Manpower's largest operations, based on revenues, are located in the United States, France and the United Kingdom. Manpower provides a wide range of human resource services, including professional, technical, specialized, office and industrial staffing; temporary and permanent employee testing, selection, training and development; internal audit, accounting, technology and tax services; and organizational performance consulting.</w:t>
      </w:r>
    </w:p>
    <w:p>
      <w:pPr>
        <w:spacing w:after="0" w:line="1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address of the principal business and principal office of Manpower is 5301 North Ironwood Road, Milwaukee, WI 53217.</w:t>
      </w:r>
    </w:p>
    <w:p>
      <w:pPr>
        <w:spacing w:after="0" w:line="171" w:lineRule="exact"/>
        <w:rPr>
          <w:sz w:val="20"/>
          <w:szCs w:val="20"/>
          <w:color w:val="auto"/>
        </w:rPr>
      </w:pPr>
    </w:p>
    <w:p>
      <w:pPr>
        <w:ind w:left="820" w:hanging="81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regarding the executive officers and directors of Manpower is set forth on Schedule I hereto.</w:t>
      </w:r>
    </w:p>
    <w:p>
      <w:pPr>
        <w:spacing w:after="0" w:line="184" w:lineRule="exact"/>
        <w:rPr>
          <w:rFonts w:ascii="Arial" w:cs="Arial" w:eastAsia="Arial" w:hAnsi="Arial"/>
          <w:sz w:val="18"/>
          <w:szCs w:val="18"/>
          <w:color w:val="auto"/>
        </w:rPr>
      </w:pPr>
    </w:p>
    <w:p>
      <w:pPr>
        <w:ind w:right="280" w:firstLine="8"/>
        <w:spacing w:after="0" w:line="249"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&amp; (e) During the past five years, Manpower, and to Manpower's knowledge, its executive officers and directors named on Schedule I hereto have not been (i) convicted in a criminal proceeding (excluding traffic violations or similar misdemeanors) or (ii)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5" w:lineRule="exact"/>
        <w:rPr>
          <w:sz w:val="20"/>
          <w:szCs w:val="20"/>
          <w:color w:val="auto"/>
        </w:rPr>
      </w:pPr>
    </w:p>
    <w:p>
      <w:pPr>
        <w:ind w:right="340" w:firstLine="8"/>
        <w:spacing w:after="0" w:line="224" w:lineRule="auto"/>
        <w:tabs>
          <w:tab w:leader="none" w:pos="8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Manpower is a corporation organized under the laws of the State of Wisconsin. All of the executive officers and directors of Manpower are citizens of the United States, except for Dennis Stevenson who is a citizen of the United Kingdom, Jean-Pierre Lemmonier who is a citizen of France and Yoav Michaely who is a citizen of Israel.</w:t>
      </w:r>
    </w:p>
    <w:p>
      <w:pPr>
        <w:spacing w:after="0" w:line="17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89" w:lineRule="exact"/>
        <w:rPr>
          <w:sz w:val="20"/>
          <w:szCs w:val="20"/>
          <w:color w:val="auto"/>
        </w:rPr>
      </w:pPr>
    </w:p>
    <w:p>
      <w:pPr>
        <w:ind w:right="100" w:firstLine="972"/>
        <w:spacing w:after="0" w:line="216" w:lineRule="auto"/>
        <w:rPr>
          <w:sz w:val="20"/>
          <w:szCs w:val="20"/>
          <w:color w:val="auto"/>
        </w:rPr>
      </w:pPr>
      <w:r>
        <w:rPr>
          <w:rFonts w:ascii="Arial" w:cs="Arial" w:eastAsia="Arial" w:hAnsi="Arial"/>
          <w:sz w:val="18"/>
          <w:szCs w:val="18"/>
          <w:color w:val="auto"/>
        </w:rPr>
        <w:t>The Tender and Voting Agreement dated as of December 10, 2003 (the "Tender and Voting Agreement") entered into by Manpower and certain executive officers and directors of Right (each a "Shareholder," and collectively, the "Shareholders") is described in Item 4 of this Schedule 13D and is incorporated by reference herein. Manpower expressly disclaims beneficial ownership of any shares of Right Common Stock covered by the Tender and Voting Agreement. No funds of Manpower were or will be used to purchase these shares of Right Common Stock (except for cash paid in lieu of fractional shares), as more fully described in Item 4.</w:t>
      </w:r>
    </w:p>
    <w:p>
      <w:pPr>
        <w:spacing w:after="0" w:line="1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189" w:lineRule="exact"/>
        <w:rPr>
          <w:sz w:val="20"/>
          <w:szCs w:val="20"/>
          <w:color w:val="auto"/>
        </w:rPr>
      </w:pPr>
    </w:p>
    <w:p>
      <w:pPr>
        <w:ind w:right="260"/>
        <w:spacing w:after="0" w:line="232" w:lineRule="auto"/>
        <w:rPr>
          <w:sz w:val="20"/>
          <w:szCs w:val="20"/>
          <w:color w:val="auto"/>
        </w:rPr>
      </w:pPr>
      <w:r>
        <w:rPr>
          <w:rFonts w:ascii="Arial" w:cs="Arial" w:eastAsia="Arial" w:hAnsi="Arial"/>
          <w:sz w:val="17"/>
          <w:szCs w:val="17"/>
          <w:color w:val="auto"/>
        </w:rPr>
        <w:t>(a)-(b) On December 10, 2003, Manpower and Hoosier Acquisition Corp., a Pennsylvania corporation and wholly owned subsidiary of Manpower ("Hoosier"), entered into an Agreement and Plan of Merger (the "Merger Agreement") with Right providing for Manpower or Hoosier to acquire all of the outstanding shares of Right Common Stock by means of an exchange offer (the "Offer") and a subsequent merger (the "Merger,") of Hoosier with and into Right, with Right continuing as the surviving corporation and a wholly owned subsidiary of Manpower.</w:t>
      </w:r>
    </w:p>
    <w:p>
      <w:pPr>
        <w:spacing w:after="0" w:line="163" w:lineRule="exact"/>
        <w:rPr>
          <w:sz w:val="20"/>
          <w:szCs w:val="20"/>
          <w:color w:val="auto"/>
        </w:rPr>
      </w:pPr>
    </w:p>
    <w:p>
      <w:pPr>
        <w:ind w:right="400" w:firstLine="972"/>
        <w:spacing w:after="0" w:line="235" w:lineRule="auto"/>
        <w:rPr>
          <w:sz w:val="20"/>
          <w:szCs w:val="20"/>
          <w:color w:val="auto"/>
        </w:rPr>
      </w:pPr>
      <w:r>
        <w:rPr>
          <w:rFonts w:ascii="Arial" w:cs="Arial" w:eastAsia="Arial" w:hAnsi="Arial"/>
          <w:sz w:val="18"/>
          <w:szCs w:val="18"/>
          <w:color w:val="auto"/>
        </w:rPr>
        <w:t>In the Offer, Manpower, through Hoosier, is offering to exchange a fraction of a share of common stock of Manpower, par value $0.01 (the "Manpower Common Stock"), for each share of Right Common Stock that</w:t>
      </w:r>
    </w:p>
    <w:p>
      <w:pPr>
        <w:sectPr>
          <w:pgSz w:w="11900" w:h="16924" w:orient="portrait"/>
          <w:cols w:equalWidth="0" w:num="1">
            <w:col w:w="11400"/>
          </w:cols>
          <w:pgMar w:left="240" w:top="321" w:right="259" w:bottom="0" w:gutter="0" w:footer="0" w:header="0"/>
        </w:sectPr>
      </w:pPr>
    </w:p>
    <w:bookmarkStart w:id="2" w:name="page3"/>
    <w:bookmarkEnd w:id="2"/>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SC 13D</w:t>
      </w:r>
    </w:p>
    <w:p>
      <w:pPr>
        <w:spacing w:after="0" w:line="29" w:lineRule="exact"/>
        <w:rPr>
          <w:sz w:val="20"/>
          <w:szCs w:val="20"/>
          <w:color w:val="auto"/>
        </w:rPr>
      </w:pPr>
    </w:p>
    <w:tbl>
      <w:tblPr>
        <w:tblLayout w:type="fixed"/>
        <w:tblInd w:w="50" w:type="dxa"/>
        <w:tblCellMar>
          <w:top w:w="0" w:type="dxa"/>
          <w:left w:w="0" w:type="dxa"/>
          <w:bottom w:w="0" w:type="dxa"/>
          <w:right w:w="0" w:type="dxa"/>
        </w:tblCellMar>
      </w:tblPr>
      <w:tr>
        <w:trPr>
          <w:trHeight w:val="305"/>
        </w:trPr>
        <w:tc>
          <w:tcPr>
            <w:tcW w:w="2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CUSIP No. </w:t>
            </w:r>
            <w:r>
              <w:rPr>
                <w:rFonts w:ascii="Arial" w:cs="Arial" w:eastAsia="Arial" w:hAnsi="Arial"/>
                <w:sz w:val="17"/>
                <w:szCs w:val="17"/>
                <w:color w:val="auto"/>
              </w:rPr>
              <w:t>766573109</w:t>
            </w:r>
          </w:p>
        </w:tc>
        <w:tc>
          <w:tcPr>
            <w:tcW w:w="60" w:type="dxa"/>
            <w:vAlign w:val="bottom"/>
            <w:tcBorders>
              <w:right w:val="single" w:sz="8" w:color="auto"/>
            </w:tcBorders>
          </w:tcPr>
          <w:p>
            <w:pPr>
              <w:spacing w:after="0"/>
              <w:rPr>
                <w:sz w:val="24"/>
                <w:szCs w:val="24"/>
                <w:color w:val="auto"/>
              </w:rPr>
            </w:pPr>
          </w:p>
        </w:tc>
        <w:tc>
          <w:tcPr>
            <w:tcW w:w="556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4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Page 4 of 7 Pages</w:t>
            </w:r>
          </w:p>
        </w:tc>
      </w:tr>
      <w:tr>
        <w:trPr>
          <w:trHeight w:val="66"/>
        </w:trPr>
        <w:tc>
          <w:tcPr>
            <w:tcW w:w="2220" w:type="dxa"/>
            <w:vAlign w:val="bottom"/>
            <w:tcBorders>
              <w:left w:val="single" w:sz="8" w:color="auto"/>
              <w:bottom w:val="single" w:sz="8" w:color="auto"/>
              <w:right w:val="single" w:sz="8" w:color="auto"/>
            </w:tcBorders>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5560" w:type="dxa"/>
            <w:vAlign w:val="bottom"/>
            <w:tcBorders>
              <w:right w:val="single" w:sz="8" w:color="auto"/>
            </w:tcBorders>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is validly tendered and not withdrawn. This fraction will be determined upon the first acceptance for exchange of shares of Right Common Stock pursuant to the Offer (the "Appointment Time") and will be based on the average of the average daily high and low sale price per share of Manpower Common Stock on the New York Stock Exchange for the ten trading days ending on and including the second trading day preceding the Appointment Time (the "Manpower Average Trading Price"). If the Manpower Average Trading Price is between $41.69 and $50.96 per share, Right shareholders will receive a fraction of a share of Manpower Common Stock equal to $18.75 divided by the Manpower Average Trading Price for each share of Right Common Stock they own. If the Manpower Average Trading Price is greater than $50.96 per share, Right shareholders will recei ve 0.3680 of a share of Manpower Common Stock for each share of Right Common Stock they own. If the Manpower Average Trading Price is less than $41.69 per share but equal to or greater than $37.80 per share, Right shareholders will receive 0.4497 of a share of Manpower Common Stock for each share of Right Common Stock they own. If the Manpower Average Trading Price is less than $37.80 per share, Manpower has the option, but not the obligation, to issue a fraction of a share of Manpower Common Stock equal to $17.00 divided by the Manpower Average Trading Price for each share of Right Common Stock. If Manpower chooses not to exercise this option, Right has the right to terminate the Merger Agreement.</w:t>
      </w:r>
    </w:p>
    <w:p>
      <w:pPr>
        <w:spacing w:after="0" w:line="167" w:lineRule="exact"/>
        <w:rPr>
          <w:sz w:val="20"/>
          <w:szCs w:val="20"/>
          <w:color w:val="auto"/>
        </w:rPr>
      </w:pPr>
    </w:p>
    <w:p>
      <w:pPr>
        <w:ind w:right="200" w:firstLine="972"/>
        <w:spacing w:after="0" w:line="235" w:lineRule="auto"/>
        <w:rPr>
          <w:sz w:val="20"/>
          <w:szCs w:val="20"/>
          <w:color w:val="auto"/>
        </w:rPr>
      </w:pPr>
      <w:r>
        <w:rPr>
          <w:rFonts w:ascii="Arial" w:cs="Arial" w:eastAsia="Arial" w:hAnsi="Arial"/>
          <w:sz w:val="18"/>
          <w:szCs w:val="18"/>
          <w:color w:val="auto"/>
        </w:rPr>
        <w:t>At the time of the execution of the Merger Agreement, in order to induce Manpower and Hoosier to enter into the Merger Agreement, each of the Shareholders entered into the Tender and Voting Agreement with Manpower.</w:t>
      </w:r>
    </w:p>
    <w:p>
      <w:pPr>
        <w:spacing w:after="0" w:line="162" w:lineRule="exact"/>
        <w:rPr>
          <w:sz w:val="20"/>
          <w:szCs w:val="20"/>
          <w:color w:val="auto"/>
        </w:rPr>
      </w:pPr>
    </w:p>
    <w:p>
      <w:pPr>
        <w:ind w:right="100" w:firstLine="972"/>
        <w:spacing w:after="0" w:line="225" w:lineRule="auto"/>
        <w:rPr>
          <w:sz w:val="20"/>
          <w:szCs w:val="20"/>
          <w:color w:val="auto"/>
        </w:rPr>
      </w:pPr>
      <w:r>
        <w:rPr>
          <w:rFonts w:ascii="Arial" w:cs="Arial" w:eastAsia="Arial" w:hAnsi="Arial"/>
          <w:sz w:val="17"/>
          <w:szCs w:val="17"/>
          <w:color w:val="auto"/>
        </w:rPr>
        <w:t>Pursuant to the Tender and Voting Agreement, each Shareholder agreed (i) to tender into the Offer shares (the "Shareholder Shares") which represent approximately 7.2% of the Right Common Stock outstanding as of December 9, 2003, and (ii) at any meeting of the shareholders of Right or in connection with any written consent of the shareholders of Right, to vote such shares (a) in favor of the Merger, the execution and delivery by Right of the Merger Agreement and the approval of the terms thereof and each of the other actions contemplated by the Merger Agreement and the Tender and Voting Agreement; and (b) against approval of any proposal relating to a competing proposal and against any action or agreement that would impede, frustrate, prevent or nullify the Tender and Voting Agreement or result in a breach in any respect of any obligation or agreement of Right under the Merger Agreement or which would delay or otherwise adversely affect the Merger or the Offer.</w:t>
      </w:r>
    </w:p>
    <w:p>
      <w:pPr>
        <w:spacing w:after="0" w:line="162" w:lineRule="exact"/>
        <w:rPr>
          <w:sz w:val="20"/>
          <w:szCs w:val="20"/>
          <w:color w:val="auto"/>
        </w:rPr>
      </w:pPr>
    </w:p>
    <w:p>
      <w:pPr>
        <w:ind w:right="40" w:firstLine="972"/>
        <w:spacing w:after="0" w:line="236" w:lineRule="auto"/>
        <w:rPr>
          <w:sz w:val="20"/>
          <w:szCs w:val="20"/>
          <w:color w:val="auto"/>
        </w:rPr>
      </w:pPr>
      <w:r>
        <w:rPr>
          <w:rFonts w:ascii="Arial" w:cs="Arial" w:eastAsia="Arial" w:hAnsi="Arial"/>
          <w:sz w:val="16"/>
          <w:szCs w:val="16"/>
          <w:color w:val="auto"/>
        </w:rPr>
        <w:t>Each Shareholder also agreed that, except as provided by the Merger Agreement and the Tender and Voting Agreement, such shareholder will not (i) offer to transfer, transfer or consent to any transfer of, any or all shares of Right Common Stock held of record or beneficially owned by such Shareholder; (ii) enter into any contract, option or other agreement or understanding with respect to any transfer of any or all shares of Right Common Stock held of record or beneficially owned by such Shareholder; (iii) grant any proxy, power-of-attorney or other authorization or consent in or with respect to any or all shares of Right Common Stock held of record or beneficially owned by such Shareholder; (iv) deposit into a voting trust or enter into a voting agreement or arrangement with respect to any or all shares of Right Common Stock held of record or beneficially owned by such Shareholder; or (v) take any other action that would make any representation or warranty of such Shareholder contained in the Tender and Voting Agreement untrue or incorrect in any material respect or in any way restrict, limit or interfere in any material respect with the performance of the Shareholder's obligations under the Tender and Voting Agreement or the transactions contemplated by the Tender and Voting Agreement or the Merger Agreement.</w:t>
      </w:r>
    </w:p>
    <w:p>
      <w:pPr>
        <w:spacing w:after="0" w:line="195" w:lineRule="exact"/>
        <w:rPr>
          <w:sz w:val="20"/>
          <w:szCs w:val="20"/>
          <w:color w:val="auto"/>
        </w:rPr>
      </w:pPr>
    </w:p>
    <w:p>
      <w:pPr>
        <w:ind w:right="160" w:firstLine="972"/>
        <w:spacing w:after="0" w:line="219" w:lineRule="auto"/>
        <w:rPr>
          <w:sz w:val="20"/>
          <w:szCs w:val="20"/>
          <w:color w:val="auto"/>
        </w:rPr>
      </w:pPr>
      <w:r>
        <w:rPr>
          <w:rFonts w:ascii="Arial" w:cs="Arial" w:eastAsia="Arial" w:hAnsi="Arial"/>
          <w:sz w:val="18"/>
          <w:szCs w:val="18"/>
          <w:color w:val="auto"/>
        </w:rPr>
        <w:t>Each Shareholder has agreed that such Shareholder will not, directly or indirectly, encourage, solicit, initiate or participate in any way in any discussions or negotiations with, or provide information or otherwise take any action to assist or facilitate, any person concerning any Acquisition Proposal, as defined in the Merger Agreement. Each Shareholder also agreed to use all reasonable efforts to consummate and make effective the transactions contemplated by the Tender and Voting Agreement.</w:t>
      </w:r>
    </w:p>
    <w:p>
      <w:pPr>
        <w:spacing w:after="0" w:line="163" w:lineRule="exact"/>
        <w:rPr>
          <w:sz w:val="20"/>
          <w:szCs w:val="20"/>
          <w:color w:val="auto"/>
        </w:rPr>
      </w:pPr>
    </w:p>
    <w:p>
      <w:pPr>
        <w:ind w:right="580" w:firstLine="648"/>
        <w:spacing w:after="0" w:line="235" w:lineRule="auto"/>
        <w:rPr>
          <w:sz w:val="20"/>
          <w:szCs w:val="20"/>
          <w:color w:val="auto"/>
        </w:rPr>
      </w:pPr>
      <w:r>
        <w:rPr>
          <w:rFonts w:ascii="Arial" w:cs="Arial" w:eastAsia="Arial" w:hAnsi="Arial"/>
          <w:sz w:val="18"/>
          <w:szCs w:val="18"/>
          <w:color w:val="auto"/>
        </w:rPr>
        <w:t>The Tender and Voting Agreement with respect to each Shareholder will terminate upon the earliest of the effective time of the Merger or the termination of the Merger Agreement.</w:t>
      </w:r>
    </w:p>
    <w:p>
      <w:pPr>
        <w:spacing w:after="0" w:line="16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SC 13D</w:t>
      </w:r>
    </w:p>
    <w:p>
      <w:pPr>
        <w:spacing w:after="0" w:line="29" w:lineRule="exact"/>
        <w:rPr>
          <w:sz w:val="20"/>
          <w:szCs w:val="20"/>
          <w:color w:val="auto"/>
        </w:rPr>
      </w:pPr>
    </w:p>
    <w:tbl>
      <w:tblPr>
        <w:tblLayout w:type="fixed"/>
        <w:tblInd w:w="50" w:type="dxa"/>
        <w:tblCellMar>
          <w:top w:w="0" w:type="dxa"/>
          <w:left w:w="0" w:type="dxa"/>
          <w:bottom w:w="0" w:type="dxa"/>
          <w:right w:w="0" w:type="dxa"/>
        </w:tblCellMar>
      </w:tblPr>
      <w:tr>
        <w:trPr>
          <w:trHeight w:val="305"/>
        </w:trPr>
        <w:tc>
          <w:tcPr>
            <w:tcW w:w="2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CUSIP No. </w:t>
            </w:r>
            <w:r>
              <w:rPr>
                <w:rFonts w:ascii="Arial" w:cs="Arial" w:eastAsia="Arial" w:hAnsi="Arial"/>
                <w:sz w:val="17"/>
                <w:szCs w:val="17"/>
                <w:color w:val="auto"/>
              </w:rPr>
              <w:t>766573109</w:t>
            </w:r>
          </w:p>
        </w:tc>
        <w:tc>
          <w:tcPr>
            <w:tcW w:w="60" w:type="dxa"/>
            <w:vAlign w:val="bottom"/>
            <w:tcBorders>
              <w:right w:val="single" w:sz="8" w:color="auto"/>
            </w:tcBorders>
          </w:tcPr>
          <w:p>
            <w:pPr>
              <w:spacing w:after="0"/>
              <w:rPr>
                <w:sz w:val="24"/>
                <w:szCs w:val="24"/>
                <w:color w:val="auto"/>
              </w:rPr>
            </w:pPr>
          </w:p>
        </w:tc>
        <w:tc>
          <w:tcPr>
            <w:tcW w:w="556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4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Page 5 of 7 Pages</w:t>
            </w:r>
          </w:p>
        </w:tc>
      </w:tr>
      <w:tr>
        <w:trPr>
          <w:trHeight w:val="66"/>
        </w:trPr>
        <w:tc>
          <w:tcPr>
            <w:tcW w:w="2220" w:type="dxa"/>
            <w:vAlign w:val="bottom"/>
            <w:tcBorders>
              <w:left w:val="single" w:sz="8" w:color="auto"/>
              <w:bottom w:val="single" w:sz="8" w:color="auto"/>
              <w:right w:val="single" w:sz="8" w:color="auto"/>
            </w:tcBorders>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5560" w:type="dxa"/>
            <w:vAlign w:val="bottom"/>
            <w:tcBorders>
              <w:right w:val="single" w:sz="8" w:color="auto"/>
            </w:tcBorders>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15" w:lineRule="exact"/>
        <w:rPr>
          <w:sz w:val="20"/>
          <w:szCs w:val="20"/>
          <w:color w:val="auto"/>
        </w:rPr>
      </w:pPr>
    </w:p>
    <w:p>
      <w:pPr>
        <w:ind w:right="280" w:firstLine="8"/>
        <w:spacing w:after="0" w:line="249" w:lineRule="auto"/>
        <w:tabs>
          <w:tab w:leader="none" w:pos="972"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the Appointment Time, Manpower will be entitled to designate the number of directors, rounded up to the next whole number, on Right's board of directors that equals: (i) the total number of directors on Right's board of directors (after giving effect to the election of any additional directors pursuant to the terms of the Merger Agreement), multiplied by (ii) the percentage that the number of shares of Right Common Stock owned by Manpower (including shares of Right Common Stock accepted for payment) bears to the total number of shares of Right Common Stock outstanding.</w:t>
      </w:r>
    </w:p>
    <w:p>
      <w:pPr>
        <w:spacing w:after="0" w:line="128" w:lineRule="exact"/>
        <w:rPr>
          <w:sz w:val="20"/>
          <w:szCs w:val="20"/>
          <w:color w:val="auto"/>
        </w:rPr>
      </w:pPr>
    </w:p>
    <w:p>
      <w:pPr>
        <w:ind w:right="40" w:firstLine="972"/>
        <w:spacing w:after="0" w:line="223" w:lineRule="auto"/>
        <w:rPr>
          <w:sz w:val="20"/>
          <w:szCs w:val="20"/>
          <w:color w:val="auto"/>
        </w:rPr>
      </w:pPr>
      <w:r>
        <w:rPr>
          <w:rFonts w:ascii="Arial" w:cs="Arial" w:eastAsia="Arial" w:hAnsi="Arial"/>
          <w:sz w:val="17"/>
          <w:szCs w:val="17"/>
          <w:color w:val="auto"/>
        </w:rPr>
        <w:t>According to the terms of the Merger Agreement, Right has agreed to take all action reasonably necessary to cause Manpower's designees to be elected or appointed to Right's board of directors, including, at Manpower's option, increasing the number of directors, or seeking and accepting resignations of incumbent directors, or both. Until the completion of the Merger, Right's board of directors is required to include at least two members (the "Continuing Directors") who were directors of Right prior to the completion of the Offer. If, at any time prior to the completion of the Merger, the number of Continuing Directors is reduced to fewer than two for any reason, the remaining and departing Continuing Directors will be entitled to designate a person to fill the vacancy. The directors designated to fill such a vacancy will be deemed to be Cont inuing Directors or, if no Continuing Directors remain, the other directors will designate two persons to fill such vacancies who are not officers or affiliates of Manpower or any of its subsidiaries, and those persons will be deemed to be Continuing Directors for purposes of the Merger Agreement.</w:t>
      </w:r>
    </w:p>
    <w:p>
      <w:pPr>
        <w:spacing w:after="0" w:line="127" w:lineRule="exact"/>
        <w:rPr>
          <w:sz w:val="20"/>
          <w:szCs w:val="20"/>
          <w:color w:val="auto"/>
        </w:rPr>
      </w:pPr>
    </w:p>
    <w:p>
      <w:pPr>
        <w:ind w:left="980" w:hanging="972"/>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None, other than the change in the number of outstanding shares of Right Common Stock as contemplated by the Merger Agreement.</w:t>
      </w:r>
    </w:p>
    <w:p>
      <w:pPr>
        <w:spacing w:after="0" w:line="155" w:lineRule="exact"/>
        <w:rPr>
          <w:rFonts w:ascii="Arial" w:cs="Arial" w:eastAsia="Arial" w:hAnsi="Arial"/>
          <w:sz w:val="17"/>
          <w:szCs w:val="17"/>
          <w:color w:val="auto"/>
        </w:rPr>
      </w:pPr>
    </w:p>
    <w:p>
      <w:pPr>
        <w:ind w:left="980" w:hanging="97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44" w:lineRule="exact"/>
        <w:rPr>
          <w:rFonts w:ascii="Arial" w:cs="Arial" w:eastAsia="Arial" w:hAnsi="Arial"/>
          <w:sz w:val="18"/>
          <w:szCs w:val="18"/>
          <w:color w:val="auto"/>
        </w:rPr>
      </w:pPr>
    </w:p>
    <w:p>
      <w:pPr>
        <w:ind w:firstLine="8"/>
        <w:spacing w:after="0" w:line="235" w:lineRule="auto"/>
        <w:tabs>
          <w:tab w:leader="none" w:pos="9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Merger is consummated as planned, the certificate of incorporation and by-laws of Hoosier shall be the certificate of incorporation and by-laws of the surviving corporation resulting from the Merger.</w:t>
      </w:r>
    </w:p>
    <w:p>
      <w:pPr>
        <w:spacing w:after="0" w:line="121" w:lineRule="exact"/>
        <w:rPr>
          <w:sz w:val="20"/>
          <w:szCs w:val="20"/>
          <w:color w:val="auto"/>
        </w:rPr>
      </w:pPr>
    </w:p>
    <w:p>
      <w:pPr>
        <w:jc w:val="both"/>
        <w:ind w:right="200"/>
        <w:spacing w:after="0" w:line="224" w:lineRule="auto"/>
        <w:rPr>
          <w:sz w:val="20"/>
          <w:szCs w:val="20"/>
          <w:color w:val="auto"/>
        </w:rPr>
      </w:pPr>
      <w:r>
        <w:rPr>
          <w:rFonts w:ascii="Arial" w:cs="Arial" w:eastAsia="Arial" w:hAnsi="Arial"/>
          <w:sz w:val="18"/>
          <w:szCs w:val="18"/>
          <w:color w:val="auto"/>
        </w:rPr>
        <w:t>(h)-(i) Upon consummation of the transactions contemplated by the Merger Agreement, the shares of Right Common Stock will cease to be listed on the New York Stock Exchange, and they will become eligible for termination of registration pursuant to Section 12(g)(4) of the Securities Exchange Act of 1934 (the "Exchange Act").</w:t>
      </w:r>
    </w:p>
    <w:p>
      <w:pPr>
        <w:spacing w:after="0" w:line="123" w:lineRule="exact"/>
        <w:rPr>
          <w:sz w:val="20"/>
          <w:szCs w:val="20"/>
          <w:color w:val="auto"/>
        </w:rPr>
      </w:pPr>
    </w:p>
    <w:p>
      <w:pPr>
        <w:ind w:right="280" w:firstLine="8"/>
        <w:spacing w:after="0" w:line="235" w:lineRule="auto"/>
        <w:tabs>
          <w:tab w:leader="none" w:pos="9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than as described above, Manpower currently has no plan or proposal that relates to, or may result in, any of the matters listed in Items 4(a)-(i) of this Schedule 13D (although Manpower reserves the right to develop such plans).</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75"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(a)-(b) Prior to December 10, 2003, Manpower, and to Manpower's knowledge, each of the persons listed on Schedule I, was not the beneficial owner (as defined in Exchange Act Rule 13d-3) of any shares of Right Common Stock. By reason of the Tender and Voting Agreement (described in Item 4),</w:t>
      </w:r>
    </w:p>
    <w:p>
      <w:pPr>
        <w:sectPr>
          <w:pgSz w:w="11900" w:h="16853" w:orient="portrait"/>
          <w:cols w:equalWidth="0" w:num="1">
            <w:col w:w="11400"/>
          </w:cols>
          <w:pgMar w:left="240" w:top="387" w:right="259" w:bottom="0" w:gutter="0" w:footer="0" w:header="0"/>
        </w:sectPr>
      </w:pPr>
    </w:p>
    <w:bookmarkStart w:id="3" w:name="page4"/>
    <w:bookmarkEnd w:id="3"/>
    <w:p>
      <w:pPr>
        <w:ind w:right="100"/>
        <w:spacing w:after="0" w:line="225" w:lineRule="auto"/>
        <w:rPr>
          <w:sz w:val="20"/>
          <w:szCs w:val="20"/>
          <w:color w:val="auto"/>
        </w:rPr>
      </w:pPr>
      <w:r>
        <w:rPr>
          <w:rFonts w:ascii="Arial" w:cs="Arial" w:eastAsia="Arial" w:hAnsi="Arial"/>
          <w:sz w:val="17"/>
          <w:szCs w:val="17"/>
          <w:color w:val="auto"/>
        </w:rPr>
        <w:t>Manpower may be deemed to be the beneficial owner of 1,640,012 shares under the Tender and Voting Agreement described in Item 4 (which excludes 4,178,818 shares of common stock subject to options held by the Shareholders), representing approximately 7.2% of Right Common Stock, based on the number of shares outstanding as of December 9, 2003, as represented by Right in the Merger Agreement. Other than with respect to the voting and dispositive rights granted to Manpower pursuant to the Tender and Voting Agreement, Manpower does not have the right to vote the Shareholder Shares on any other matter matters or to dispose of the Shareholder Shares. Manpower hereby expressly disclaims beneficial ownership of any shares of Right Common Stock covered by the Tender and Voting Agreement. Except as described in this Schedule 13D, neither Manpower nor, to Manpower's knowledge, any of the persons listed in Schedule I, beneficially owns any shares of Right Common Stock.</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SC 13D</w:t>
      </w:r>
    </w:p>
    <w:p>
      <w:pPr>
        <w:spacing w:after="0" w:line="29" w:lineRule="exact"/>
        <w:rPr>
          <w:sz w:val="20"/>
          <w:szCs w:val="20"/>
          <w:color w:val="auto"/>
        </w:rPr>
      </w:pPr>
    </w:p>
    <w:tbl>
      <w:tblPr>
        <w:tblLayout w:type="fixed"/>
        <w:tblInd w:w="50" w:type="dxa"/>
        <w:tblCellMar>
          <w:top w:w="0" w:type="dxa"/>
          <w:left w:w="0" w:type="dxa"/>
          <w:bottom w:w="0" w:type="dxa"/>
          <w:right w:w="0" w:type="dxa"/>
        </w:tblCellMar>
      </w:tblPr>
      <w:tr>
        <w:trPr>
          <w:trHeight w:val="305"/>
        </w:trPr>
        <w:tc>
          <w:tcPr>
            <w:tcW w:w="22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CUSIP No. </w:t>
            </w:r>
            <w:r>
              <w:rPr>
                <w:rFonts w:ascii="Arial" w:cs="Arial" w:eastAsia="Arial" w:hAnsi="Arial"/>
                <w:sz w:val="17"/>
                <w:szCs w:val="17"/>
                <w:color w:val="auto"/>
              </w:rPr>
              <w:t>766573109</w:t>
            </w:r>
          </w:p>
        </w:tc>
        <w:tc>
          <w:tcPr>
            <w:tcW w:w="60" w:type="dxa"/>
            <w:vAlign w:val="bottom"/>
            <w:tcBorders>
              <w:right w:val="single" w:sz="8" w:color="auto"/>
            </w:tcBorders>
          </w:tcPr>
          <w:p>
            <w:pPr>
              <w:spacing w:after="0"/>
              <w:rPr>
                <w:sz w:val="24"/>
                <w:szCs w:val="24"/>
                <w:color w:val="auto"/>
              </w:rPr>
            </w:pPr>
          </w:p>
        </w:tc>
        <w:tc>
          <w:tcPr>
            <w:tcW w:w="556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4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Page 6 of 7 Pages</w:t>
            </w:r>
          </w:p>
        </w:tc>
      </w:tr>
      <w:tr>
        <w:trPr>
          <w:trHeight w:val="66"/>
        </w:trPr>
        <w:tc>
          <w:tcPr>
            <w:tcW w:w="2220" w:type="dxa"/>
            <w:vAlign w:val="bottom"/>
            <w:tcBorders>
              <w:left w:val="single" w:sz="8" w:color="auto"/>
              <w:bottom w:val="single" w:sz="8" w:color="auto"/>
              <w:right w:val="single" w:sz="8" w:color="auto"/>
            </w:tcBorders>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5560" w:type="dxa"/>
            <w:vAlign w:val="bottom"/>
            <w:tcBorders>
              <w:right w:val="single" w:sz="8" w:color="auto"/>
            </w:tcBorders>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28" w:lineRule="exact"/>
        <w:rPr>
          <w:sz w:val="20"/>
          <w:szCs w:val="20"/>
          <w:color w:val="auto"/>
        </w:rPr>
      </w:pPr>
    </w:p>
    <w:p>
      <w:pPr>
        <w:ind w:right="380" w:firstLine="8"/>
        <w:spacing w:after="0" w:line="235" w:lineRule="auto"/>
        <w:tabs>
          <w:tab w:leader="none" w:pos="9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set forth in this Schedule 13D, neither Manpower nor, to the Manpower's knowledge, any of the persons listed on Schedule I, has effected any transactions in Right Common Stock during the past 60 days.</w:t>
      </w:r>
    </w:p>
    <w:p>
      <w:pPr>
        <w:spacing w:after="0" w:line="148" w:lineRule="exact"/>
        <w:rPr>
          <w:rFonts w:ascii="Arial" w:cs="Arial" w:eastAsia="Arial" w:hAnsi="Arial"/>
          <w:sz w:val="18"/>
          <w:szCs w:val="18"/>
          <w:color w:val="auto"/>
        </w:rPr>
      </w:pPr>
    </w:p>
    <w:p>
      <w:pPr>
        <w:ind w:firstLine="8"/>
        <w:spacing w:after="0" w:line="258" w:lineRule="auto"/>
        <w:tabs>
          <w:tab w:leader="none" w:pos="972"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Except as set forth in this Schedule 13D, neither Manpower nor, to Manpower's knowledge, any of the persons listed on Schedule I, has the right to receive or the power to direct the receipt of dividends from, or the proceeds of any sale of, securities covered by this Schedule 13D.</w:t>
      </w:r>
    </w:p>
    <w:p>
      <w:pPr>
        <w:spacing w:after="0" w:line="146" w:lineRule="exact"/>
        <w:rPr>
          <w:rFonts w:ascii="Arial" w:cs="Arial" w:eastAsia="Arial" w:hAnsi="Arial"/>
          <w:sz w:val="17"/>
          <w:szCs w:val="17"/>
          <w:color w:val="auto"/>
        </w:rPr>
      </w:pPr>
    </w:p>
    <w:p>
      <w:pPr>
        <w:ind w:left="980" w:hanging="97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8" w:lineRule="exact"/>
        <w:rPr>
          <w:sz w:val="20"/>
          <w:szCs w:val="20"/>
          <w:color w:val="auto"/>
        </w:rPr>
      </w:pPr>
    </w:p>
    <w:p>
      <w:pPr>
        <w:ind w:left="980" w:right="3820" w:hanging="971"/>
        <w:spacing w:after="0" w:line="237" w:lineRule="auto"/>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Contracts, Arrangements, Understandings or Relationships with Respect to Securities of the Issuer</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information contained in Item 3 and Item 4 is incorporated herein by reference.</w:t>
      </w:r>
    </w:p>
    <w:p>
      <w:pPr>
        <w:spacing w:after="0" w:line="185" w:lineRule="exact"/>
        <w:rPr>
          <w:sz w:val="20"/>
          <w:szCs w:val="20"/>
          <w:color w:val="auto"/>
        </w:rPr>
      </w:pPr>
    </w:p>
    <w:p>
      <w:pPr>
        <w:ind w:right="60" w:firstLine="810"/>
        <w:spacing w:after="0" w:line="289" w:lineRule="auto"/>
        <w:rPr>
          <w:sz w:val="20"/>
          <w:szCs w:val="20"/>
          <w:color w:val="auto"/>
        </w:rPr>
      </w:pPr>
      <w:r>
        <w:rPr>
          <w:rFonts w:ascii="Arial" w:cs="Arial" w:eastAsia="Arial" w:hAnsi="Arial"/>
          <w:sz w:val="16"/>
          <w:szCs w:val="16"/>
          <w:color w:val="auto"/>
        </w:rPr>
        <w:t>Except as disclosed in this Schedule 13D or as set forth in or contemplated by the Merger Agreement and the Tender and Voting Agreement, there are no contracts, understandings or relationships between Manpower and any third person with respect to the shares of Right Common Stock.</w:t>
      </w:r>
    </w:p>
    <w:p>
      <w:pPr>
        <w:spacing w:after="0" w:line="1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00" w:lineRule="exact"/>
        <w:rPr>
          <w:sz w:val="20"/>
          <w:szCs w:val="20"/>
          <w:color w:val="auto"/>
        </w:rPr>
      </w:pPr>
    </w:p>
    <w:p>
      <w:pPr>
        <w:spacing w:after="0" w:line="215" w:lineRule="exact"/>
        <w:rPr>
          <w:sz w:val="20"/>
          <w:szCs w:val="20"/>
          <w:color w:val="auto"/>
        </w:rPr>
      </w:pPr>
    </w:p>
    <w:tbl>
      <w:tblPr>
        <w:tblLayout w:type="fixed"/>
        <w:tblInd w:w="5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Exhibit No</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5060" w:type="dxa"/>
            <w:vAlign w:val="bottom"/>
            <w:gridSpan w:val="3"/>
          </w:tcPr>
          <w:p>
            <w:pPr>
              <w:spacing w:after="0"/>
              <w:rPr>
                <w:sz w:val="18"/>
                <w:szCs w:val="18"/>
                <w:color w:val="auto"/>
              </w:rPr>
            </w:pPr>
          </w:p>
        </w:tc>
      </w:tr>
      <w:tr>
        <w:trPr>
          <w:trHeight w:val="439"/>
        </w:trPr>
        <w:tc>
          <w:tcPr>
            <w:tcW w:w="920" w:type="dxa"/>
            <w:vAlign w:val="bottom"/>
            <w:gridSpan w:val="2"/>
          </w:tcPr>
          <w:p>
            <w:pPr>
              <w:ind w:left="120"/>
              <w:spacing w:after="0"/>
              <w:rPr>
                <w:sz w:val="20"/>
                <w:szCs w:val="20"/>
                <w:color w:val="auto"/>
              </w:rPr>
            </w:pPr>
            <w:r>
              <w:rPr>
                <w:rFonts w:ascii="Arial" w:cs="Arial" w:eastAsia="Arial" w:hAnsi="Arial"/>
                <w:sz w:val="18"/>
                <w:szCs w:val="18"/>
                <w:color w:val="auto"/>
              </w:rPr>
              <w:t>99.1</w:t>
            </w:r>
          </w:p>
        </w:tc>
        <w:tc>
          <w:tcPr>
            <w:tcW w:w="820" w:type="dxa"/>
            <w:vAlign w:val="bottom"/>
          </w:tcPr>
          <w:p>
            <w:pPr>
              <w:spacing w:after="0"/>
              <w:rPr>
                <w:sz w:val="24"/>
                <w:szCs w:val="24"/>
                <w:color w:val="auto"/>
              </w:rPr>
            </w:pPr>
          </w:p>
        </w:tc>
        <w:tc>
          <w:tcPr>
            <w:tcW w:w="8580" w:type="dxa"/>
            <w:vAlign w:val="bottom"/>
            <w:gridSpan w:val="7"/>
          </w:tcPr>
          <w:p>
            <w:pPr>
              <w:ind w:left="120"/>
              <w:spacing w:after="0"/>
              <w:rPr>
                <w:sz w:val="20"/>
                <w:szCs w:val="20"/>
                <w:color w:val="auto"/>
              </w:rPr>
            </w:pPr>
            <w:r>
              <w:rPr>
                <w:rFonts w:ascii="Arial" w:cs="Arial" w:eastAsia="Arial" w:hAnsi="Arial"/>
                <w:sz w:val="18"/>
                <w:szCs w:val="18"/>
                <w:color w:val="auto"/>
              </w:rPr>
              <w:t>Agreement and Plan of Merger among Right Management Consultants, Inc.,</w:t>
            </w:r>
          </w:p>
        </w:tc>
      </w:tr>
      <w:tr>
        <w:trPr>
          <w:trHeight w:val="176"/>
        </w:trPr>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580" w:type="dxa"/>
            <w:vAlign w:val="bottom"/>
            <w:gridSpan w:val="7"/>
          </w:tcPr>
          <w:p>
            <w:pPr>
              <w:ind w:left="120"/>
              <w:spacing w:after="0" w:line="176" w:lineRule="exact"/>
              <w:rPr>
                <w:sz w:val="20"/>
                <w:szCs w:val="20"/>
                <w:color w:val="auto"/>
              </w:rPr>
            </w:pPr>
            <w:r>
              <w:rPr>
                <w:rFonts w:ascii="Arial" w:cs="Arial" w:eastAsia="Arial" w:hAnsi="Arial"/>
                <w:sz w:val="18"/>
                <w:szCs w:val="18"/>
                <w:color w:val="auto"/>
              </w:rPr>
              <w:t>Manpower Inc. and Hoosier Acquisition Corp. dated as of December 10, 2003,</w:t>
            </w:r>
          </w:p>
        </w:tc>
      </w:tr>
      <w:tr>
        <w:trPr>
          <w:trHeight w:val="176"/>
        </w:trPr>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580" w:type="dxa"/>
            <w:vAlign w:val="bottom"/>
            <w:gridSpan w:val="7"/>
          </w:tcPr>
          <w:p>
            <w:pPr>
              <w:ind w:left="120"/>
              <w:spacing w:after="0" w:line="176" w:lineRule="exact"/>
              <w:rPr>
                <w:sz w:val="20"/>
                <w:szCs w:val="20"/>
                <w:color w:val="auto"/>
              </w:rPr>
            </w:pPr>
            <w:r>
              <w:rPr>
                <w:rFonts w:ascii="Arial" w:cs="Arial" w:eastAsia="Arial" w:hAnsi="Arial"/>
                <w:sz w:val="18"/>
                <w:szCs w:val="18"/>
                <w:color w:val="auto"/>
              </w:rPr>
              <w:t>incorporated by reference to Manpower's Current Report on Form 8-K dated</w:t>
            </w:r>
          </w:p>
        </w:tc>
      </w:tr>
      <w:tr>
        <w:trPr>
          <w:trHeight w:val="230"/>
        </w:trPr>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580" w:type="dxa"/>
            <w:vAlign w:val="bottom"/>
            <w:gridSpan w:val="7"/>
          </w:tcPr>
          <w:p>
            <w:pPr>
              <w:ind w:left="120"/>
              <w:spacing w:after="0"/>
              <w:rPr>
                <w:sz w:val="20"/>
                <w:szCs w:val="20"/>
                <w:color w:val="auto"/>
              </w:rPr>
            </w:pPr>
            <w:r>
              <w:rPr>
                <w:rFonts w:ascii="Arial" w:cs="Arial" w:eastAsia="Arial" w:hAnsi="Arial"/>
                <w:sz w:val="18"/>
                <w:szCs w:val="18"/>
                <w:color w:val="auto"/>
              </w:rPr>
              <w:t>December 12, 2003</w:t>
            </w:r>
          </w:p>
        </w:tc>
      </w:tr>
      <w:tr>
        <w:trPr>
          <w:trHeight w:val="418"/>
        </w:trPr>
        <w:tc>
          <w:tcPr>
            <w:tcW w:w="920" w:type="dxa"/>
            <w:vAlign w:val="bottom"/>
            <w:gridSpan w:val="2"/>
          </w:tcPr>
          <w:p>
            <w:pPr>
              <w:ind w:left="120"/>
              <w:spacing w:after="0"/>
              <w:rPr>
                <w:sz w:val="20"/>
                <w:szCs w:val="20"/>
                <w:color w:val="auto"/>
              </w:rPr>
            </w:pPr>
            <w:r>
              <w:rPr>
                <w:rFonts w:ascii="Arial" w:cs="Arial" w:eastAsia="Arial" w:hAnsi="Arial"/>
                <w:sz w:val="18"/>
                <w:szCs w:val="18"/>
                <w:color w:val="auto"/>
              </w:rPr>
              <w:t>99.2</w:t>
            </w:r>
          </w:p>
        </w:tc>
        <w:tc>
          <w:tcPr>
            <w:tcW w:w="820" w:type="dxa"/>
            <w:vAlign w:val="bottom"/>
          </w:tcPr>
          <w:p>
            <w:pPr>
              <w:spacing w:after="0"/>
              <w:rPr>
                <w:sz w:val="24"/>
                <w:szCs w:val="24"/>
                <w:color w:val="auto"/>
              </w:rPr>
            </w:pPr>
          </w:p>
        </w:tc>
        <w:tc>
          <w:tcPr>
            <w:tcW w:w="8580" w:type="dxa"/>
            <w:vAlign w:val="bottom"/>
            <w:gridSpan w:val="7"/>
          </w:tcPr>
          <w:p>
            <w:pPr>
              <w:ind w:left="120"/>
              <w:spacing w:after="0"/>
              <w:rPr>
                <w:sz w:val="20"/>
                <w:szCs w:val="20"/>
                <w:color w:val="auto"/>
              </w:rPr>
            </w:pPr>
            <w:r>
              <w:rPr>
                <w:rFonts w:ascii="Arial" w:cs="Arial" w:eastAsia="Arial" w:hAnsi="Arial"/>
                <w:sz w:val="18"/>
                <w:szCs w:val="18"/>
                <w:color w:val="auto"/>
              </w:rPr>
              <w:t>Tender and Voting Agreement dated as of December 10, 2003 between Manpower</w:t>
            </w:r>
          </w:p>
        </w:tc>
      </w:tr>
      <w:tr>
        <w:trPr>
          <w:trHeight w:val="176"/>
        </w:trPr>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580" w:type="dxa"/>
            <w:vAlign w:val="bottom"/>
            <w:gridSpan w:val="7"/>
          </w:tcPr>
          <w:p>
            <w:pPr>
              <w:ind w:left="120"/>
              <w:spacing w:after="0" w:line="176" w:lineRule="exact"/>
              <w:rPr>
                <w:sz w:val="20"/>
                <w:szCs w:val="20"/>
                <w:color w:val="auto"/>
              </w:rPr>
            </w:pPr>
            <w:r>
              <w:rPr>
                <w:rFonts w:ascii="Arial" w:cs="Arial" w:eastAsia="Arial" w:hAnsi="Arial"/>
                <w:sz w:val="18"/>
                <w:szCs w:val="18"/>
                <w:color w:val="auto"/>
              </w:rPr>
              <w:t>Inc. and each of the shareholders listed on Schedule I thereto, incorporated by</w:t>
            </w:r>
          </w:p>
        </w:tc>
      </w:tr>
      <w:tr>
        <w:trPr>
          <w:trHeight w:val="230"/>
        </w:trPr>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580" w:type="dxa"/>
            <w:vAlign w:val="bottom"/>
            <w:gridSpan w:val="7"/>
          </w:tcPr>
          <w:p>
            <w:pPr>
              <w:ind w:left="120"/>
              <w:spacing w:after="0"/>
              <w:rPr>
                <w:sz w:val="20"/>
                <w:szCs w:val="20"/>
                <w:color w:val="auto"/>
              </w:rPr>
            </w:pPr>
            <w:r>
              <w:rPr>
                <w:rFonts w:ascii="Arial" w:cs="Arial" w:eastAsia="Arial" w:hAnsi="Arial"/>
                <w:sz w:val="18"/>
                <w:szCs w:val="18"/>
                <w:color w:val="auto"/>
              </w:rPr>
              <w:t>reference to Manpower's Current Report on Form 8-K dated December 12, 2003</w:t>
            </w:r>
          </w:p>
        </w:tc>
      </w:tr>
      <w:tr>
        <w:trPr>
          <w:trHeight w:val="509"/>
        </w:trPr>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r>
        <w:trPr>
          <w:trHeight w:val="305"/>
        </w:trPr>
        <w:tc>
          <w:tcPr>
            <w:tcW w:w="120" w:type="dxa"/>
            <w:vAlign w:val="bottom"/>
            <w:tcBorders>
              <w:left w:val="single" w:sz="8" w:color="auto"/>
            </w:tcBorders>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 xml:space="preserve">CUSIP No. </w:t>
            </w:r>
            <w:r>
              <w:rPr>
                <w:rFonts w:ascii="Arial" w:cs="Arial" w:eastAsia="Arial" w:hAnsi="Arial"/>
                <w:sz w:val="17"/>
                <w:szCs w:val="17"/>
                <w:color w:val="auto"/>
                <w:w w:val="99"/>
              </w:rPr>
              <w:t>766573109</w:t>
            </w:r>
          </w:p>
        </w:tc>
        <w:tc>
          <w:tcPr>
            <w:tcW w:w="48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440" w:type="dxa"/>
            <w:vAlign w:val="bottom"/>
            <w:tcBorders>
              <w:right w:val="single" w:sz="8" w:color="auto"/>
            </w:tcBorders>
          </w:tcPr>
          <w:p>
            <w:pPr>
              <w:ind w:left="120"/>
              <w:spacing w:after="0"/>
              <w:rPr>
                <w:sz w:val="20"/>
                <w:szCs w:val="20"/>
                <w:color w:val="auto"/>
              </w:rPr>
            </w:pPr>
            <w:r>
              <w:rPr>
                <w:rFonts w:ascii="Arial" w:cs="Arial" w:eastAsia="Arial" w:hAnsi="Arial"/>
                <w:sz w:val="14"/>
                <w:szCs w:val="14"/>
                <w:b w:val="1"/>
                <w:bCs w:val="1"/>
                <w:color w:val="auto"/>
              </w:rPr>
              <w:t>Page 7 of 7 Pages</w:t>
            </w:r>
          </w:p>
        </w:tc>
      </w:tr>
      <w:tr>
        <w:trPr>
          <w:trHeight w:val="66"/>
        </w:trPr>
        <w:tc>
          <w:tcPr>
            <w:tcW w:w="120" w:type="dxa"/>
            <w:vAlign w:val="bottom"/>
            <w:tcBorders>
              <w:left w:val="single" w:sz="8" w:color="auto"/>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r>
    </w:tbl>
    <w:p>
      <w:pPr>
        <w:spacing w:after="0" w:line="20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MANPOWER INC.</w:t>
            </w:r>
          </w:p>
        </w:tc>
      </w:tr>
      <w:tr>
        <w:trPr>
          <w:trHeight w:val="783"/>
        </w:trPr>
        <w:tc>
          <w:tcPr>
            <w:tcW w:w="2360" w:type="dxa"/>
            <w:vAlign w:val="bottom"/>
          </w:tcPr>
          <w:p>
            <w:pPr>
              <w:spacing w:after="0"/>
              <w:rPr>
                <w:sz w:val="20"/>
                <w:szCs w:val="20"/>
                <w:color w:val="auto"/>
              </w:rPr>
            </w:pPr>
            <w:r>
              <w:rPr>
                <w:rFonts w:ascii="Arial" w:cs="Arial" w:eastAsia="Arial" w:hAnsi="Arial"/>
                <w:sz w:val="18"/>
                <w:szCs w:val="18"/>
                <w:color w:val="auto"/>
              </w:rPr>
              <w:t>Dated: December 22, 2003</w:t>
            </w:r>
          </w:p>
        </w:tc>
        <w:tc>
          <w:tcPr>
            <w:tcW w:w="15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 Michael J. Van Handel</w:t>
            </w:r>
          </w:p>
        </w:tc>
      </w:tr>
      <w:tr>
        <w:trPr>
          <w:trHeight w:val="142"/>
        </w:trPr>
        <w:tc>
          <w:tcPr>
            <w:tcW w:w="2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6"/>
                <w:szCs w:val="16"/>
                <w:color w:val="auto"/>
              </w:rPr>
              <w:t>Michael J. Van Handel</w:t>
            </w:r>
          </w:p>
        </w:tc>
        <w:tc>
          <w:tcPr>
            <w:tcW w:w="1580" w:type="dxa"/>
            <w:vAlign w:val="bottom"/>
          </w:tcPr>
          <w:p>
            <w:pPr>
              <w:spacing w:after="0"/>
              <w:rPr>
                <w:sz w:val="12"/>
                <w:szCs w:val="12"/>
                <w:color w:val="auto"/>
              </w:rPr>
            </w:pPr>
          </w:p>
        </w:tc>
      </w:tr>
      <w:tr>
        <w:trPr>
          <w:trHeight w:val="230"/>
        </w:trPr>
        <w:tc>
          <w:tcPr>
            <w:tcW w:w="2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w w:val="91"/>
              </w:rPr>
              <w:t>Executive Vice President, Chief Financial Officer and Secretary</w:t>
            </w:r>
          </w:p>
        </w:tc>
      </w:tr>
      <w:tr>
        <w:trPr>
          <w:trHeight w:val="1039"/>
        </w:trPr>
        <w:tc>
          <w:tcPr>
            <w:tcW w:w="2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780" w:type="dxa"/>
            <w:vAlign w:val="bottom"/>
            <w:gridSpan w:val="2"/>
          </w:tcPr>
          <w:p>
            <w:pPr>
              <w:jc w:val="center"/>
              <w:ind w:right="1140"/>
              <w:spacing w:after="0"/>
              <w:rPr>
                <w:sz w:val="20"/>
                <w:szCs w:val="20"/>
                <w:color w:val="auto"/>
              </w:rPr>
            </w:pPr>
            <w:r>
              <w:rPr>
                <w:rFonts w:ascii="Arial" w:cs="Arial" w:eastAsia="Arial" w:hAnsi="Arial"/>
                <w:sz w:val="18"/>
                <w:szCs w:val="18"/>
                <w:color w:val="auto"/>
                <w:w w:val="96"/>
              </w:rPr>
              <w:t>SCHEDULE I</w:t>
            </w:r>
          </w:p>
        </w:tc>
      </w:tr>
      <w:tr>
        <w:trPr>
          <w:trHeight w:val="338"/>
        </w:trPr>
        <w:tc>
          <w:tcPr>
            <w:tcW w:w="2360" w:type="dxa"/>
            <w:vAlign w:val="bottom"/>
          </w:tcPr>
          <w:p>
            <w:pPr>
              <w:spacing w:after="0"/>
              <w:rPr>
                <w:sz w:val="24"/>
                <w:szCs w:val="24"/>
                <w:color w:val="auto"/>
              </w:rPr>
            </w:pPr>
          </w:p>
        </w:tc>
        <w:tc>
          <w:tcPr>
            <w:tcW w:w="6320" w:type="dxa"/>
            <w:vAlign w:val="bottom"/>
            <w:gridSpan w:val="3"/>
          </w:tcPr>
          <w:p>
            <w:pPr>
              <w:jc w:val="center"/>
              <w:ind w:left="310"/>
              <w:spacing w:after="0"/>
              <w:rPr>
                <w:sz w:val="20"/>
                <w:szCs w:val="20"/>
                <w:color w:val="auto"/>
              </w:rPr>
            </w:pPr>
            <w:r>
              <w:rPr>
                <w:rFonts w:ascii="Arial" w:cs="Arial" w:eastAsia="Arial" w:hAnsi="Arial"/>
                <w:sz w:val="18"/>
                <w:szCs w:val="18"/>
                <w:color w:val="auto"/>
                <w:w w:val="96"/>
              </w:rPr>
              <w:t>INFORMATION CONCERNING DIRECTORS AND EXECUTIVE OFFICERS</w:t>
            </w:r>
          </w:p>
        </w:tc>
      </w:tr>
      <w:tr>
        <w:trPr>
          <w:trHeight w:val="176"/>
        </w:trPr>
        <w:tc>
          <w:tcPr>
            <w:tcW w:w="2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780" w:type="dxa"/>
            <w:vAlign w:val="bottom"/>
            <w:gridSpan w:val="2"/>
          </w:tcPr>
          <w:p>
            <w:pPr>
              <w:jc w:val="center"/>
              <w:ind w:right="1160"/>
              <w:spacing w:after="0" w:line="176" w:lineRule="exact"/>
              <w:rPr>
                <w:sz w:val="20"/>
                <w:szCs w:val="20"/>
                <w:color w:val="auto"/>
              </w:rPr>
            </w:pPr>
            <w:r>
              <w:rPr>
                <w:rFonts w:ascii="Arial" w:cs="Arial" w:eastAsia="Arial" w:hAnsi="Arial"/>
                <w:sz w:val="18"/>
                <w:szCs w:val="18"/>
                <w:color w:val="auto"/>
                <w:w w:val="87"/>
              </w:rPr>
              <w:t>OF</w:t>
            </w:r>
          </w:p>
        </w:tc>
      </w:tr>
      <w:tr>
        <w:trPr>
          <w:trHeight w:val="230"/>
        </w:trPr>
        <w:tc>
          <w:tcPr>
            <w:tcW w:w="2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780" w:type="dxa"/>
            <w:vAlign w:val="bottom"/>
            <w:gridSpan w:val="2"/>
          </w:tcPr>
          <w:p>
            <w:pPr>
              <w:jc w:val="center"/>
              <w:ind w:right="1160"/>
              <w:spacing w:after="0"/>
              <w:rPr>
                <w:sz w:val="20"/>
                <w:szCs w:val="20"/>
                <w:color w:val="auto"/>
              </w:rPr>
            </w:pPr>
            <w:r>
              <w:rPr>
                <w:rFonts w:ascii="Arial" w:cs="Arial" w:eastAsia="Arial" w:hAnsi="Arial"/>
                <w:sz w:val="18"/>
                <w:szCs w:val="18"/>
                <w:color w:val="auto"/>
                <w:w w:val="97"/>
              </w:rPr>
              <w:t>MANPOWER INC.</w:t>
            </w:r>
          </w:p>
        </w:tc>
      </w:tr>
    </w:tbl>
    <w:p>
      <w:pPr>
        <w:spacing w:after="0" w:line="160"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 xml:space="preserve">The following table sets forth the name, age and present principal occupation or employment, and material occupations, positions, offices or employment for the past five years, of each director and executive officer of Manpower Inc. ("Manpower"). </w:t>
      </w:r>
      <w:r>
        <w:rPr>
          <w:rFonts w:ascii="Arial" w:cs="Arial" w:eastAsia="Arial" w:hAnsi="Arial"/>
          <w:sz w:val="18"/>
          <w:szCs w:val="18"/>
          <w:b w:val="1"/>
          <w:bCs w:val="1"/>
          <w:color w:val="auto"/>
        </w:rPr>
        <w:t>Unless otherwise indicated,</w:t>
      </w:r>
      <w:r>
        <w:rPr>
          <w:rFonts w:ascii="Arial" w:cs="Arial" w:eastAsia="Arial" w:hAnsi="Arial"/>
          <w:sz w:val="18"/>
          <w:szCs w:val="18"/>
          <w:color w:val="auto"/>
        </w:rPr>
        <w:t xml:space="preserve"> the business address and telephone number of each director or executive officer is Manpower Inc., 5301 North Ironwood Road, Milwaukee, Wisconsin 53217, (414) 961-1000, which address and telephone number is Manpower's business address and telephone number.</w:t>
      </w:r>
    </w:p>
    <w:p>
      <w:pPr>
        <w:sectPr>
          <w:pgSz w:w="11900" w:h="16838" w:orient="portrait"/>
          <w:cols w:equalWidth="0" w:num="1">
            <w:col w:w="11400"/>
          </w:cols>
          <w:pgMar w:left="240" w:top="112" w:right="259" w:bottom="1440" w:gutter="0" w:footer="0" w:header="0"/>
        </w:sectPr>
      </w:pPr>
    </w:p>
    <w:bookmarkStart w:id="4" w:name="page5"/>
    <w:bookmarkEnd w:id="4"/>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120" w:type="dxa"/>
            <w:vAlign w:val="bottom"/>
            <w:gridSpan w:val="6"/>
          </w:tcPr>
          <w:p>
            <w:pPr>
              <w:jc w:val="center"/>
              <w:ind w:right="2610"/>
              <w:spacing w:after="0"/>
              <w:rPr>
                <w:sz w:val="20"/>
                <w:szCs w:val="20"/>
                <w:color w:val="auto"/>
              </w:rPr>
            </w:pPr>
            <w:r>
              <w:rPr>
                <w:rFonts w:ascii="Arial" w:cs="Arial" w:eastAsia="Arial" w:hAnsi="Arial"/>
                <w:sz w:val="18"/>
                <w:szCs w:val="18"/>
                <w:b w:val="1"/>
                <w:bCs w:val="1"/>
                <w:color w:val="auto"/>
              </w:rPr>
              <w:t>MANPOWER EXECUTIVE OFFICERS</w:t>
            </w:r>
          </w:p>
        </w:tc>
      </w:tr>
      <w:tr>
        <w:trPr>
          <w:trHeight w:val="527"/>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gridSpan w:val="5"/>
          </w:tcPr>
          <w:p>
            <w:pPr>
              <w:ind w:left="1200"/>
              <w:spacing w:after="0"/>
              <w:rPr>
                <w:sz w:val="20"/>
                <w:szCs w:val="20"/>
                <w:color w:val="auto"/>
              </w:rPr>
            </w:pPr>
            <w:r>
              <w:rPr>
                <w:rFonts w:ascii="Arial" w:cs="Arial" w:eastAsia="Arial" w:hAnsi="Arial"/>
                <w:sz w:val="18"/>
                <w:szCs w:val="18"/>
                <w:color w:val="auto"/>
              </w:rPr>
              <w:t>AGE</w:t>
            </w:r>
          </w:p>
        </w:tc>
        <w:tc>
          <w:tcPr>
            <w:tcW w:w="5100" w:type="dxa"/>
            <w:vAlign w:val="bottom"/>
          </w:tcPr>
          <w:p>
            <w:pPr>
              <w:jc w:val="center"/>
              <w:ind w:left="150"/>
              <w:spacing w:after="0"/>
              <w:rPr>
                <w:sz w:val="20"/>
                <w:szCs w:val="20"/>
                <w:color w:val="auto"/>
              </w:rPr>
            </w:pPr>
            <w:r>
              <w:rPr>
                <w:rFonts w:ascii="Arial" w:cs="Arial" w:eastAsia="Arial" w:hAnsi="Arial"/>
                <w:sz w:val="18"/>
                <w:szCs w:val="18"/>
                <w:color w:val="auto"/>
                <w:w w:val="95"/>
              </w:rPr>
              <w:t>PRESENT PRINCIPAL OCCUPATION OR EMPLOYMENT</w:t>
            </w:r>
          </w:p>
        </w:tc>
      </w:tr>
      <w:tr>
        <w:trPr>
          <w:trHeight w:val="156"/>
        </w:trPr>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Borders>
              <w:bottom w:val="single" w:sz="8" w:color="auto"/>
            </w:tcBorders>
          </w:tcPr>
          <w:p>
            <w:pPr>
              <w:spacing w:after="0" w:line="156" w:lineRule="exact"/>
              <w:rPr>
                <w:sz w:val="20"/>
                <w:szCs w:val="20"/>
                <w:color w:val="auto"/>
              </w:rPr>
            </w:pPr>
            <w:r>
              <w:rPr>
                <w:rFonts w:ascii="Arial" w:cs="Arial" w:eastAsia="Arial" w:hAnsi="Arial"/>
                <w:sz w:val="18"/>
                <w:szCs w:val="18"/>
                <w:color w:val="auto"/>
                <w:w w:val="99"/>
              </w:rPr>
              <w:t>NAME</w:t>
            </w: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100" w:type="dxa"/>
            <w:vAlign w:val="bottom"/>
          </w:tcPr>
          <w:p>
            <w:pPr>
              <w:jc w:val="center"/>
              <w:ind w:left="150"/>
              <w:spacing w:after="0" w:line="156" w:lineRule="exact"/>
              <w:rPr>
                <w:sz w:val="20"/>
                <w:szCs w:val="20"/>
                <w:color w:val="auto"/>
              </w:rPr>
            </w:pPr>
            <w:r>
              <w:rPr>
                <w:rFonts w:ascii="Arial" w:cs="Arial" w:eastAsia="Arial" w:hAnsi="Arial"/>
                <w:sz w:val="18"/>
                <w:szCs w:val="18"/>
                <w:color w:val="auto"/>
                <w:w w:val="97"/>
              </w:rPr>
              <w:t>AND FIVE YEAR EMPLOYMENT HISTORY</w:t>
            </w:r>
          </w:p>
        </w:tc>
      </w:tr>
      <w:tr>
        <w:trPr>
          <w:trHeight w:val="534"/>
        </w:trPr>
        <w:tc>
          <w:tcPr>
            <w:tcW w:w="2700" w:type="dxa"/>
            <w:vAlign w:val="bottom"/>
            <w:gridSpan w:val="4"/>
          </w:tcPr>
          <w:p>
            <w:pPr>
              <w:spacing w:after="0"/>
              <w:rPr>
                <w:sz w:val="20"/>
                <w:szCs w:val="20"/>
                <w:color w:val="auto"/>
              </w:rPr>
            </w:pPr>
            <w:r>
              <w:rPr>
                <w:rFonts w:ascii="Arial" w:cs="Arial" w:eastAsia="Arial" w:hAnsi="Arial"/>
                <w:sz w:val="18"/>
                <w:szCs w:val="18"/>
                <w:color w:val="auto"/>
              </w:rPr>
              <w:t>Jeffrey A. Joerres</w:t>
            </w:r>
          </w:p>
        </w:tc>
        <w:tc>
          <w:tcPr>
            <w:tcW w:w="1780" w:type="dxa"/>
            <w:vAlign w:val="bottom"/>
            <w:gridSpan w:val="4"/>
          </w:tcPr>
          <w:p>
            <w:pPr>
              <w:jc w:val="center"/>
              <w:ind w:left="1310"/>
              <w:spacing w:after="0"/>
              <w:rPr>
                <w:sz w:val="20"/>
                <w:szCs w:val="20"/>
                <w:color w:val="auto"/>
              </w:rPr>
            </w:pPr>
            <w:r>
              <w:rPr>
                <w:rFonts w:ascii="Arial" w:cs="Arial" w:eastAsia="Arial" w:hAnsi="Arial"/>
                <w:sz w:val="18"/>
                <w:szCs w:val="18"/>
                <w:color w:val="auto"/>
                <w:w w:val="89"/>
              </w:rPr>
              <w:t>43</w:t>
            </w:r>
          </w:p>
        </w:tc>
        <w:tc>
          <w:tcPr>
            <w:tcW w:w="240" w:type="dxa"/>
            <w:vAlign w:val="bottom"/>
          </w:tcPr>
          <w:p>
            <w:pPr>
              <w:spacing w:after="0"/>
              <w:rPr>
                <w:sz w:val="24"/>
                <w:szCs w:val="24"/>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w w:val="91"/>
              </w:rPr>
              <w:t>Chairman of Manpower since May, 2001, and President and Chief</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9"/>
              </w:rPr>
              <w:t>Executive Officer of Manpower since April, 1999. Senior Vice</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0"/>
              </w:rPr>
              <w:t>President--European Operations and Marketing and Major Account</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3"/>
              </w:rPr>
              <w:t>Development of Manpower from July, 1998 to April, 1999. Senior</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5"/>
              </w:rPr>
              <w:t>Vice President--Major Account Development of Manpower from</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6"/>
              </w:rPr>
              <w:t>November, 1995 to July, 1998. A director of Artisan Funds, Inc.</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8"/>
              </w:rPr>
              <w:t>and Johnson Controls Inc. A director of Manpower since April,</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1999. An employee of Manpower since July 1993.</w:t>
            </w:r>
          </w:p>
        </w:tc>
      </w:tr>
      <w:tr>
        <w:trPr>
          <w:trHeight w:val="512"/>
        </w:trPr>
        <w:tc>
          <w:tcPr>
            <w:tcW w:w="2700" w:type="dxa"/>
            <w:vAlign w:val="bottom"/>
            <w:gridSpan w:val="4"/>
          </w:tcPr>
          <w:p>
            <w:pPr>
              <w:spacing w:after="0"/>
              <w:rPr>
                <w:sz w:val="20"/>
                <w:szCs w:val="20"/>
                <w:color w:val="auto"/>
              </w:rPr>
            </w:pPr>
            <w:r>
              <w:rPr>
                <w:rFonts w:ascii="Arial" w:cs="Arial" w:eastAsia="Arial" w:hAnsi="Arial"/>
                <w:sz w:val="18"/>
                <w:szCs w:val="18"/>
                <w:color w:val="auto"/>
              </w:rPr>
              <w:t>Michael J. Van Handel</w:t>
            </w:r>
          </w:p>
        </w:tc>
        <w:tc>
          <w:tcPr>
            <w:tcW w:w="1780" w:type="dxa"/>
            <w:vAlign w:val="bottom"/>
            <w:gridSpan w:val="4"/>
          </w:tcPr>
          <w:p>
            <w:pPr>
              <w:jc w:val="center"/>
              <w:ind w:left="1310"/>
              <w:spacing w:after="0"/>
              <w:rPr>
                <w:sz w:val="20"/>
                <w:szCs w:val="20"/>
                <w:color w:val="auto"/>
              </w:rPr>
            </w:pPr>
            <w:r>
              <w:rPr>
                <w:rFonts w:ascii="Arial" w:cs="Arial" w:eastAsia="Arial" w:hAnsi="Arial"/>
                <w:sz w:val="18"/>
                <w:szCs w:val="18"/>
                <w:color w:val="auto"/>
                <w:w w:val="89"/>
              </w:rPr>
              <w:t>43</w:t>
            </w:r>
          </w:p>
        </w:tc>
        <w:tc>
          <w:tcPr>
            <w:tcW w:w="240" w:type="dxa"/>
            <w:vAlign w:val="bottom"/>
          </w:tcPr>
          <w:p>
            <w:pPr>
              <w:spacing w:after="0"/>
              <w:rPr>
                <w:sz w:val="24"/>
                <w:szCs w:val="24"/>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w w:val="92"/>
              </w:rPr>
              <w:t>Executive Vice President, Chief Financial Officer and Secretary of</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rPr>
              <w:t>Manpower since April, 2002. Senior Vice President, Chief</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5"/>
              </w:rPr>
              <w:t>Financial Officer and Secretary of Manpower from August, 1999</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rPr>
              <w:t>to April, 2002. Senior Vice President, Chief Financial Officer,</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3"/>
              </w:rPr>
              <w:t>Treasurer and Secretary of Manpower from July, 1998 to August,</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5"/>
              </w:rPr>
              <w:t>1999. Vice President, Chief Accounting Officer and Treasurer of</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7"/>
              </w:rPr>
              <w:t>Manpower from February, 1995 to July, 1998. An employee of</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Manpower since May, 1989.</w:t>
            </w:r>
          </w:p>
        </w:tc>
      </w:tr>
      <w:tr>
        <w:trPr>
          <w:trHeight w:val="512"/>
        </w:trPr>
        <w:tc>
          <w:tcPr>
            <w:tcW w:w="2700" w:type="dxa"/>
            <w:vAlign w:val="bottom"/>
            <w:gridSpan w:val="4"/>
          </w:tcPr>
          <w:p>
            <w:pPr>
              <w:spacing w:after="0"/>
              <w:rPr>
                <w:sz w:val="20"/>
                <w:szCs w:val="20"/>
                <w:color w:val="auto"/>
              </w:rPr>
            </w:pPr>
            <w:r>
              <w:rPr>
                <w:rFonts w:ascii="Arial" w:cs="Arial" w:eastAsia="Arial" w:hAnsi="Arial"/>
                <w:sz w:val="18"/>
                <w:szCs w:val="18"/>
                <w:color w:val="auto"/>
              </w:rPr>
              <w:t>Barbara J. Beck</w:t>
            </w:r>
          </w:p>
        </w:tc>
        <w:tc>
          <w:tcPr>
            <w:tcW w:w="1780" w:type="dxa"/>
            <w:vAlign w:val="bottom"/>
            <w:gridSpan w:val="4"/>
          </w:tcPr>
          <w:p>
            <w:pPr>
              <w:jc w:val="center"/>
              <w:ind w:left="1310"/>
              <w:spacing w:after="0"/>
              <w:rPr>
                <w:sz w:val="20"/>
                <w:szCs w:val="20"/>
                <w:color w:val="auto"/>
              </w:rPr>
            </w:pPr>
            <w:r>
              <w:rPr>
                <w:rFonts w:ascii="Arial" w:cs="Arial" w:eastAsia="Arial" w:hAnsi="Arial"/>
                <w:sz w:val="18"/>
                <w:szCs w:val="18"/>
                <w:color w:val="auto"/>
                <w:w w:val="89"/>
              </w:rPr>
              <w:t>42</w:t>
            </w:r>
          </w:p>
        </w:tc>
        <w:tc>
          <w:tcPr>
            <w:tcW w:w="240" w:type="dxa"/>
            <w:vAlign w:val="bottom"/>
          </w:tcPr>
          <w:p>
            <w:pPr>
              <w:spacing w:after="0"/>
              <w:rPr>
                <w:sz w:val="24"/>
                <w:szCs w:val="24"/>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Executive Vice President of Manpower - United States and</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0"/>
              </w:rPr>
              <w:t>Canadian Operations since January, 2002. Independent consultant</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8"/>
              </w:rPr>
              <w:t>from August, 2000 to January, 2002. Area Vice President and</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5"/>
              </w:rPr>
              <w:t>General Manager of United States - West for Sprint Corporation</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3"/>
              </w:rPr>
              <w:t>from February, 1996 to August, 2000. An employee of Manpower</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since January, 2002.</w:t>
            </w:r>
          </w:p>
        </w:tc>
      </w:tr>
      <w:tr>
        <w:trPr>
          <w:trHeight w:val="512"/>
        </w:trPr>
        <w:tc>
          <w:tcPr>
            <w:tcW w:w="2700" w:type="dxa"/>
            <w:vAlign w:val="bottom"/>
            <w:gridSpan w:val="4"/>
          </w:tcPr>
          <w:p>
            <w:pPr>
              <w:spacing w:after="0"/>
              <w:rPr>
                <w:sz w:val="20"/>
                <w:szCs w:val="20"/>
                <w:color w:val="auto"/>
              </w:rPr>
            </w:pPr>
            <w:r>
              <w:rPr>
                <w:rFonts w:ascii="Arial" w:cs="Arial" w:eastAsia="Arial" w:hAnsi="Arial"/>
                <w:sz w:val="18"/>
                <w:szCs w:val="18"/>
                <w:color w:val="auto"/>
              </w:rPr>
              <w:t>Jean-Pierre Lemonnier</w:t>
            </w:r>
          </w:p>
        </w:tc>
        <w:tc>
          <w:tcPr>
            <w:tcW w:w="1780" w:type="dxa"/>
            <w:vAlign w:val="bottom"/>
            <w:gridSpan w:val="4"/>
          </w:tcPr>
          <w:p>
            <w:pPr>
              <w:jc w:val="center"/>
              <w:ind w:left="1310"/>
              <w:spacing w:after="0"/>
              <w:rPr>
                <w:sz w:val="20"/>
                <w:szCs w:val="20"/>
                <w:color w:val="auto"/>
              </w:rPr>
            </w:pPr>
            <w:r>
              <w:rPr>
                <w:rFonts w:ascii="Arial" w:cs="Arial" w:eastAsia="Arial" w:hAnsi="Arial"/>
                <w:sz w:val="18"/>
                <w:szCs w:val="18"/>
                <w:color w:val="auto"/>
                <w:w w:val="89"/>
              </w:rPr>
              <w:t>44</w:t>
            </w:r>
          </w:p>
        </w:tc>
        <w:tc>
          <w:tcPr>
            <w:tcW w:w="240" w:type="dxa"/>
            <w:vAlign w:val="bottom"/>
          </w:tcPr>
          <w:p>
            <w:pPr>
              <w:spacing w:after="0"/>
              <w:rPr>
                <w:sz w:val="24"/>
                <w:szCs w:val="24"/>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Executive Vice President of Manpower and President of</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rPr>
              <w:t>Manpower France since April, 2002. Managing Director of</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7"/>
              </w:rPr>
              <w:t>Manpower France from March, 2002 to April, 2002. Director of</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5"/>
              </w:rPr>
              <w:t>Operations, Manpower France from April, 1998 to March, 2002.</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An employee of Manpower since April, 1998.</w:t>
            </w:r>
          </w:p>
        </w:tc>
      </w:tr>
      <w:tr>
        <w:trPr>
          <w:trHeight w:val="512"/>
        </w:trPr>
        <w:tc>
          <w:tcPr>
            <w:tcW w:w="2700" w:type="dxa"/>
            <w:vAlign w:val="bottom"/>
            <w:gridSpan w:val="4"/>
          </w:tcPr>
          <w:p>
            <w:pPr>
              <w:spacing w:after="0"/>
              <w:rPr>
                <w:sz w:val="20"/>
                <w:szCs w:val="20"/>
                <w:color w:val="auto"/>
              </w:rPr>
            </w:pPr>
            <w:r>
              <w:rPr>
                <w:rFonts w:ascii="Arial" w:cs="Arial" w:eastAsia="Arial" w:hAnsi="Arial"/>
                <w:sz w:val="18"/>
                <w:szCs w:val="18"/>
                <w:color w:val="auto"/>
              </w:rPr>
              <w:t>Yoav Michaely</w:t>
            </w:r>
          </w:p>
        </w:tc>
        <w:tc>
          <w:tcPr>
            <w:tcW w:w="1780" w:type="dxa"/>
            <w:vAlign w:val="bottom"/>
            <w:gridSpan w:val="4"/>
          </w:tcPr>
          <w:p>
            <w:pPr>
              <w:jc w:val="center"/>
              <w:ind w:left="1310"/>
              <w:spacing w:after="0"/>
              <w:rPr>
                <w:sz w:val="20"/>
                <w:szCs w:val="20"/>
                <w:color w:val="auto"/>
              </w:rPr>
            </w:pPr>
            <w:r>
              <w:rPr>
                <w:rFonts w:ascii="Arial" w:cs="Arial" w:eastAsia="Arial" w:hAnsi="Arial"/>
                <w:sz w:val="18"/>
                <w:szCs w:val="18"/>
                <w:color w:val="auto"/>
                <w:w w:val="89"/>
              </w:rPr>
              <w:t>46</w:t>
            </w:r>
          </w:p>
        </w:tc>
        <w:tc>
          <w:tcPr>
            <w:tcW w:w="240" w:type="dxa"/>
            <w:vAlign w:val="bottom"/>
          </w:tcPr>
          <w:p>
            <w:pPr>
              <w:spacing w:after="0"/>
              <w:rPr>
                <w:sz w:val="24"/>
                <w:szCs w:val="24"/>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w w:val="92"/>
              </w:rPr>
              <w:t>Executive Vice President and Managing Director of Other Europe,</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7"/>
              </w:rPr>
              <w:t>Middle East and Africa for Manpower since April, 2002. Senior</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5"/>
              </w:rPr>
              <w:t>Vice President of Manpower and Managing Director - European</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5"/>
              </w:rPr>
              <w:t>Region from December, 1999 to April, 2002. Regional Director -</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4"/>
              </w:rPr>
              <w:t>Southern Europe from September, 1996 to December, 1999. An</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employee of Manpower since 1985</w:t>
            </w:r>
          </w:p>
        </w:tc>
      </w:tr>
      <w:tr>
        <w:trPr>
          <w:trHeight w:val="566"/>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120" w:type="dxa"/>
            <w:vAlign w:val="bottom"/>
            <w:gridSpan w:val="6"/>
          </w:tcPr>
          <w:p>
            <w:pPr>
              <w:jc w:val="center"/>
              <w:ind w:right="2610"/>
              <w:spacing w:after="0"/>
              <w:rPr>
                <w:sz w:val="20"/>
                <w:szCs w:val="20"/>
                <w:color w:val="auto"/>
              </w:rPr>
            </w:pPr>
            <w:r>
              <w:rPr>
                <w:rFonts w:ascii="Arial" w:cs="Arial" w:eastAsia="Arial" w:hAnsi="Arial"/>
                <w:sz w:val="18"/>
                <w:szCs w:val="18"/>
                <w:b w:val="1"/>
                <w:bCs w:val="1"/>
                <w:color w:val="auto"/>
              </w:rPr>
              <w:t>MANPOWER DIRECTORS</w:t>
            </w:r>
          </w:p>
        </w:tc>
      </w:tr>
      <w:tr>
        <w:trPr>
          <w:trHeight w:val="432"/>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NAME</w:t>
            </w:r>
          </w:p>
        </w:tc>
        <w:tc>
          <w:tcPr>
            <w:tcW w:w="2160" w:type="dxa"/>
            <w:vAlign w:val="bottom"/>
            <w:gridSpan w:val="3"/>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AGE</w:t>
            </w:r>
          </w:p>
        </w:tc>
        <w:tc>
          <w:tcPr>
            <w:tcW w:w="240" w:type="dxa"/>
            <w:vAlign w:val="bottom"/>
          </w:tcPr>
          <w:p>
            <w:pPr>
              <w:spacing w:after="0"/>
              <w:rPr>
                <w:sz w:val="24"/>
                <w:szCs w:val="24"/>
                <w:color w:val="auto"/>
              </w:rPr>
            </w:pPr>
          </w:p>
        </w:tc>
        <w:tc>
          <w:tcPr>
            <w:tcW w:w="5100" w:type="dxa"/>
            <w:vAlign w:val="bottom"/>
          </w:tcPr>
          <w:p>
            <w:pPr>
              <w:jc w:val="center"/>
              <w:ind w:left="150"/>
              <w:spacing w:after="0"/>
              <w:rPr>
                <w:sz w:val="20"/>
                <w:szCs w:val="20"/>
                <w:color w:val="auto"/>
              </w:rPr>
            </w:pPr>
            <w:r>
              <w:rPr>
                <w:rFonts w:ascii="Arial" w:cs="Arial" w:eastAsia="Arial" w:hAnsi="Arial"/>
                <w:sz w:val="18"/>
                <w:szCs w:val="18"/>
                <w:color w:val="auto"/>
                <w:w w:val="94"/>
              </w:rPr>
              <w:t>PRINCIPAL OCCUPATION AND DIRECTORSHIPS</w:t>
            </w:r>
          </w:p>
        </w:tc>
      </w:tr>
      <w:tr>
        <w:trPr>
          <w:trHeight w:val="615"/>
        </w:trPr>
        <w:tc>
          <w:tcPr>
            <w:tcW w:w="2700" w:type="dxa"/>
            <w:vAlign w:val="bottom"/>
            <w:gridSpan w:val="4"/>
          </w:tcPr>
          <w:p>
            <w:pPr>
              <w:spacing w:after="0"/>
              <w:rPr>
                <w:sz w:val="20"/>
                <w:szCs w:val="20"/>
                <w:color w:val="auto"/>
              </w:rPr>
            </w:pPr>
            <w:r>
              <w:rPr>
                <w:rFonts w:ascii="Arial" w:cs="Arial" w:eastAsia="Arial" w:hAnsi="Arial"/>
                <w:sz w:val="18"/>
                <w:szCs w:val="18"/>
                <w:color w:val="auto"/>
              </w:rPr>
              <w:t>Jeffrey A. Joerres</w:t>
            </w:r>
          </w:p>
        </w:tc>
        <w:tc>
          <w:tcPr>
            <w:tcW w:w="1780" w:type="dxa"/>
            <w:vAlign w:val="bottom"/>
            <w:gridSpan w:val="4"/>
          </w:tcPr>
          <w:p>
            <w:pPr>
              <w:jc w:val="center"/>
              <w:ind w:left="1310"/>
              <w:spacing w:after="0"/>
              <w:rPr>
                <w:sz w:val="20"/>
                <w:szCs w:val="20"/>
                <w:color w:val="auto"/>
              </w:rPr>
            </w:pPr>
            <w:r>
              <w:rPr>
                <w:rFonts w:ascii="Arial" w:cs="Arial" w:eastAsia="Arial" w:hAnsi="Arial"/>
                <w:sz w:val="18"/>
                <w:szCs w:val="18"/>
                <w:color w:val="auto"/>
                <w:w w:val="89"/>
              </w:rPr>
              <w:t>43</w:t>
            </w:r>
          </w:p>
        </w:tc>
        <w:tc>
          <w:tcPr>
            <w:tcW w:w="240" w:type="dxa"/>
            <w:vAlign w:val="bottom"/>
          </w:tcPr>
          <w:p>
            <w:pPr>
              <w:spacing w:after="0"/>
              <w:rPr>
                <w:sz w:val="24"/>
                <w:szCs w:val="24"/>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w w:val="91"/>
              </w:rPr>
              <w:t>Chairman of Manpower since May, 2001, and President and Chief</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9"/>
              </w:rPr>
              <w:t>Executive Officer of Manpower since April, 1999. Senior Vice</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rPr>
              <w:t>President - European Operations and Marketing and Major</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rPr>
              <w:t>Account Development of Manpower from July, 1998 to April,</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9"/>
              </w:rPr>
              <w:t>1999. Senior Vice President - Major Account Development of</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rPr>
              <w:t>Manpower from November, 1995 to July, 1998. A director of</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rPr>
              <w:t>Artisan Funds, Inc. and Johnson Controls Inc. A director of</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Manpower since April, 1999.</w:t>
            </w:r>
          </w:p>
        </w:tc>
      </w:tr>
      <w:tr>
        <w:trPr>
          <w:trHeight w:val="593"/>
        </w:trPr>
        <w:tc>
          <w:tcPr>
            <w:tcW w:w="2700" w:type="dxa"/>
            <w:vAlign w:val="bottom"/>
            <w:gridSpan w:val="4"/>
          </w:tcPr>
          <w:p>
            <w:pPr>
              <w:spacing w:after="0"/>
              <w:rPr>
                <w:sz w:val="20"/>
                <w:szCs w:val="20"/>
                <w:color w:val="auto"/>
              </w:rPr>
            </w:pPr>
            <w:r>
              <w:rPr>
                <w:rFonts w:ascii="Arial" w:cs="Arial" w:eastAsia="Arial" w:hAnsi="Arial"/>
                <w:sz w:val="18"/>
                <w:szCs w:val="18"/>
                <w:color w:val="auto"/>
              </w:rPr>
              <w:t>J. Thomas Bouchard</w:t>
            </w:r>
          </w:p>
        </w:tc>
        <w:tc>
          <w:tcPr>
            <w:tcW w:w="1780" w:type="dxa"/>
            <w:vAlign w:val="bottom"/>
            <w:gridSpan w:val="4"/>
          </w:tcPr>
          <w:p>
            <w:pPr>
              <w:jc w:val="center"/>
              <w:ind w:left="1310"/>
              <w:spacing w:after="0"/>
              <w:rPr>
                <w:sz w:val="20"/>
                <w:szCs w:val="20"/>
                <w:color w:val="auto"/>
              </w:rPr>
            </w:pPr>
            <w:r>
              <w:rPr>
                <w:rFonts w:ascii="Arial" w:cs="Arial" w:eastAsia="Arial" w:hAnsi="Arial"/>
                <w:sz w:val="18"/>
                <w:szCs w:val="18"/>
                <w:color w:val="auto"/>
                <w:w w:val="89"/>
              </w:rPr>
              <w:t>62</w:t>
            </w:r>
          </w:p>
        </w:tc>
        <w:tc>
          <w:tcPr>
            <w:tcW w:w="240" w:type="dxa"/>
            <w:vAlign w:val="bottom"/>
          </w:tcPr>
          <w:p>
            <w:pPr>
              <w:spacing w:after="0"/>
              <w:rPr>
                <w:sz w:val="24"/>
                <w:szCs w:val="24"/>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w w:val="90"/>
              </w:rPr>
              <w:t>Senior Vice President, Human Resources of International Business</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8"/>
              </w:rPr>
              <w:t>Machines from 1994 to 2000. Senior Vice President and Chief</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6"/>
              </w:rPr>
              <w:t>Human Resources Officer of U.S. West Inc. from 1989 to 1994.</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80"/>
              <w:spacing w:after="0" w:line="176" w:lineRule="exact"/>
              <w:rPr>
                <w:sz w:val="20"/>
                <w:szCs w:val="20"/>
                <w:color w:val="auto"/>
              </w:rPr>
            </w:pPr>
            <w:r>
              <w:rPr>
                <w:rFonts w:ascii="Arial" w:cs="Arial" w:eastAsia="Arial" w:hAnsi="Arial"/>
                <w:sz w:val="18"/>
                <w:szCs w:val="18"/>
                <w:color w:val="auto"/>
                <w:w w:val="95"/>
              </w:rPr>
              <w:t>Also a director of Health Net, Inc. and Nordstrom fsb. A director</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of Manpower since May, 2001.</w:t>
            </w:r>
          </w:p>
        </w:tc>
      </w:tr>
      <w:tr>
        <w:trPr>
          <w:trHeight w:val="593"/>
        </w:trPr>
        <w:tc>
          <w:tcPr>
            <w:tcW w:w="2700" w:type="dxa"/>
            <w:vAlign w:val="bottom"/>
            <w:gridSpan w:val="4"/>
          </w:tcPr>
          <w:p>
            <w:pPr>
              <w:spacing w:after="0"/>
              <w:rPr>
                <w:sz w:val="20"/>
                <w:szCs w:val="20"/>
                <w:color w:val="auto"/>
              </w:rPr>
            </w:pPr>
            <w:r>
              <w:rPr>
                <w:rFonts w:ascii="Arial" w:cs="Arial" w:eastAsia="Arial" w:hAnsi="Arial"/>
                <w:sz w:val="18"/>
                <w:szCs w:val="18"/>
                <w:color w:val="auto"/>
              </w:rPr>
              <w:t>Stephanie A. Burns</w:t>
            </w:r>
          </w:p>
        </w:tc>
        <w:tc>
          <w:tcPr>
            <w:tcW w:w="1780" w:type="dxa"/>
            <w:vAlign w:val="bottom"/>
            <w:gridSpan w:val="4"/>
          </w:tcPr>
          <w:p>
            <w:pPr>
              <w:jc w:val="center"/>
              <w:ind w:left="1310"/>
              <w:spacing w:after="0"/>
              <w:rPr>
                <w:sz w:val="20"/>
                <w:szCs w:val="20"/>
                <w:color w:val="auto"/>
              </w:rPr>
            </w:pPr>
            <w:r>
              <w:rPr>
                <w:rFonts w:ascii="Arial" w:cs="Arial" w:eastAsia="Arial" w:hAnsi="Arial"/>
                <w:sz w:val="18"/>
                <w:szCs w:val="18"/>
                <w:color w:val="auto"/>
                <w:w w:val="89"/>
              </w:rPr>
              <w:t>48</w:t>
            </w:r>
          </w:p>
        </w:tc>
        <w:tc>
          <w:tcPr>
            <w:tcW w:w="240" w:type="dxa"/>
            <w:vAlign w:val="bottom"/>
          </w:tcPr>
          <w:p>
            <w:pPr>
              <w:spacing w:after="0"/>
              <w:rPr>
                <w:sz w:val="24"/>
                <w:szCs w:val="24"/>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w w:val="96"/>
              </w:rPr>
              <w:t>President and Chief Operating Officer of Dow Corning, a global</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2"/>
              </w:rPr>
              <w:t>leader in silicon based technology and innovation, since February</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rPr>
              <w:t>2003. Held key management positions at Dow Corning since</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4"/>
              </w:rPr>
              <w:t>1983, most recently as Executive Vice President from December</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6"/>
              </w:rPr>
              <w:t>2002 to February 2003. A director and an executive director for</w:t>
            </w:r>
          </w:p>
        </w:tc>
      </w:tr>
      <w:tr>
        <w:trPr>
          <w:trHeight w:val="176"/>
        </w:trPr>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00" w:type="dxa"/>
            <w:vAlign w:val="bottom"/>
          </w:tcPr>
          <w:p>
            <w:pPr>
              <w:ind w:left="240"/>
              <w:spacing w:after="0" w:line="176" w:lineRule="exact"/>
              <w:rPr>
                <w:sz w:val="20"/>
                <w:szCs w:val="20"/>
                <w:color w:val="auto"/>
              </w:rPr>
            </w:pPr>
            <w:r>
              <w:rPr>
                <w:rFonts w:ascii="Arial" w:cs="Arial" w:eastAsia="Arial" w:hAnsi="Arial"/>
                <w:sz w:val="18"/>
                <w:szCs w:val="18"/>
                <w:color w:val="auto"/>
                <w:w w:val="94"/>
              </w:rPr>
              <w:t>the Dow Corning/Genecor International partnership. A director of</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Manpower since July,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-3155950</wp:posOffset>
            </wp:positionV>
            <wp:extent cx="285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74" w:orient="portrait"/>
          <w:cols w:equalWidth="0" w:num="1">
            <w:col w:w="10059"/>
          </w:cols>
          <w:pgMar w:left="400" w:top="1350" w:right="1440" w:bottom="0" w:gutter="0" w:footer="0" w:header="0"/>
        </w:sectPr>
      </w:pPr>
    </w:p>
    <w:p>
      <w:pPr>
        <w:spacing w:after="0" w:line="200" w:lineRule="exact"/>
        <w:rPr>
          <w:sz w:val="20"/>
          <w:szCs w:val="20"/>
          <w:color w:val="auto"/>
        </w:rPr>
      </w:pPr>
    </w:p>
    <w:p>
      <w:pPr>
        <w:spacing w:after="0" w:line="217" w:lineRule="exact"/>
        <w:rPr>
          <w:sz w:val="20"/>
          <w:szCs w:val="20"/>
          <w:color w:val="auto"/>
        </w:rPr>
      </w:pPr>
    </w:p>
    <w:p>
      <w:pPr>
        <w:spacing w:after="0"/>
        <w:tabs>
          <w:tab w:leader="none" w:pos="4180" w:val="left"/>
          <w:tab w:leader="none" w:pos="4940" w:val="left"/>
        </w:tabs>
        <w:rPr>
          <w:sz w:val="20"/>
          <w:szCs w:val="20"/>
          <w:color w:val="auto"/>
        </w:rPr>
      </w:pPr>
      <w:r>
        <w:rPr>
          <w:rFonts w:ascii="Arial" w:cs="Arial" w:eastAsia="Arial" w:hAnsi="Arial"/>
          <w:sz w:val="18"/>
          <w:szCs w:val="18"/>
          <w:color w:val="auto"/>
        </w:rPr>
        <w:t>Willie D. Davis</w:t>
      </w:r>
      <w:r>
        <w:rPr>
          <w:sz w:val="20"/>
          <w:szCs w:val="20"/>
          <w:color w:val="auto"/>
        </w:rPr>
        <w:tab/>
      </w:r>
      <w:r>
        <w:rPr>
          <w:rFonts w:ascii="Arial" w:cs="Arial" w:eastAsia="Arial" w:hAnsi="Arial"/>
          <w:sz w:val="18"/>
          <w:szCs w:val="18"/>
          <w:color w:val="auto"/>
        </w:rPr>
        <w:t>68</w:t>
      </w:r>
      <w:r>
        <w:rPr>
          <w:sz w:val="20"/>
          <w:szCs w:val="20"/>
          <w:color w:val="auto"/>
        </w:rPr>
        <w:tab/>
      </w:r>
      <w:r>
        <w:rPr>
          <w:rFonts w:ascii="Arial" w:cs="Arial" w:eastAsia="Arial" w:hAnsi="Arial"/>
          <w:sz w:val="16"/>
          <w:szCs w:val="16"/>
          <w:color w:val="auto"/>
        </w:rPr>
        <w:t>President of All Pro Broadcasting Incorporated, a radio</w:t>
      </w:r>
    </w:p>
    <w:p>
      <w:pPr>
        <w:sectPr>
          <w:pgSz w:w="11900" w:h="16874" w:orient="portrait"/>
          <w:cols w:equalWidth="0" w:num="1">
            <w:col w:w="10059"/>
          </w:cols>
          <w:pgMar w:left="400" w:top="1350" w:right="1440"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0" w:type="dxa"/>
            <w:vAlign w:val="bottom"/>
            <w:gridSpan w:val="2"/>
          </w:tcPr>
          <w:p>
            <w:pPr>
              <w:ind w:left="340"/>
              <w:spacing w:after="0"/>
              <w:rPr>
                <w:sz w:val="20"/>
                <w:szCs w:val="20"/>
                <w:color w:val="auto"/>
              </w:rPr>
            </w:pPr>
            <w:r>
              <w:rPr>
                <w:rFonts w:ascii="Arial" w:cs="Arial" w:eastAsia="Arial" w:hAnsi="Arial"/>
                <w:sz w:val="18"/>
                <w:szCs w:val="18"/>
                <w:color w:val="auto"/>
                <w:w w:val="95"/>
              </w:rPr>
              <w:t>broadcasting company located in Los Angeles, California, since</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40"/>
              <w:spacing w:after="0" w:line="176" w:lineRule="exact"/>
              <w:rPr>
                <w:sz w:val="20"/>
                <w:szCs w:val="20"/>
                <w:color w:val="auto"/>
              </w:rPr>
            </w:pPr>
            <w:r>
              <w:rPr>
                <w:rFonts w:ascii="Arial" w:cs="Arial" w:eastAsia="Arial" w:hAnsi="Arial"/>
                <w:sz w:val="18"/>
                <w:szCs w:val="18"/>
                <w:color w:val="auto"/>
                <w:w w:val="95"/>
              </w:rPr>
              <w:t>1977. A director of Alliance Bank Co., Dow Chemical Company,</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Kmart Corporation, MGM Grand Inc., Sara Lee Corporation,</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Strong Funds, MGM Inc., Wisconsin Energy, Inc., Johnson</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40"/>
              <w:spacing w:after="0" w:line="176" w:lineRule="exact"/>
              <w:rPr>
                <w:sz w:val="20"/>
                <w:szCs w:val="20"/>
                <w:color w:val="auto"/>
              </w:rPr>
            </w:pPr>
            <w:r>
              <w:rPr>
                <w:rFonts w:ascii="Arial" w:cs="Arial" w:eastAsia="Arial" w:hAnsi="Arial"/>
                <w:sz w:val="18"/>
                <w:szCs w:val="18"/>
                <w:color w:val="auto"/>
                <w:w w:val="95"/>
              </w:rPr>
              <w:t>Controls Inc., Checkers Inc. and Bassett Furniture. A director of</w:t>
            </w:r>
          </w:p>
        </w:tc>
      </w:tr>
      <w:tr>
        <w:trPr>
          <w:trHeight w:val="230"/>
        </w:trPr>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0" w:type="dxa"/>
            <w:vAlign w:val="bottom"/>
            <w:gridSpan w:val="2"/>
          </w:tcPr>
          <w:p>
            <w:pPr>
              <w:ind w:left="340"/>
              <w:spacing w:after="0"/>
              <w:rPr>
                <w:sz w:val="20"/>
                <w:szCs w:val="20"/>
                <w:color w:val="auto"/>
              </w:rPr>
            </w:pPr>
            <w:r>
              <w:rPr>
                <w:rFonts w:ascii="Arial" w:cs="Arial" w:eastAsia="Arial" w:hAnsi="Arial"/>
                <w:sz w:val="18"/>
                <w:szCs w:val="18"/>
                <w:color w:val="auto"/>
              </w:rPr>
              <w:t>Manpower since May, 2001.</w:t>
            </w:r>
          </w:p>
        </w:tc>
      </w:tr>
      <w:tr>
        <w:trPr>
          <w:trHeight w:val="566"/>
        </w:trPr>
        <w:tc>
          <w:tcPr>
            <w:tcW w:w="1620" w:type="dxa"/>
            <w:vAlign w:val="bottom"/>
            <w:gridSpan w:val="2"/>
          </w:tcPr>
          <w:p>
            <w:pPr>
              <w:spacing w:after="0"/>
              <w:rPr>
                <w:sz w:val="20"/>
                <w:szCs w:val="20"/>
                <w:color w:val="auto"/>
              </w:rPr>
            </w:pPr>
            <w:r>
              <w:rPr>
                <w:rFonts w:ascii="Arial" w:cs="Arial" w:eastAsia="Arial" w:hAnsi="Arial"/>
                <w:sz w:val="18"/>
                <w:szCs w:val="18"/>
                <w:color w:val="auto"/>
              </w:rPr>
              <w:t>Jack M. Greenberg</w:t>
            </w:r>
          </w:p>
        </w:tc>
        <w:tc>
          <w:tcPr>
            <w:tcW w:w="3000" w:type="dxa"/>
            <w:vAlign w:val="bottom"/>
            <w:gridSpan w:val="2"/>
          </w:tcPr>
          <w:p>
            <w:pPr>
              <w:ind w:left="2580"/>
              <w:spacing w:after="0"/>
              <w:rPr>
                <w:sz w:val="20"/>
                <w:szCs w:val="20"/>
                <w:color w:val="auto"/>
              </w:rPr>
            </w:pPr>
            <w:r>
              <w:rPr>
                <w:rFonts w:ascii="Arial" w:cs="Arial" w:eastAsia="Arial" w:hAnsi="Arial"/>
                <w:sz w:val="18"/>
                <w:szCs w:val="18"/>
                <w:color w:val="auto"/>
              </w:rPr>
              <w:t>61</w:t>
            </w:r>
          </w:p>
        </w:tc>
        <w:tc>
          <w:tcPr>
            <w:tcW w:w="5200" w:type="dxa"/>
            <w:vAlign w:val="bottom"/>
            <w:gridSpan w:val="2"/>
          </w:tcPr>
          <w:p>
            <w:pPr>
              <w:ind w:left="340"/>
              <w:spacing w:after="0"/>
              <w:rPr>
                <w:sz w:val="20"/>
                <w:szCs w:val="20"/>
                <w:color w:val="auto"/>
              </w:rPr>
            </w:pPr>
            <w:r>
              <w:rPr>
                <w:rFonts w:ascii="Arial" w:cs="Arial" w:eastAsia="Arial" w:hAnsi="Arial"/>
                <w:sz w:val="18"/>
                <w:szCs w:val="18"/>
                <w:color w:val="auto"/>
                <w:w w:val="99"/>
              </w:rPr>
              <w:t>Retired. Chairman and Chief Executive Officer of McDonald's</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40"/>
              <w:spacing w:after="0" w:line="176" w:lineRule="exact"/>
              <w:rPr>
                <w:sz w:val="20"/>
                <w:szCs w:val="20"/>
                <w:color w:val="auto"/>
              </w:rPr>
            </w:pPr>
            <w:r>
              <w:rPr>
                <w:rFonts w:ascii="Arial" w:cs="Arial" w:eastAsia="Arial" w:hAnsi="Arial"/>
                <w:sz w:val="18"/>
                <w:szCs w:val="18"/>
                <w:color w:val="auto"/>
                <w:w w:val="98"/>
              </w:rPr>
              <w:t>Corporation from May, 1998 to December, 2002. A director of</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40"/>
              <w:spacing w:after="0" w:line="176" w:lineRule="exact"/>
              <w:rPr>
                <w:sz w:val="20"/>
                <w:szCs w:val="20"/>
                <w:color w:val="auto"/>
              </w:rPr>
            </w:pPr>
            <w:r>
              <w:rPr>
                <w:rFonts w:ascii="Arial" w:cs="Arial" w:eastAsia="Arial" w:hAnsi="Arial"/>
                <w:sz w:val="18"/>
                <w:szCs w:val="18"/>
                <w:color w:val="auto"/>
                <w:w w:val="94"/>
              </w:rPr>
              <w:t>Abbot Laboratories, Allstate, Hasbro and First Data Corporation.</w:t>
            </w:r>
          </w:p>
        </w:tc>
      </w:tr>
      <w:tr>
        <w:trPr>
          <w:trHeight w:val="230"/>
        </w:trPr>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0" w:type="dxa"/>
            <w:vAlign w:val="bottom"/>
            <w:gridSpan w:val="2"/>
          </w:tcPr>
          <w:p>
            <w:pPr>
              <w:ind w:left="380"/>
              <w:spacing w:after="0"/>
              <w:rPr>
                <w:sz w:val="20"/>
                <w:szCs w:val="20"/>
                <w:color w:val="auto"/>
              </w:rPr>
            </w:pPr>
            <w:r>
              <w:rPr>
                <w:rFonts w:ascii="Arial" w:cs="Arial" w:eastAsia="Arial" w:hAnsi="Arial"/>
                <w:sz w:val="18"/>
                <w:szCs w:val="18"/>
                <w:color w:val="auto"/>
              </w:rPr>
              <w:t>A director of Manpower since October, 2003.</w:t>
            </w:r>
          </w:p>
        </w:tc>
      </w:tr>
      <w:tr>
        <w:trPr>
          <w:trHeight w:val="593"/>
        </w:trPr>
        <w:tc>
          <w:tcPr>
            <w:tcW w:w="1620" w:type="dxa"/>
            <w:vAlign w:val="bottom"/>
            <w:gridSpan w:val="2"/>
          </w:tcPr>
          <w:p>
            <w:pPr>
              <w:spacing w:after="0"/>
              <w:rPr>
                <w:sz w:val="20"/>
                <w:szCs w:val="20"/>
                <w:color w:val="auto"/>
              </w:rPr>
            </w:pPr>
            <w:r>
              <w:rPr>
                <w:rFonts w:ascii="Arial" w:cs="Arial" w:eastAsia="Arial" w:hAnsi="Arial"/>
                <w:sz w:val="18"/>
                <w:szCs w:val="18"/>
                <w:color w:val="auto"/>
              </w:rPr>
              <w:t>Terry A. Hueneke</w:t>
            </w:r>
          </w:p>
        </w:tc>
        <w:tc>
          <w:tcPr>
            <w:tcW w:w="3000" w:type="dxa"/>
            <w:vAlign w:val="bottom"/>
            <w:gridSpan w:val="2"/>
          </w:tcPr>
          <w:p>
            <w:pPr>
              <w:ind w:left="2580"/>
              <w:spacing w:after="0"/>
              <w:rPr>
                <w:sz w:val="20"/>
                <w:szCs w:val="20"/>
                <w:color w:val="auto"/>
              </w:rPr>
            </w:pPr>
            <w:r>
              <w:rPr>
                <w:rFonts w:ascii="Arial" w:cs="Arial" w:eastAsia="Arial" w:hAnsi="Arial"/>
                <w:sz w:val="18"/>
                <w:szCs w:val="18"/>
                <w:color w:val="auto"/>
              </w:rPr>
              <w:t>61</w:t>
            </w:r>
          </w:p>
        </w:tc>
        <w:tc>
          <w:tcPr>
            <w:tcW w:w="5200" w:type="dxa"/>
            <w:vAlign w:val="bottom"/>
            <w:gridSpan w:val="2"/>
          </w:tcPr>
          <w:p>
            <w:pPr>
              <w:ind w:left="340"/>
              <w:spacing w:after="0"/>
              <w:rPr>
                <w:sz w:val="20"/>
                <w:szCs w:val="20"/>
                <w:color w:val="auto"/>
              </w:rPr>
            </w:pPr>
            <w:r>
              <w:rPr>
                <w:rFonts w:ascii="Arial" w:cs="Arial" w:eastAsia="Arial" w:hAnsi="Arial"/>
                <w:sz w:val="18"/>
                <w:szCs w:val="18"/>
                <w:color w:val="auto"/>
                <w:w w:val="94"/>
              </w:rPr>
              <w:t>Executive Vice President of Manpower from 1996 until February,</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40"/>
              <w:spacing w:after="0" w:line="176" w:lineRule="exact"/>
              <w:rPr>
                <w:sz w:val="20"/>
                <w:szCs w:val="20"/>
                <w:color w:val="auto"/>
              </w:rPr>
            </w:pPr>
            <w:r>
              <w:rPr>
                <w:rFonts w:ascii="Arial" w:cs="Arial" w:eastAsia="Arial" w:hAnsi="Arial"/>
                <w:sz w:val="18"/>
                <w:szCs w:val="18"/>
                <w:color w:val="auto"/>
                <w:w w:val="98"/>
              </w:rPr>
              <w:t>2002. Senior Vice President - Group Executive of Manpower's</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former principal operating subsidiary from 1987 until 1996. A</w:t>
            </w:r>
          </w:p>
        </w:tc>
      </w:tr>
      <w:tr>
        <w:trPr>
          <w:trHeight w:val="230"/>
        </w:trPr>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0" w:type="dxa"/>
            <w:vAlign w:val="bottom"/>
            <w:gridSpan w:val="2"/>
          </w:tcPr>
          <w:p>
            <w:pPr>
              <w:ind w:left="340"/>
              <w:spacing w:after="0"/>
              <w:rPr>
                <w:sz w:val="20"/>
                <w:szCs w:val="20"/>
                <w:color w:val="auto"/>
              </w:rPr>
            </w:pPr>
            <w:r>
              <w:rPr>
                <w:rFonts w:ascii="Arial" w:cs="Arial" w:eastAsia="Arial" w:hAnsi="Arial"/>
                <w:sz w:val="18"/>
                <w:szCs w:val="18"/>
                <w:color w:val="auto"/>
              </w:rPr>
              <w:t>director of Manpower for more than five years.</w:t>
            </w:r>
          </w:p>
        </w:tc>
      </w:tr>
      <w:tr>
        <w:trPr>
          <w:trHeight w:val="593"/>
        </w:trPr>
        <w:tc>
          <w:tcPr>
            <w:tcW w:w="1620" w:type="dxa"/>
            <w:vAlign w:val="bottom"/>
            <w:gridSpan w:val="2"/>
          </w:tcPr>
          <w:p>
            <w:pPr>
              <w:spacing w:after="0"/>
              <w:rPr>
                <w:sz w:val="20"/>
                <w:szCs w:val="20"/>
                <w:color w:val="auto"/>
              </w:rPr>
            </w:pPr>
            <w:r>
              <w:rPr>
                <w:rFonts w:ascii="Arial" w:cs="Arial" w:eastAsia="Arial" w:hAnsi="Arial"/>
                <w:sz w:val="18"/>
                <w:szCs w:val="18"/>
                <w:color w:val="auto"/>
                <w:w w:val="96"/>
              </w:rPr>
              <w:t>Rozanne L. Ridgway</w:t>
            </w:r>
          </w:p>
        </w:tc>
        <w:tc>
          <w:tcPr>
            <w:tcW w:w="3000" w:type="dxa"/>
            <w:vAlign w:val="bottom"/>
            <w:gridSpan w:val="2"/>
          </w:tcPr>
          <w:p>
            <w:pPr>
              <w:ind w:left="2580"/>
              <w:spacing w:after="0"/>
              <w:rPr>
                <w:sz w:val="20"/>
                <w:szCs w:val="20"/>
                <w:color w:val="auto"/>
              </w:rPr>
            </w:pPr>
            <w:r>
              <w:rPr>
                <w:rFonts w:ascii="Arial" w:cs="Arial" w:eastAsia="Arial" w:hAnsi="Arial"/>
                <w:sz w:val="18"/>
                <w:szCs w:val="18"/>
                <w:color w:val="auto"/>
              </w:rPr>
              <w:t>68</w:t>
            </w:r>
          </w:p>
        </w:tc>
        <w:tc>
          <w:tcPr>
            <w:tcW w:w="5200" w:type="dxa"/>
            <w:vAlign w:val="bottom"/>
            <w:gridSpan w:val="2"/>
          </w:tcPr>
          <w:p>
            <w:pPr>
              <w:ind w:left="380"/>
              <w:spacing w:after="0"/>
              <w:rPr>
                <w:sz w:val="20"/>
                <w:szCs w:val="20"/>
                <w:color w:val="auto"/>
              </w:rPr>
            </w:pPr>
            <w:r>
              <w:rPr>
                <w:rFonts w:ascii="Arial" w:cs="Arial" w:eastAsia="Arial" w:hAnsi="Arial"/>
                <w:sz w:val="18"/>
                <w:szCs w:val="18"/>
                <w:color w:val="auto"/>
                <w:w w:val="99"/>
              </w:rPr>
              <w:t>Non-Executive Chair, Baltic American Enterprise Fund since</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95"/>
              </w:rPr>
              <w:t>1994. Co-Chair of The Atlantic Council of the United States, an</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89"/>
              </w:rPr>
              <w:t>association to promote better understanding of international issues,</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94"/>
              </w:rPr>
              <w:t>from 1993 to 1996 and President from 1989 to 1992. A member</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rPr>
              <w:t>of the U.S. Foreign Service from 1957 to 1989, including</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96"/>
              </w:rPr>
              <w:t>assignments as Ambassador for Oceans and Fisheries Affairs,</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93"/>
              </w:rPr>
              <w:t>Ambassador to Finland, Ambassador to the German Democratic</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rPr>
              <w:t>Republic and Assistant Secretary of State for European and</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rPr>
              <w:t>Canadian Affairs. Also a director of The Boeing Company,</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94"/>
              </w:rPr>
              <w:t>Emerson Electric Co., 3M, the New Perspective Fund, Sara Lee</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91"/>
              </w:rPr>
              <w:t>Corporation, and a trustee of the National Geographic Society and</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99"/>
              </w:rPr>
              <w:t>the Center for Naval Analyses. A director of Manpower since</w:t>
            </w:r>
          </w:p>
        </w:tc>
      </w:tr>
      <w:tr>
        <w:trPr>
          <w:trHeight w:val="230"/>
        </w:trPr>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0" w:type="dxa"/>
            <w:vAlign w:val="bottom"/>
            <w:gridSpan w:val="2"/>
          </w:tcPr>
          <w:p>
            <w:pPr>
              <w:ind w:left="380"/>
              <w:spacing w:after="0"/>
              <w:rPr>
                <w:sz w:val="20"/>
                <w:szCs w:val="20"/>
                <w:color w:val="auto"/>
              </w:rPr>
            </w:pPr>
            <w:r>
              <w:rPr>
                <w:rFonts w:ascii="Arial" w:cs="Arial" w:eastAsia="Arial" w:hAnsi="Arial"/>
                <w:sz w:val="18"/>
                <w:szCs w:val="18"/>
                <w:color w:val="auto"/>
              </w:rPr>
              <w:t>February, 2002.</w:t>
            </w:r>
          </w:p>
        </w:tc>
      </w:tr>
      <w:tr>
        <w:trPr>
          <w:trHeight w:val="593"/>
        </w:trPr>
        <w:tc>
          <w:tcPr>
            <w:tcW w:w="1620" w:type="dxa"/>
            <w:vAlign w:val="bottom"/>
            <w:gridSpan w:val="2"/>
          </w:tcPr>
          <w:p>
            <w:pPr>
              <w:spacing w:after="0"/>
              <w:rPr>
                <w:sz w:val="20"/>
                <w:szCs w:val="20"/>
                <w:color w:val="auto"/>
              </w:rPr>
            </w:pPr>
            <w:r>
              <w:rPr>
                <w:rFonts w:ascii="Arial" w:cs="Arial" w:eastAsia="Arial" w:hAnsi="Arial"/>
                <w:sz w:val="18"/>
                <w:szCs w:val="18"/>
                <w:color w:val="auto"/>
              </w:rPr>
              <w:t>Dennis Stevenson</w:t>
            </w:r>
          </w:p>
        </w:tc>
        <w:tc>
          <w:tcPr>
            <w:tcW w:w="3000" w:type="dxa"/>
            <w:vAlign w:val="bottom"/>
            <w:gridSpan w:val="2"/>
          </w:tcPr>
          <w:p>
            <w:pPr>
              <w:ind w:left="2580"/>
              <w:spacing w:after="0"/>
              <w:rPr>
                <w:sz w:val="20"/>
                <w:szCs w:val="20"/>
                <w:color w:val="auto"/>
              </w:rPr>
            </w:pPr>
            <w:r>
              <w:rPr>
                <w:rFonts w:ascii="Arial" w:cs="Arial" w:eastAsia="Arial" w:hAnsi="Arial"/>
                <w:sz w:val="18"/>
                <w:szCs w:val="18"/>
                <w:color w:val="auto"/>
              </w:rPr>
              <w:t>57</w:t>
            </w:r>
          </w:p>
        </w:tc>
        <w:tc>
          <w:tcPr>
            <w:tcW w:w="5200" w:type="dxa"/>
            <w:vAlign w:val="bottom"/>
            <w:gridSpan w:val="2"/>
          </w:tcPr>
          <w:p>
            <w:pPr>
              <w:ind w:left="380"/>
              <w:spacing w:after="0"/>
              <w:rPr>
                <w:sz w:val="20"/>
                <w:szCs w:val="20"/>
                <w:color w:val="auto"/>
              </w:rPr>
            </w:pPr>
            <w:r>
              <w:rPr>
                <w:rFonts w:ascii="Arial" w:cs="Arial" w:eastAsia="Arial" w:hAnsi="Arial"/>
                <w:sz w:val="18"/>
                <w:szCs w:val="18"/>
                <w:color w:val="auto"/>
                <w:w w:val="91"/>
              </w:rPr>
              <w:t>Chairman of Pearson plc, a multimedia company and Chairman of</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rPr>
              <w:t>HBOS plc, a banking institution. A director of Manpower for</w:t>
            </w:r>
          </w:p>
        </w:tc>
      </w:tr>
      <w:tr>
        <w:trPr>
          <w:trHeight w:val="230"/>
        </w:trPr>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0" w:type="dxa"/>
            <w:vAlign w:val="bottom"/>
            <w:gridSpan w:val="2"/>
          </w:tcPr>
          <w:p>
            <w:pPr>
              <w:ind w:left="380"/>
              <w:spacing w:after="0"/>
              <w:rPr>
                <w:sz w:val="20"/>
                <w:szCs w:val="20"/>
                <w:color w:val="auto"/>
              </w:rPr>
            </w:pPr>
            <w:r>
              <w:rPr>
                <w:rFonts w:ascii="Arial" w:cs="Arial" w:eastAsia="Arial" w:hAnsi="Arial"/>
                <w:sz w:val="18"/>
                <w:szCs w:val="18"/>
                <w:color w:val="auto"/>
              </w:rPr>
              <w:t>more than five years.</w:t>
            </w:r>
          </w:p>
        </w:tc>
      </w:tr>
      <w:tr>
        <w:trPr>
          <w:trHeight w:val="593"/>
        </w:trPr>
        <w:tc>
          <w:tcPr>
            <w:tcW w:w="1620" w:type="dxa"/>
            <w:vAlign w:val="bottom"/>
            <w:gridSpan w:val="2"/>
          </w:tcPr>
          <w:p>
            <w:pPr>
              <w:spacing w:after="0"/>
              <w:rPr>
                <w:sz w:val="20"/>
                <w:szCs w:val="20"/>
                <w:color w:val="auto"/>
              </w:rPr>
            </w:pPr>
            <w:r>
              <w:rPr>
                <w:rFonts w:ascii="Arial" w:cs="Arial" w:eastAsia="Arial" w:hAnsi="Arial"/>
                <w:sz w:val="18"/>
                <w:szCs w:val="18"/>
                <w:color w:val="auto"/>
              </w:rPr>
              <w:t>John R. Walter</w:t>
            </w:r>
          </w:p>
        </w:tc>
        <w:tc>
          <w:tcPr>
            <w:tcW w:w="3000" w:type="dxa"/>
            <w:vAlign w:val="bottom"/>
            <w:gridSpan w:val="2"/>
          </w:tcPr>
          <w:p>
            <w:pPr>
              <w:ind w:left="2580"/>
              <w:spacing w:after="0"/>
              <w:rPr>
                <w:sz w:val="20"/>
                <w:szCs w:val="20"/>
                <w:color w:val="auto"/>
              </w:rPr>
            </w:pPr>
            <w:r>
              <w:rPr>
                <w:rFonts w:ascii="Arial" w:cs="Arial" w:eastAsia="Arial" w:hAnsi="Arial"/>
                <w:sz w:val="18"/>
                <w:szCs w:val="18"/>
                <w:color w:val="auto"/>
              </w:rPr>
              <w:t>56</w:t>
            </w:r>
          </w:p>
        </w:tc>
        <w:tc>
          <w:tcPr>
            <w:tcW w:w="5200" w:type="dxa"/>
            <w:vAlign w:val="bottom"/>
            <w:gridSpan w:val="2"/>
          </w:tcPr>
          <w:p>
            <w:pPr>
              <w:ind w:left="380"/>
              <w:spacing w:after="0"/>
              <w:rPr>
                <w:sz w:val="20"/>
                <w:szCs w:val="20"/>
                <w:color w:val="auto"/>
              </w:rPr>
            </w:pPr>
            <w:r>
              <w:rPr>
                <w:rFonts w:ascii="Arial" w:cs="Arial" w:eastAsia="Arial" w:hAnsi="Arial"/>
                <w:sz w:val="18"/>
                <w:szCs w:val="18"/>
                <w:color w:val="auto"/>
                <w:w w:val="98"/>
              </w:rPr>
              <w:t>Retired. President and Chief Operating Officer of AT&amp;T Corp.</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97"/>
              </w:rPr>
              <w:t>from November, 1996 to July, 1997. Chairman, President and</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97"/>
              </w:rPr>
              <w:t>Chief Executive Officer of R.R. Donnelley &amp; Sons Company, a</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rPr>
              <w:t>print and digital information management, reproduction and</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93"/>
              </w:rPr>
              <w:t>distribution company, from 1989 through 1996. Also a director of</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rPr>
              <w:t>Abbott Laboratories, Deere &amp; Company, Applied Graphics</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96"/>
              </w:rPr>
              <w:t>Technologies and SNP Corporation of Singapore. A director of</w:t>
            </w:r>
          </w:p>
        </w:tc>
      </w:tr>
      <w:tr>
        <w:trPr>
          <w:trHeight w:val="230"/>
        </w:trPr>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0" w:type="dxa"/>
            <w:vAlign w:val="bottom"/>
            <w:gridSpan w:val="2"/>
          </w:tcPr>
          <w:p>
            <w:pPr>
              <w:ind w:left="380"/>
              <w:spacing w:after="0"/>
              <w:rPr>
                <w:sz w:val="20"/>
                <w:szCs w:val="20"/>
                <w:color w:val="auto"/>
              </w:rPr>
            </w:pPr>
            <w:r>
              <w:rPr>
                <w:rFonts w:ascii="Arial" w:cs="Arial" w:eastAsia="Arial" w:hAnsi="Arial"/>
                <w:sz w:val="18"/>
                <w:szCs w:val="18"/>
                <w:color w:val="auto"/>
              </w:rPr>
              <w:t>Manpower since October, 1998.</w:t>
            </w:r>
          </w:p>
        </w:tc>
      </w:tr>
      <w:tr>
        <w:trPr>
          <w:trHeight w:val="593"/>
        </w:trPr>
        <w:tc>
          <w:tcPr>
            <w:tcW w:w="1620" w:type="dxa"/>
            <w:vAlign w:val="bottom"/>
            <w:gridSpan w:val="2"/>
          </w:tcPr>
          <w:p>
            <w:pPr>
              <w:spacing w:after="0"/>
              <w:rPr>
                <w:sz w:val="20"/>
                <w:szCs w:val="20"/>
                <w:color w:val="auto"/>
              </w:rPr>
            </w:pPr>
            <w:r>
              <w:rPr>
                <w:rFonts w:ascii="Arial" w:cs="Arial" w:eastAsia="Arial" w:hAnsi="Arial"/>
                <w:sz w:val="18"/>
                <w:szCs w:val="18"/>
                <w:color w:val="auto"/>
              </w:rPr>
              <w:t>Edward J. Zore</w:t>
            </w:r>
          </w:p>
        </w:tc>
        <w:tc>
          <w:tcPr>
            <w:tcW w:w="3000" w:type="dxa"/>
            <w:vAlign w:val="bottom"/>
            <w:gridSpan w:val="2"/>
          </w:tcPr>
          <w:p>
            <w:pPr>
              <w:ind w:left="2580"/>
              <w:spacing w:after="0"/>
              <w:rPr>
                <w:sz w:val="20"/>
                <w:szCs w:val="20"/>
                <w:color w:val="auto"/>
              </w:rPr>
            </w:pPr>
            <w:r>
              <w:rPr>
                <w:rFonts w:ascii="Arial" w:cs="Arial" w:eastAsia="Arial" w:hAnsi="Arial"/>
                <w:sz w:val="18"/>
                <w:szCs w:val="18"/>
                <w:color w:val="auto"/>
              </w:rPr>
              <w:t>58</w:t>
            </w:r>
          </w:p>
        </w:tc>
        <w:tc>
          <w:tcPr>
            <w:tcW w:w="5200" w:type="dxa"/>
            <w:vAlign w:val="bottom"/>
            <w:gridSpan w:val="2"/>
          </w:tcPr>
          <w:p>
            <w:pPr>
              <w:ind w:left="380"/>
              <w:spacing w:after="0"/>
              <w:rPr>
                <w:sz w:val="20"/>
                <w:szCs w:val="20"/>
                <w:color w:val="auto"/>
              </w:rPr>
            </w:pPr>
            <w:r>
              <w:rPr>
                <w:rFonts w:ascii="Arial" w:cs="Arial" w:eastAsia="Arial" w:hAnsi="Arial"/>
                <w:sz w:val="18"/>
                <w:szCs w:val="18"/>
                <w:color w:val="auto"/>
              </w:rPr>
              <w:t>President and Chief Executive Officer of The Northwestern</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99"/>
              </w:rPr>
              <w:t>Mutual Life Insurance Company, the nation's largest seller of</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rPr>
              <w:t>individual life insurance, since June, 2001. President of</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93"/>
              </w:rPr>
              <w:t>Northwestern Mutual from March, 2000 to June, 2001. Executive</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rPr>
              <w:t>Vice President, Life and Disability Income Insurance, of</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rPr>
              <w:t>Northwestern Mutual from 1998 to 2000. Executive Vice</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92"/>
              </w:rPr>
              <w:t>President, Chief Financial Officer and Chief Investment Officer of</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rPr>
              <w:t>Northwestern Mutual from 1995 to 1998. Prior thereto, Chief</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97"/>
              </w:rPr>
              <w:t>Investment Officer and Senior Vice President of Northwestern</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94"/>
              </w:rPr>
              <w:t>Mutual. Also a Trustee of Northwestern Mutual and a Director of</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0" w:type="dxa"/>
            <w:vAlign w:val="bottom"/>
            <w:gridSpan w:val="2"/>
          </w:tcPr>
          <w:p>
            <w:pPr>
              <w:ind w:left="380"/>
              <w:spacing w:after="0" w:line="176" w:lineRule="exact"/>
              <w:rPr>
                <w:sz w:val="20"/>
                <w:szCs w:val="20"/>
                <w:color w:val="auto"/>
              </w:rPr>
            </w:pPr>
            <w:r>
              <w:rPr>
                <w:rFonts w:ascii="Arial" w:cs="Arial" w:eastAsia="Arial" w:hAnsi="Arial"/>
                <w:sz w:val="18"/>
                <w:szCs w:val="18"/>
                <w:color w:val="auto"/>
                <w:w w:val="93"/>
              </w:rPr>
              <w:t>Northwestern Mutual Series Fund, Inc. and Mason Street Funds,</w:t>
            </w:r>
          </w:p>
        </w:tc>
      </w:tr>
      <w:tr>
        <w:trPr>
          <w:trHeight w:val="230"/>
        </w:trPr>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0" w:type="dxa"/>
            <w:vAlign w:val="bottom"/>
            <w:gridSpan w:val="2"/>
          </w:tcPr>
          <w:p>
            <w:pPr>
              <w:ind w:left="380"/>
              <w:spacing w:after="0"/>
              <w:rPr>
                <w:sz w:val="20"/>
                <w:szCs w:val="20"/>
                <w:color w:val="auto"/>
              </w:rPr>
            </w:pPr>
            <w:r>
              <w:rPr>
                <w:rFonts w:ascii="Arial" w:cs="Arial" w:eastAsia="Arial" w:hAnsi="Arial"/>
                <w:sz w:val="18"/>
                <w:szCs w:val="18"/>
                <w:color w:val="auto"/>
              </w:rPr>
              <w:t>Inc. A director of Manpower since July, 2000.</w:t>
            </w:r>
          </w:p>
        </w:tc>
      </w:tr>
      <w:tr>
        <w:trPr>
          <w:trHeight w:val="728"/>
        </w:trPr>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 INDEX</w:t>
            </w:r>
          </w:p>
        </w:tc>
      </w:tr>
      <w:tr>
        <w:trPr>
          <w:trHeight w:val="810"/>
        </w:trPr>
        <w:tc>
          <w:tcPr>
            <w:tcW w:w="800" w:type="dxa"/>
            <w:vAlign w:val="bottom"/>
          </w:tcPr>
          <w:p>
            <w:pPr>
              <w:spacing w:after="0"/>
              <w:rPr>
                <w:sz w:val="20"/>
                <w:szCs w:val="20"/>
                <w:color w:val="auto"/>
              </w:rPr>
            </w:pPr>
            <w:r>
              <w:rPr>
                <w:rFonts w:ascii="Arial" w:cs="Arial" w:eastAsia="Arial" w:hAnsi="Arial"/>
                <w:sz w:val="18"/>
                <w:szCs w:val="18"/>
                <w:color w:val="auto"/>
                <w:w w:val="95"/>
              </w:rPr>
              <w:t>Exhibit No</w:t>
            </w:r>
          </w:p>
        </w:tc>
        <w:tc>
          <w:tcPr>
            <w:tcW w:w="8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820" w:type="dxa"/>
            <w:vAlign w:val="bottom"/>
          </w:tcPr>
          <w:p>
            <w:pPr>
              <w:spacing w:after="0"/>
              <w:rPr>
                <w:sz w:val="24"/>
                <w:szCs w:val="24"/>
                <w:color w:val="auto"/>
              </w:rPr>
            </w:pPr>
          </w:p>
        </w:tc>
        <w:tc>
          <w:tcPr>
            <w:tcW w:w="8200" w:type="dxa"/>
            <w:vAlign w:val="bottom"/>
            <w:gridSpan w:val="4"/>
          </w:tcPr>
          <w:p>
            <w:pPr>
              <w:ind w:left="120"/>
              <w:spacing w:after="0"/>
              <w:rPr>
                <w:sz w:val="20"/>
                <w:szCs w:val="20"/>
                <w:color w:val="auto"/>
              </w:rPr>
            </w:pPr>
            <w:r>
              <w:rPr>
                <w:rFonts w:ascii="Arial" w:cs="Arial" w:eastAsia="Arial" w:hAnsi="Arial"/>
                <w:sz w:val="18"/>
                <w:szCs w:val="18"/>
                <w:color w:val="auto"/>
              </w:rPr>
              <w:t>Agreement and Plan of Merger among Right Management Consultants, Inc.,</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Manpower Inc. and Hoosier Acquisition Corp. dated as of December 10, 2003,</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incorporated by reference to Manpower's Current Report on Form 8-K dated</w:t>
            </w:r>
          </w:p>
        </w:tc>
      </w:tr>
      <w:tr>
        <w:trPr>
          <w:trHeight w:val="230"/>
        </w:trPr>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0" w:type="dxa"/>
            <w:vAlign w:val="bottom"/>
            <w:gridSpan w:val="2"/>
          </w:tcPr>
          <w:p>
            <w:pPr>
              <w:ind w:left="120"/>
              <w:spacing w:after="0"/>
              <w:rPr>
                <w:sz w:val="20"/>
                <w:szCs w:val="20"/>
                <w:color w:val="auto"/>
              </w:rPr>
            </w:pPr>
            <w:r>
              <w:rPr>
                <w:rFonts w:ascii="Arial" w:cs="Arial" w:eastAsia="Arial" w:hAnsi="Arial"/>
                <w:sz w:val="18"/>
                <w:szCs w:val="18"/>
                <w:color w:val="auto"/>
              </w:rPr>
              <w:t>December 12, 2003</w:t>
            </w:r>
          </w:p>
        </w:tc>
        <w:tc>
          <w:tcPr>
            <w:tcW w:w="52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99.2</w:t>
            </w:r>
          </w:p>
        </w:tc>
        <w:tc>
          <w:tcPr>
            <w:tcW w:w="820" w:type="dxa"/>
            <w:vAlign w:val="bottom"/>
          </w:tcPr>
          <w:p>
            <w:pPr>
              <w:spacing w:after="0"/>
              <w:rPr>
                <w:sz w:val="24"/>
                <w:szCs w:val="24"/>
                <w:color w:val="auto"/>
              </w:rPr>
            </w:pPr>
          </w:p>
        </w:tc>
        <w:tc>
          <w:tcPr>
            <w:tcW w:w="8200" w:type="dxa"/>
            <w:vAlign w:val="bottom"/>
            <w:gridSpan w:val="4"/>
          </w:tcPr>
          <w:p>
            <w:pPr>
              <w:ind w:left="120"/>
              <w:spacing w:after="0"/>
              <w:rPr>
                <w:sz w:val="20"/>
                <w:szCs w:val="20"/>
                <w:color w:val="auto"/>
              </w:rPr>
            </w:pPr>
            <w:r>
              <w:rPr>
                <w:rFonts w:ascii="Arial" w:cs="Arial" w:eastAsia="Arial" w:hAnsi="Arial"/>
                <w:sz w:val="18"/>
                <w:szCs w:val="18"/>
                <w:color w:val="auto"/>
              </w:rPr>
              <w:t>Tender and Voting Agreement dated as of December 10, 2003 between Manpower</w:t>
            </w:r>
          </w:p>
        </w:tc>
      </w:tr>
      <w:tr>
        <w:trPr>
          <w:trHeight w:val="176"/>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Inc. and each of the shareholders listed on Schedule I thereto, incorporated by</w:t>
            </w:r>
          </w:p>
        </w:tc>
      </w:tr>
      <w:tr>
        <w:trPr>
          <w:trHeight w:val="230"/>
        </w:trPr>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0" w:type="dxa"/>
            <w:vAlign w:val="bottom"/>
            <w:gridSpan w:val="4"/>
          </w:tcPr>
          <w:p>
            <w:pPr>
              <w:ind w:left="120"/>
              <w:spacing w:after="0"/>
              <w:rPr>
                <w:sz w:val="20"/>
                <w:szCs w:val="20"/>
                <w:color w:val="auto"/>
              </w:rPr>
            </w:pPr>
            <w:r>
              <w:rPr>
                <w:rFonts w:ascii="Arial" w:cs="Arial" w:eastAsia="Arial" w:hAnsi="Arial"/>
                <w:sz w:val="18"/>
                <w:szCs w:val="18"/>
                <w:color w:val="auto"/>
              </w:rPr>
              <w:t>reference to Manpower's Current Report on Form 8-K dated December 12, 2003</w:t>
            </w:r>
          </w:p>
        </w:tc>
      </w:tr>
    </w:tbl>
    <w:p>
      <w:pPr>
        <w:spacing w:after="0" w:line="1" w:lineRule="exact"/>
        <w:rPr>
          <w:sz w:val="20"/>
          <w:szCs w:val="20"/>
          <w:color w:val="auto"/>
        </w:rPr>
      </w:pPr>
    </w:p>
    <w:sectPr>
      <w:pgSz w:w="11900" w:h="16838" w:orient="portrait"/>
      <w:cols w:equalWidth="0" w:num="1">
        <w:col w:w="10059"/>
      </w:cols>
      <w:pgMar w:left="400" w:top="81" w:right="1440" w:bottom="111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3"/>
      <w:numFmt w:val="bullet"/>
      <w:start w:val="1"/>
    </w:lvl>
  </w:abstractNum>
  <w:abstractNum w:abstractNumId="3">
    <w:nsid w:val="4DB127F8"/>
    <w:multiLevelType w:val="hybridMultilevel"/>
    <w:lvl w:ilvl="0">
      <w:lvlJc w:val="left"/>
      <w:lvlText w:val="4"/>
      <w:numFmt w:val="bullet"/>
      <w:start w:val="1"/>
    </w:lvl>
  </w:abstractNum>
  <w:abstractNum w:abstractNumId="4">
    <w:nsid w:val="216231B"/>
    <w:multiLevelType w:val="hybridMultilevel"/>
    <w:lvl w:ilvl="0">
      <w:lvlJc w:val="left"/>
      <w:lvlText w:val="5"/>
      <w:numFmt w:val="bullet"/>
      <w:start w:val="1"/>
    </w:lvl>
  </w:abstractNum>
  <w:abstractNum w:abstractNumId="5">
    <w:nsid w:val="1F16E9E8"/>
    <w:multiLevelType w:val="hybridMultilevel"/>
    <w:lvl w:ilvl="0">
      <w:lvlJc w:val="left"/>
      <w:lvlText w:val="%1"/>
      <w:numFmt w:val="decimal"/>
      <w:start w:val="12"/>
    </w:lvl>
  </w:abstractNum>
  <w:abstractNum w:abstractNumId="6">
    <w:nsid w:val="1190CDE7"/>
    <w:multiLevelType w:val="hybridMultilevel"/>
    <w:lvl w:ilvl="0">
      <w:lvlJc w:val="left"/>
      <w:lvlText w:val="%1"/>
      <w:numFmt w:val="decimal"/>
      <w:start w:val="14"/>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3"/>
    </w:lvl>
  </w:abstractNum>
  <w:abstractNum w:abstractNumId="10">
    <w:nsid w:val="109CF92E"/>
    <w:multiLevelType w:val="hybridMultilevel"/>
    <w:lvl w:ilvl="0">
      <w:lvlJc w:val="left"/>
      <w:lvlText w:val="(%1)"/>
      <w:numFmt w:val="lowerLetter"/>
      <w:start w:val="6"/>
    </w:lvl>
  </w:abstractNum>
  <w:abstractNum w:abstractNumId="11">
    <w:nsid w:val="DED7263"/>
    <w:multiLevelType w:val="hybridMultilevel"/>
    <w:lvl w:ilvl="0">
      <w:lvlJc w:val="left"/>
      <w:lvlText w:val="(%1)"/>
      <w:numFmt w:val="lowerLetter"/>
      <w:start w:val="3"/>
    </w:lvl>
  </w:abstractNum>
  <w:abstractNum w:abstractNumId="12">
    <w:nsid w:val="7FDCC233"/>
    <w:multiLevelType w:val="hybridMultilevel"/>
    <w:lvl w:ilvl="0">
      <w:lvlJc w:val="left"/>
      <w:lvlText w:val="(%1)"/>
      <w:numFmt w:val="lowerLetter"/>
      <w:start w:val="4"/>
    </w:lvl>
  </w:abstractNum>
  <w:abstractNum w:abstractNumId="13">
    <w:nsid w:val="1BEFD79F"/>
    <w:multiLevelType w:val="hybridMultilevel"/>
    <w:lvl w:ilvl="0">
      <w:lvlJc w:val="left"/>
      <w:lvlText w:val="(%1)"/>
      <w:numFmt w:val="lowerLetter"/>
      <w:start w:val="5"/>
    </w:lvl>
  </w:abstractNum>
  <w:abstractNum w:abstractNumId="14">
    <w:nsid w:val="41A7C4C9"/>
    <w:multiLevelType w:val="hybridMultilevel"/>
    <w:lvl w:ilvl="0">
      <w:lvlJc w:val="left"/>
      <w:lvlText w:val="(%1)"/>
      <w:numFmt w:val="lowerLetter"/>
      <w:start w:val="10"/>
    </w:lvl>
  </w:abstractNum>
  <w:abstractNum w:abstractNumId="15">
    <w:nsid w:val="6B68079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2019-12-16T07:49:59Z</dcterms:created>
  <dcterms:modified xsi:type="dcterms:W3CDTF">2019-12-16T07:49:59Z</dcterms:modified>
</cp:coreProperties>
</file>