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8"/>
          <w:szCs w:val="28"/>
          <w:b w:val="1"/>
          <w:bCs w:val="1"/>
          <w:color w:val="auto"/>
        </w:rPr>
        <w:t>UNITED STATES</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FORM 8-K</w:t>
      </w:r>
    </w:p>
    <w:p>
      <w:pPr>
        <w:spacing w:after="0" w:line="1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CURRENT REPORT</w:t>
      </w:r>
    </w:p>
    <w:p>
      <w:pPr>
        <w:spacing w:after="0" w:line="1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Section 13 or 15(d) of the Securities Exchange Act of 1934</w:t>
      </w:r>
    </w:p>
    <w:p>
      <w:pPr>
        <w:spacing w:after="0" w:line="1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Date of Report (Date of earliest event reported): April 18, 2024</w:t>
      </w:r>
    </w:p>
    <w:p>
      <w:pPr>
        <w:spacing w:after="0" w:line="1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8"/>
          <w:szCs w:val="38"/>
          <w:b w:val="1"/>
          <w:bCs w:val="1"/>
          <w:color w:val="auto"/>
        </w:rPr>
        <w:t>MANPOWERGROUP INC.</w:t>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214"/>
        </w:trPr>
        <w:tc>
          <w:tcPr>
            <w:tcW w:w="4360" w:type="dxa"/>
            <w:vAlign w:val="bottom"/>
            <w:gridSpan w:val="3"/>
          </w:tcPr>
          <w:p>
            <w:pPr>
              <w:jc w:val="center"/>
              <w:ind w:right="760"/>
              <w:spacing w:after="0"/>
              <w:rPr>
                <w:sz w:val="20"/>
                <w:szCs w:val="20"/>
                <w:color w:val="auto"/>
              </w:rPr>
            </w:pPr>
            <w:r>
              <w:rPr>
                <w:rFonts w:ascii="Times New Roman" w:cs="Times New Roman" w:eastAsia="Times New Roman" w:hAnsi="Times New Roman"/>
                <w:sz w:val="16"/>
                <w:szCs w:val="16"/>
                <w:b w:val="1"/>
                <w:bCs w:val="1"/>
                <w:color w:val="auto"/>
                <w:w w:val="96"/>
              </w:rPr>
              <w:t>Wisconsin</w:t>
            </w:r>
          </w:p>
        </w:tc>
        <w:tc>
          <w:tcPr>
            <w:tcW w:w="3080" w:type="dxa"/>
            <w:vAlign w:val="bottom"/>
            <w:gridSpan w:val="3"/>
          </w:tcPr>
          <w:p>
            <w:pPr>
              <w:jc w:val="right"/>
              <w:ind w:right="1540"/>
              <w:spacing w:after="0"/>
              <w:rPr>
                <w:sz w:val="20"/>
                <w:szCs w:val="20"/>
                <w:color w:val="auto"/>
              </w:rPr>
            </w:pPr>
            <w:r>
              <w:rPr>
                <w:rFonts w:ascii="Times New Roman" w:cs="Times New Roman" w:eastAsia="Times New Roman" w:hAnsi="Times New Roman"/>
                <w:sz w:val="16"/>
                <w:szCs w:val="16"/>
                <w:b w:val="1"/>
                <w:bCs w:val="1"/>
                <w:color w:val="auto"/>
              </w:rPr>
              <w:t>1-10686</w:t>
            </w:r>
          </w:p>
        </w:tc>
        <w:tc>
          <w:tcPr>
            <w:tcW w:w="3820" w:type="dxa"/>
            <w:vAlign w:val="bottom"/>
            <w:gridSpan w:val="2"/>
          </w:tcPr>
          <w:p>
            <w:pPr>
              <w:jc w:val="right"/>
              <w:ind w:right="1341"/>
              <w:spacing w:after="0"/>
              <w:rPr>
                <w:sz w:val="20"/>
                <w:szCs w:val="20"/>
                <w:color w:val="auto"/>
              </w:rPr>
            </w:pPr>
            <w:r>
              <w:rPr>
                <w:rFonts w:ascii="Times New Roman" w:cs="Times New Roman" w:eastAsia="Times New Roman" w:hAnsi="Times New Roman"/>
                <w:sz w:val="16"/>
                <w:szCs w:val="16"/>
                <w:b w:val="1"/>
                <w:bCs w:val="1"/>
                <w:color w:val="auto"/>
              </w:rPr>
              <w:t>39-1672779</w:t>
            </w:r>
          </w:p>
        </w:tc>
      </w:tr>
      <w:tr>
        <w:trPr>
          <w:trHeight w:val="206"/>
        </w:trPr>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(State or other jurisdiction of incorporation)</w:t>
            </w:r>
          </w:p>
        </w:tc>
        <w:tc>
          <w:tcPr>
            <w:tcW w:w="240" w:type="dxa"/>
            <w:vAlign w:val="bottom"/>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3080" w:type="dxa"/>
            <w:vAlign w:val="bottom"/>
            <w:tcBorders>
              <w:top w:val="single" w:sz="8" w:color="auto"/>
            </w:tcBorders>
            <w:gridSpan w:val="3"/>
          </w:tcPr>
          <w:p>
            <w:pPr>
              <w:jc w:val="center"/>
              <w:ind w:right="520"/>
              <w:spacing w:after="0"/>
              <w:rPr>
                <w:sz w:val="20"/>
                <w:szCs w:val="20"/>
                <w:color w:val="auto"/>
              </w:rPr>
            </w:pPr>
            <w:r>
              <w:rPr>
                <w:rFonts w:ascii="Times New Roman" w:cs="Times New Roman" w:eastAsia="Times New Roman" w:hAnsi="Times New Roman"/>
                <w:sz w:val="16"/>
                <w:szCs w:val="16"/>
                <w:b w:val="1"/>
                <w:bCs w:val="1"/>
                <w:color w:val="auto"/>
                <w:w w:val="99"/>
              </w:rPr>
              <w:t>(Commission File Number)</w:t>
            </w:r>
          </w:p>
        </w:tc>
        <w:tc>
          <w:tcPr>
            <w:tcW w:w="220" w:type="dxa"/>
            <w:vAlign w:val="bottom"/>
          </w:tcPr>
          <w:p>
            <w:pPr>
              <w:spacing w:after="0"/>
              <w:rPr>
                <w:sz w:val="17"/>
                <w:szCs w:val="17"/>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(IRS Employer Identification No.)</w:t>
            </w:r>
          </w:p>
        </w:tc>
      </w:tr>
      <w:tr>
        <w:trPr>
          <w:trHeight w:val="336"/>
        </w:trPr>
        <w:tc>
          <w:tcPr>
            <w:tcW w:w="4360" w:type="dxa"/>
            <w:vAlign w:val="bottom"/>
            <w:gridSpan w:val="3"/>
          </w:tcPr>
          <w:p>
            <w:pPr>
              <w:jc w:val="center"/>
              <w:ind w:left="961"/>
              <w:spacing w:after="0"/>
              <w:rPr>
                <w:sz w:val="20"/>
                <w:szCs w:val="20"/>
                <w:color w:val="auto"/>
              </w:rPr>
            </w:pPr>
            <w:r>
              <w:rPr>
                <w:rFonts w:ascii="Times New Roman" w:cs="Times New Roman" w:eastAsia="Times New Roman" w:hAnsi="Times New Roman"/>
                <w:sz w:val="16"/>
                <w:szCs w:val="16"/>
                <w:b w:val="1"/>
                <w:bCs w:val="1"/>
                <w:color w:val="auto"/>
                <w:w w:val="97"/>
              </w:rPr>
              <w:t>100 Manpower Place</w:t>
            </w: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18"/>
        </w:trPr>
        <w:tc>
          <w:tcPr>
            <w:tcW w:w="4360" w:type="dxa"/>
            <w:vAlign w:val="bottom"/>
            <w:tcBorders>
              <w:bottom w:val="single" w:sz="8" w:color="auto"/>
            </w:tcBorders>
            <w:gridSpan w:val="3"/>
          </w:tcPr>
          <w:p>
            <w:pPr>
              <w:jc w:val="center"/>
              <w:ind w:left="961"/>
              <w:spacing w:after="0"/>
              <w:rPr>
                <w:sz w:val="20"/>
                <w:szCs w:val="20"/>
                <w:color w:val="auto"/>
              </w:rPr>
            </w:pPr>
            <w:r>
              <w:rPr>
                <w:rFonts w:ascii="Times New Roman" w:cs="Times New Roman" w:eastAsia="Times New Roman" w:hAnsi="Times New Roman"/>
                <w:sz w:val="16"/>
                <w:szCs w:val="16"/>
                <w:b w:val="1"/>
                <w:bCs w:val="1"/>
                <w:color w:val="auto"/>
                <w:w w:val="98"/>
              </w:rPr>
              <w:t>Milwaukee, Wisconsin</w:t>
            </w:r>
          </w:p>
        </w:tc>
        <w:tc>
          <w:tcPr>
            <w:tcW w:w="1040" w:type="dxa"/>
            <w:vAlign w:val="bottom"/>
            <w:tcBorders>
              <w:bottom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3820" w:type="dxa"/>
            <w:vAlign w:val="bottom"/>
            <w:tcBorders>
              <w:bottom w:val="single" w:sz="8" w:color="auto"/>
            </w:tcBorders>
            <w:gridSpan w:val="2"/>
          </w:tcPr>
          <w:p>
            <w:pPr>
              <w:jc w:val="right"/>
              <w:ind w:right="2421"/>
              <w:spacing w:after="0"/>
              <w:rPr>
                <w:sz w:val="20"/>
                <w:szCs w:val="20"/>
                <w:color w:val="auto"/>
              </w:rPr>
            </w:pPr>
            <w:r>
              <w:rPr>
                <w:rFonts w:ascii="Times New Roman" w:cs="Times New Roman" w:eastAsia="Times New Roman" w:hAnsi="Times New Roman"/>
                <w:sz w:val="16"/>
                <w:szCs w:val="16"/>
                <w:b w:val="1"/>
                <w:bCs w:val="1"/>
                <w:color w:val="auto"/>
              </w:rPr>
              <w:t>53212</w:t>
            </w:r>
          </w:p>
        </w:tc>
      </w:tr>
      <w:tr>
        <w:trPr>
          <w:trHeight w:val="206"/>
        </w:trPr>
        <w:tc>
          <w:tcPr>
            <w:tcW w:w="4360" w:type="dxa"/>
            <w:vAlign w:val="bottom"/>
            <w:gridSpan w:val="3"/>
          </w:tcPr>
          <w:p>
            <w:pPr>
              <w:jc w:val="center"/>
              <w:ind w:left="961"/>
              <w:spacing w:after="0"/>
              <w:rPr>
                <w:sz w:val="20"/>
                <w:szCs w:val="20"/>
                <w:color w:val="auto"/>
              </w:rPr>
            </w:pPr>
            <w:r>
              <w:rPr>
                <w:rFonts w:ascii="Times New Roman" w:cs="Times New Roman" w:eastAsia="Times New Roman" w:hAnsi="Times New Roman"/>
                <w:sz w:val="16"/>
                <w:szCs w:val="16"/>
                <w:b w:val="1"/>
                <w:bCs w:val="1"/>
                <w:color w:val="auto"/>
                <w:w w:val="98"/>
              </w:rPr>
              <w:t>(Address of principal executive offices)</w:t>
            </w:r>
          </w:p>
        </w:tc>
        <w:tc>
          <w:tcPr>
            <w:tcW w:w="10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0" w:type="dxa"/>
            <w:vAlign w:val="bottom"/>
          </w:tcPr>
          <w:p>
            <w:pPr>
              <w:jc w:val="center"/>
              <w:ind w:right="1721"/>
              <w:spacing w:after="0"/>
              <w:rPr>
                <w:sz w:val="20"/>
                <w:szCs w:val="20"/>
                <w:color w:val="auto"/>
              </w:rPr>
            </w:pPr>
            <w:r>
              <w:rPr>
                <w:rFonts w:ascii="Times New Roman" w:cs="Times New Roman" w:eastAsia="Times New Roman" w:hAnsi="Times New Roman"/>
                <w:sz w:val="16"/>
                <w:szCs w:val="16"/>
                <w:b w:val="1"/>
                <w:bCs w:val="1"/>
                <w:color w:val="auto"/>
                <w:w w:val="96"/>
              </w:rPr>
              <w:t>(Zip Code)</w:t>
            </w:r>
          </w:p>
        </w:tc>
      </w:tr>
    </w:tbl>
    <w:p>
      <w:pPr>
        <w:spacing w:after="0" w:line="118" w:lineRule="exact"/>
        <w:rPr>
          <w:sz w:val="24"/>
          <w:szCs w:val="24"/>
          <w:color w:val="auto"/>
        </w:rPr>
      </w:pPr>
    </w:p>
    <w:p>
      <w:pPr>
        <w:ind w:left="3460"/>
        <w:spacing w:after="0"/>
        <w:rPr>
          <w:sz w:val="20"/>
          <w:szCs w:val="20"/>
          <w:color w:val="auto"/>
        </w:rPr>
      </w:pPr>
      <w:r>
        <w:rPr>
          <w:rFonts w:ascii="Times New Roman" w:cs="Times New Roman" w:eastAsia="Times New Roman" w:hAnsi="Times New Roman"/>
          <w:sz w:val="16"/>
          <w:szCs w:val="16"/>
          <w:color w:val="auto"/>
        </w:rPr>
        <w:t>Registrant's telephone number, including area code: (414) 961-1000</w:t>
      </w:r>
    </w:p>
    <w:p>
      <w:pPr>
        <w:spacing w:after="0" w:line="135" w:lineRule="exact"/>
        <w:rPr>
          <w:sz w:val="24"/>
          <w:szCs w:val="24"/>
          <w:color w:val="auto"/>
        </w:rPr>
      </w:pPr>
    </w:p>
    <w:p>
      <w:pPr>
        <w:ind w:left="3660"/>
        <w:spacing w:after="0"/>
        <w:rPr>
          <w:sz w:val="20"/>
          <w:szCs w:val="20"/>
          <w:color w:val="auto"/>
        </w:rPr>
      </w:pPr>
      <w:r>
        <w:rPr>
          <w:rFonts w:ascii="Times New Roman" w:cs="Times New Roman" w:eastAsia="Times New Roman" w:hAnsi="Times New Roman"/>
          <w:sz w:val="16"/>
          <w:szCs w:val="16"/>
          <w:color w:val="auto"/>
        </w:rPr>
        <w:t>(Former name or former address, if changed since last report.)</w:t>
      </w:r>
    </w:p>
    <w:p>
      <w:pPr>
        <w:spacing w:after="0" w:line="13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94" w:lineRule="exact"/>
        <w:rPr>
          <w:sz w:val="24"/>
          <w:szCs w:val="24"/>
          <w:color w:val="auto"/>
        </w:rPr>
      </w:pPr>
    </w:p>
    <w:p>
      <w:pPr>
        <w:ind w:left="800" w:hanging="794"/>
        <w:spacing w:after="0"/>
        <w:tabs>
          <w:tab w:leader="none" w:pos="8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123" w:lineRule="exact"/>
        <w:rPr>
          <w:rFonts w:ascii="MS PGothic" w:cs="MS PGothic" w:eastAsia="MS PGothic" w:hAnsi="MS PGothic"/>
          <w:sz w:val="16"/>
          <w:szCs w:val="16"/>
          <w:color w:val="auto"/>
        </w:rPr>
      </w:pPr>
    </w:p>
    <w:p>
      <w:pPr>
        <w:ind w:left="800" w:hanging="794"/>
        <w:spacing w:after="0"/>
        <w:tabs>
          <w:tab w:leader="none" w:pos="8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123" w:lineRule="exact"/>
        <w:rPr>
          <w:rFonts w:ascii="MS PGothic" w:cs="MS PGothic" w:eastAsia="MS PGothic" w:hAnsi="MS PGothic"/>
          <w:sz w:val="16"/>
          <w:szCs w:val="16"/>
          <w:color w:val="auto"/>
        </w:rPr>
      </w:pPr>
    </w:p>
    <w:p>
      <w:pPr>
        <w:ind w:left="800" w:hanging="794"/>
        <w:spacing w:after="0"/>
        <w:tabs>
          <w:tab w:leader="none" w:pos="8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123" w:lineRule="exact"/>
        <w:rPr>
          <w:rFonts w:ascii="MS PGothic" w:cs="MS PGothic" w:eastAsia="MS PGothic" w:hAnsi="MS PGothic"/>
          <w:sz w:val="16"/>
          <w:szCs w:val="16"/>
          <w:color w:val="auto"/>
        </w:rPr>
      </w:pPr>
    </w:p>
    <w:p>
      <w:pPr>
        <w:ind w:left="800" w:hanging="794"/>
        <w:spacing w:after="0"/>
        <w:tabs>
          <w:tab w:leader="none" w:pos="8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94" w:lineRule="exact"/>
        <w:rPr>
          <w:sz w:val="24"/>
          <w:szCs w:val="24"/>
          <w:color w:val="auto"/>
        </w:rPr>
      </w:pPr>
    </w:p>
    <w:tbl>
      <w:tblPr>
        <w:tblLayout w:type="fixed"/>
        <w:tblInd w:w="10" w:type="dxa"/>
        <w:tblCellMar>
          <w:top w:w="0" w:type="dxa"/>
          <w:left w:w="0" w:type="dxa"/>
          <w:bottom w:w="0" w:type="dxa"/>
          <w:right w:w="0" w:type="dxa"/>
        </w:tblCellMar>
      </w:tblPr>
      <w:tr>
        <w:trPr>
          <w:trHeight w:val="206"/>
        </w:trPr>
        <w:tc>
          <w:tcPr>
            <w:tcW w:w="3760" w:type="dxa"/>
            <w:vAlign w:val="bottom"/>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3760" w:type="dxa"/>
            <w:vAlign w:val="bottom"/>
          </w:tcPr>
          <w:p>
            <w:pPr>
              <w:spacing w:after="0"/>
              <w:rPr>
                <w:sz w:val="17"/>
                <w:szCs w:val="17"/>
                <w:color w:val="auto"/>
              </w:rPr>
            </w:pPr>
          </w:p>
        </w:tc>
        <w:tc>
          <w:tcPr>
            <w:tcW w:w="3740" w:type="dxa"/>
            <w:vAlign w:val="bottom"/>
          </w:tcPr>
          <w:p>
            <w:pPr>
              <w:spacing w:after="0"/>
              <w:rPr>
                <w:sz w:val="17"/>
                <w:szCs w:val="17"/>
                <w:color w:val="auto"/>
              </w:rPr>
            </w:pPr>
          </w:p>
        </w:tc>
      </w:tr>
      <w:tr>
        <w:trPr>
          <w:trHeight w:val="145"/>
        </w:trPr>
        <w:tc>
          <w:tcPr>
            <w:tcW w:w="3760" w:type="dxa"/>
            <w:vAlign w:val="bottom"/>
            <w:tcBorders>
              <w:bottom w:val="single" w:sz="8" w:color="auto"/>
            </w:tcBorders>
          </w:tcPr>
          <w:p>
            <w:pPr>
              <w:spacing w:after="0"/>
              <w:rPr>
                <w:sz w:val="12"/>
                <w:szCs w:val="12"/>
                <w:color w:val="auto"/>
              </w:rPr>
            </w:pPr>
          </w:p>
        </w:tc>
        <w:tc>
          <w:tcPr>
            <w:tcW w:w="3760" w:type="dxa"/>
            <w:vAlign w:val="bottom"/>
            <w:tcBorders>
              <w:bottom w:val="single" w:sz="8" w:color="auto"/>
            </w:tcBorders>
          </w:tcPr>
          <w:p>
            <w:pPr>
              <w:spacing w:after="0"/>
              <w:rPr>
                <w:sz w:val="12"/>
                <w:szCs w:val="12"/>
                <w:color w:val="auto"/>
              </w:rPr>
            </w:pPr>
          </w:p>
        </w:tc>
        <w:tc>
          <w:tcPr>
            <w:tcW w:w="3740" w:type="dxa"/>
            <w:vAlign w:val="bottom"/>
            <w:tcBorders>
              <w:bottom w:val="single" w:sz="8" w:color="auto"/>
            </w:tcBorders>
          </w:tcPr>
          <w:p>
            <w:pPr>
              <w:spacing w:after="0"/>
              <w:rPr>
                <w:sz w:val="12"/>
                <w:szCs w:val="12"/>
                <w:color w:val="auto"/>
              </w:rPr>
            </w:pPr>
          </w:p>
        </w:tc>
      </w:tr>
      <w:tr>
        <w:trPr>
          <w:trHeight w:val="205"/>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Title of each class</w:t>
            </w:r>
          </w:p>
        </w:tc>
        <w:tc>
          <w:tcPr>
            <w:tcW w:w="3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Trading Symbol(s)</w:t>
            </w:r>
          </w:p>
        </w:tc>
        <w:tc>
          <w:tcPr>
            <w:tcW w:w="3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Name of each exchange on which registered</w:t>
            </w:r>
          </w:p>
        </w:tc>
      </w:tr>
      <w:tr>
        <w:trPr>
          <w:trHeight w:val="188"/>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Common Stock, $.01 par value</w:t>
            </w:r>
          </w:p>
        </w:tc>
        <w:tc>
          <w:tcPr>
            <w:tcW w:w="3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MAN</w:t>
            </w:r>
          </w:p>
        </w:tc>
        <w:tc>
          <w:tcPr>
            <w:tcW w:w="3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7"/>
              </w:rPr>
              <w:t>New York Stock Exchange</w:t>
            </w:r>
          </w:p>
        </w:tc>
      </w:tr>
    </w:tbl>
    <w:p>
      <w:pPr>
        <w:spacing w:after="0" w:line="161" w:lineRule="exact"/>
        <w:rPr>
          <w:sz w:val="24"/>
          <w:szCs w:val="24"/>
          <w:color w:val="auto"/>
        </w:rPr>
      </w:pPr>
    </w:p>
    <w:p>
      <w:pPr>
        <w:ind w:right="240"/>
        <w:spacing w:after="0" w:line="276"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2"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69" w:lineRule="exact"/>
        <w:rPr>
          <w:sz w:val="24"/>
          <w:szCs w:val="24"/>
          <w:color w:val="auto"/>
        </w:rPr>
      </w:pPr>
    </w:p>
    <w:p>
      <w:pPr>
        <w:ind w:right="320"/>
        <w:spacing w:after="0" w:line="21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753110</wp:posOffset>
            </wp:positionV>
            <wp:extent cx="7174865" cy="406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948"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6"/>
          <w:szCs w:val="16"/>
          <w:b w:val="1"/>
          <w:bCs w:val="1"/>
          <w:color w:val="auto"/>
        </w:rPr>
        <w:t>Item 2.02 Results of Operations and Financial Condition</w:t>
      </w:r>
    </w:p>
    <w:p>
      <w:pPr>
        <w:spacing w:after="0" w:line="183"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16"/>
          <w:szCs w:val="16"/>
          <w:i w:val="1"/>
          <w:iCs w:val="1"/>
          <w:color w:val="auto"/>
        </w:rPr>
        <w:t>The information in this Item 2.02, including exhibit 99.1 attached hereto, is furnished solely pursuant to Item 2.02 of Form 8-K. Consequently, such information is not deemed "filed" for the purposes of Section 18 of the Securities Exchange Act of 1934, or otherwise subject to the liabilities of that section. Further, the information in this Item 2.02, including exhibit 99.1, shall not be deemed to be incorporated by reference into the filings of the registrant under the Securities Act of 1933.</w:t>
      </w:r>
    </w:p>
    <w:p>
      <w:pPr>
        <w:spacing w:after="0" w:line="121" w:lineRule="exact"/>
        <w:rPr>
          <w:sz w:val="20"/>
          <w:szCs w:val="20"/>
          <w:color w:val="auto"/>
        </w:rPr>
      </w:pPr>
    </w:p>
    <w:p>
      <w:pPr>
        <w:ind w:right="240"/>
        <w:spacing w:after="0" w:line="276" w:lineRule="auto"/>
        <w:rPr>
          <w:sz w:val="20"/>
          <w:szCs w:val="20"/>
          <w:color w:val="auto"/>
        </w:rPr>
      </w:pPr>
      <w:r>
        <w:rPr>
          <w:rFonts w:ascii="Times New Roman" w:cs="Times New Roman" w:eastAsia="Times New Roman" w:hAnsi="Times New Roman"/>
          <w:sz w:val="16"/>
          <w:szCs w:val="16"/>
          <w:color w:val="auto"/>
        </w:rPr>
        <w:t>On April 18, 2024, we issued a press release announcing our results of operations for the three months ended March 31, 2024 and 2023. A copy of the press release is attached hereto as Exhibit 99.1 and is incorporated herein by reference.</w:t>
      </w:r>
    </w:p>
    <w:p>
      <w:pPr>
        <w:spacing w:after="0" w:line="14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6"/>
          <w:szCs w:val="16"/>
          <w:color w:val="auto"/>
        </w:rPr>
        <w:t>Effective January 1, 2024, our segment reporting was realigned to include our Puerto Rico business within Other Americas. Accordingly, our reportable segment, United States, is now adjusted to exclude Puerto Rico. All previously reported results have been restated to conform to the current year presentation. Attached hereto as Exhibit 99.3 is our Operating Unit Results since January 1, 2022.</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8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Item 9.01.</w:t>
            </w:r>
          </w:p>
        </w:tc>
        <w:tc>
          <w:tcPr>
            <w:tcW w:w="10460" w:type="dxa"/>
            <w:vAlign w:val="bottom"/>
            <w:gridSpan w:val="6"/>
          </w:tcPr>
          <w:p>
            <w:pPr>
              <w:ind w:left="140"/>
              <w:spacing w:after="0"/>
              <w:rPr>
                <w:sz w:val="20"/>
                <w:szCs w:val="20"/>
                <w:color w:val="auto"/>
              </w:rPr>
            </w:pPr>
            <w:r>
              <w:rPr>
                <w:rFonts w:ascii="Times New Roman" w:cs="Times New Roman" w:eastAsia="Times New Roman" w:hAnsi="Times New Roman"/>
                <w:sz w:val="16"/>
                <w:szCs w:val="16"/>
                <w:b w:val="1"/>
                <w:bCs w:val="1"/>
                <w:color w:val="auto"/>
              </w:rPr>
              <w:t>Exhibits</w:t>
            </w:r>
          </w:p>
        </w:tc>
      </w:tr>
      <w:tr>
        <w:trPr>
          <w:trHeight w:val="342"/>
        </w:trPr>
        <w:tc>
          <w:tcPr>
            <w:tcW w:w="20" w:type="dxa"/>
            <w:vAlign w:val="bottom"/>
          </w:tcPr>
          <w:p>
            <w:pPr>
              <w:spacing w:after="0"/>
              <w:rPr>
                <w:sz w:val="24"/>
                <w:szCs w:val="24"/>
                <w:color w:val="auto"/>
              </w:rPr>
            </w:pPr>
          </w:p>
        </w:tc>
        <w:tc>
          <w:tcPr>
            <w:tcW w:w="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Exhibit No.</w:t>
            </w:r>
          </w:p>
        </w:tc>
        <w:tc>
          <w:tcPr>
            <w:tcW w:w="44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988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3"/>
                <w:szCs w:val="13"/>
                <w:b w:val="1"/>
                <w:bCs w:val="1"/>
                <w:color w:val="auto"/>
              </w:rPr>
              <w:t>Description</w:t>
            </w:r>
          </w:p>
        </w:tc>
      </w:tr>
      <w:tr>
        <w:trPr>
          <w:trHeight w:val="157"/>
        </w:trPr>
        <w:tc>
          <w:tcPr>
            <w:tcW w:w="20" w:type="dxa"/>
            <w:vAlign w:val="bottom"/>
          </w:tcPr>
          <w:p>
            <w:pPr>
              <w:spacing w:after="0"/>
              <w:rPr>
                <w:sz w:val="13"/>
                <w:szCs w:val="13"/>
                <w:color w:val="auto"/>
              </w:rPr>
            </w:pPr>
          </w:p>
        </w:tc>
        <w:tc>
          <w:tcPr>
            <w:tcW w:w="780" w:type="dxa"/>
            <w:vAlign w:val="bottom"/>
          </w:tcPr>
          <w:p>
            <w:pPr>
              <w:spacing w:after="0" w:line="158" w:lineRule="exact"/>
              <w:rPr>
                <w:sz w:val="20"/>
                <w:szCs w:val="20"/>
                <w:color w:val="auto"/>
              </w:rPr>
            </w:pPr>
            <w:r>
              <w:rPr>
                <w:rFonts w:ascii="Times New Roman" w:cs="Times New Roman" w:eastAsia="Times New Roman" w:hAnsi="Times New Roman"/>
                <w:sz w:val="16"/>
                <w:szCs w:val="16"/>
                <w:color w:val="auto"/>
              </w:rPr>
              <w:t>99.1</w:t>
            </w: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80" w:type="dxa"/>
            <w:vAlign w:val="bottom"/>
            <w:gridSpan w:val="4"/>
          </w:tcPr>
          <w:p>
            <w:pPr>
              <w:spacing w:after="0" w:line="158" w:lineRule="exact"/>
              <w:rPr>
                <w:sz w:val="20"/>
                <w:szCs w:val="20"/>
                <w:color w:val="auto"/>
              </w:rPr>
            </w:pPr>
            <w:r>
              <w:rPr>
                <w:rFonts w:ascii="Times New Roman" w:cs="Times New Roman" w:eastAsia="Times New Roman" w:hAnsi="Times New Roman"/>
                <w:sz w:val="16"/>
                <w:szCs w:val="16"/>
                <w:color w:val="0000FF"/>
              </w:rPr>
              <w:t>Press Release dated April 18, 2024</w:t>
            </w:r>
          </w:p>
        </w:tc>
      </w:tr>
      <w:tr>
        <w:trPr>
          <w:trHeight w:val="20"/>
        </w:trPr>
        <w:tc>
          <w:tcPr>
            <w:tcW w:w="8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2240" w:type="dxa"/>
            <w:vAlign w:val="bottom"/>
            <w:shd w:val="clear" w:color="auto" w:fill="0000EE"/>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r>
      <w:tr>
        <w:trPr>
          <w:trHeight w:val="193"/>
        </w:trPr>
        <w:tc>
          <w:tcPr>
            <w:tcW w:w="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99.2</w:t>
            </w: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8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Presentation materials for April 18, 2024 Conference Call</w:t>
            </w:r>
          </w:p>
        </w:tc>
      </w:tr>
      <w:tr>
        <w:trPr>
          <w:trHeight w:val="20"/>
        </w:trPr>
        <w:tc>
          <w:tcPr>
            <w:tcW w:w="8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660" w:type="dxa"/>
            <w:vAlign w:val="bottom"/>
            <w:tcBorders>
              <w:right w:val="single" w:sz="8" w:color="0000EE"/>
            </w:tcBorders>
            <w:gridSpan w:val="2"/>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r>
      <w:tr>
        <w:trPr>
          <w:trHeight w:val="193"/>
        </w:trPr>
        <w:tc>
          <w:tcPr>
            <w:tcW w:w="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99.3</w:t>
            </w: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8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Operating Unit Results reflecting the restatement of segment results</w:t>
            </w:r>
          </w:p>
        </w:tc>
      </w:tr>
      <w:tr>
        <w:trPr>
          <w:trHeight w:val="20"/>
        </w:trPr>
        <w:tc>
          <w:tcPr>
            <w:tcW w:w="8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280" w:type="dxa"/>
            <w:vAlign w:val="bottom"/>
            <w:tcBorders>
              <w:right w:val="single" w:sz="8" w:color="0000EE"/>
            </w:tcBorders>
            <w:gridSpan w:val="3"/>
            <w:shd w:val="clear" w:color="auto" w:fill="0000FF"/>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r>
      <w:tr>
        <w:trPr>
          <w:trHeight w:val="229"/>
        </w:trPr>
        <w:tc>
          <w:tcPr>
            <w:tcW w:w="8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104</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Cover Page Interactive Data File (embedded within the Inline XBRL document)</w:t>
            </w:r>
          </w:p>
        </w:tc>
      </w:tr>
      <w:tr>
        <w:trPr>
          <w:trHeight w:val="1268"/>
        </w:trPr>
        <w:tc>
          <w:tcPr>
            <w:tcW w:w="20" w:type="dxa"/>
            <w:vAlign w:val="bottom"/>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5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878" w:right="3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6"/>
          <w:szCs w:val="16"/>
          <w:b w:val="1"/>
          <w:bCs w:val="1"/>
          <w:color w:val="auto"/>
        </w:rPr>
        <w:t>SIGNATURE</w:t>
      </w:r>
    </w:p>
    <w:p>
      <w:pPr>
        <w:spacing w:after="0" w:line="196" w:lineRule="exact"/>
        <w:rPr>
          <w:sz w:val="20"/>
          <w:szCs w:val="20"/>
          <w:color w:val="auto"/>
        </w:rPr>
      </w:pPr>
    </w:p>
    <w:p>
      <w:pPr>
        <w:ind w:right="40" w:firstLine="510"/>
        <w:spacing w:after="0" w:line="276"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2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6040" w:type="dxa"/>
            <w:vAlign w:val="bottom"/>
            <w:gridSpan w:val="3"/>
          </w:tcPr>
          <w:p>
            <w:pPr>
              <w:ind w:left="280"/>
              <w:spacing w:after="0"/>
              <w:rPr>
                <w:sz w:val="20"/>
                <w:szCs w:val="20"/>
                <w:color w:val="auto"/>
              </w:rPr>
            </w:pPr>
            <w:r>
              <w:rPr>
                <w:rFonts w:ascii="Times New Roman" w:cs="Times New Roman" w:eastAsia="Times New Roman" w:hAnsi="Times New Roman"/>
                <w:sz w:val="16"/>
                <w:szCs w:val="16"/>
                <w:color w:val="auto"/>
              </w:rPr>
              <w:t>MANPOWERGROUP INC.</w:t>
            </w:r>
          </w:p>
        </w:tc>
      </w:tr>
      <w:tr>
        <w:trPr>
          <w:trHeight w:val="449"/>
        </w:trPr>
        <w:tc>
          <w:tcPr>
            <w:tcW w:w="5220" w:type="dxa"/>
            <w:vAlign w:val="bottom"/>
            <w:gridSpan w:val="2"/>
          </w:tcPr>
          <w:p>
            <w:pPr>
              <w:spacing w:after="0"/>
              <w:rPr>
                <w:sz w:val="20"/>
                <w:szCs w:val="20"/>
                <w:color w:val="auto"/>
              </w:rPr>
            </w:pPr>
            <w:r>
              <w:rPr>
                <w:rFonts w:ascii="Times New Roman" w:cs="Times New Roman" w:eastAsia="Times New Roman" w:hAnsi="Times New Roman"/>
                <w:sz w:val="16"/>
                <w:szCs w:val="16"/>
                <w:color w:val="auto"/>
                <w:w w:val="98"/>
              </w:rPr>
              <w:t>Dated:April 18, 2024</w:t>
            </w:r>
          </w:p>
        </w:tc>
        <w:tc>
          <w:tcPr>
            <w:tcW w:w="98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By:</w:t>
            </w:r>
          </w:p>
        </w:tc>
        <w:tc>
          <w:tcPr>
            <w:tcW w:w="5060" w:type="dxa"/>
            <w:vAlign w:val="bottom"/>
          </w:tcPr>
          <w:p>
            <w:pPr>
              <w:spacing w:after="0"/>
              <w:rPr>
                <w:sz w:val="20"/>
                <w:szCs w:val="20"/>
                <w:color w:val="auto"/>
              </w:rPr>
            </w:pPr>
            <w:r>
              <w:rPr>
                <w:rFonts w:ascii="Times New Roman" w:cs="Times New Roman" w:eastAsia="Times New Roman" w:hAnsi="Times New Roman"/>
                <w:sz w:val="16"/>
                <w:szCs w:val="16"/>
                <w:color w:val="auto"/>
              </w:rPr>
              <w:t>/s/ John T. McGinnis</w:t>
            </w:r>
          </w:p>
        </w:tc>
      </w:tr>
      <w:tr>
        <w:trPr>
          <w:trHeight w:val="186"/>
        </w:trPr>
        <w:tc>
          <w:tcPr>
            <w:tcW w:w="720" w:type="dxa"/>
            <w:vAlign w:val="bottom"/>
          </w:tcPr>
          <w:p>
            <w:pPr>
              <w:spacing w:after="0"/>
              <w:rPr>
                <w:sz w:val="16"/>
                <w:szCs w:val="16"/>
                <w:color w:val="auto"/>
              </w:rPr>
            </w:pPr>
          </w:p>
        </w:tc>
        <w:tc>
          <w:tcPr>
            <w:tcW w:w="4500" w:type="dxa"/>
            <w:vAlign w:val="bottom"/>
            <w:tcBorders>
              <w:top w:val="single" w:sz="8" w:color="auto"/>
            </w:tcBorders>
          </w:tcPr>
          <w:p>
            <w:pPr>
              <w:spacing w:after="0"/>
              <w:rPr>
                <w:sz w:val="16"/>
                <w:szCs w:val="16"/>
                <w:color w:val="auto"/>
              </w:rPr>
            </w:pPr>
          </w:p>
        </w:tc>
        <w:tc>
          <w:tcPr>
            <w:tcW w:w="860" w:type="dxa"/>
            <w:vAlign w:val="bottom"/>
          </w:tcPr>
          <w:p>
            <w:pPr>
              <w:ind w:left="280"/>
              <w:spacing w:after="0" w:line="182" w:lineRule="exact"/>
              <w:rPr>
                <w:sz w:val="20"/>
                <w:szCs w:val="20"/>
                <w:color w:val="auto"/>
              </w:rPr>
            </w:pPr>
            <w:r>
              <w:rPr>
                <w:rFonts w:ascii="Times New Roman" w:cs="Times New Roman" w:eastAsia="Times New Roman" w:hAnsi="Times New Roman"/>
                <w:sz w:val="16"/>
                <w:szCs w:val="16"/>
                <w:color w:val="auto"/>
              </w:rPr>
              <w:t>Name:</w:t>
            </w:r>
          </w:p>
        </w:tc>
        <w:tc>
          <w:tcPr>
            <w:tcW w:w="120" w:type="dxa"/>
            <w:vAlign w:val="bottom"/>
            <w:tcBorders>
              <w:top w:val="single" w:sz="8" w:color="auto"/>
            </w:tcBorders>
          </w:tcPr>
          <w:p>
            <w:pPr>
              <w:spacing w:after="0"/>
              <w:rPr>
                <w:sz w:val="16"/>
                <w:szCs w:val="16"/>
                <w:color w:val="auto"/>
              </w:rPr>
            </w:pPr>
          </w:p>
        </w:tc>
        <w:tc>
          <w:tcPr>
            <w:tcW w:w="50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John T. McGinnis</w:t>
            </w:r>
          </w:p>
        </w:tc>
      </w:tr>
      <w:tr>
        <w:trPr>
          <w:trHeight w:val="203"/>
        </w:trPr>
        <w:tc>
          <w:tcPr>
            <w:tcW w:w="72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98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Title:</w:t>
            </w:r>
          </w:p>
        </w:tc>
        <w:tc>
          <w:tcPr>
            <w:tcW w:w="5060" w:type="dxa"/>
            <w:vAlign w:val="bottom"/>
          </w:tcPr>
          <w:p>
            <w:pPr>
              <w:spacing w:after="0"/>
              <w:rPr>
                <w:sz w:val="20"/>
                <w:szCs w:val="20"/>
                <w:color w:val="auto"/>
              </w:rPr>
            </w:pPr>
            <w:r>
              <w:rPr>
                <w:rFonts w:ascii="Times New Roman" w:cs="Times New Roman" w:eastAsia="Times New Roman" w:hAnsi="Times New Roman"/>
                <w:sz w:val="16"/>
                <w:szCs w:val="16"/>
                <w:color w:val="auto"/>
              </w:rPr>
              <w:t>Executive Vice President and</w:t>
            </w:r>
          </w:p>
        </w:tc>
      </w:tr>
      <w:tr>
        <w:trPr>
          <w:trHeight w:val="206"/>
        </w:trPr>
        <w:tc>
          <w:tcPr>
            <w:tcW w:w="72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6"/>
                <w:szCs w:val="16"/>
                <w:color w:val="auto"/>
              </w:rPr>
              <w:t>Chief Financial Officer</w:t>
            </w:r>
          </w:p>
        </w:tc>
      </w:tr>
      <w:tr>
        <w:trPr>
          <w:trHeight w:val="1056"/>
        </w:trPr>
        <w:tc>
          <w:tcPr>
            <w:tcW w:w="720" w:type="dxa"/>
            <w:vAlign w:val="bottom"/>
            <w:tcBorders>
              <w:bottom w:val="single" w:sz="8" w:color="9A9A9A"/>
            </w:tcBorders>
          </w:tcPr>
          <w:p>
            <w:pPr>
              <w:spacing w:after="0"/>
              <w:rPr>
                <w:sz w:val="24"/>
                <w:szCs w:val="24"/>
                <w:color w:val="auto"/>
              </w:rPr>
            </w:pPr>
          </w:p>
        </w:tc>
        <w:tc>
          <w:tcPr>
            <w:tcW w:w="450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878" w:right="31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127635</wp:posOffset>
            </wp:positionV>
            <wp:extent cx="1344295" cy="7207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44295" cy="720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5"/>
        <w:spacing w:after="0"/>
        <w:tabs>
          <w:tab w:leader="none" w:pos="6765" w:val="left"/>
        </w:tabs>
        <w:rPr>
          <w:sz w:val="20"/>
          <w:szCs w:val="20"/>
          <w:color w:val="auto"/>
        </w:rPr>
      </w:pPr>
      <w:r>
        <w:rPr>
          <w:rFonts w:ascii="Times New Roman" w:cs="Times New Roman" w:eastAsia="Times New Roman" w:hAnsi="Times New Roman"/>
          <w:sz w:val="16"/>
          <w:szCs w:val="16"/>
          <w:b w:val="1"/>
          <w:bCs w:val="1"/>
          <w:color w:val="auto"/>
        </w:rPr>
        <w:t>FOR IMMEDIATE RELEASE</w:t>
      </w:r>
      <w:r>
        <w:rPr>
          <w:sz w:val="20"/>
          <w:szCs w:val="20"/>
          <w:color w:val="auto"/>
        </w:rPr>
        <w:tab/>
      </w:r>
      <w:r>
        <w:rPr>
          <w:rFonts w:ascii="Times New Roman" w:cs="Times New Roman" w:eastAsia="Times New Roman" w:hAnsi="Times New Roman"/>
          <w:sz w:val="15"/>
          <w:szCs w:val="15"/>
          <w:b w:val="1"/>
          <w:bCs w:val="1"/>
          <w:color w:val="auto"/>
        </w:rPr>
        <w:t>Contact:</w:t>
      </w:r>
    </w:p>
    <w:p>
      <w:pPr>
        <w:spacing w:after="0" w:line="244" w:lineRule="exact"/>
        <w:rPr>
          <w:sz w:val="20"/>
          <w:szCs w:val="20"/>
          <w:color w:val="auto"/>
        </w:rPr>
      </w:pPr>
    </w:p>
    <w:p>
      <w:pPr>
        <w:ind w:left="6785"/>
        <w:spacing w:after="0"/>
        <w:rPr>
          <w:sz w:val="20"/>
          <w:szCs w:val="20"/>
          <w:color w:val="auto"/>
        </w:rPr>
      </w:pPr>
      <w:r>
        <w:rPr>
          <w:rFonts w:ascii="Times New Roman" w:cs="Times New Roman" w:eastAsia="Times New Roman" w:hAnsi="Times New Roman"/>
          <w:sz w:val="16"/>
          <w:szCs w:val="16"/>
          <w:color w:val="auto"/>
        </w:rPr>
        <w:t>Nick Hengst</w:t>
      </w:r>
    </w:p>
    <w:p>
      <w:pPr>
        <w:spacing w:after="0" w:line="29" w:lineRule="exact"/>
        <w:rPr>
          <w:sz w:val="20"/>
          <w:szCs w:val="20"/>
          <w:color w:val="auto"/>
        </w:rPr>
      </w:pPr>
    </w:p>
    <w:p>
      <w:pPr>
        <w:ind w:left="6785"/>
        <w:spacing w:after="0"/>
        <w:rPr>
          <w:sz w:val="20"/>
          <w:szCs w:val="20"/>
          <w:color w:val="auto"/>
        </w:rPr>
      </w:pPr>
      <w:r>
        <w:rPr>
          <w:rFonts w:ascii="Times New Roman" w:cs="Times New Roman" w:eastAsia="Times New Roman" w:hAnsi="Times New Roman"/>
          <w:sz w:val="16"/>
          <w:szCs w:val="16"/>
          <w:color w:val="auto"/>
        </w:rPr>
        <w:t>+1.414.906.7356</w:t>
      </w:r>
    </w:p>
    <w:p>
      <w:pPr>
        <w:spacing w:after="0" w:line="29" w:lineRule="exact"/>
        <w:rPr>
          <w:sz w:val="20"/>
          <w:szCs w:val="20"/>
          <w:color w:val="auto"/>
        </w:rPr>
      </w:pPr>
    </w:p>
    <w:p>
      <w:pPr>
        <w:ind w:left="6785"/>
        <w:spacing w:after="0"/>
        <w:rPr>
          <w:sz w:val="20"/>
          <w:szCs w:val="20"/>
          <w:color w:val="auto"/>
        </w:rPr>
      </w:pPr>
      <w:r>
        <w:rPr>
          <w:rFonts w:ascii="Times New Roman" w:cs="Times New Roman" w:eastAsia="Times New Roman" w:hAnsi="Times New Roman"/>
          <w:sz w:val="16"/>
          <w:szCs w:val="16"/>
          <w:color w:val="auto"/>
        </w:rPr>
        <w:t>nicholas.hengst@manpowergroup.com</w:t>
      </w:r>
    </w:p>
    <w:p>
      <w:pPr>
        <w:spacing w:after="0" w:line="200" w:lineRule="exact"/>
        <w:rPr>
          <w:sz w:val="20"/>
          <w:szCs w:val="20"/>
          <w:color w:val="auto"/>
        </w:rPr>
      </w:pPr>
    </w:p>
    <w:p>
      <w:pPr>
        <w:spacing w:after="0" w:line="248" w:lineRule="exact"/>
        <w:rPr>
          <w:sz w:val="20"/>
          <w:szCs w:val="20"/>
          <w:color w:val="auto"/>
        </w:rPr>
      </w:pPr>
    </w:p>
    <w:p>
      <w:pPr>
        <w:jc w:val="center"/>
        <w:ind w:right="-4"/>
        <w:spacing w:after="0"/>
        <w:rPr>
          <w:sz w:val="20"/>
          <w:szCs w:val="20"/>
          <w:color w:val="auto"/>
        </w:rPr>
      </w:pPr>
      <w:r>
        <w:rPr>
          <w:rFonts w:ascii="Arial" w:cs="Arial" w:eastAsia="Arial" w:hAnsi="Arial"/>
          <w:sz w:val="19"/>
          <w:szCs w:val="19"/>
          <w:b w:val="1"/>
          <w:bCs w:val="1"/>
          <w:color w:val="auto"/>
        </w:rPr>
        <w:t>ManpowerGroup Reports 1</w:t>
      </w:r>
      <w:r>
        <w:rPr>
          <w:rFonts w:ascii="Arial" w:cs="Arial" w:eastAsia="Arial" w:hAnsi="Arial"/>
          <w:sz w:val="25"/>
          <w:szCs w:val="25"/>
          <w:b w:val="1"/>
          <w:bCs w:val="1"/>
          <w:color w:val="auto"/>
          <w:vertAlign w:val="superscript"/>
        </w:rPr>
        <w:t>st</w:t>
      </w:r>
      <w:r>
        <w:rPr>
          <w:rFonts w:ascii="Arial" w:cs="Arial" w:eastAsia="Arial" w:hAnsi="Arial"/>
          <w:sz w:val="19"/>
          <w:szCs w:val="19"/>
          <w:b w:val="1"/>
          <w:bCs w:val="1"/>
          <w:color w:val="auto"/>
        </w:rPr>
        <w:t xml:space="preserve"> Quarter 2024 Results</w:t>
      </w:r>
    </w:p>
    <w:p>
      <w:pPr>
        <w:spacing w:after="0" w:line="41" w:lineRule="exact"/>
        <w:rPr>
          <w:sz w:val="20"/>
          <w:szCs w:val="20"/>
          <w:color w:val="auto"/>
        </w:rPr>
      </w:pPr>
    </w:p>
    <w:p>
      <w:pPr>
        <w:ind w:left="1125" w:hanging="375"/>
        <w:spacing w:after="0"/>
        <w:tabs>
          <w:tab w:leader="none" w:pos="1125" w:val="left"/>
        </w:tabs>
        <w:numPr>
          <w:ilvl w:val="0"/>
          <w:numId w:val="2"/>
        </w:numPr>
        <w:rPr>
          <w:rFonts w:ascii="Times New Roman" w:cs="Times New Roman" w:eastAsia="Times New Roman" w:hAnsi="Times New Roman"/>
          <w:sz w:val="17"/>
          <w:szCs w:val="17"/>
          <w:color w:val="auto"/>
        </w:rPr>
      </w:pPr>
      <w:r>
        <w:rPr>
          <w:rFonts w:ascii="Arial" w:cs="Arial" w:eastAsia="Arial" w:hAnsi="Arial"/>
          <w:sz w:val="17"/>
          <w:szCs w:val="17"/>
          <w:color w:val="auto"/>
        </w:rPr>
        <w:t>Revenues of $4.4 billion (-7% as reported, -5% constant currency)</w:t>
      </w:r>
    </w:p>
    <w:p>
      <w:pPr>
        <w:spacing w:after="0" w:line="83" w:lineRule="exact"/>
        <w:rPr>
          <w:rFonts w:ascii="Times New Roman" w:cs="Times New Roman" w:eastAsia="Times New Roman" w:hAnsi="Times New Roman"/>
          <w:sz w:val="17"/>
          <w:szCs w:val="17"/>
          <w:color w:val="auto"/>
        </w:rPr>
      </w:pPr>
    </w:p>
    <w:p>
      <w:pPr>
        <w:ind w:left="1125" w:right="20" w:hanging="375"/>
        <w:spacing w:after="0" w:line="272" w:lineRule="auto"/>
        <w:tabs>
          <w:tab w:leader="none" w:pos="1125" w:val="left"/>
        </w:tabs>
        <w:numPr>
          <w:ilvl w:val="0"/>
          <w:numId w:val="2"/>
        </w:numPr>
        <w:rPr>
          <w:rFonts w:ascii="Times New Roman" w:cs="Times New Roman" w:eastAsia="Times New Roman" w:hAnsi="Times New Roman"/>
          <w:sz w:val="17"/>
          <w:szCs w:val="17"/>
          <w:color w:val="auto"/>
        </w:rPr>
      </w:pPr>
      <w:r>
        <w:rPr>
          <w:rFonts w:ascii="Arial" w:cs="Arial" w:eastAsia="Arial" w:hAnsi="Arial"/>
          <w:sz w:val="17"/>
          <w:szCs w:val="17"/>
          <w:color w:val="auto"/>
        </w:rPr>
        <w:t>Continuation of challenging environment in North America and Europe during the quarter, solid demand in Latin America and Asia-Pacific region</w:t>
      </w:r>
    </w:p>
    <w:p>
      <w:pPr>
        <w:spacing w:after="0" w:line="29" w:lineRule="exact"/>
        <w:rPr>
          <w:rFonts w:ascii="Times New Roman" w:cs="Times New Roman" w:eastAsia="Times New Roman" w:hAnsi="Times New Roman"/>
          <w:sz w:val="17"/>
          <w:szCs w:val="17"/>
          <w:color w:val="auto"/>
        </w:rPr>
      </w:pPr>
    </w:p>
    <w:p>
      <w:pPr>
        <w:ind w:left="1125" w:right="20" w:hanging="375"/>
        <w:spacing w:after="0" w:line="272" w:lineRule="auto"/>
        <w:tabs>
          <w:tab w:leader="none" w:pos="1125" w:val="left"/>
        </w:tabs>
        <w:numPr>
          <w:ilvl w:val="0"/>
          <w:numId w:val="2"/>
        </w:numPr>
        <w:rPr>
          <w:rFonts w:ascii="Times New Roman" w:cs="Times New Roman" w:eastAsia="Times New Roman" w:hAnsi="Times New Roman"/>
          <w:sz w:val="17"/>
          <w:szCs w:val="17"/>
          <w:color w:val="auto"/>
        </w:rPr>
      </w:pPr>
      <w:r>
        <w:rPr>
          <w:rFonts w:ascii="Arial" w:cs="Arial" w:eastAsia="Arial" w:hAnsi="Arial"/>
          <w:sz w:val="17"/>
          <w:szCs w:val="17"/>
          <w:color w:val="auto"/>
        </w:rPr>
        <w:t>Gross profit margin of 17.3% as reported, 17.5% as adjusted. Staffing margins remained strong; permanent recruitment trends were stable at lower levels</w:t>
      </w:r>
    </w:p>
    <w:p>
      <w:pPr>
        <w:spacing w:after="0" w:line="29" w:lineRule="exact"/>
        <w:rPr>
          <w:rFonts w:ascii="Times New Roman" w:cs="Times New Roman" w:eastAsia="Times New Roman" w:hAnsi="Times New Roman"/>
          <w:sz w:val="17"/>
          <w:szCs w:val="17"/>
          <w:color w:val="auto"/>
        </w:rPr>
      </w:pPr>
    </w:p>
    <w:p>
      <w:pPr>
        <w:ind w:left="1125" w:hanging="375"/>
        <w:spacing w:after="0"/>
        <w:tabs>
          <w:tab w:leader="none" w:pos="1125" w:val="left"/>
        </w:tabs>
        <w:numPr>
          <w:ilvl w:val="0"/>
          <w:numId w:val="2"/>
        </w:numPr>
        <w:rPr>
          <w:rFonts w:ascii="Times New Roman" w:cs="Times New Roman" w:eastAsia="Times New Roman" w:hAnsi="Times New Roman"/>
          <w:sz w:val="17"/>
          <w:szCs w:val="17"/>
          <w:color w:val="auto"/>
        </w:rPr>
      </w:pPr>
      <w:r>
        <w:rPr>
          <w:rFonts w:ascii="Arial" w:cs="Arial" w:eastAsia="Arial" w:hAnsi="Arial"/>
          <w:sz w:val="17"/>
          <w:szCs w:val="17"/>
          <w:color w:val="auto"/>
        </w:rPr>
        <w:t>Good management of SG&amp;A (-6% as reported, -5% constant currency year-over-year)</w:t>
      </w:r>
    </w:p>
    <w:p>
      <w:pPr>
        <w:spacing w:after="0" w:line="99" w:lineRule="exact"/>
        <w:rPr>
          <w:rFonts w:ascii="Times New Roman" w:cs="Times New Roman" w:eastAsia="Times New Roman" w:hAnsi="Times New Roman"/>
          <w:sz w:val="17"/>
          <w:szCs w:val="17"/>
          <w:color w:val="auto"/>
        </w:rPr>
      </w:pPr>
    </w:p>
    <w:p>
      <w:pPr>
        <w:ind w:left="1125" w:hanging="375"/>
        <w:spacing w:after="0"/>
        <w:tabs>
          <w:tab w:leader="none" w:pos="1125" w:val="left"/>
        </w:tabs>
        <w:numPr>
          <w:ilvl w:val="0"/>
          <w:numId w:val="2"/>
        </w:numPr>
        <w:rPr>
          <w:rFonts w:ascii="Times New Roman" w:cs="Times New Roman" w:eastAsia="Times New Roman" w:hAnsi="Times New Roman"/>
          <w:sz w:val="17"/>
          <w:szCs w:val="17"/>
          <w:color w:val="auto"/>
        </w:rPr>
      </w:pPr>
      <w:r>
        <w:rPr>
          <w:rFonts w:ascii="Arial" w:cs="Arial" w:eastAsia="Arial" w:hAnsi="Arial"/>
          <w:sz w:val="17"/>
          <w:szCs w:val="17"/>
          <w:color w:val="auto"/>
        </w:rPr>
        <w:t>$50 million of common stock repurchased during the quarter</w:t>
      </w:r>
    </w:p>
    <w:p>
      <w:pPr>
        <w:spacing w:after="0" w:line="99" w:lineRule="exact"/>
        <w:rPr>
          <w:rFonts w:ascii="Times New Roman" w:cs="Times New Roman" w:eastAsia="Times New Roman" w:hAnsi="Times New Roman"/>
          <w:sz w:val="17"/>
          <w:szCs w:val="17"/>
          <w:color w:val="auto"/>
        </w:rPr>
      </w:pPr>
    </w:p>
    <w:p>
      <w:pPr>
        <w:ind w:left="1125" w:hanging="375"/>
        <w:spacing w:after="0"/>
        <w:tabs>
          <w:tab w:leader="none" w:pos="1125" w:val="left"/>
        </w:tabs>
        <w:numPr>
          <w:ilvl w:val="0"/>
          <w:numId w:val="2"/>
        </w:numPr>
        <w:rPr>
          <w:rFonts w:ascii="Times New Roman" w:cs="Times New Roman" w:eastAsia="Times New Roman" w:hAnsi="Times New Roman"/>
          <w:sz w:val="17"/>
          <w:szCs w:val="17"/>
          <w:color w:val="auto"/>
        </w:rPr>
      </w:pPr>
      <w:r>
        <w:rPr>
          <w:rFonts w:ascii="Arial" w:cs="Arial" w:eastAsia="Arial" w:hAnsi="Arial"/>
          <w:sz w:val="17"/>
          <w:szCs w:val="17"/>
          <w:color w:val="auto"/>
        </w:rPr>
        <w:t>Strong cash flow during the quarter</w:t>
      </w:r>
    </w:p>
    <w:p>
      <w:pPr>
        <w:spacing w:after="0" w:line="192" w:lineRule="exact"/>
        <w:rPr>
          <w:sz w:val="20"/>
          <w:szCs w:val="20"/>
          <w:color w:val="auto"/>
        </w:rPr>
      </w:pPr>
    </w:p>
    <w:p>
      <w:pPr>
        <w:jc w:val="both"/>
        <w:ind w:left="5" w:right="20"/>
        <w:spacing w:after="0" w:line="239" w:lineRule="auto"/>
        <w:rPr>
          <w:sz w:val="20"/>
          <w:szCs w:val="20"/>
          <w:color w:val="auto"/>
        </w:rPr>
      </w:pPr>
      <w:r>
        <w:rPr>
          <w:rFonts w:ascii="Arial" w:cs="Arial" w:eastAsia="Arial" w:hAnsi="Arial"/>
          <w:sz w:val="17"/>
          <w:szCs w:val="17"/>
          <w:b w:val="1"/>
          <w:bCs w:val="1"/>
          <w:color w:val="auto"/>
        </w:rPr>
        <w:t xml:space="preserve">MILWAUKEE, April 18, 2024 -- </w:t>
      </w:r>
      <w:r>
        <w:rPr>
          <w:rFonts w:ascii="Arial" w:cs="Arial" w:eastAsia="Arial" w:hAnsi="Arial"/>
          <w:sz w:val="17"/>
          <w:szCs w:val="17"/>
          <w:color w:val="auto"/>
        </w:rPr>
        <w:t>ManpowerGroup (NYSE: MAN) today reported net earnings of $0.81 per diluted share for the three months ended</w:t>
      </w:r>
      <w:r>
        <w:rPr>
          <w:rFonts w:ascii="Arial" w:cs="Arial" w:eastAsia="Arial" w:hAnsi="Arial"/>
          <w:sz w:val="17"/>
          <w:szCs w:val="17"/>
          <w:b w:val="1"/>
          <w:bCs w:val="1"/>
          <w:color w:val="auto"/>
        </w:rPr>
        <w:t xml:space="preserve"> </w:t>
      </w:r>
      <w:r>
        <w:rPr>
          <w:rFonts w:ascii="Arial" w:cs="Arial" w:eastAsia="Arial" w:hAnsi="Arial"/>
          <w:sz w:val="17"/>
          <w:szCs w:val="17"/>
          <w:color w:val="auto"/>
        </w:rPr>
        <w:t>March 31, 2024 compared to net earnings of $ 1.51 per diluted share in the prior year period. Net earnings in the quarter were $39.7 million compared to net earnings of $77.8 million a year earlier. Revenues for the first quarter were $4.4 billion, a 7% decrease from the prior year period.</w:t>
      </w:r>
    </w:p>
    <w:p>
      <w:pPr>
        <w:spacing w:after="0" w:line="2" w:lineRule="exact"/>
        <w:rPr>
          <w:sz w:val="20"/>
          <w:szCs w:val="20"/>
          <w:color w:val="auto"/>
        </w:rPr>
      </w:pPr>
    </w:p>
    <w:p>
      <w:pPr>
        <w:ind w:left="5" w:right="120" w:firstLine="315"/>
        <w:spacing w:after="0" w:line="233" w:lineRule="auto"/>
        <w:rPr>
          <w:sz w:val="20"/>
          <w:szCs w:val="20"/>
          <w:color w:val="auto"/>
        </w:rPr>
      </w:pPr>
      <w:r>
        <w:rPr>
          <w:rFonts w:ascii="Arial" w:cs="Arial" w:eastAsia="Arial" w:hAnsi="Arial"/>
          <w:sz w:val="17"/>
          <w:szCs w:val="17"/>
          <w:color w:val="auto"/>
        </w:rPr>
        <w:t>The quarter included run-off losses related to the run-off Proservia Germany business and a minor loss for Argentina related currency translation losses</w:t>
      </w:r>
      <w:r>
        <w:rPr>
          <w:rFonts w:ascii="Arial" w:cs="Arial" w:eastAsia="Arial" w:hAnsi="Arial"/>
          <w:sz w:val="23"/>
          <w:szCs w:val="23"/>
          <w:color w:val="auto"/>
          <w:vertAlign w:val="superscript"/>
        </w:rPr>
        <w:t>[1]</w:t>
      </w:r>
      <w:r>
        <w:rPr>
          <w:rFonts w:ascii="Arial" w:cs="Arial" w:eastAsia="Arial" w:hAnsi="Arial"/>
          <w:sz w:val="17"/>
          <w:szCs w:val="17"/>
          <w:color w:val="auto"/>
        </w:rPr>
        <w:t>. These losses reduced earnings per share by $0.13 in the first quarter and reduced our gross profit margin by 20 basis points. Excluding these losses, earnings per share was $0.94 per diluted share in the quarter representing a decrease of 39% in constant currency.</w:t>
      </w:r>
      <w:r>
        <w:rPr>
          <w:rFonts w:ascii="Arial" w:cs="Arial" w:eastAsia="Arial" w:hAnsi="Arial"/>
          <w:sz w:val="23"/>
          <w:szCs w:val="23"/>
          <w:color w:val="auto"/>
          <w:vertAlign w:val="superscript"/>
        </w:rPr>
        <w:t>[2]</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 w:right="160" w:hanging="5"/>
        <w:spacing w:after="0" w:line="226" w:lineRule="auto"/>
        <w:tabs>
          <w:tab w:leader="none" w:pos="152" w:val="left"/>
        </w:tabs>
        <w:numPr>
          <w:ilvl w:val="0"/>
          <w:numId w:val="3"/>
        </w:numPr>
        <w:rPr>
          <w:rFonts w:ascii="Arial" w:cs="Arial" w:eastAsia="Arial" w:hAnsi="Arial"/>
          <w:sz w:val="20"/>
          <w:szCs w:val="20"/>
          <w:color w:val="auto"/>
          <w:vertAlign w:val="superscript"/>
        </w:rPr>
      </w:pPr>
      <w:r>
        <w:rPr>
          <w:rFonts w:ascii="Arial" w:cs="Arial" w:eastAsia="Arial" w:hAnsi="Arial"/>
          <w:sz w:val="15"/>
          <w:szCs w:val="15"/>
          <w:color w:val="auto"/>
        </w:rPr>
        <w:t>Argentina is required to be treated as a hyperinflationary economy and the currency translation losses reflect the devaluation of the Argentine peso during the quarter.</w:t>
      </w:r>
    </w:p>
    <w:p>
      <w:pPr>
        <w:spacing w:after="0" w:line="1" w:lineRule="exact"/>
        <w:rPr>
          <w:rFonts w:ascii="Arial" w:cs="Arial" w:eastAsia="Arial" w:hAnsi="Arial"/>
          <w:sz w:val="20"/>
          <w:szCs w:val="20"/>
          <w:color w:val="auto"/>
          <w:vertAlign w:val="superscript"/>
        </w:rPr>
      </w:pPr>
    </w:p>
    <w:p>
      <w:pPr>
        <w:ind w:left="5" w:right="280" w:hanging="5"/>
        <w:spacing w:after="0" w:line="208" w:lineRule="auto"/>
        <w:tabs>
          <w:tab w:leader="none" w:pos="166" w:val="left"/>
        </w:tabs>
        <w:numPr>
          <w:ilvl w:val="0"/>
          <w:numId w:val="3"/>
        </w:numPr>
        <w:rPr>
          <w:rFonts w:ascii="Arial" w:cs="Arial" w:eastAsia="Arial" w:hAnsi="Arial"/>
          <w:sz w:val="21"/>
          <w:szCs w:val="21"/>
          <w:color w:val="auto"/>
          <w:vertAlign w:val="superscript"/>
        </w:rPr>
      </w:pPr>
      <w:r>
        <w:rPr>
          <w:rFonts w:ascii="Arial" w:cs="Arial" w:eastAsia="Arial" w:hAnsi="Arial"/>
          <w:sz w:val="16"/>
          <w:szCs w:val="16"/>
          <w:color w:val="auto"/>
        </w:rPr>
        <w:t>The prior year period included restructuring costs which reduced earnings per share by $0.10 which are also excluded when determining the year over year trend.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594995</wp:posOffset>
            </wp:positionV>
            <wp:extent cx="7174865" cy="406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878" w:right="319" w:bottom="1440" w:gutter="0" w:footer="0" w:header="0"/>
        </w:sectPr>
      </w:pPr>
    </w:p>
    <w:bookmarkStart w:id="4" w:name="page5"/>
    <w:bookmarkEnd w:id="4"/>
    <w:p>
      <w:pPr>
        <w:jc w:val="both"/>
        <w:ind w:right="20" w:firstLine="327"/>
        <w:spacing w:after="0" w:line="243" w:lineRule="auto"/>
        <w:rPr>
          <w:sz w:val="20"/>
          <w:szCs w:val="20"/>
          <w:color w:val="auto"/>
        </w:rPr>
      </w:pPr>
      <w:r>
        <w:rPr>
          <w:rFonts w:ascii="Arial" w:cs="Arial" w:eastAsia="Arial" w:hAnsi="Arial"/>
          <w:sz w:val="17"/>
          <w:szCs w:val="17"/>
          <w:color w:val="auto"/>
        </w:rPr>
        <w:t>Financial results in the quarterwere also impacted by the U.S. dollar relativeto foreign currencies comparedto the prior year period. The first quarter earnings per share guidance estimated a negative 2 cents foreign currency impact and the actual impact was worse at a negative 4 cents. On a constant currency basis, revenues decreased 5% compared to the prior year period, or decreased 6% as adjusted.</w:t>
      </w:r>
    </w:p>
    <w:p>
      <w:pPr>
        <w:spacing w:after="0" w:line="2" w:lineRule="exact"/>
        <w:rPr>
          <w:sz w:val="20"/>
          <w:szCs w:val="20"/>
          <w:color w:val="auto"/>
        </w:rPr>
      </w:pPr>
    </w:p>
    <w:p>
      <w:pPr>
        <w:jc w:val="both"/>
        <w:ind w:right="20" w:firstLine="315"/>
        <w:spacing w:after="0" w:line="235" w:lineRule="auto"/>
        <w:rPr>
          <w:sz w:val="20"/>
          <w:szCs w:val="20"/>
          <w:color w:val="auto"/>
        </w:rPr>
      </w:pPr>
      <w:r>
        <w:rPr>
          <w:rFonts w:ascii="Arial" w:cs="Arial" w:eastAsia="Arial" w:hAnsi="Arial"/>
          <w:sz w:val="17"/>
          <w:szCs w:val="17"/>
          <w:color w:val="auto"/>
        </w:rPr>
        <w:t>Jonas Prising, ManpowerGroup Chairman &amp; CEO, said, “Employers in North America and Europe remain cautious as they wait for signs that the economic environment is on a sustainable path of improvement. In some of those markets demand for staffing and permanent recruitment stabilized at lower levels, while demand across Latin America and Asia Pacific Middle East remained solid. We continue to prioritize the execution of our strategic initiatives and are accelerating sales activities to drive profitable growth when demand trends strengthen.</w:t>
      </w:r>
    </w:p>
    <w:p>
      <w:pPr>
        <w:spacing w:after="0" w:line="3" w:lineRule="exact"/>
        <w:rPr>
          <w:sz w:val="20"/>
          <w:szCs w:val="20"/>
          <w:color w:val="auto"/>
        </w:rPr>
      </w:pPr>
    </w:p>
    <w:p>
      <w:pPr>
        <w:jc w:val="both"/>
        <w:ind w:firstLine="751"/>
        <w:spacing w:after="0" w:line="232" w:lineRule="auto"/>
        <w:rPr>
          <w:sz w:val="20"/>
          <w:szCs w:val="20"/>
          <w:color w:val="auto"/>
        </w:rPr>
      </w:pPr>
      <w:r>
        <w:rPr>
          <w:rFonts w:ascii="Arial" w:cs="Arial" w:eastAsia="Arial" w:hAnsi="Arial"/>
          <w:sz w:val="17"/>
          <w:szCs w:val="17"/>
          <w:color w:val="auto"/>
        </w:rPr>
        <w:t>We anticipate diluted earnings per share in the second quarter will be between $1.24 and $1.34, which includes an estimated unfavorable currency impact of 7 cents and excludes unfavorable operating losses for the run-off Proservia Germany business estimated at 8 cents. Our guidance excludes any restructuring costs and any Argentina related impact of non-cash currency translation losses.”</w:t>
      </w:r>
    </w:p>
    <w:p>
      <w:pPr>
        <w:spacing w:after="0" w:line="1" w:lineRule="exact"/>
        <w:rPr>
          <w:sz w:val="20"/>
          <w:szCs w:val="20"/>
          <w:color w:val="auto"/>
        </w:rPr>
      </w:pPr>
    </w:p>
    <w:p>
      <w:pPr>
        <w:jc w:val="both"/>
        <w:ind w:right="20" w:firstLine="751"/>
        <w:spacing w:after="0" w:line="232" w:lineRule="auto"/>
        <w:rPr>
          <w:sz w:val="20"/>
          <w:szCs w:val="20"/>
          <w:color w:val="auto"/>
        </w:rPr>
      </w:pPr>
      <w:r>
        <w:rPr>
          <w:rFonts w:ascii="Arial" w:cs="Arial" w:eastAsia="Arial" w:hAnsi="Arial"/>
          <w:sz w:val="17"/>
          <w:szCs w:val="17"/>
          <w:color w:val="auto"/>
        </w:rPr>
        <w:t>In conjunction with its first quarter earnings release, ManpowerGroup will broadcast its conference call live over the Internet on April 18, 2024 at 7:30 a.m. central time (8:30 a.m. eastern time). Prepared remarks for the conference call, webcast details, presentation and recordings are included within the Investor Relations section of manpowergroup.com.</w:t>
      </w:r>
    </w:p>
    <w:p>
      <w:pPr>
        <w:spacing w:after="0" w:line="1" w:lineRule="exact"/>
        <w:rPr>
          <w:sz w:val="20"/>
          <w:szCs w:val="20"/>
          <w:color w:val="auto"/>
        </w:rPr>
      </w:pPr>
    </w:p>
    <w:p>
      <w:pPr>
        <w:ind w:left="740"/>
        <w:spacing w:after="0"/>
        <w:rPr>
          <w:sz w:val="20"/>
          <w:szCs w:val="20"/>
          <w:color w:val="auto"/>
        </w:rPr>
      </w:pPr>
      <w:r>
        <w:rPr>
          <w:rFonts w:ascii="Arial" w:cs="Arial" w:eastAsia="Arial" w:hAnsi="Arial"/>
          <w:sz w:val="17"/>
          <w:szCs w:val="17"/>
          <w:color w:val="auto"/>
        </w:rPr>
        <w:t>Supplemental financial information referenced in the conference call can be found at http://investor.manpowergroup.com/.</w:t>
      </w:r>
    </w:p>
    <w:p>
      <w:pPr>
        <w:spacing w:after="0" w:line="3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ManpowerGroup</w:t>
      </w:r>
    </w:p>
    <w:p>
      <w:pPr>
        <w:spacing w:after="0" w:line="9" w:lineRule="exact"/>
        <w:rPr>
          <w:sz w:val="20"/>
          <w:szCs w:val="20"/>
          <w:color w:val="auto"/>
        </w:rPr>
      </w:pPr>
    </w:p>
    <w:p>
      <w:pPr>
        <w:jc w:val="both"/>
        <w:spacing w:after="0" w:line="228" w:lineRule="auto"/>
        <w:rPr>
          <w:sz w:val="20"/>
          <w:szCs w:val="20"/>
          <w:color w:val="auto"/>
        </w:rPr>
      </w:pPr>
      <w:r>
        <w:rPr>
          <w:rFonts w:ascii="Arial" w:cs="Arial" w:eastAsia="Arial" w:hAnsi="Arial"/>
          <w:sz w:val="16"/>
          <w:szCs w:val="16"/>
          <w:color w:val="auto"/>
        </w:rPr>
        <w:t>ManpowerGroup® (NYSE: MAN), the leading global workforce solutions company, helps organizations transform in a fast-changing world of work by sourcing, assessing, developing, and managing the talent that enables them to win. We develop innovative solutions for hundreds of thousands of organizations every year, providing them with skilled talent while finding meaningful, sustainable employment for millions of people across a wide range of industries and skills. Our expert family of brands – Manpower, Experis, and Talent Solutions – creates substantially more value for candidates and clients across more than 70 countries and territories and has done so for 75 years. We are recognized consistently for our diversity – as a best place to work for Women, Inclusion, Equality, and Disability, and in 2024 ManpowerGroup was named one of the World's Most Ethical Companies for the 15</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time – all confirming our position as the brand of choice for in-demand talent. For more information, visit www.manpowergroup.com.</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Statements</w:t>
      </w:r>
    </w:p>
    <w:p>
      <w:pPr>
        <w:spacing w:after="0" w:line="9"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This press release contains statements, including statements regarding economic and geopolitical uncertainty, trends in labor demand and the future strengthening of such demand, financial outlook, including any residual costs resulting from the wind-down of the Proservia business in Germany and the Company’s strategic initiatives and technology investments that are forward-looking in nature and, accordingly, are subject to risks and uncertainties regarding the Company’s expected future results. The Company’s actual results may differ materially from those described or contemplated in the forward-looking statements due to numerous factors. These factors include those found in the Company’s reports filed with the SEC, including the information under the heading “Risk Factors” in its Annual Report on Form 10-K for the year ended December 31, 2023, which information is incorporated herein by reference.</w:t>
      </w:r>
    </w:p>
    <w:p>
      <w:pPr>
        <w:spacing w:after="0" w:line="151" w:lineRule="exact"/>
        <w:rPr>
          <w:sz w:val="20"/>
          <w:szCs w:val="20"/>
          <w:color w:val="auto"/>
        </w:rPr>
      </w:pPr>
    </w:p>
    <w:p>
      <w:pPr>
        <w:ind w:right="100"/>
        <w:spacing w:after="0" w:line="250" w:lineRule="auto"/>
        <w:rPr>
          <w:sz w:val="20"/>
          <w:szCs w:val="20"/>
          <w:color w:val="auto"/>
        </w:rPr>
      </w:pPr>
      <w:r>
        <w:rPr>
          <w:rFonts w:ascii="Arial" w:cs="Arial" w:eastAsia="Arial" w:hAnsi="Arial"/>
          <w:sz w:val="16"/>
          <w:szCs w:val="16"/>
          <w:color w:val="auto"/>
        </w:rPr>
        <w:t>The Company assumes no obligation to update or revise any forward-looking statements. We reference certain non-GAAP financial measures, which we believe provide useful information for investors. We include a reconciliation of these measures, where appropriate, to GAAP on the Investor Relations section of our website at manpowergroup.com</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464820</wp:posOffset>
            </wp:positionV>
            <wp:extent cx="7174865" cy="40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877" w:right="319" w:bottom="1440" w:gutter="0" w:footer="0" w:header="0"/>
        </w:sectPr>
      </w:pPr>
    </w:p>
    <w:bookmarkStart w:id="5" w:name="page6"/>
    <w:bookmarkEnd w:id="5"/>
    <w:p>
      <w:pPr>
        <w:spacing w:after="0" w:line="104" w:lineRule="exact"/>
        <w:rPr>
          <w:sz w:val="20"/>
          <w:szCs w:val="20"/>
          <w:color w:val="auto"/>
        </w:rPr>
      </w:pPr>
    </w:p>
    <w:p>
      <w:pPr>
        <w:ind w:left="4100"/>
        <w:spacing w:after="0"/>
        <w:rPr>
          <w:sz w:val="20"/>
          <w:szCs w:val="20"/>
          <w:color w:val="auto"/>
        </w:rPr>
      </w:pP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-726440</wp:posOffset>
            </wp:positionH>
            <wp:positionV relativeFrom="paragraph">
              <wp:posOffset>615315</wp:posOffset>
            </wp:positionV>
            <wp:extent cx="7174865" cy="406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6" w:name="page7"/>
    <w:bookmarkEnd w:id="6"/>
    <w:p>
      <w:pPr>
        <w:jc w:val="center"/>
        <w:ind w:right="35"/>
        <w:spacing w:after="0"/>
        <w:rPr>
          <w:sz w:val="20"/>
          <w:szCs w:val="20"/>
          <w:color w:val="auto"/>
        </w:rPr>
      </w:pPr>
      <w:r>
        <w:rPr>
          <w:rFonts w:ascii="Times New Roman" w:cs="Times New Roman" w:eastAsia="Times New Roman" w:hAnsi="Times New Roman"/>
          <w:sz w:val="16"/>
          <w:szCs w:val="16"/>
          <w:color w:val="auto"/>
        </w:rPr>
        <w:t>ManpowerGroup</w:t>
      </w:r>
    </w:p>
    <w:p>
      <w:pPr>
        <w:spacing w:after="0" w:line="22" w:lineRule="exact"/>
        <w:rPr>
          <w:sz w:val="20"/>
          <w:szCs w:val="20"/>
          <w:color w:val="auto"/>
        </w:rPr>
      </w:pPr>
    </w:p>
    <w:p>
      <w:pPr>
        <w:jc w:val="center"/>
        <w:ind w:right="35"/>
        <w:spacing w:after="0"/>
        <w:rPr>
          <w:sz w:val="20"/>
          <w:szCs w:val="20"/>
          <w:color w:val="auto"/>
        </w:rPr>
      </w:pPr>
      <w:r>
        <w:rPr>
          <w:rFonts w:ascii="Times New Roman" w:cs="Times New Roman" w:eastAsia="Times New Roman" w:hAnsi="Times New Roman"/>
          <w:sz w:val="16"/>
          <w:szCs w:val="16"/>
          <w:color w:val="auto"/>
        </w:rPr>
        <w:t>Results of Operations</w:t>
      </w:r>
    </w:p>
    <w:p>
      <w:pPr>
        <w:spacing w:after="0" w:line="5" w:lineRule="exact"/>
        <w:rPr>
          <w:sz w:val="20"/>
          <w:szCs w:val="20"/>
          <w:color w:val="auto"/>
        </w:rPr>
      </w:pPr>
    </w:p>
    <w:p>
      <w:pPr>
        <w:jc w:val="center"/>
        <w:ind w:right="35"/>
        <w:spacing w:after="0"/>
        <w:rPr>
          <w:sz w:val="20"/>
          <w:szCs w:val="20"/>
          <w:color w:val="auto"/>
        </w:rPr>
      </w:pPr>
      <w:r>
        <w:rPr>
          <w:rFonts w:ascii="Times New Roman" w:cs="Times New Roman" w:eastAsia="Times New Roman" w:hAnsi="Times New Roman"/>
          <w:sz w:val="16"/>
          <w:szCs w:val="16"/>
          <w:color w:val="auto"/>
        </w:rPr>
        <w:t>(In millions, except per share data)</w:t>
      </w:r>
    </w:p>
    <w:p>
      <w:pPr>
        <w:spacing w:after="0" w:line="187" w:lineRule="exact"/>
        <w:rPr>
          <w:sz w:val="20"/>
          <w:szCs w:val="20"/>
          <w:color w:val="auto"/>
        </w:rPr>
      </w:pPr>
    </w:p>
    <w:tbl>
      <w:tblPr>
        <w:tblLayout w:type="fixed"/>
        <w:tblInd w:w="5" w:type="dxa"/>
        <w:tblCellMar>
          <w:top w:w="0" w:type="dxa"/>
          <w:left w:w="0" w:type="dxa"/>
          <w:bottom w:w="0" w:type="dxa"/>
          <w:right w:w="0" w:type="dxa"/>
        </w:tblCellMar>
      </w:tblPr>
      <w:tr>
        <w:trPr>
          <w:trHeight w:val="214"/>
        </w:trPr>
        <w:tc>
          <w:tcPr>
            <w:tcW w:w="54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060" w:type="dxa"/>
            <w:vAlign w:val="bottom"/>
            <w:tcBorders>
              <w:bottom w:val="single" w:sz="8" w:color="auto"/>
            </w:tcBorders>
            <w:gridSpan w:val="7"/>
          </w:tcPr>
          <w:p>
            <w:pPr>
              <w:jc w:val="right"/>
              <w:ind w:right="84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9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8"/>
        </w:trPr>
        <w:tc>
          <w:tcPr>
            <w:tcW w:w="5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 Variance</w:t>
            </w:r>
          </w:p>
        </w:tc>
        <w:tc>
          <w:tcPr>
            <w:tcW w:w="9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0"/>
        </w:trPr>
        <w:tc>
          <w:tcPr>
            <w:tcW w:w="5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00" w:type="dxa"/>
            <w:vAlign w:val="bottom"/>
            <w:gridSpan w:val="3"/>
          </w:tcPr>
          <w:p>
            <w:pPr>
              <w:jc w:val="right"/>
              <w:ind w:right="88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9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Constant</w:t>
            </w:r>
          </w:p>
        </w:tc>
        <w:tc>
          <w:tcPr>
            <w:tcW w:w="160" w:type="dxa"/>
            <w:vAlign w:val="bottom"/>
            <w:gridSpan w:val="2"/>
          </w:tcPr>
          <w:p>
            <w:pPr>
              <w:spacing w:after="0"/>
              <w:rPr>
                <w:sz w:val="17"/>
                <w:szCs w:val="17"/>
                <w:color w:val="auto"/>
              </w:rPr>
            </w:pPr>
          </w:p>
        </w:tc>
      </w:tr>
      <w:tr>
        <w:trPr>
          <w:trHeight w:val="214"/>
        </w:trPr>
        <w:tc>
          <w:tcPr>
            <w:tcW w:w="54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6"/>
                <w:szCs w:val="16"/>
                <w:b w:val="1"/>
                <w:bCs w:val="1"/>
                <w:color w:val="auto"/>
                <w:w w:val="99"/>
              </w:rPr>
              <w:t>Reported</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Currency</w:t>
            </w:r>
          </w:p>
        </w:tc>
        <w:tc>
          <w:tcPr>
            <w:tcW w:w="160" w:type="dxa"/>
            <w:vAlign w:val="bottom"/>
            <w:gridSpan w:val="2"/>
          </w:tcPr>
          <w:p>
            <w:pPr>
              <w:spacing w:after="0"/>
              <w:rPr>
                <w:sz w:val="18"/>
                <w:szCs w:val="18"/>
                <w:color w:val="auto"/>
              </w:rPr>
            </w:pPr>
          </w:p>
        </w:tc>
      </w:tr>
      <w:tr>
        <w:trPr>
          <w:trHeight w:val="204"/>
        </w:trPr>
        <w:tc>
          <w:tcPr>
            <w:tcW w:w="5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gridSpan w:val="4"/>
          </w:tcPr>
          <w:p>
            <w:pPr>
              <w:ind w:left="780"/>
              <w:spacing w:after="0"/>
              <w:rPr>
                <w:sz w:val="20"/>
                <w:szCs w:val="20"/>
                <w:color w:val="auto"/>
              </w:rPr>
            </w:pPr>
            <w:r>
              <w:rPr>
                <w:rFonts w:ascii="Times New Roman" w:cs="Times New Roman" w:eastAsia="Times New Roman" w:hAnsi="Times New Roman"/>
                <w:sz w:val="16"/>
                <w:szCs w:val="16"/>
                <w:color w:val="auto"/>
                <w:w w:val="98"/>
              </w:rPr>
              <w:t>(Unaudited)</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8"/>
        </w:trPr>
        <w:tc>
          <w:tcPr>
            <w:tcW w:w="5400" w:type="dxa"/>
            <w:vAlign w:val="bottom"/>
          </w:tcPr>
          <w:p>
            <w:pPr>
              <w:spacing w:after="0"/>
              <w:rPr>
                <w:sz w:val="20"/>
                <w:szCs w:val="20"/>
                <w:color w:val="auto"/>
              </w:rPr>
            </w:pPr>
            <w:r>
              <w:rPr>
                <w:rFonts w:ascii="Times New Roman" w:cs="Times New Roman" w:eastAsia="Times New Roman" w:hAnsi="Times New Roman"/>
                <w:sz w:val="16"/>
                <w:szCs w:val="16"/>
                <w:color w:val="auto"/>
              </w:rPr>
              <w:t>Revenues from services (a)</w:t>
            </w: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4,403.3</w:t>
            </w:r>
          </w:p>
        </w:tc>
        <w:tc>
          <w:tcPr>
            <w:tcW w:w="46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4,752.3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-7.3 %</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-5.5 %</w:t>
            </w:r>
          </w:p>
        </w:tc>
      </w:tr>
      <w:tr>
        <w:trPr>
          <w:trHeight w:val="224"/>
        </w:trPr>
        <w:tc>
          <w:tcPr>
            <w:tcW w:w="5400" w:type="dxa"/>
            <w:vAlign w:val="bottom"/>
          </w:tcPr>
          <w:p>
            <w:pPr>
              <w:spacing w:after="0"/>
              <w:rPr>
                <w:sz w:val="20"/>
                <w:szCs w:val="20"/>
                <w:color w:val="auto"/>
              </w:rPr>
            </w:pPr>
            <w:r>
              <w:rPr>
                <w:rFonts w:ascii="Times New Roman" w:cs="Times New Roman" w:eastAsia="Times New Roman" w:hAnsi="Times New Roman"/>
                <w:sz w:val="16"/>
                <w:szCs w:val="16"/>
                <w:color w:val="auto"/>
              </w:rPr>
              <w:t>Cost of services</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3,639.6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3,889.2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-6.4 %</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-4.4 %</w:t>
            </w:r>
          </w:p>
        </w:tc>
      </w:tr>
      <w:tr>
        <w:trPr>
          <w:trHeight w:val="198"/>
        </w:trPr>
        <w:tc>
          <w:tcPr>
            <w:tcW w:w="54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Gross profit</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763.7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863.1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0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-11.5 %</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-10.1 %</w:t>
            </w:r>
          </w:p>
        </w:tc>
      </w:tr>
      <w:tr>
        <w:trPr>
          <w:trHeight w:val="219"/>
        </w:trPr>
        <w:tc>
          <w:tcPr>
            <w:tcW w:w="5400" w:type="dxa"/>
            <w:vAlign w:val="bottom"/>
          </w:tcPr>
          <w:p>
            <w:pPr>
              <w:spacing w:after="0"/>
              <w:rPr>
                <w:sz w:val="20"/>
                <w:szCs w:val="20"/>
                <w:color w:val="auto"/>
              </w:rPr>
            </w:pPr>
            <w:r>
              <w:rPr>
                <w:rFonts w:ascii="Times New Roman" w:cs="Times New Roman" w:eastAsia="Times New Roman" w:hAnsi="Times New Roman"/>
                <w:sz w:val="16"/>
                <w:szCs w:val="16"/>
                <w:color w:val="auto"/>
              </w:rPr>
              <w:t>Selling and administrative expenses</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697.8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745.2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-6.4 %</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-5.1 %</w:t>
            </w:r>
          </w:p>
        </w:tc>
      </w:tr>
      <w:tr>
        <w:trPr>
          <w:trHeight w:val="198"/>
        </w:trPr>
        <w:tc>
          <w:tcPr>
            <w:tcW w:w="54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Operating profit</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0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-44.1 %</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-41.7 %</w:t>
            </w:r>
          </w:p>
        </w:tc>
      </w:tr>
      <w:tr>
        <w:trPr>
          <w:trHeight w:val="219"/>
        </w:trPr>
        <w:tc>
          <w:tcPr>
            <w:tcW w:w="5400" w:type="dxa"/>
            <w:vAlign w:val="bottom"/>
          </w:tcPr>
          <w:p>
            <w:pPr>
              <w:spacing w:after="0"/>
              <w:rPr>
                <w:sz w:val="20"/>
                <w:szCs w:val="20"/>
                <w:color w:val="auto"/>
              </w:rPr>
            </w:pPr>
            <w:r>
              <w:rPr>
                <w:rFonts w:ascii="Times New Roman" w:cs="Times New Roman" w:eastAsia="Times New Roman" w:hAnsi="Times New Roman"/>
                <w:sz w:val="16"/>
                <w:szCs w:val="16"/>
                <w:color w:val="auto"/>
              </w:rPr>
              <w:t>Interest and other expenses, net</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12.2 %</w:t>
            </w: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198"/>
        </w:trPr>
        <w:tc>
          <w:tcPr>
            <w:tcW w:w="54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Earnings before income taxes</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0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-47.9 %</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-45.3 %</w:t>
            </w:r>
          </w:p>
        </w:tc>
      </w:tr>
      <w:tr>
        <w:trPr>
          <w:trHeight w:val="219"/>
        </w:trPr>
        <w:tc>
          <w:tcPr>
            <w:tcW w:w="5400" w:type="dxa"/>
            <w:vAlign w:val="bottom"/>
          </w:tcPr>
          <w:p>
            <w:pPr>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-45.4 %</w:t>
            </w: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05"/>
        </w:trPr>
        <w:tc>
          <w:tcPr>
            <w:tcW w:w="54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Net earnings</w:t>
            </w: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39.7</w:t>
            </w:r>
          </w:p>
        </w:tc>
        <w:tc>
          <w:tcPr>
            <w:tcW w:w="46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0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-49.0 %</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-46.4 %</w:t>
            </w:r>
          </w:p>
        </w:tc>
      </w:tr>
      <w:tr>
        <w:trPr>
          <w:trHeight w:val="20"/>
        </w:trPr>
        <w:tc>
          <w:tcPr>
            <w:tcW w:w="54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8"/>
        </w:trPr>
        <w:tc>
          <w:tcPr>
            <w:tcW w:w="5400" w:type="dxa"/>
            <w:vAlign w:val="bottom"/>
          </w:tcPr>
          <w:p>
            <w:pPr>
              <w:spacing w:after="0"/>
              <w:rPr>
                <w:sz w:val="20"/>
                <w:szCs w:val="20"/>
                <w:color w:val="auto"/>
              </w:rPr>
            </w:pPr>
            <w:r>
              <w:rPr>
                <w:rFonts w:ascii="Times New Roman" w:cs="Times New Roman" w:eastAsia="Times New Roman" w:hAnsi="Times New Roman"/>
                <w:sz w:val="16"/>
                <w:szCs w:val="16"/>
                <w:color w:val="auto"/>
              </w:rPr>
              <w:t>Net earnings per share - basic</w:t>
            </w: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0.82</w:t>
            </w:r>
          </w:p>
        </w:tc>
        <w:tc>
          <w:tcPr>
            <w:tcW w:w="46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0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-46.2 %</w:t>
            </w: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0"/>
        </w:trPr>
        <w:tc>
          <w:tcPr>
            <w:tcW w:w="54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8"/>
        </w:trPr>
        <w:tc>
          <w:tcPr>
            <w:tcW w:w="5400" w:type="dxa"/>
            <w:vAlign w:val="bottom"/>
          </w:tcPr>
          <w:p>
            <w:pPr>
              <w:spacing w:after="0"/>
              <w:rPr>
                <w:sz w:val="20"/>
                <w:szCs w:val="20"/>
                <w:color w:val="auto"/>
              </w:rPr>
            </w:pPr>
            <w:r>
              <w:rPr>
                <w:rFonts w:ascii="Times New Roman" w:cs="Times New Roman" w:eastAsia="Times New Roman" w:hAnsi="Times New Roman"/>
                <w:sz w:val="16"/>
                <w:szCs w:val="16"/>
                <w:color w:val="auto"/>
              </w:rPr>
              <w:t>Net earnings per share - diluted</w:t>
            </w: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0.81</w:t>
            </w:r>
          </w:p>
        </w:tc>
        <w:tc>
          <w:tcPr>
            <w:tcW w:w="46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0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-46.2 %</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-43.5 %</w:t>
            </w:r>
          </w:p>
        </w:tc>
      </w:tr>
      <w:tr>
        <w:trPr>
          <w:trHeight w:val="20"/>
        </w:trPr>
        <w:tc>
          <w:tcPr>
            <w:tcW w:w="54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8"/>
        </w:trPr>
        <w:tc>
          <w:tcPr>
            <w:tcW w:w="5400" w:type="dxa"/>
            <w:vAlign w:val="bottom"/>
          </w:tcPr>
          <w:p>
            <w:pPr>
              <w:spacing w:after="0"/>
              <w:rPr>
                <w:sz w:val="20"/>
                <w:szCs w:val="20"/>
                <w:color w:val="auto"/>
              </w:rPr>
            </w:pPr>
            <w:r>
              <w:rPr>
                <w:rFonts w:ascii="Times New Roman" w:cs="Times New Roman" w:eastAsia="Times New Roman" w:hAnsi="Times New Roman"/>
                <w:sz w:val="16"/>
                <w:szCs w:val="16"/>
                <w:color w:val="auto"/>
              </w:rPr>
              <w:t>Weighted average shares - basic</w:t>
            </w: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0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-5.1 %</w:t>
            </w: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0"/>
        </w:trPr>
        <w:tc>
          <w:tcPr>
            <w:tcW w:w="5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8"/>
        </w:trPr>
        <w:tc>
          <w:tcPr>
            <w:tcW w:w="54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Weighted average shares - diluted</w:t>
            </w:r>
          </w:p>
        </w:tc>
        <w:tc>
          <w:tcPr>
            <w:tcW w:w="2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48.9</w:t>
            </w: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51.6</w:t>
            </w: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1500" w:type="dxa"/>
            <w:vAlign w:val="bottom"/>
            <w:tcBorders>
              <w:bottom w:val="single" w:sz="8" w:color="CFF0FC"/>
            </w:tcBorders>
            <w:gridSpan w:val="3"/>
            <w:shd w:val="clear" w:color="auto" w:fill="CFF0FC"/>
          </w:tcPr>
          <w:p>
            <w:pPr>
              <w:jc w:val="right"/>
              <w:ind w:right="380"/>
              <w:spacing w:after="0"/>
              <w:rPr>
                <w:sz w:val="20"/>
                <w:szCs w:val="20"/>
                <w:color w:val="auto"/>
              </w:rPr>
            </w:pPr>
            <w:r>
              <w:rPr>
                <w:rFonts w:ascii="Times New Roman" w:cs="Times New Roman" w:eastAsia="Times New Roman" w:hAnsi="Times New Roman"/>
                <w:sz w:val="16"/>
                <w:szCs w:val="16"/>
                <w:color w:val="auto"/>
              </w:rPr>
              <w:t>-5.1 %</w:t>
            </w:r>
          </w:p>
        </w:tc>
        <w:tc>
          <w:tcPr>
            <w:tcW w:w="9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-1899285</wp:posOffset>
            </wp:positionV>
            <wp:extent cx="7149465" cy="135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135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-1621790</wp:posOffset>
            </wp:positionV>
            <wp:extent cx="7149465" cy="135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135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-1343660</wp:posOffset>
            </wp:positionV>
            <wp:extent cx="7149465" cy="135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135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-1065530</wp:posOffset>
            </wp:positionV>
            <wp:extent cx="7149465" cy="135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135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-788035</wp:posOffset>
            </wp:positionV>
            <wp:extent cx="7149465" cy="1574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15748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-472440</wp:posOffset>
            </wp:positionV>
            <wp:extent cx="7149465" cy="1574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157480"/>
                    </a:xfrm>
                    <a:prstGeom prst="rect">
                      <a:avLst/>
                    </a:prstGeom>
                    <a:noFill/>
                  </pic:spPr>
                </pic:pic>
              </a:graphicData>
            </a:graphic>
          </wp:anchor>
        </w:drawing>
        <w:drawing>
          <wp:anchor simplePos="0" relativeHeight="251657728" behindDoc="1" locked="0" layoutInCell="0" allowOverlap="1">
            <wp:simplePos x="0" y="0"/>
            <wp:positionH relativeFrom="column">
              <wp:posOffset>4227830</wp:posOffset>
            </wp:positionH>
            <wp:positionV relativeFrom="paragraph">
              <wp:posOffset>-21590</wp:posOffset>
            </wp:positionV>
            <wp:extent cx="74930"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4227830</wp:posOffset>
            </wp:positionH>
            <wp:positionV relativeFrom="paragraph">
              <wp:posOffset>-6985</wp:posOffset>
            </wp:positionV>
            <wp:extent cx="74930"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5189220</wp:posOffset>
            </wp:positionH>
            <wp:positionV relativeFrom="paragraph">
              <wp:posOffset>-21590</wp:posOffset>
            </wp:positionV>
            <wp:extent cx="74930"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5189220</wp:posOffset>
            </wp:positionH>
            <wp:positionV relativeFrom="paragraph">
              <wp:posOffset>-6985</wp:posOffset>
            </wp:positionV>
            <wp:extent cx="74930"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4930" cy="7620"/>
                    </a:xfrm>
                    <a:prstGeom prst="rect">
                      <a:avLst/>
                    </a:prstGeom>
                    <a:noFill/>
                  </pic:spPr>
                </pic:pic>
              </a:graphicData>
            </a:graphic>
          </wp:anchor>
        </w:drawing>
      </w:r>
    </w:p>
    <w:p>
      <w:pPr>
        <w:jc w:val="both"/>
        <w:ind w:left="505" w:right="60" w:hanging="505"/>
        <w:spacing w:after="0" w:line="250" w:lineRule="auto"/>
        <w:tabs>
          <w:tab w:leader="none" w:pos="505"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Revenues from services include fees received from our franchise offices of $3.3 million and $3.9 million for the three months ended March 31, 2024 and 2023, respectively. These fees are primarily based on revenues generated by the franchise offices, which were $277.2 million and $250.2 million for the three months ended March 31, 2024 and 2023,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598170</wp:posOffset>
            </wp:positionV>
            <wp:extent cx="7174865" cy="406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305"/>
          </w:cols>
          <w:pgMar w:left="315" w:top="880" w:right="279" w:bottom="1440" w:gutter="0" w:footer="0" w:header="0"/>
        </w:sectPr>
      </w:pPr>
    </w:p>
    <w:bookmarkStart w:id="7" w:name="page8"/>
    <w:bookmarkEnd w:id="7"/>
    <w:p>
      <w:pPr>
        <w:ind w:left="5086"/>
        <w:spacing w:after="0"/>
        <w:rPr>
          <w:sz w:val="20"/>
          <w:szCs w:val="20"/>
          <w:color w:val="auto"/>
        </w:rPr>
      </w:pPr>
      <w:r>
        <w:rPr>
          <w:rFonts w:ascii="Times New Roman" w:cs="Times New Roman" w:eastAsia="Times New Roman" w:hAnsi="Times New Roman"/>
          <w:sz w:val="16"/>
          <w:szCs w:val="16"/>
          <w:color w:val="auto"/>
        </w:rPr>
        <w:t>ManpowerGroup</w:t>
      </w:r>
    </w:p>
    <w:p>
      <w:pPr>
        <w:spacing w:after="0" w:line="41" w:lineRule="exact"/>
        <w:rPr>
          <w:sz w:val="20"/>
          <w:szCs w:val="20"/>
          <w:color w:val="auto"/>
        </w:rPr>
      </w:pPr>
    </w:p>
    <w:p>
      <w:pPr>
        <w:ind w:left="4906"/>
        <w:spacing w:after="0"/>
        <w:rPr>
          <w:sz w:val="20"/>
          <w:szCs w:val="20"/>
          <w:color w:val="auto"/>
        </w:rPr>
      </w:pPr>
      <w:r>
        <w:rPr>
          <w:rFonts w:ascii="Times New Roman" w:cs="Times New Roman" w:eastAsia="Times New Roman" w:hAnsi="Times New Roman"/>
          <w:sz w:val="16"/>
          <w:szCs w:val="16"/>
          <w:color w:val="auto"/>
        </w:rPr>
        <w:t>Operating Unit Results</w:t>
      </w:r>
    </w:p>
    <w:p>
      <w:pPr>
        <w:spacing w:after="0" w:line="29" w:lineRule="exact"/>
        <w:rPr>
          <w:sz w:val="20"/>
          <w:szCs w:val="20"/>
          <w:color w:val="auto"/>
        </w:rPr>
      </w:pPr>
    </w:p>
    <w:p>
      <w:pPr>
        <w:jc w:val="center"/>
        <w:ind w:right="34"/>
        <w:spacing w:after="0"/>
        <w:rPr>
          <w:sz w:val="20"/>
          <w:szCs w:val="20"/>
          <w:color w:val="auto"/>
        </w:rPr>
      </w:pPr>
      <w:r>
        <w:rPr>
          <w:rFonts w:ascii="Times New Roman" w:cs="Times New Roman" w:eastAsia="Times New Roman" w:hAnsi="Times New Roman"/>
          <w:sz w:val="16"/>
          <w:szCs w:val="16"/>
          <w:color w:val="auto"/>
        </w:rPr>
        <w:t>(In millions)</w:t>
      </w:r>
    </w:p>
    <w:p>
      <w:pPr>
        <w:spacing w:after="0" w:line="192" w:lineRule="exact"/>
        <w:rPr>
          <w:sz w:val="20"/>
          <w:szCs w:val="20"/>
          <w:color w:val="auto"/>
        </w:rPr>
      </w:pPr>
    </w:p>
    <w:tbl>
      <w:tblPr>
        <w:tblLayout w:type="fixed"/>
        <w:tblInd w:w="6" w:type="dxa"/>
        <w:tblCellMar>
          <w:top w:w="0" w:type="dxa"/>
          <w:left w:w="0" w:type="dxa"/>
          <w:bottom w:w="0" w:type="dxa"/>
          <w:right w:w="0" w:type="dxa"/>
        </w:tblCellMar>
      </w:tblPr>
      <w:tr>
        <w:trPr>
          <w:trHeight w:val="214"/>
        </w:trPr>
        <w:tc>
          <w:tcPr>
            <w:tcW w:w="54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060" w:type="dxa"/>
            <w:vAlign w:val="bottom"/>
            <w:tcBorders>
              <w:bottom w:val="single" w:sz="8" w:color="auto"/>
            </w:tcBorders>
            <w:gridSpan w:val="7"/>
          </w:tcPr>
          <w:p>
            <w:pPr>
              <w:jc w:val="right"/>
              <w:ind w:right="84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9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 Variance</w:t>
            </w:r>
          </w:p>
        </w:tc>
        <w:tc>
          <w:tcPr>
            <w:tcW w:w="9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5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vMerge w:val="restart"/>
          </w:tcPr>
          <w:p>
            <w:pPr>
              <w:jc w:val="right"/>
              <w:ind w:right="301"/>
              <w:spacing w:after="0"/>
              <w:rPr>
                <w:sz w:val="20"/>
                <w:szCs w:val="20"/>
                <w:color w:val="auto"/>
              </w:rPr>
            </w:pPr>
            <w:r>
              <w:rPr>
                <w:rFonts w:ascii="Times New Roman" w:cs="Times New Roman" w:eastAsia="Times New Roman" w:hAnsi="Times New Roman"/>
                <w:sz w:val="16"/>
                <w:szCs w:val="16"/>
                <w:b w:val="1"/>
                <w:bCs w:val="1"/>
                <w:color w:val="auto"/>
              </w:rPr>
              <w:t xml:space="preserve">2023 </w:t>
            </w:r>
            <w:r>
              <w:rPr>
                <w:rFonts w:ascii="Times New Roman" w:cs="Times New Roman" w:eastAsia="Times New Roman" w:hAnsi="Times New Roman"/>
                <w:sz w:val="21"/>
                <w:szCs w:val="21"/>
                <w:b w:val="1"/>
                <w:bCs w:val="1"/>
                <w:color w:val="auto"/>
                <w:vertAlign w:val="superscript"/>
              </w:rPr>
              <w:t>(a)</w:t>
            </w:r>
          </w:p>
        </w:tc>
        <w:tc>
          <w:tcPr>
            <w:tcW w:w="120" w:type="dxa"/>
            <w:vAlign w:val="bottom"/>
            <w:vMerge w:val="restart"/>
          </w:tcPr>
          <w:p>
            <w:pPr>
              <w:spacing w:after="0"/>
              <w:rPr>
                <w:sz w:val="17"/>
                <w:szCs w:val="17"/>
                <w:color w:val="auto"/>
              </w:rPr>
            </w:pPr>
          </w:p>
        </w:tc>
        <w:tc>
          <w:tcPr>
            <w:tcW w:w="400" w:type="dxa"/>
            <w:vAlign w:val="bottom"/>
            <w:gridSpan w:val="2"/>
            <w:vMerge w:val="restart"/>
          </w:tcPr>
          <w:p>
            <w:pPr>
              <w:spacing w:after="0"/>
              <w:rPr>
                <w:sz w:val="17"/>
                <w:szCs w:val="17"/>
                <w:color w:val="auto"/>
              </w:rPr>
            </w:pPr>
          </w:p>
        </w:tc>
        <w:tc>
          <w:tcPr>
            <w:tcW w:w="1500" w:type="dxa"/>
            <w:vAlign w:val="bottom"/>
            <w:gridSpan w:val="3"/>
          </w:tcPr>
          <w:p>
            <w:pPr>
              <w:jc w:val="right"/>
              <w:ind w:right="88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9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Constant</w:t>
            </w:r>
          </w:p>
        </w:tc>
        <w:tc>
          <w:tcPr>
            <w:tcW w:w="1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54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400" w:type="dxa"/>
            <w:vAlign w:val="bottom"/>
            <w:tcBorders>
              <w:bottom w:val="single" w:sz="8" w:color="auto"/>
            </w:tcBorders>
            <w:gridSpan w:val="2"/>
            <w:vMerge w:val="continue"/>
          </w:tcPr>
          <w:p>
            <w:pPr>
              <w:spacing w:after="0"/>
              <w:rPr>
                <w:sz w:val="19"/>
                <w:szCs w:val="19"/>
                <w:color w:val="auto"/>
              </w:rPr>
            </w:pPr>
          </w:p>
        </w:tc>
        <w:tc>
          <w:tcPr>
            <w:tcW w:w="98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6"/>
                <w:szCs w:val="16"/>
                <w:b w:val="1"/>
                <w:bCs w:val="1"/>
                <w:color w:val="auto"/>
                <w:w w:val="99"/>
              </w:rPr>
              <w:t>Reported</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Currency</w:t>
            </w:r>
          </w:p>
        </w:tc>
        <w:tc>
          <w:tcPr>
            <w:tcW w:w="16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5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gridSpan w:val="4"/>
          </w:tcPr>
          <w:p>
            <w:pPr>
              <w:ind w:left="780"/>
              <w:spacing w:after="0"/>
              <w:rPr>
                <w:sz w:val="20"/>
                <w:szCs w:val="20"/>
                <w:color w:val="auto"/>
              </w:rPr>
            </w:pPr>
            <w:r>
              <w:rPr>
                <w:rFonts w:ascii="Times New Roman" w:cs="Times New Roman" w:eastAsia="Times New Roman" w:hAnsi="Times New Roman"/>
                <w:sz w:val="16"/>
                <w:szCs w:val="16"/>
                <w:color w:val="auto"/>
                <w:w w:val="98"/>
              </w:rPr>
              <w:t>(Unaudited)</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Revenues from Services:</w:t>
            </w: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54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Americas:</w:t>
            </w: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400" w:type="dxa"/>
            <w:vAlign w:val="bottom"/>
          </w:tcPr>
          <w:p>
            <w:pPr>
              <w:ind w:left="400"/>
              <w:spacing w:after="0" w:line="236" w:lineRule="exact"/>
              <w:rPr>
                <w:sz w:val="20"/>
                <w:szCs w:val="20"/>
                <w:color w:val="auto"/>
              </w:rPr>
            </w:pPr>
            <w:r>
              <w:rPr>
                <w:rFonts w:ascii="Times New Roman" w:cs="Times New Roman" w:eastAsia="Times New Roman" w:hAnsi="Times New Roman"/>
                <w:sz w:val="16"/>
                <w:szCs w:val="16"/>
                <w:color w:val="auto"/>
              </w:rPr>
              <w:t xml:space="preserve">United States </w:t>
            </w:r>
            <w:r>
              <w:rPr>
                <w:rFonts w:ascii="Times New Roman" w:cs="Times New Roman" w:eastAsia="Times New Roman" w:hAnsi="Times New Roman"/>
                <w:sz w:val="21"/>
                <w:szCs w:val="21"/>
                <w:color w:val="auto"/>
                <w:vertAlign w:val="superscript"/>
              </w:rPr>
              <w:t>(b)</w:t>
            </w: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680.4</w:t>
            </w:r>
          </w:p>
        </w:tc>
        <w:tc>
          <w:tcPr>
            <w:tcW w:w="120" w:type="dxa"/>
            <w:vAlign w:val="bottom"/>
          </w:tcPr>
          <w:p>
            <w:pPr>
              <w:spacing w:after="0"/>
              <w:rPr>
                <w:sz w:val="20"/>
                <w:szCs w:val="20"/>
                <w:color w:val="auto"/>
              </w:rPr>
            </w:pPr>
          </w:p>
        </w:tc>
        <w:tc>
          <w:tcPr>
            <w:tcW w:w="340" w:type="dxa"/>
            <w:vAlign w:val="bottom"/>
            <w:gridSpan w:val="2"/>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741.6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0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-8.3 %</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-8.3 %</w:t>
            </w:r>
          </w:p>
        </w:tc>
        <w:tc>
          <w:tcPr>
            <w:tcW w:w="0" w:type="dxa"/>
            <w:vAlign w:val="bottom"/>
          </w:tcPr>
          <w:p>
            <w:pPr>
              <w:spacing w:after="0"/>
              <w:rPr>
                <w:sz w:val="1"/>
                <w:szCs w:val="1"/>
                <w:color w:val="auto"/>
              </w:rPr>
            </w:pPr>
          </w:p>
        </w:tc>
      </w:tr>
      <w:tr>
        <w:trPr>
          <w:trHeight w:val="213"/>
        </w:trPr>
        <w:tc>
          <w:tcPr>
            <w:tcW w:w="54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Other Americas</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356.0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388.6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-8.4 %</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12.5 %</w:t>
            </w:r>
          </w:p>
        </w:tc>
        <w:tc>
          <w:tcPr>
            <w:tcW w:w="0" w:type="dxa"/>
            <w:vAlign w:val="bottom"/>
          </w:tcPr>
          <w:p>
            <w:pPr>
              <w:spacing w:after="0"/>
              <w:rPr>
                <w:sz w:val="1"/>
                <w:szCs w:val="1"/>
                <w:color w:val="auto"/>
              </w:rPr>
            </w:pPr>
          </w:p>
        </w:tc>
      </w:tr>
      <w:tr>
        <w:trPr>
          <w:trHeight w:val="205"/>
        </w:trPr>
        <w:tc>
          <w:tcPr>
            <w:tcW w:w="54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1,036.4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1,130.2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0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-8.3 %</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0" w:type="dxa"/>
            <w:vAlign w:val="bottom"/>
          </w:tcPr>
          <w:p>
            <w:pPr>
              <w:spacing w:after="0"/>
              <w:rPr>
                <w:sz w:val="1"/>
                <w:szCs w:val="1"/>
                <w:color w:val="auto"/>
              </w:rPr>
            </w:pPr>
          </w:p>
        </w:tc>
      </w:tr>
      <w:tr>
        <w:trPr>
          <w:trHeight w:val="194"/>
        </w:trPr>
        <w:tc>
          <w:tcPr>
            <w:tcW w:w="54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Southern Europe:</w:t>
            </w: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54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France</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1,119.3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1,169.3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-4.3 %</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-5.4 %</w:t>
            </w:r>
          </w:p>
        </w:tc>
        <w:tc>
          <w:tcPr>
            <w:tcW w:w="0" w:type="dxa"/>
            <w:vAlign w:val="bottom"/>
          </w:tcPr>
          <w:p>
            <w:pPr>
              <w:spacing w:after="0"/>
              <w:rPr>
                <w:sz w:val="1"/>
                <w:szCs w:val="1"/>
                <w:color w:val="auto"/>
              </w:rPr>
            </w:pPr>
          </w:p>
        </w:tc>
      </w:tr>
      <w:tr>
        <w:trPr>
          <w:trHeight w:val="213"/>
        </w:trPr>
        <w:tc>
          <w:tcPr>
            <w:tcW w:w="54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Italy</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404.3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422.2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-4.2 %</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-5.4 %</w:t>
            </w:r>
          </w:p>
        </w:tc>
        <w:tc>
          <w:tcPr>
            <w:tcW w:w="0" w:type="dxa"/>
            <w:vAlign w:val="bottom"/>
          </w:tcPr>
          <w:p>
            <w:pPr>
              <w:spacing w:after="0"/>
              <w:rPr>
                <w:sz w:val="1"/>
                <w:szCs w:val="1"/>
                <w:color w:val="auto"/>
              </w:rPr>
            </w:pPr>
          </w:p>
        </w:tc>
      </w:tr>
      <w:tr>
        <w:trPr>
          <w:trHeight w:val="224"/>
        </w:trPr>
        <w:tc>
          <w:tcPr>
            <w:tcW w:w="54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Other Southern Europe</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457.7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476.4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-3.9 %</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-3.3 %</w:t>
            </w:r>
          </w:p>
        </w:tc>
        <w:tc>
          <w:tcPr>
            <w:tcW w:w="0" w:type="dxa"/>
            <w:vAlign w:val="bottom"/>
          </w:tcPr>
          <w:p>
            <w:pPr>
              <w:spacing w:after="0"/>
              <w:rPr>
                <w:sz w:val="1"/>
                <w:szCs w:val="1"/>
                <w:color w:val="auto"/>
              </w:rPr>
            </w:pPr>
          </w:p>
        </w:tc>
      </w:tr>
      <w:tr>
        <w:trPr>
          <w:trHeight w:val="205"/>
        </w:trPr>
        <w:tc>
          <w:tcPr>
            <w:tcW w:w="54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1,981.3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2,067.9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0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-4.2 %</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-4.9 %</w:t>
            </w:r>
          </w:p>
        </w:tc>
        <w:tc>
          <w:tcPr>
            <w:tcW w:w="0" w:type="dxa"/>
            <w:vAlign w:val="bottom"/>
          </w:tcPr>
          <w:p>
            <w:pPr>
              <w:spacing w:after="0"/>
              <w:rPr>
                <w:sz w:val="1"/>
                <w:szCs w:val="1"/>
                <w:color w:val="auto"/>
              </w:rPr>
            </w:pPr>
          </w:p>
        </w:tc>
      </w:tr>
      <w:tr>
        <w:trPr>
          <w:trHeight w:val="198"/>
        </w:trPr>
        <w:tc>
          <w:tcPr>
            <w:tcW w:w="54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Northern Europe</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870.3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967.6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0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-10.1 %</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-12.1 %</w:t>
            </w:r>
          </w:p>
        </w:tc>
        <w:tc>
          <w:tcPr>
            <w:tcW w:w="0" w:type="dxa"/>
            <w:vAlign w:val="bottom"/>
          </w:tcPr>
          <w:p>
            <w:pPr>
              <w:spacing w:after="0"/>
              <w:rPr>
                <w:sz w:val="1"/>
                <w:szCs w:val="1"/>
                <w:color w:val="auto"/>
              </w:rPr>
            </w:pPr>
          </w:p>
        </w:tc>
      </w:tr>
      <w:tr>
        <w:trPr>
          <w:trHeight w:val="219"/>
        </w:trPr>
        <w:tc>
          <w:tcPr>
            <w:tcW w:w="54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APME</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535.1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605.9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-11.7 %</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-4.8 %</w:t>
            </w:r>
          </w:p>
        </w:tc>
        <w:tc>
          <w:tcPr>
            <w:tcW w:w="0" w:type="dxa"/>
            <w:vAlign w:val="bottom"/>
          </w:tcPr>
          <w:p>
            <w:pPr>
              <w:spacing w:after="0"/>
              <w:rPr>
                <w:sz w:val="1"/>
                <w:szCs w:val="1"/>
                <w:color w:val="auto"/>
              </w:rPr>
            </w:pPr>
          </w:p>
        </w:tc>
      </w:tr>
      <w:tr>
        <w:trPr>
          <w:trHeight w:val="201"/>
        </w:trPr>
        <w:tc>
          <w:tcPr>
            <w:tcW w:w="540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4,423.1</w:t>
            </w: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4,771.6</w:t>
            </w: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CFF0FC"/>
            </w:tcBorders>
            <w:shd w:val="clear" w:color="auto" w:fill="CFF0FC"/>
          </w:tcPr>
          <w:p>
            <w:pPr>
              <w:spacing w:after="0"/>
              <w:rPr>
                <w:sz w:val="17"/>
                <w:szCs w:val="17"/>
                <w:color w:val="auto"/>
              </w:rPr>
            </w:pPr>
          </w:p>
        </w:tc>
        <w:tc>
          <w:tcPr>
            <w:tcW w:w="9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420" w:type="dxa"/>
            <w:vAlign w:val="bottom"/>
            <w:tcBorders>
              <w:bottom w:val="single" w:sz="8" w:color="CFF0FC"/>
            </w:tcBorders>
            <w:shd w:val="clear" w:color="auto" w:fill="CFF0FC"/>
          </w:tcPr>
          <w:p>
            <w:pPr>
              <w:spacing w:after="0"/>
              <w:rPr>
                <w:sz w:val="17"/>
                <w:szCs w:val="17"/>
                <w:color w:val="auto"/>
              </w:rPr>
            </w:pPr>
          </w:p>
        </w:tc>
        <w:tc>
          <w:tcPr>
            <w:tcW w:w="9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4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Intercompany Eliminations</w:t>
            </w:r>
          </w:p>
        </w:tc>
        <w:tc>
          <w:tcPr>
            <w:tcW w:w="280" w:type="dxa"/>
            <w:vAlign w:val="bottom"/>
          </w:tcPr>
          <w:p>
            <w:pPr>
              <w:spacing w:after="0"/>
              <w:rPr>
                <w:sz w:val="17"/>
                <w:szCs w:val="17"/>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(19.8 )</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(19.3 )</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54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4,403.3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4,752.3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-7.3 %</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-5.5 %</w:t>
            </w:r>
          </w:p>
        </w:tc>
        <w:tc>
          <w:tcPr>
            <w:tcW w:w="0" w:type="dxa"/>
            <w:vAlign w:val="bottom"/>
          </w:tcPr>
          <w:p>
            <w:pPr>
              <w:spacing w:after="0"/>
              <w:rPr>
                <w:sz w:val="1"/>
                <w:szCs w:val="1"/>
                <w:color w:val="auto"/>
              </w:rPr>
            </w:pPr>
          </w:p>
        </w:tc>
      </w:tr>
      <w:tr>
        <w:trPr>
          <w:trHeight w:val="20"/>
        </w:trPr>
        <w:tc>
          <w:tcPr>
            <w:tcW w:w="54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Operating Unit Profit:</w:t>
            </w: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40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54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Americas:</w:t>
            </w: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54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United States</w:t>
            </w: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120" w:type="dxa"/>
            <w:vAlign w:val="bottom"/>
          </w:tcPr>
          <w:p>
            <w:pPr>
              <w:spacing w:after="0"/>
              <w:rPr>
                <w:sz w:val="17"/>
                <w:szCs w:val="17"/>
                <w:color w:val="auto"/>
              </w:rPr>
            </w:pPr>
          </w:p>
        </w:tc>
        <w:tc>
          <w:tcPr>
            <w:tcW w:w="340" w:type="dxa"/>
            <w:vAlign w:val="bottom"/>
            <w:gridSpan w:val="2"/>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0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-60.2 %</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-60.2 %</w:t>
            </w:r>
          </w:p>
        </w:tc>
        <w:tc>
          <w:tcPr>
            <w:tcW w:w="0" w:type="dxa"/>
            <w:vAlign w:val="bottom"/>
          </w:tcPr>
          <w:p>
            <w:pPr>
              <w:spacing w:after="0"/>
              <w:rPr>
                <w:sz w:val="1"/>
                <w:szCs w:val="1"/>
                <w:color w:val="auto"/>
              </w:rPr>
            </w:pPr>
          </w:p>
        </w:tc>
      </w:tr>
      <w:tr>
        <w:trPr>
          <w:trHeight w:val="219"/>
        </w:trPr>
        <w:tc>
          <w:tcPr>
            <w:tcW w:w="54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Other Americas</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-24.1 %</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-15.2 %</w:t>
            </w:r>
          </w:p>
        </w:tc>
        <w:tc>
          <w:tcPr>
            <w:tcW w:w="0" w:type="dxa"/>
            <w:vAlign w:val="bottom"/>
          </w:tcPr>
          <w:p>
            <w:pPr>
              <w:spacing w:after="0"/>
              <w:rPr>
                <w:sz w:val="1"/>
                <w:szCs w:val="1"/>
                <w:color w:val="auto"/>
              </w:rPr>
            </w:pPr>
          </w:p>
        </w:tc>
      </w:tr>
      <w:tr>
        <w:trPr>
          <w:trHeight w:val="205"/>
        </w:trPr>
        <w:tc>
          <w:tcPr>
            <w:tcW w:w="54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0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-46.4 %</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-43.0 %</w:t>
            </w:r>
          </w:p>
        </w:tc>
        <w:tc>
          <w:tcPr>
            <w:tcW w:w="0" w:type="dxa"/>
            <w:vAlign w:val="bottom"/>
          </w:tcPr>
          <w:p>
            <w:pPr>
              <w:spacing w:after="0"/>
              <w:rPr>
                <w:sz w:val="1"/>
                <w:szCs w:val="1"/>
                <w:color w:val="auto"/>
              </w:rPr>
            </w:pPr>
          </w:p>
        </w:tc>
      </w:tr>
      <w:tr>
        <w:trPr>
          <w:trHeight w:val="205"/>
        </w:trPr>
        <w:tc>
          <w:tcPr>
            <w:tcW w:w="54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Southern Europe:</w:t>
            </w: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4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France</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0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-26.3 %</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-27.2 %</w:t>
            </w:r>
          </w:p>
        </w:tc>
        <w:tc>
          <w:tcPr>
            <w:tcW w:w="0" w:type="dxa"/>
            <w:vAlign w:val="bottom"/>
          </w:tcPr>
          <w:p>
            <w:pPr>
              <w:spacing w:after="0"/>
              <w:rPr>
                <w:sz w:val="1"/>
                <w:szCs w:val="1"/>
                <w:color w:val="auto"/>
              </w:rPr>
            </w:pPr>
          </w:p>
        </w:tc>
      </w:tr>
      <w:tr>
        <w:trPr>
          <w:trHeight w:val="208"/>
        </w:trPr>
        <w:tc>
          <w:tcPr>
            <w:tcW w:w="54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Italy</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-10.7 %</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-11.8 %</w:t>
            </w:r>
          </w:p>
        </w:tc>
        <w:tc>
          <w:tcPr>
            <w:tcW w:w="0" w:type="dxa"/>
            <w:vAlign w:val="bottom"/>
          </w:tcPr>
          <w:p>
            <w:pPr>
              <w:spacing w:after="0"/>
              <w:rPr>
                <w:sz w:val="1"/>
                <w:szCs w:val="1"/>
                <w:color w:val="auto"/>
              </w:rPr>
            </w:pPr>
          </w:p>
        </w:tc>
      </w:tr>
      <w:tr>
        <w:trPr>
          <w:trHeight w:val="224"/>
        </w:trPr>
        <w:tc>
          <w:tcPr>
            <w:tcW w:w="54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Other Southern Europe</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-34.0 %</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-31.9 %</w:t>
            </w:r>
          </w:p>
        </w:tc>
        <w:tc>
          <w:tcPr>
            <w:tcW w:w="0" w:type="dxa"/>
            <w:vAlign w:val="bottom"/>
          </w:tcPr>
          <w:p>
            <w:pPr>
              <w:spacing w:after="0"/>
              <w:rPr>
                <w:sz w:val="1"/>
                <w:szCs w:val="1"/>
                <w:color w:val="auto"/>
              </w:rPr>
            </w:pPr>
          </w:p>
        </w:tc>
      </w:tr>
      <w:tr>
        <w:trPr>
          <w:trHeight w:val="205"/>
        </w:trPr>
        <w:tc>
          <w:tcPr>
            <w:tcW w:w="54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0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-22.2 %</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-22.7 %</w:t>
            </w:r>
          </w:p>
        </w:tc>
        <w:tc>
          <w:tcPr>
            <w:tcW w:w="0" w:type="dxa"/>
            <w:vAlign w:val="bottom"/>
          </w:tcPr>
          <w:p>
            <w:pPr>
              <w:spacing w:after="0"/>
              <w:rPr>
                <w:sz w:val="1"/>
                <w:szCs w:val="1"/>
                <w:color w:val="auto"/>
              </w:rPr>
            </w:pPr>
          </w:p>
        </w:tc>
      </w:tr>
      <w:tr>
        <w:trPr>
          <w:trHeight w:val="198"/>
        </w:trPr>
        <w:tc>
          <w:tcPr>
            <w:tcW w:w="54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Northern Europe</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0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-99.9 %</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-108.6 %</w:t>
            </w:r>
          </w:p>
        </w:tc>
        <w:tc>
          <w:tcPr>
            <w:tcW w:w="0" w:type="dxa"/>
            <w:vAlign w:val="bottom"/>
          </w:tcPr>
          <w:p>
            <w:pPr>
              <w:spacing w:after="0"/>
              <w:rPr>
                <w:sz w:val="1"/>
                <w:szCs w:val="1"/>
                <w:color w:val="auto"/>
              </w:rPr>
            </w:pPr>
          </w:p>
        </w:tc>
      </w:tr>
      <w:tr>
        <w:trPr>
          <w:trHeight w:val="219"/>
        </w:trPr>
        <w:tc>
          <w:tcPr>
            <w:tcW w:w="54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APME</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-6.1 %</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3.3 %</w:t>
            </w:r>
          </w:p>
        </w:tc>
        <w:tc>
          <w:tcPr>
            <w:tcW w:w="0" w:type="dxa"/>
            <w:vAlign w:val="bottom"/>
          </w:tcPr>
          <w:p>
            <w:pPr>
              <w:spacing w:after="0"/>
              <w:rPr>
                <w:sz w:val="1"/>
                <w:szCs w:val="1"/>
                <w:color w:val="auto"/>
              </w:rPr>
            </w:pPr>
          </w:p>
        </w:tc>
      </w:tr>
      <w:tr>
        <w:trPr>
          <w:trHeight w:val="201"/>
        </w:trPr>
        <w:tc>
          <w:tcPr>
            <w:tcW w:w="5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Corporate expenses</w:t>
            </w:r>
          </w:p>
        </w:tc>
        <w:tc>
          <w:tcPr>
            <w:tcW w:w="2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(41.7 )</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(37.9 )</w:t>
            </w: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5400" w:type="dxa"/>
            <w:vAlign w:val="bottom"/>
          </w:tcPr>
          <w:p>
            <w:pPr>
              <w:spacing w:after="0"/>
              <w:rPr>
                <w:sz w:val="20"/>
                <w:szCs w:val="20"/>
                <w:color w:val="auto"/>
              </w:rPr>
            </w:pPr>
            <w:r>
              <w:rPr>
                <w:rFonts w:ascii="Times New Roman" w:cs="Times New Roman" w:eastAsia="Times New Roman" w:hAnsi="Times New Roman"/>
                <w:sz w:val="16"/>
                <w:szCs w:val="16"/>
                <w:color w:val="auto"/>
              </w:rPr>
              <w:t>Intangible asset amortization expense</w:t>
            </w:r>
          </w:p>
        </w:tc>
        <w:tc>
          <w:tcPr>
            <w:tcW w:w="280" w:type="dxa"/>
            <w:vAlign w:val="bottom"/>
          </w:tcPr>
          <w:p>
            <w:pPr>
              <w:spacing w:after="0"/>
              <w:rPr>
                <w:sz w:val="17"/>
                <w:szCs w:val="17"/>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(8.3 )</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(8.8 )</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4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Operating profit</w:t>
            </w:r>
          </w:p>
        </w:tc>
        <w:tc>
          <w:tcPr>
            <w:tcW w:w="2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0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-44.1 %</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-41.7 %</w:t>
            </w:r>
          </w:p>
        </w:tc>
        <w:tc>
          <w:tcPr>
            <w:tcW w:w="0" w:type="dxa"/>
            <w:vAlign w:val="bottom"/>
          </w:tcPr>
          <w:p>
            <w:pPr>
              <w:spacing w:after="0"/>
              <w:rPr>
                <w:sz w:val="1"/>
                <w:szCs w:val="1"/>
                <w:color w:val="auto"/>
              </w:rPr>
            </w:pPr>
          </w:p>
        </w:tc>
      </w:tr>
      <w:tr>
        <w:trPr>
          <w:trHeight w:val="219"/>
        </w:trPr>
        <w:tc>
          <w:tcPr>
            <w:tcW w:w="5400" w:type="dxa"/>
            <w:vAlign w:val="bottom"/>
          </w:tcPr>
          <w:p>
            <w:pPr>
              <w:spacing w:after="0" w:line="219" w:lineRule="exact"/>
              <w:rPr>
                <w:sz w:val="20"/>
                <w:szCs w:val="20"/>
                <w:color w:val="auto"/>
              </w:rPr>
            </w:pPr>
            <w:r>
              <w:rPr>
                <w:rFonts w:ascii="Times New Roman" w:cs="Times New Roman" w:eastAsia="Times New Roman" w:hAnsi="Times New Roman"/>
                <w:sz w:val="16"/>
                <w:szCs w:val="16"/>
                <w:color w:val="auto"/>
              </w:rPr>
              <w:t xml:space="preserve">Interest and other expenses, net </w:t>
            </w:r>
            <w:r>
              <w:rPr>
                <w:rFonts w:ascii="Times New Roman" w:cs="Times New Roman" w:eastAsia="Times New Roman" w:hAnsi="Times New Roman"/>
                <w:sz w:val="21"/>
                <w:szCs w:val="21"/>
                <w:color w:val="auto"/>
                <w:vertAlign w:val="superscript"/>
              </w:rPr>
              <w:t>(c)</w:t>
            </w:r>
          </w:p>
        </w:tc>
        <w:tc>
          <w:tcPr>
            <w:tcW w:w="28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(8.4 )</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(7.5 )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540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Earnings before income taxes</w:t>
            </w:r>
          </w:p>
        </w:tc>
        <w:tc>
          <w:tcPr>
            <w:tcW w:w="280" w:type="dxa"/>
            <w:vAlign w:val="bottom"/>
            <w:tcBorders>
              <w:top w:val="single" w:sz="8" w:color="auto"/>
              <w:bottom w:val="single" w:sz="8" w:color="auto"/>
            </w:tcBorders>
            <w:shd w:val="clear" w:color="auto" w:fill="CFF0FC"/>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57.5</w:t>
            </w: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top w:val="single" w:sz="8" w:color="auto"/>
              <w:bottom w:val="single" w:sz="8" w:color="auto"/>
            </w:tcBorders>
            <w:shd w:val="clear" w:color="auto" w:fill="CFF0FC"/>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110.4</w:t>
            </w: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-4340225</wp:posOffset>
            </wp:positionV>
            <wp:extent cx="7149465" cy="135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135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-3784600</wp:posOffset>
            </wp:positionV>
            <wp:extent cx="7149465" cy="135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135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-3228340</wp:posOffset>
            </wp:positionV>
            <wp:extent cx="7149465" cy="135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135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-1546225</wp:posOffset>
            </wp:positionV>
            <wp:extent cx="7149465" cy="135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135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-434975</wp:posOffset>
            </wp:positionV>
            <wp:extent cx="7149465" cy="135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135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-4062095</wp:posOffset>
            </wp:positionV>
            <wp:extent cx="7149465" cy="1428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1428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-3514090</wp:posOffset>
            </wp:positionV>
            <wp:extent cx="7149465" cy="1428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142875"/>
                    </a:xfrm>
                    <a:prstGeom prst="rect">
                      <a:avLst/>
                    </a:prstGeom>
                    <a:noFill/>
                  </pic:spPr>
                </pic:pic>
              </a:graphicData>
            </a:graphic>
          </wp:anchor>
        </w:drawing>
        <w:drawing>
          <wp:anchor simplePos="0" relativeHeight="251657728" behindDoc="1" locked="0" layoutInCell="0" allowOverlap="1">
            <wp:simplePos x="0" y="0"/>
            <wp:positionH relativeFrom="column">
              <wp:posOffset>4228465</wp:posOffset>
            </wp:positionH>
            <wp:positionV relativeFrom="paragraph">
              <wp:posOffset>-2815590</wp:posOffset>
            </wp:positionV>
            <wp:extent cx="74930"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5189220</wp:posOffset>
            </wp:positionH>
            <wp:positionV relativeFrom="paragraph">
              <wp:posOffset>-2815590</wp:posOffset>
            </wp:positionV>
            <wp:extent cx="74930"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-2665095</wp:posOffset>
            </wp:positionV>
            <wp:extent cx="7149465" cy="1574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15748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-2101850</wp:posOffset>
            </wp:positionV>
            <wp:extent cx="7149465" cy="1428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1428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-1268730</wp:posOffset>
            </wp:positionV>
            <wp:extent cx="7149465" cy="1428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14287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-990600</wp:posOffset>
            </wp:positionV>
            <wp:extent cx="7149465" cy="1428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142875"/>
                    </a:xfrm>
                    <a:prstGeom prst="rect">
                      <a:avLst/>
                    </a:prstGeom>
                    <a:noFill/>
                  </pic:spPr>
                </pic:pic>
              </a:graphicData>
            </a:graphic>
          </wp:anchor>
        </w:drawing>
        <w:drawing>
          <wp:anchor simplePos="0" relativeHeight="251657728" behindDoc="1" locked="0" layoutInCell="0" allowOverlap="1">
            <wp:simplePos x="0" y="0"/>
            <wp:positionH relativeFrom="column">
              <wp:posOffset>4228465</wp:posOffset>
            </wp:positionH>
            <wp:positionV relativeFrom="paragraph">
              <wp:posOffset>-21590</wp:posOffset>
            </wp:positionV>
            <wp:extent cx="74930"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4228465</wp:posOffset>
            </wp:positionH>
            <wp:positionV relativeFrom="paragraph">
              <wp:posOffset>-6985</wp:posOffset>
            </wp:positionV>
            <wp:extent cx="74930"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5189220</wp:posOffset>
            </wp:positionH>
            <wp:positionV relativeFrom="paragraph">
              <wp:posOffset>-21590</wp:posOffset>
            </wp:positionV>
            <wp:extent cx="74930" cy="7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5189220</wp:posOffset>
            </wp:positionH>
            <wp:positionV relativeFrom="paragraph">
              <wp:posOffset>-6985</wp:posOffset>
            </wp:positionV>
            <wp:extent cx="74930" cy="7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4930" cy="7620"/>
                    </a:xfrm>
                    <a:prstGeom prst="rect">
                      <a:avLst/>
                    </a:prstGeom>
                    <a:noFill/>
                  </pic:spPr>
                </pic:pic>
              </a:graphicData>
            </a:graphic>
          </wp:anchor>
        </w:drawing>
      </w:r>
    </w:p>
    <w:p>
      <w:pPr>
        <w:ind w:left="506" w:right="280" w:hanging="506"/>
        <w:spacing w:after="0" w:line="247" w:lineRule="auto"/>
        <w:tabs>
          <w:tab w:leader="none" w:pos="367"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Effective January 1, 2024, our segment reporting was realigned to include our Puerto Rico business within Other Americas. Accordingly, our reportable segment, United States, is now adjusted to exclude Puerto Rico. All previously reported results have been restated to the current year presentation.</w:t>
      </w:r>
    </w:p>
    <w:p>
      <w:pPr>
        <w:jc w:val="right"/>
        <w:ind w:left="506" w:right="260" w:hanging="506"/>
        <w:spacing w:after="0" w:line="263" w:lineRule="auto"/>
        <w:tabs>
          <w:tab w:leader="none" w:pos="376"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the United States, revenues from services include fees received from our franchise offices of $2.4 million and $3.2 million for the three months ended March 31, 2024 and 2023, respectively. These fees are primarily based on revenues generated by the franchise offices, which were $87.4 million and $99.3 million for the three months</w:t>
      </w:r>
    </w:p>
    <w:p>
      <w:pPr>
        <w:ind w:left="506"/>
        <w:spacing w:after="0"/>
        <w:rPr>
          <w:sz w:val="20"/>
          <w:szCs w:val="20"/>
          <w:color w:val="auto"/>
        </w:rPr>
      </w:pPr>
      <w:r>
        <w:rPr>
          <w:rFonts w:ascii="Times New Roman" w:cs="Times New Roman" w:eastAsia="Times New Roman" w:hAnsi="Times New Roman"/>
          <w:sz w:val="16"/>
          <w:szCs w:val="16"/>
          <w:color w:val="auto"/>
        </w:rPr>
        <w:t>ended March 31, 2024 and 2023, respectively.</w:t>
      </w:r>
    </w:p>
    <w:p>
      <w:pPr>
        <w:spacing w:after="0" w:line="5" w:lineRule="exact"/>
        <w:rPr>
          <w:sz w:val="20"/>
          <w:szCs w:val="20"/>
          <w:color w:val="auto"/>
        </w:rPr>
      </w:pPr>
    </w:p>
    <w:p>
      <w:pPr>
        <w:ind w:left="386" w:hanging="386"/>
        <w:spacing w:after="0"/>
        <w:tabs>
          <w:tab w:leader="none" w:pos="386"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components of interest and other expenses, net were:</w:t>
      </w:r>
    </w:p>
    <w:p>
      <w:pPr>
        <w:spacing w:after="0" w:line="5" w:lineRule="exact"/>
        <w:rPr>
          <w:sz w:val="20"/>
          <w:szCs w:val="20"/>
          <w:color w:val="auto"/>
        </w:rPr>
      </w:pPr>
    </w:p>
    <w:tbl>
      <w:tblPr>
        <w:tblLayout w:type="fixed"/>
        <w:tblInd w:w="6" w:type="dxa"/>
        <w:tblCellMar>
          <w:top w:w="0" w:type="dxa"/>
          <w:left w:w="0" w:type="dxa"/>
          <w:bottom w:w="0" w:type="dxa"/>
          <w:right w:w="0" w:type="dxa"/>
        </w:tblCellMar>
      </w:tblPr>
      <w:tr>
        <w:trPr>
          <w:trHeight w:val="210"/>
        </w:trPr>
        <w:tc>
          <w:tcPr>
            <w:tcW w:w="7360" w:type="dxa"/>
            <w:vAlign w:val="bottom"/>
          </w:tcPr>
          <w:p>
            <w:pPr>
              <w:spacing w:after="0"/>
              <w:rPr>
                <w:sz w:val="18"/>
                <w:szCs w:val="18"/>
                <w:color w:val="auto"/>
              </w:rPr>
            </w:pPr>
          </w:p>
        </w:tc>
        <w:tc>
          <w:tcPr>
            <w:tcW w:w="126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rPr>
              <w:t>2024</w:t>
            </w:r>
          </w:p>
        </w:tc>
        <w:tc>
          <w:tcPr>
            <w:tcW w:w="5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2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8"/>
                <w:szCs w:val="18"/>
                <w:color w:val="auto"/>
              </w:rPr>
            </w:pPr>
          </w:p>
        </w:tc>
      </w:tr>
      <w:tr>
        <w:trPr>
          <w:trHeight w:val="207"/>
        </w:trPr>
        <w:tc>
          <w:tcPr>
            <w:tcW w:w="736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6"/>
                <w:szCs w:val="16"/>
                <w:color w:val="auto"/>
              </w:rPr>
              <w:t>Interest expense</w:t>
            </w:r>
          </w:p>
        </w:tc>
        <w:tc>
          <w:tcPr>
            <w:tcW w:w="1260" w:type="dxa"/>
            <w:vAlign w:val="bottom"/>
            <w:shd w:val="clear" w:color="auto" w:fill="CFF0FC"/>
          </w:tcPr>
          <w:p>
            <w:pPr>
              <w:jc w:val="right"/>
              <w:ind w:right="1081"/>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20.4</w:t>
            </w:r>
          </w:p>
        </w:tc>
        <w:tc>
          <w:tcPr>
            <w:tcW w:w="100" w:type="dxa"/>
            <w:vAlign w:val="bottom"/>
            <w:shd w:val="clear" w:color="auto" w:fill="CFF0FC"/>
          </w:tcPr>
          <w:p>
            <w:pPr>
              <w:spacing w:after="0"/>
              <w:rPr>
                <w:sz w:val="17"/>
                <w:szCs w:val="17"/>
                <w:color w:val="auto"/>
              </w:rPr>
            </w:pPr>
          </w:p>
        </w:tc>
        <w:tc>
          <w:tcPr>
            <w:tcW w:w="600" w:type="dxa"/>
            <w:vAlign w:val="bottom"/>
            <w:gridSpan w:val="2"/>
            <w:shd w:val="clear" w:color="auto" w:fill="CFF0FC"/>
          </w:tcPr>
          <w:p>
            <w:pPr>
              <w:jc w:val="right"/>
              <w:ind w:right="221"/>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18.7</w:t>
            </w:r>
          </w:p>
        </w:tc>
        <w:tc>
          <w:tcPr>
            <w:tcW w:w="120" w:type="dxa"/>
            <w:vAlign w:val="bottom"/>
            <w:shd w:val="clear" w:color="auto" w:fill="CFF0FC"/>
          </w:tcPr>
          <w:p>
            <w:pPr>
              <w:spacing w:after="0"/>
              <w:rPr>
                <w:sz w:val="17"/>
                <w:szCs w:val="17"/>
                <w:color w:val="auto"/>
              </w:rPr>
            </w:pPr>
          </w:p>
        </w:tc>
      </w:tr>
      <w:tr>
        <w:trPr>
          <w:trHeight w:val="210"/>
        </w:trPr>
        <w:tc>
          <w:tcPr>
            <w:tcW w:w="73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Interest income</w:t>
            </w:r>
          </w:p>
        </w:tc>
        <w:tc>
          <w:tcPr>
            <w:tcW w:w="126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(8.1 )</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(8.1 )</w:t>
            </w:r>
          </w:p>
        </w:tc>
      </w:tr>
      <w:tr>
        <w:trPr>
          <w:trHeight w:val="216"/>
        </w:trPr>
        <w:tc>
          <w:tcPr>
            <w:tcW w:w="736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6"/>
                <w:szCs w:val="16"/>
                <w:color w:val="auto"/>
              </w:rPr>
              <w:t>Foreign exchange loss</w:t>
            </w:r>
          </w:p>
        </w:tc>
        <w:tc>
          <w:tcPr>
            <w:tcW w:w="126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20" w:type="dxa"/>
            <w:vAlign w:val="bottom"/>
            <w:shd w:val="clear" w:color="auto" w:fill="CFF0FC"/>
          </w:tcPr>
          <w:p>
            <w:pPr>
              <w:spacing w:after="0"/>
              <w:rPr>
                <w:sz w:val="18"/>
                <w:szCs w:val="18"/>
                <w:color w:val="auto"/>
              </w:rPr>
            </w:pPr>
          </w:p>
        </w:tc>
      </w:tr>
      <w:tr>
        <w:trPr>
          <w:trHeight w:val="210"/>
        </w:trPr>
        <w:tc>
          <w:tcPr>
            <w:tcW w:w="73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Miscellaneous income</w:t>
            </w:r>
          </w:p>
        </w:tc>
        <w:tc>
          <w:tcPr>
            <w:tcW w:w="126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(6.3 )</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(6.2 )</w:t>
            </w:r>
          </w:p>
        </w:tc>
      </w:tr>
      <w:tr>
        <w:trPr>
          <w:trHeight w:val="245"/>
        </w:trPr>
        <w:tc>
          <w:tcPr>
            <w:tcW w:w="736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top w:val="single" w:sz="8" w:color="auto"/>
              <w:bottom w:val="single" w:sz="8" w:color="auto"/>
            </w:tcBorders>
            <w:shd w:val="clear" w:color="auto" w:fill="CFF0FC"/>
          </w:tcPr>
          <w:p>
            <w:pPr>
              <w:jc w:val="right"/>
              <w:ind w:right="1081"/>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1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top w:val="single" w:sz="8" w:color="auto"/>
              <w:bottom w:val="single" w:sz="8" w:color="auto"/>
            </w:tcBorders>
            <w:shd w:val="clear" w:color="auto" w:fill="CFF0FC"/>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20" w:type="dxa"/>
            <w:vAlign w:val="bottom"/>
            <w:tcBorders>
              <w:bottom w:val="single" w:sz="8" w:color="CFF0FC"/>
            </w:tcBorders>
            <w:shd w:val="clear" w:color="auto" w:fill="CFF0FC"/>
          </w:tcPr>
          <w:p>
            <w:pPr>
              <w:spacing w:after="0"/>
              <w:rPr>
                <w:sz w:val="21"/>
                <w:szCs w:val="21"/>
                <w:color w:val="auto"/>
              </w:rPr>
            </w:pPr>
          </w:p>
        </w:tc>
      </w:tr>
      <w:tr>
        <w:trPr>
          <w:trHeight w:val="952"/>
        </w:trPr>
        <w:tc>
          <w:tcPr>
            <w:tcW w:w="736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5789930</wp:posOffset>
            </wp:positionH>
            <wp:positionV relativeFrom="paragraph">
              <wp:posOffset>-652780</wp:posOffset>
            </wp:positionV>
            <wp:extent cx="67310" cy="7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5789930</wp:posOffset>
            </wp:positionH>
            <wp:positionV relativeFrom="paragraph">
              <wp:posOffset>-637540</wp:posOffset>
            </wp:positionV>
            <wp:extent cx="67310" cy="76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7082155</wp:posOffset>
            </wp:positionH>
            <wp:positionV relativeFrom="paragraph">
              <wp:posOffset>-652780</wp:posOffset>
            </wp:positionV>
            <wp:extent cx="67310" cy="7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7082155</wp:posOffset>
            </wp:positionH>
            <wp:positionV relativeFrom="paragraph">
              <wp:posOffset>-637540</wp:posOffset>
            </wp:positionV>
            <wp:extent cx="67310" cy="7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7129145</wp:posOffset>
            </wp:positionH>
            <wp:positionV relativeFrom="paragraph">
              <wp:posOffset>-27305</wp:posOffset>
            </wp:positionV>
            <wp:extent cx="33020" cy="406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-27305</wp:posOffset>
            </wp:positionV>
            <wp:extent cx="33020" cy="406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306"/>
          </w:cols>
          <w:pgMar w:left="314" w:top="880" w:right="279" w:bottom="1440" w:gutter="0" w:footer="0" w:header="0"/>
        </w:sectPr>
      </w:pPr>
    </w:p>
    <w:bookmarkStart w:id="8" w:name="page9"/>
    <w:bookmarkEnd w:id="8"/>
    <w:p>
      <w:pPr>
        <w:ind w:left="5080"/>
        <w:spacing w:after="0"/>
        <w:rPr>
          <w:sz w:val="20"/>
          <w:szCs w:val="20"/>
          <w:color w:val="auto"/>
        </w:rPr>
      </w:pPr>
      <w:r>
        <w:rPr>
          <w:rFonts w:ascii="Times New Roman" w:cs="Times New Roman" w:eastAsia="Times New Roman" w:hAnsi="Times New Roman"/>
          <w:sz w:val="16"/>
          <w:szCs w:val="16"/>
          <w:color w:val="auto"/>
        </w:rPr>
        <w:t>ManpowerGroup</w:t>
      </w:r>
    </w:p>
    <w:p>
      <w:pPr>
        <w:spacing w:after="0" w:line="41"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6"/>
          <w:szCs w:val="16"/>
          <w:color w:val="auto"/>
        </w:rPr>
        <w:t>Consolidated Balance Sheets</w:t>
      </w:r>
    </w:p>
    <w:p>
      <w:pPr>
        <w:spacing w:after="0" w:line="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(In millions)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7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40" w:type="dxa"/>
            <w:vAlign w:val="bottom"/>
            <w:gridSpan w:val="2"/>
          </w:tcPr>
          <w:p>
            <w:pPr>
              <w:jc w:val="right"/>
              <w:ind w:right="64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gridSpan w:val="2"/>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8"/>
        </w:trPr>
        <w:tc>
          <w:tcPr>
            <w:tcW w:w="73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64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2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8"/>
                <w:szCs w:val="18"/>
                <w:color w:val="auto"/>
              </w:rPr>
            </w:pPr>
          </w:p>
        </w:tc>
      </w:tr>
      <w:tr>
        <w:trPr>
          <w:trHeight w:val="207"/>
        </w:trPr>
        <w:tc>
          <w:tcPr>
            <w:tcW w:w="7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40" w:type="dxa"/>
            <w:vAlign w:val="bottom"/>
            <w:gridSpan w:val="4"/>
          </w:tcPr>
          <w:p>
            <w:pPr>
              <w:jc w:val="right"/>
              <w:ind w:right="80"/>
              <w:spacing w:after="0"/>
              <w:rPr>
                <w:sz w:val="20"/>
                <w:szCs w:val="20"/>
                <w:color w:val="auto"/>
              </w:rPr>
            </w:pPr>
            <w:r>
              <w:rPr>
                <w:rFonts w:ascii="Times New Roman" w:cs="Times New Roman" w:eastAsia="Times New Roman" w:hAnsi="Times New Roman"/>
                <w:sz w:val="16"/>
                <w:szCs w:val="16"/>
                <w:color w:val="auto"/>
              </w:rPr>
              <w:t>(Unaudited)</w:t>
            </w: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3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1"/>
        </w:trPr>
        <w:tc>
          <w:tcPr>
            <w:tcW w:w="73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5"/>
        </w:trPr>
        <w:tc>
          <w:tcPr>
            <w:tcW w:w="73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20" w:type="dxa"/>
            <w:vAlign w:val="bottom"/>
            <w:shd w:val="clear" w:color="auto" w:fill="CFF0FC"/>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604.8</w:t>
            </w:r>
          </w:p>
        </w:tc>
        <w:tc>
          <w:tcPr>
            <w:tcW w:w="10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581.3</w:t>
            </w:r>
          </w:p>
        </w:tc>
        <w:tc>
          <w:tcPr>
            <w:tcW w:w="120" w:type="dxa"/>
            <w:vAlign w:val="bottom"/>
            <w:shd w:val="clear" w:color="auto" w:fill="CFF0FC"/>
          </w:tcPr>
          <w:p>
            <w:pPr>
              <w:spacing w:after="0"/>
              <w:rPr>
                <w:sz w:val="18"/>
                <w:szCs w:val="18"/>
                <w:color w:val="auto"/>
              </w:rPr>
            </w:pPr>
          </w:p>
        </w:tc>
      </w:tr>
      <w:tr>
        <w:trPr>
          <w:trHeight w:val="210"/>
        </w:trPr>
        <w:tc>
          <w:tcPr>
            <w:tcW w:w="73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Accounts receivable, net</w:t>
            </w:r>
          </w:p>
        </w:tc>
        <w:tc>
          <w:tcPr>
            <w:tcW w:w="3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4,458.5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4,830.0</w:t>
            </w:r>
          </w:p>
        </w:tc>
        <w:tc>
          <w:tcPr>
            <w:tcW w:w="120" w:type="dxa"/>
            <w:vAlign w:val="bottom"/>
          </w:tcPr>
          <w:p>
            <w:pPr>
              <w:spacing w:after="0"/>
              <w:rPr>
                <w:sz w:val="18"/>
                <w:szCs w:val="18"/>
                <w:color w:val="auto"/>
              </w:rPr>
            </w:pPr>
          </w:p>
        </w:tc>
      </w:tr>
      <w:tr>
        <w:trPr>
          <w:trHeight w:val="213"/>
        </w:trPr>
        <w:tc>
          <w:tcPr>
            <w:tcW w:w="736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32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186.5</w:t>
            </w: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160.8</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5"/>
        </w:trPr>
        <w:tc>
          <w:tcPr>
            <w:tcW w:w="73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Total current assets</w:t>
            </w:r>
          </w:p>
        </w:tc>
        <w:tc>
          <w:tcPr>
            <w:tcW w:w="3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5,249.8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5,572.1</w:t>
            </w:r>
          </w:p>
        </w:tc>
        <w:tc>
          <w:tcPr>
            <w:tcW w:w="120" w:type="dxa"/>
            <w:vAlign w:val="bottom"/>
          </w:tcPr>
          <w:p>
            <w:pPr>
              <w:spacing w:after="0"/>
              <w:rPr>
                <w:sz w:val="17"/>
                <w:szCs w:val="17"/>
                <w:color w:val="auto"/>
              </w:rPr>
            </w:pPr>
          </w:p>
        </w:tc>
      </w:tr>
      <w:tr>
        <w:trPr>
          <w:trHeight w:val="216"/>
        </w:trPr>
        <w:tc>
          <w:tcPr>
            <w:tcW w:w="73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Other assets:</w:t>
            </w:r>
          </w:p>
        </w:tc>
        <w:tc>
          <w:tcPr>
            <w:tcW w:w="3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0"/>
        </w:trPr>
        <w:tc>
          <w:tcPr>
            <w:tcW w:w="73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Goodwill</w:t>
            </w:r>
          </w:p>
        </w:tc>
        <w:tc>
          <w:tcPr>
            <w:tcW w:w="3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1,574.5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1,586.8</w:t>
            </w:r>
          </w:p>
        </w:tc>
        <w:tc>
          <w:tcPr>
            <w:tcW w:w="120" w:type="dxa"/>
            <w:vAlign w:val="bottom"/>
          </w:tcPr>
          <w:p>
            <w:pPr>
              <w:spacing w:after="0"/>
              <w:rPr>
                <w:sz w:val="18"/>
                <w:szCs w:val="18"/>
                <w:color w:val="auto"/>
              </w:rPr>
            </w:pPr>
          </w:p>
        </w:tc>
      </w:tr>
      <w:tr>
        <w:trPr>
          <w:trHeight w:val="216"/>
        </w:trPr>
        <w:tc>
          <w:tcPr>
            <w:tcW w:w="73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Intangible assets, net</w:t>
            </w:r>
          </w:p>
        </w:tc>
        <w:tc>
          <w:tcPr>
            <w:tcW w:w="32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507.8</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519.6</w:t>
            </w:r>
          </w:p>
        </w:tc>
        <w:tc>
          <w:tcPr>
            <w:tcW w:w="120" w:type="dxa"/>
            <w:vAlign w:val="bottom"/>
            <w:shd w:val="clear" w:color="auto" w:fill="CFF0FC"/>
          </w:tcPr>
          <w:p>
            <w:pPr>
              <w:spacing w:after="0"/>
              <w:rPr>
                <w:sz w:val="18"/>
                <w:szCs w:val="18"/>
                <w:color w:val="auto"/>
              </w:rPr>
            </w:pPr>
          </w:p>
        </w:tc>
      </w:tr>
      <w:tr>
        <w:trPr>
          <w:trHeight w:val="210"/>
        </w:trPr>
        <w:tc>
          <w:tcPr>
            <w:tcW w:w="73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3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403.9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414.0</w:t>
            </w:r>
          </w:p>
        </w:tc>
        <w:tc>
          <w:tcPr>
            <w:tcW w:w="120" w:type="dxa"/>
            <w:vAlign w:val="bottom"/>
          </w:tcPr>
          <w:p>
            <w:pPr>
              <w:spacing w:after="0"/>
              <w:rPr>
                <w:sz w:val="18"/>
                <w:szCs w:val="18"/>
                <w:color w:val="auto"/>
              </w:rPr>
            </w:pPr>
          </w:p>
        </w:tc>
      </w:tr>
      <w:tr>
        <w:trPr>
          <w:trHeight w:val="213"/>
        </w:trPr>
        <w:tc>
          <w:tcPr>
            <w:tcW w:w="736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Other assets</w:t>
            </w:r>
          </w:p>
        </w:tc>
        <w:tc>
          <w:tcPr>
            <w:tcW w:w="32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628.4</w:t>
            </w: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607.8</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5"/>
        </w:trPr>
        <w:tc>
          <w:tcPr>
            <w:tcW w:w="73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Total other assets</w:t>
            </w:r>
          </w:p>
        </w:tc>
        <w:tc>
          <w:tcPr>
            <w:tcW w:w="3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3,114.6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3,128.2</w:t>
            </w:r>
          </w:p>
        </w:tc>
        <w:tc>
          <w:tcPr>
            <w:tcW w:w="120" w:type="dxa"/>
            <w:vAlign w:val="bottom"/>
          </w:tcPr>
          <w:p>
            <w:pPr>
              <w:spacing w:after="0"/>
              <w:rPr>
                <w:sz w:val="17"/>
                <w:szCs w:val="17"/>
                <w:color w:val="auto"/>
              </w:rPr>
            </w:pPr>
          </w:p>
        </w:tc>
      </w:tr>
      <w:tr>
        <w:trPr>
          <w:trHeight w:val="216"/>
        </w:trPr>
        <w:tc>
          <w:tcPr>
            <w:tcW w:w="73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Property and equipment:</w:t>
            </w:r>
          </w:p>
        </w:tc>
        <w:tc>
          <w:tcPr>
            <w:tcW w:w="3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0"/>
        </w:trPr>
        <w:tc>
          <w:tcPr>
            <w:tcW w:w="73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Land, buildings, leasehold improvements and equipment</w:t>
            </w:r>
          </w:p>
        </w:tc>
        <w:tc>
          <w:tcPr>
            <w:tcW w:w="3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518.3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526.5</w:t>
            </w:r>
          </w:p>
        </w:tc>
        <w:tc>
          <w:tcPr>
            <w:tcW w:w="120" w:type="dxa"/>
            <w:vAlign w:val="bottom"/>
          </w:tcPr>
          <w:p>
            <w:pPr>
              <w:spacing w:after="0"/>
              <w:rPr>
                <w:sz w:val="18"/>
                <w:szCs w:val="18"/>
                <w:color w:val="auto"/>
              </w:rPr>
            </w:pPr>
          </w:p>
        </w:tc>
      </w:tr>
      <w:tr>
        <w:trPr>
          <w:trHeight w:val="213"/>
        </w:trPr>
        <w:tc>
          <w:tcPr>
            <w:tcW w:w="736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Less: accumulated depreciation and amortization</w:t>
            </w:r>
          </w:p>
        </w:tc>
        <w:tc>
          <w:tcPr>
            <w:tcW w:w="32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394.1</w:t>
            </w: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396.6</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5"/>
        </w:trPr>
        <w:tc>
          <w:tcPr>
            <w:tcW w:w="73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Net property and equipment</w:t>
            </w:r>
          </w:p>
        </w:tc>
        <w:tc>
          <w:tcPr>
            <w:tcW w:w="3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129.9</w:t>
            </w:r>
          </w:p>
        </w:tc>
        <w:tc>
          <w:tcPr>
            <w:tcW w:w="120" w:type="dxa"/>
            <w:vAlign w:val="bottom"/>
          </w:tcPr>
          <w:p>
            <w:pPr>
              <w:spacing w:after="0"/>
              <w:rPr>
                <w:sz w:val="17"/>
                <w:szCs w:val="17"/>
                <w:color w:val="auto"/>
              </w:rPr>
            </w:pPr>
          </w:p>
        </w:tc>
      </w:tr>
      <w:tr>
        <w:trPr>
          <w:trHeight w:val="245"/>
        </w:trPr>
        <w:tc>
          <w:tcPr>
            <w:tcW w:w="7360" w:type="dxa"/>
            <w:vAlign w:val="bottom"/>
            <w:shd w:val="clear" w:color="auto" w:fill="CFF0FC"/>
          </w:tcPr>
          <w:p>
            <w:pPr>
              <w:ind w:left="840"/>
              <w:spacing w:after="0"/>
              <w:rPr>
                <w:sz w:val="20"/>
                <w:szCs w:val="20"/>
                <w:color w:val="auto"/>
              </w:rPr>
            </w:pPr>
            <w:r>
              <w:rPr>
                <w:rFonts w:ascii="Times New Roman" w:cs="Times New Roman" w:eastAsia="Times New Roman" w:hAnsi="Times New Roman"/>
                <w:sz w:val="16"/>
                <w:szCs w:val="16"/>
                <w:color w:val="auto"/>
              </w:rPr>
              <w:t>Total assets</w:t>
            </w:r>
          </w:p>
        </w:tc>
        <w:tc>
          <w:tcPr>
            <w:tcW w:w="320" w:type="dxa"/>
            <w:vAlign w:val="bottom"/>
            <w:shd w:val="clear" w:color="auto" w:fill="CFF0FC"/>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8,488.6</w:t>
            </w:r>
          </w:p>
        </w:tc>
        <w:tc>
          <w:tcPr>
            <w:tcW w:w="100" w:type="dxa"/>
            <w:vAlign w:val="bottom"/>
            <w:shd w:val="clear" w:color="auto" w:fill="CFF0FC"/>
          </w:tcPr>
          <w:p>
            <w:pPr>
              <w:spacing w:after="0"/>
              <w:rPr>
                <w:sz w:val="21"/>
                <w:szCs w:val="21"/>
                <w:color w:val="auto"/>
              </w:rPr>
            </w:pPr>
          </w:p>
        </w:tc>
        <w:tc>
          <w:tcPr>
            <w:tcW w:w="5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8,830.2</w:t>
            </w:r>
          </w:p>
        </w:tc>
        <w:tc>
          <w:tcPr>
            <w:tcW w:w="120" w:type="dxa"/>
            <w:vAlign w:val="bottom"/>
            <w:shd w:val="clear" w:color="auto" w:fill="CFF0FC"/>
          </w:tcPr>
          <w:p>
            <w:pPr>
              <w:spacing w:after="0"/>
              <w:rPr>
                <w:sz w:val="21"/>
                <w:szCs w:val="21"/>
                <w:color w:val="auto"/>
              </w:rPr>
            </w:pPr>
          </w:p>
        </w:tc>
      </w:tr>
      <w:tr>
        <w:trPr>
          <w:trHeight w:val="189"/>
        </w:trPr>
        <w:tc>
          <w:tcPr>
            <w:tcW w:w="73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32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c>
          <w:tcPr>
            <w:tcW w:w="200" w:type="dxa"/>
            <w:vAlign w:val="bottom"/>
            <w:tcBorders>
              <w:top w:val="single" w:sz="8" w:color="CFF0FC"/>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spacing w:after="0"/>
              <w:rPr>
                <w:sz w:val="16"/>
                <w:szCs w:val="16"/>
                <w:color w:val="auto"/>
              </w:rPr>
            </w:pPr>
          </w:p>
        </w:tc>
        <w:tc>
          <w:tcPr>
            <w:tcW w:w="120" w:type="dxa"/>
            <w:vAlign w:val="bottom"/>
            <w:tcBorders>
              <w:top w:val="single" w:sz="8" w:color="CFF0FC"/>
            </w:tcBorders>
          </w:tcPr>
          <w:p>
            <w:pPr>
              <w:spacing w:after="0"/>
              <w:rPr>
                <w:sz w:val="16"/>
                <w:szCs w:val="16"/>
                <w:color w:val="auto"/>
              </w:rPr>
            </w:pPr>
          </w:p>
        </w:tc>
      </w:tr>
      <w:tr>
        <w:trPr>
          <w:trHeight w:val="215"/>
        </w:trPr>
        <w:tc>
          <w:tcPr>
            <w:tcW w:w="73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3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0"/>
        </w:trPr>
        <w:tc>
          <w:tcPr>
            <w:tcW w:w="73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Accounts payable</w:t>
            </w:r>
          </w:p>
        </w:tc>
        <w:tc>
          <w:tcPr>
            <w:tcW w:w="32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2,614.7</w:t>
            </w:r>
          </w:p>
        </w:tc>
        <w:tc>
          <w:tcPr>
            <w:tcW w:w="100" w:type="dxa"/>
            <w:vAlign w:val="bottom"/>
          </w:tcPr>
          <w:p>
            <w:pPr>
              <w:spacing w:after="0"/>
              <w:rPr>
                <w:sz w:val="18"/>
                <w:szCs w:val="18"/>
                <w:color w:val="auto"/>
              </w:rPr>
            </w:pP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2,723.0</w:t>
            </w:r>
          </w:p>
        </w:tc>
        <w:tc>
          <w:tcPr>
            <w:tcW w:w="120" w:type="dxa"/>
            <w:vAlign w:val="bottom"/>
          </w:tcPr>
          <w:p>
            <w:pPr>
              <w:spacing w:after="0"/>
              <w:rPr>
                <w:sz w:val="18"/>
                <w:szCs w:val="18"/>
                <w:color w:val="auto"/>
              </w:rPr>
            </w:pPr>
          </w:p>
        </w:tc>
      </w:tr>
      <w:tr>
        <w:trPr>
          <w:trHeight w:val="216"/>
        </w:trPr>
        <w:tc>
          <w:tcPr>
            <w:tcW w:w="73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Employee compensation payable</w:t>
            </w:r>
          </w:p>
        </w:tc>
        <w:tc>
          <w:tcPr>
            <w:tcW w:w="32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215.4</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243.1</w:t>
            </w:r>
          </w:p>
        </w:tc>
        <w:tc>
          <w:tcPr>
            <w:tcW w:w="120" w:type="dxa"/>
            <w:vAlign w:val="bottom"/>
            <w:shd w:val="clear" w:color="auto" w:fill="CFF0FC"/>
          </w:tcPr>
          <w:p>
            <w:pPr>
              <w:spacing w:after="0"/>
              <w:rPr>
                <w:sz w:val="18"/>
                <w:szCs w:val="18"/>
                <w:color w:val="auto"/>
              </w:rPr>
            </w:pPr>
          </w:p>
        </w:tc>
      </w:tr>
      <w:tr>
        <w:trPr>
          <w:trHeight w:val="210"/>
        </w:trPr>
        <w:tc>
          <w:tcPr>
            <w:tcW w:w="73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Accrued liabilities</w:t>
            </w:r>
          </w:p>
        </w:tc>
        <w:tc>
          <w:tcPr>
            <w:tcW w:w="3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604.3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693.0</w:t>
            </w:r>
          </w:p>
        </w:tc>
        <w:tc>
          <w:tcPr>
            <w:tcW w:w="120" w:type="dxa"/>
            <w:vAlign w:val="bottom"/>
          </w:tcPr>
          <w:p>
            <w:pPr>
              <w:spacing w:after="0"/>
              <w:rPr>
                <w:sz w:val="18"/>
                <w:szCs w:val="18"/>
                <w:color w:val="auto"/>
              </w:rPr>
            </w:pPr>
          </w:p>
        </w:tc>
      </w:tr>
      <w:tr>
        <w:trPr>
          <w:trHeight w:val="216"/>
        </w:trPr>
        <w:tc>
          <w:tcPr>
            <w:tcW w:w="73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Accrued payroll taxes and insurance</w:t>
            </w:r>
          </w:p>
        </w:tc>
        <w:tc>
          <w:tcPr>
            <w:tcW w:w="32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668.4</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695.8</w:t>
            </w:r>
          </w:p>
        </w:tc>
        <w:tc>
          <w:tcPr>
            <w:tcW w:w="120" w:type="dxa"/>
            <w:vAlign w:val="bottom"/>
            <w:shd w:val="clear" w:color="auto" w:fill="CFF0FC"/>
          </w:tcPr>
          <w:p>
            <w:pPr>
              <w:spacing w:after="0"/>
              <w:rPr>
                <w:sz w:val="18"/>
                <w:szCs w:val="18"/>
                <w:color w:val="auto"/>
              </w:rPr>
            </w:pPr>
          </w:p>
        </w:tc>
      </w:tr>
      <w:tr>
        <w:trPr>
          <w:trHeight w:val="210"/>
        </w:trPr>
        <w:tc>
          <w:tcPr>
            <w:tcW w:w="73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Value added taxes payable</w:t>
            </w:r>
          </w:p>
        </w:tc>
        <w:tc>
          <w:tcPr>
            <w:tcW w:w="3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385.7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432.7</w:t>
            </w:r>
          </w:p>
        </w:tc>
        <w:tc>
          <w:tcPr>
            <w:tcW w:w="120" w:type="dxa"/>
            <w:vAlign w:val="bottom"/>
          </w:tcPr>
          <w:p>
            <w:pPr>
              <w:spacing w:after="0"/>
              <w:rPr>
                <w:sz w:val="18"/>
                <w:szCs w:val="18"/>
                <w:color w:val="auto"/>
              </w:rPr>
            </w:pPr>
          </w:p>
        </w:tc>
      </w:tr>
      <w:tr>
        <w:trPr>
          <w:trHeight w:val="213"/>
        </w:trPr>
        <w:tc>
          <w:tcPr>
            <w:tcW w:w="736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Short-term borrowings and current maturities of long-term debt</w:t>
            </w:r>
          </w:p>
        </w:tc>
        <w:tc>
          <w:tcPr>
            <w:tcW w:w="32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5"/>
        </w:trPr>
        <w:tc>
          <w:tcPr>
            <w:tcW w:w="736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3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4,504.1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4,799.7</w:t>
            </w:r>
          </w:p>
        </w:tc>
        <w:tc>
          <w:tcPr>
            <w:tcW w:w="120" w:type="dxa"/>
            <w:vAlign w:val="bottom"/>
          </w:tcPr>
          <w:p>
            <w:pPr>
              <w:spacing w:after="0"/>
              <w:rPr>
                <w:sz w:val="17"/>
                <w:szCs w:val="17"/>
                <w:color w:val="auto"/>
              </w:rPr>
            </w:pPr>
          </w:p>
        </w:tc>
      </w:tr>
      <w:tr>
        <w:trPr>
          <w:trHeight w:val="216"/>
        </w:trPr>
        <w:tc>
          <w:tcPr>
            <w:tcW w:w="73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Other liabilities:</w:t>
            </w:r>
          </w:p>
        </w:tc>
        <w:tc>
          <w:tcPr>
            <w:tcW w:w="3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0"/>
        </w:trPr>
        <w:tc>
          <w:tcPr>
            <w:tcW w:w="73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Long-term debt</w:t>
            </w:r>
          </w:p>
        </w:tc>
        <w:tc>
          <w:tcPr>
            <w:tcW w:w="3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968.9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990.5</w:t>
            </w:r>
          </w:p>
        </w:tc>
        <w:tc>
          <w:tcPr>
            <w:tcW w:w="120" w:type="dxa"/>
            <w:vAlign w:val="bottom"/>
          </w:tcPr>
          <w:p>
            <w:pPr>
              <w:spacing w:after="0"/>
              <w:rPr>
                <w:sz w:val="18"/>
                <w:szCs w:val="18"/>
                <w:color w:val="auto"/>
              </w:rPr>
            </w:pPr>
          </w:p>
        </w:tc>
      </w:tr>
      <w:tr>
        <w:trPr>
          <w:trHeight w:val="216"/>
        </w:trPr>
        <w:tc>
          <w:tcPr>
            <w:tcW w:w="73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Long-term operating lease liability</w:t>
            </w:r>
          </w:p>
        </w:tc>
        <w:tc>
          <w:tcPr>
            <w:tcW w:w="32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315.5</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323.2</w:t>
            </w:r>
          </w:p>
        </w:tc>
        <w:tc>
          <w:tcPr>
            <w:tcW w:w="120" w:type="dxa"/>
            <w:vAlign w:val="bottom"/>
            <w:shd w:val="clear" w:color="auto" w:fill="CFF0FC"/>
          </w:tcPr>
          <w:p>
            <w:pPr>
              <w:spacing w:after="0"/>
              <w:rPr>
                <w:sz w:val="18"/>
                <w:szCs w:val="18"/>
                <w:color w:val="auto"/>
              </w:rPr>
            </w:pPr>
          </w:p>
        </w:tc>
      </w:tr>
      <w:tr>
        <w:trPr>
          <w:trHeight w:val="210"/>
        </w:trPr>
        <w:tc>
          <w:tcPr>
            <w:tcW w:w="73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3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512.4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482.7</w:t>
            </w:r>
          </w:p>
        </w:tc>
        <w:tc>
          <w:tcPr>
            <w:tcW w:w="120" w:type="dxa"/>
            <w:vAlign w:val="bottom"/>
          </w:tcPr>
          <w:p>
            <w:pPr>
              <w:spacing w:after="0"/>
              <w:rPr>
                <w:sz w:val="18"/>
                <w:szCs w:val="18"/>
                <w:color w:val="auto"/>
              </w:rPr>
            </w:pPr>
          </w:p>
        </w:tc>
      </w:tr>
      <w:tr>
        <w:trPr>
          <w:trHeight w:val="208"/>
        </w:trPr>
        <w:tc>
          <w:tcPr>
            <w:tcW w:w="736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6"/>
                <w:szCs w:val="16"/>
                <w:color w:val="auto"/>
              </w:rPr>
              <w:t>Total other liabilities</w:t>
            </w:r>
          </w:p>
        </w:tc>
        <w:tc>
          <w:tcPr>
            <w:tcW w:w="32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1,796.8</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1,796.4</w:t>
            </w:r>
          </w:p>
        </w:tc>
        <w:tc>
          <w:tcPr>
            <w:tcW w:w="120" w:type="dxa"/>
            <w:vAlign w:val="bottom"/>
            <w:shd w:val="clear" w:color="auto" w:fill="CFF0FC"/>
          </w:tcPr>
          <w:p>
            <w:pPr>
              <w:spacing w:after="0"/>
              <w:rPr>
                <w:sz w:val="18"/>
                <w:szCs w:val="18"/>
                <w:color w:val="auto"/>
              </w:rPr>
            </w:pPr>
          </w:p>
        </w:tc>
      </w:tr>
      <w:tr>
        <w:trPr>
          <w:trHeight w:val="211"/>
        </w:trPr>
        <w:tc>
          <w:tcPr>
            <w:tcW w:w="73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Shareholders' equity:</w:t>
            </w: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5"/>
        </w:trPr>
        <w:tc>
          <w:tcPr>
            <w:tcW w:w="73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ManpowerGroup shareholders' equity</w:t>
            </w:r>
          </w:p>
        </w:tc>
        <w:tc>
          <w:tcPr>
            <w:tcW w:w="3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0"/>
        </w:trPr>
        <w:tc>
          <w:tcPr>
            <w:tcW w:w="73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Common stock</w:t>
            </w:r>
          </w:p>
        </w:tc>
        <w:tc>
          <w:tcPr>
            <w:tcW w:w="3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tcPr>
          <w:p>
            <w:pPr>
              <w:spacing w:after="0"/>
              <w:rPr>
                <w:sz w:val="18"/>
                <w:szCs w:val="18"/>
                <w:color w:val="auto"/>
              </w:rPr>
            </w:pPr>
          </w:p>
        </w:tc>
      </w:tr>
      <w:tr>
        <w:trPr>
          <w:trHeight w:val="216"/>
        </w:trPr>
        <w:tc>
          <w:tcPr>
            <w:tcW w:w="736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6"/>
                <w:szCs w:val="16"/>
                <w:color w:val="auto"/>
              </w:rPr>
              <w:t>Capital in excess of par value</w:t>
            </w:r>
          </w:p>
        </w:tc>
        <w:tc>
          <w:tcPr>
            <w:tcW w:w="32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3,518.7</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3,514.9</w:t>
            </w:r>
          </w:p>
        </w:tc>
        <w:tc>
          <w:tcPr>
            <w:tcW w:w="120" w:type="dxa"/>
            <w:vAlign w:val="bottom"/>
            <w:shd w:val="clear" w:color="auto" w:fill="CFF0FC"/>
          </w:tcPr>
          <w:p>
            <w:pPr>
              <w:spacing w:after="0"/>
              <w:rPr>
                <w:sz w:val="18"/>
                <w:szCs w:val="18"/>
                <w:color w:val="auto"/>
              </w:rPr>
            </w:pPr>
          </w:p>
        </w:tc>
      </w:tr>
      <w:tr>
        <w:trPr>
          <w:trHeight w:val="210"/>
        </w:trPr>
        <w:tc>
          <w:tcPr>
            <w:tcW w:w="73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Retained earnings</w:t>
            </w:r>
          </w:p>
        </w:tc>
        <w:tc>
          <w:tcPr>
            <w:tcW w:w="3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3,852.7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3,813.0</w:t>
            </w:r>
          </w:p>
        </w:tc>
        <w:tc>
          <w:tcPr>
            <w:tcW w:w="120" w:type="dxa"/>
            <w:vAlign w:val="bottom"/>
          </w:tcPr>
          <w:p>
            <w:pPr>
              <w:spacing w:after="0"/>
              <w:rPr>
                <w:sz w:val="18"/>
                <w:szCs w:val="18"/>
                <w:color w:val="auto"/>
              </w:rPr>
            </w:pPr>
          </w:p>
        </w:tc>
      </w:tr>
      <w:tr>
        <w:trPr>
          <w:trHeight w:val="216"/>
        </w:trPr>
        <w:tc>
          <w:tcPr>
            <w:tcW w:w="736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32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(495.5 )</w:t>
            </w: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(466.0 )</w:t>
            </w:r>
          </w:p>
        </w:tc>
      </w:tr>
      <w:tr>
        <w:trPr>
          <w:trHeight w:val="210"/>
        </w:trPr>
        <w:tc>
          <w:tcPr>
            <w:tcW w:w="73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Treasury stock, at cost</w:t>
            </w:r>
          </w:p>
        </w:tc>
        <w:tc>
          <w:tcPr>
            <w:tcW w:w="320" w:type="dxa"/>
            <w:vAlign w:val="bottom"/>
          </w:tcPr>
          <w:p>
            <w:pPr>
              <w:spacing w:after="0"/>
              <w:rPr>
                <w:sz w:val="18"/>
                <w:szCs w:val="18"/>
                <w:color w:val="auto"/>
              </w:rPr>
            </w:pPr>
          </w:p>
        </w:tc>
        <w:tc>
          <w:tcPr>
            <w:tcW w:w="15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(4,700.4 )</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(4,639.8 )</w:t>
            </w:r>
          </w:p>
        </w:tc>
      </w:tr>
      <w:tr>
        <w:trPr>
          <w:trHeight w:val="205"/>
        </w:trPr>
        <w:tc>
          <w:tcPr>
            <w:tcW w:w="7360" w:type="dxa"/>
            <w:vAlign w:val="bottom"/>
            <w:tcBorders>
              <w:bottom w:val="single" w:sz="8" w:color="CFF0FC"/>
            </w:tcBorders>
            <w:shd w:val="clear" w:color="auto" w:fill="CFF0FC"/>
          </w:tcPr>
          <w:p>
            <w:pPr>
              <w:jc w:val="right"/>
              <w:ind w:right="4101"/>
              <w:spacing w:after="0"/>
              <w:rPr>
                <w:sz w:val="20"/>
                <w:szCs w:val="20"/>
                <w:color w:val="auto"/>
              </w:rPr>
            </w:pPr>
            <w:r>
              <w:rPr>
                <w:rFonts w:ascii="Times New Roman" w:cs="Times New Roman" w:eastAsia="Times New Roman" w:hAnsi="Times New Roman"/>
                <w:sz w:val="16"/>
                <w:szCs w:val="16"/>
                <w:color w:val="auto"/>
              </w:rPr>
              <w:t>Total ManpowerGroup shareholders' equity</w:t>
            </w:r>
          </w:p>
        </w:tc>
        <w:tc>
          <w:tcPr>
            <w:tcW w:w="320" w:type="dxa"/>
            <w:vAlign w:val="bottom"/>
            <w:tcBorders>
              <w:top w:val="single" w:sz="8" w:color="auto"/>
              <w:bottom w:val="single" w:sz="8" w:color="auto"/>
            </w:tcBorders>
            <w:shd w:val="clear" w:color="auto" w:fill="CFF0FC"/>
          </w:tcPr>
          <w:p>
            <w:pPr>
              <w:spacing w:after="0"/>
              <w:rPr>
                <w:sz w:val="17"/>
                <w:szCs w:val="17"/>
                <w:color w:val="auto"/>
              </w:rPr>
            </w:pP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2,176.7</w:t>
            </w:r>
          </w:p>
        </w:tc>
        <w:tc>
          <w:tcPr>
            <w:tcW w:w="1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top w:val="single" w:sz="8" w:color="auto"/>
              <w:bottom w:val="single" w:sz="8" w:color="auto"/>
            </w:tcBorders>
            <w:shd w:val="clear" w:color="auto" w:fill="CFF0FC"/>
          </w:tcPr>
          <w:p>
            <w:pPr>
              <w:spacing w:after="0"/>
              <w:rPr>
                <w:sz w:val="17"/>
                <w:szCs w:val="17"/>
                <w:color w:val="auto"/>
              </w:rPr>
            </w:pP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2,223.3</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205"/>
        </w:trPr>
        <w:tc>
          <w:tcPr>
            <w:tcW w:w="73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Noncontrolling interests</w:t>
            </w:r>
          </w:p>
        </w:tc>
        <w:tc>
          <w:tcPr>
            <w:tcW w:w="3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20" w:type="dxa"/>
            <w:vAlign w:val="bottom"/>
          </w:tcPr>
          <w:p>
            <w:pPr>
              <w:spacing w:after="0"/>
              <w:rPr>
                <w:sz w:val="17"/>
                <w:szCs w:val="17"/>
                <w:color w:val="auto"/>
              </w:rPr>
            </w:pPr>
          </w:p>
        </w:tc>
      </w:tr>
      <w:tr>
        <w:trPr>
          <w:trHeight w:val="205"/>
        </w:trPr>
        <w:tc>
          <w:tcPr>
            <w:tcW w:w="736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6"/>
                <w:szCs w:val="16"/>
                <w:color w:val="auto"/>
              </w:rPr>
              <w:t>Total shareholders' equity</w:t>
            </w:r>
          </w:p>
        </w:tc>
        <w:tc>
          <w:tcPr>
            <w:tcW w:w="320" w:type="dxa"/>
            <w:vAlign w:val="bottom"/>
            <w:tcBorders>
              <w:bottom w:val="single" w:sz="8" w:color="auto"/>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2,187.7</w:t>
            </w:r>
          </w:p>
        </w:tc>
        <w:tc>
          <w:tcPr>
            <w:tcW w:w="1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2,234.1</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205"/>
        </w:trPr>
        <w:tc>
          <w:tcPr>
            <w:tcW w:w="7360" w:type="dxa"/>
            <w:vAlign w:val="bottom"/>
          </w:tcPr>
          <w:p>
            <w:pPr>
              <w:jc w:val="right"/>
              <w:ind w:right="4101"/>
              <w:spacing w:after="0"/>
              <w:rPr>
                <w:sz w:val="20"/>
                <w:szCs w:val="20"/>
                <w:color w:val="auto"/>
              </w:rPr>
            </w:pPr>
            <w:r>
              <w:rPr>
                <w:rFonts w:ascii="Times New Roman" w:cs="Times New Roman" w:eastAsia="Times New Roman" w:hAnsi="Times New Roman"/>
                <w:sz w:val="16"/>
                <w:szCs w:val="16"/>
                <w:color w:val="auto"/>
              </w:rPr>
              <w:t>Total liabilities and shareholders' equity</w:t>
            </w:r>
          </w:p>
        </w:tc>
        <w:tc>
          <w:tcPr>
            <w:tcW w:w="32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8,488.6</w:t>
            </w:r>
          </w:p>
        </w:tc>
        <w:tc>
          <w:tcPr>
            <w:tcW w:w="100" w:type="dxa"/>
            <w:vAlign w:val="bottom"/>
          </w:tcPr>
          <w:p>
            <w:pPr>
              <w:spacing w:after="0"/>
              <w:rPr>
                <w:sz w:val="17"/>
                <w:szCs w:val="17"/>
                <w:color w:val="auto"/>
              </w:rPr>
            </w:pP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8,830.2</w:t>
            </w:r>
          </w:p>
        </w:tc>
        <w:tc>
          <w:tcPr>
            <w:tcW w:w="120" w:type="dxa"/>
            <w:vAlign w:val="bottom"/>
          </w:tcPr>
          <w:p>
            <w:pPr>
              <w:spacing w:after="0"/>
              <w:rPr>
                <w:sz w:val="17"/>
                <w:szCs w:val="17"/>
                <w:color w:val="auto"/>
              </w:rPr>
            </w:pPr>
          </w:p>
        </w:tc>
      </w:tr>
      <w:tr>
        <w:trPr>
          <w:trHeight w:val="20"/>
        </w:trPr>
        <w:tc>
          <w:tcPr>
            <w:tcW w:w="73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952"/>
        </w:trPr>
        <w:tc>
          <w:tcPr>
            <w:tcW w:w="73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5786755</wp:posOffset>
            </wp:positionH>
            <wp:positionV relativeFrom="paragraph">
              <wp:posOffset>-5751830</wp:posOffset>
            </wp:positionV>
            <wp:extent cx="67310" cy="76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-5751830</wp:posOffset>
            </wp:positionV>
            <wp:extent cx="67310" cy="76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5786755</wp:posOffset>
            </wp:positionH>
            <wp:positionV relativeFrom="paragraph">
              <wp:posOffset>-4933315</wp:posOffset>
            </wp:positionV>
            <wp:extent cx="67310" cy="76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-4933315</wp:posOffset>
            </wp:positionV>
            <wp:extent cx="67310" cy="76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5786755</wp:posOffset>
            </wp:positionH>
            <wp:positionV relativeFrom="paragraph">
              <wp:posOffset>-4385310</wp:posOffset>
            </wp:positionV>
            <wp:extent cx="67310" cy="76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-4385310</wp:posOffset>
            </wp:positionV>
            <wp:extent cx="67310" cy="76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5786755</wp:posOffset>
            </wp:positionH>
            <wp:positionV relativeFrom="paragraph">
              <wp:posOffset>-4099560</wp:posOffset>
            </wp:positionV>
            <wp:extent cx="67310" cy="76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5786755</wp:posOffset>
            </wp:positionH>
            <wp:positionV relativeFrom="paragraph">
              <wp:posOffset>-4084955</wp:posOffset>
            </wp:positionV>
            <wp:extent cx="67310" cy="76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-4099560</wp:posOffset>
            </wp:positionV>
            <wp:extent cx="67310" cy="76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-4084955</wp:posOffset>
            </wp:positionV>
            <wp:extent cx="67310" cy="76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5786755</wp:posOffset>
            </wp:positionH>
            <wp:positionV relativeFrom="paragraph">
              <wp:posOffset>-2995930</wp:posOffset>
            </wp:positionV>
            <wp:extent cx="67310" cy="76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-2995930</wp:posOffset>
            </wp:positionV>
            <wp:extent cx="67310" cy="76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5786755</wp:posOffset>
            </wp:positionH>
            <wp:positionV relativeFrom="paragraph">
              <wp:posOffset>-1080770</wp:posOffset>
            </wp:positionV>
            <wp:extent cx="67310" cy="76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-1080770</wp:posOffset>
            </wp:positionV>
            <wp:extent cx="67310" cy="76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5786755</wp:posOffset>
            </wp:positionH>
            <wp:positionV relativeFrom="paragraph">
              <wp:posOffset>-795655</wp:posOffset>
            </wp:positionV>
            <wp:extent cx="67310" cy="76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-795655</wp:posOffset>
            </wp:positionV>
            <wp:extent cx="67310" cy="76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880" w:right="319" w:bottom="1440" w:gutter="0" w:footer="0" w:header="0"/>
        </w:sectPr>
      </w:pPr>
    </w:p>
    <w:bookmarkStart w:id="9" w:name="page10"/>
    <w:bookmarkEnd w:id="9"/>
    <w:p>
      <w:pPr>
        <w:ind w:left="5080"/>
        <w:spacing w:after="0"/>
        <w:rPr>
          <w:sz w:val="20"/>
          <w:szCs w:val="20"/>
          <w:color w:val="auto"/>
        </w:rPr>
      </w:pPr>
      <w:r>
        <w:rPr>
          <w:rFonts w:ascii="Times New Roman" w:cs="Times New Roman" w:eastAsia="Times New Roman" w:hAnsi="Times New Roman"/>
          <w:sz w:val="16"/>
          <w:szCs w:val="16"/>
          <w:color w:val="auto"/>
        </w:rPr>
        <w:t>ManpowerGroup</w:t>
      </w:r>
    </w:p>
    <w:p>
      <w:pPr>
        <w:spacing w:after="0" w:line="41"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6"/>
          <w:szCs w:val="16"/>
          <w:color w:val="auto"/>
        </w:rPr>
        <w:t>Consolidated Statements of Cash Flows</w:t>
      </w:r>
    </w:p>
    <w:p>
      <w:pPr>
        <w:spacing w:after="0" w:line="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(In millions)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76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520" w:type="dxa"/>
            <w:vAlign w:val="bottom"/>
            <w:gridSpan w:val="4"/>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7"/>
              </w:rPr>
              <w:t>Three Months Ended</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8"/>
        </w:trPr>
        <w:tc>
          <w:tcPr>
            <w:tcW w:w="760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9"/>
              </w:rPr>
              <w:t>March 31,</w:t>
            </w:r>
          </w:p>
        </w:tc>
        <w:tc>
          <w:tcPr>
            <w:tcW w:w="10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8"/>
        </w:trPr>
        <w:tc>
          <w:tcPr>
            <w:tcW w:w="760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6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8"/>
                <w:szCs w:val="18"/>
                <w:color w:val="auto"/>
              </w:rPr>
            </w:pPr>
          </w:p>
        </w:tc>
      </w:tr>
      <w:tr>
        <w:trPr>
          <w:trHeight w:val="204"/>
        </w:trPr>
        <w:tc>
          <w:tcPr>
            <w:tcW w:w="76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520" w:type="dxa"/>
            <w:vAlign w:val="bottom"/>
            <w:gridSpan w:val="4"/>
          </w:tcPr>
          <w:p>
            <w:pPr>
              <w:jc w:val="center"/>
              <w:spacing w:after="0"/>
              <w:rPr>
                <w:sz w:val="20"/>
                <w:szCs w:val="20"/>
                <w:color w:val="auto"/>
              </w:rPr>
            </w:pPr>
            <w:r>
              <w:rPr>
                <w:rFonts w:ascii="Times New Roman" w:cs="Times New Roman" w:eastAsia="Times New Roman" w:hAnsi="Times New Roman"/>
                <w:sz w:val="16"/>
                <w:szCs w:val="16"/>
                <w:color w:val="auto"/>
                <w:w w:val="98"/>
              </w:rPr>
              <w:t>(Unaudited)</w:t>
            </w: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0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0"/>
        </w:trPr>
        <w:tc>
          <w:tcPr>
            <w:tcW w:w="76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Net earnings</w:t>
            </w:r>
          </w:p>
        </w:tc>
        <w:tc>
          <w:tcPr>
            <w:tcW w:w="1020" w:type="dxa"/>
            <w:vAlign w:val="bottom"/>
          </w:tcPr>
          <w:p>
            <w:pPr>
              <w:jc w:val="right"/>
              <w:ind w:right="861"/>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39.7</w:t>
            </w:r>
          </w:p>
        </w:tc>
        <w:tc>
          <w:tcPr>
            <w:tcW w:w="100" w:type="dxa"/>
            <w:vAlign w:val="bottom"/>
          </w:tcPr>
          <w:p>
            <w:pPr>
              <w:spacing w:after="0"/>
              <w:rPr>
                <w:sz w:val="18"/>
                <w:szCs w:val="18"/>
                <w:color w:val="auto"/>
              </w:rPr>
            </w:pPr>
          </w:p>
        </w:tc>
        <w:tc>
          <w:tcPr>
            <w:tcW w:w="800" w:type="dxa"/>
            <w:vAlign w:val="bottom"/>
            <w:gridSpan w:val="2"/>
          </w:tcPr>
          <w:p>
            <w:pPr>
              <w:jc w:val="right"/>
              <w:ind w:right="5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77.8</w:t>
            </w:r>
          </w:p>
        </w:tc>
        <w:tc>
          <w:tcPr>
            <w:tcW w:w="120" w:type="dxa"/>
            <w:vAlign w:val="bottom"/>
          </w:tcPr>
          <w:p>
            <w:pPr>
              <w:spacing w:after="0"/>
              <w:rPr>
                <w:sz w:val="18"/>
                <w:szCs w:val="18"/>
                <w:color w:val="auto"/>
              </w:rPr>
            </w:pPr>
          </w:p>
        </w:tc>
      </w:tr>
      <w:tr>
        <w:trPr>
          <w:trHeight w:val="216"/>
        </w:trPr>
        <w:tc>
          <w:tcPr>
            <w:tcW w:w="76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Adjustments to reconcile net earnings to net cash provided by operating activities:</w:t>
            </w:r>
          </w:p>
        </w:tc>
        <w:tc>
          <w:tcPr>
            <w:tcW w:w="10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0"/>
        </w:trPr>
        <w:tc>
          <w:tcPr>
            <w:tcW w:w="76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120" w:type="dxa"/>
            <w:vAlign w:val="bottom"/>
          </w:tcPr>
          <w:p>
            <w:pPr>
              <w:spacing w:after="0"/>
              <w:rPr>
                <w:sz w:val="18"/>
                <w:szCs w:val="18"/>
                <w:color w:val="auto"/>
              </w:rPr>
            </w:pPr>
          </w:p>
        </w:tc>
      </w:tr>
      <w:tr>
        <w:trPr>
          <w:trHeight w:val="216"/>
        </w:trPr>
        <w:tc>
          <w:tcPr>
            <w:tcW w:w="760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Deferred income taxes</w:t>
            </w:r>
          </w:p>
        </w:tc>
        <w:tc>
          <w:tcPr>
            <w:tcW w:w="102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120" w:type="dxa"/>
            <w:vAlign w:val="bottom"/>
            <w:shd w:val="clear" w:color="auto" w:fill="CFF0FC"/>
          </w:tcPr>
          <w:p>
            <w:pPr>
              <w:spacing w:after="0"/>
              <w:rPr>
                <w:sz w:val="18"/>
                <w:szCs w:val="18"/>
                <w:color w:val="auto"/>
              </w:rPr>
            </w:pPr>
          </w:p>
        </w:tc>
      </w:tr>
      <w:tr>
        <w:trPr>
          <w:trHeight w:val="210"/>
        </w:trPr>
        <w:tc>
          <w:tcPr>
            <w:tcW w:w="76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Provision for doubtful accounts</w:t>
            </w: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tcPr>
          <w:p>
            <w:pPr>
              <w:spacing w:after="0"/>
              <w:rPr>
                <w:sz w:val="18"/>
                <w:szCs w:val="18"/>
                <w:color w:val="auto"/>
              </w:rPr>
            </w:pPr>
          </w:p>
        </w:tc>
      </w:tr>
      <w:tr>
        <w:trPr>
          <w:trHeight w:val="216"/>
        </w:trPr>
        <w:tc>
          <w:tcPr>
            <w:tcW w:w="760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Share-based compensation</w:t>
            </w:r>
          </w:p>
        </w:tc>
        <w:tc>
          <w:tcPr>
            <w:tcW w:w="102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20" w:type="dxa"/>
            <w:vAlign w:val="bottom"/>
            <w:shd w:val="clear" w:color="auto" w:fill="CFF0FC"/>
          </w:tcPr>
          <w:p>
            <w:pPr>
              <w:spacing w:after="0"/>
              <w:rPr>
                <w:sz w:val="18"/>
                <w:szCs w:val="18"/>
                <w:color w:val="auto"/>
              </w:rPr>
            </w:pPr>
          </w:p>
        </w:tc>
      </w:tr>
      <w:tr>
        <w:trPr>
          <w:trHeight w:val="210"/>
        </w:trPr>
        <w:tc>
          <w:tcPr>
            <w:tcW w:w="76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1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60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Accounts receivable</w:t>
            </w:r>
          </w:p>
        </w:tc>
        <w:tc>
          <w:tcPr>
            <w:tcW w:w="102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283.9</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398.0</w:t>
            </w:r>
          </w:p>
        </w:tc>
        <w:tc>
          <w:tcPr>
            <w:tcW w:w="120" w:type="dxa"/>
            <w:vAlign w:val="bottom"/>
            <w:shd w:val="clear" w:color="auto" w:fill="CFF0FC"/>
          </w:tcPr>
          <w:p>
            <w:pPr>
              <w:spacing w:after="0"/>
              <w:rPr>
                <w:sz w:val="18"/>
                <w:szCs w:val="18"/>
                <w:color w:val="auto"/>
              </w:rPr>
            </w:pPr>
          </w:p>
        </w:tc>
      </w:tr>
      <w:tr>
        <w:trPr>
          <w:trHeight w:val="210"/>
        </w:trPr>
        <w:tc>
          <w:tcPr>
            <w:tcW w:w="76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Other assets</w:t>
            </w:r>
          </w:p>
        </w:tc>
        <w:tc>
          <w:tcPr>
            <w:tcW w:w="102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(62.5 )</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(37.3 )</w:t>
            </w:r>
          </w:p>
        </w:tc>
      </w:tr>
      <w:tr>
        <w:trPr>
          <w:trHeight w:val="213"/>
        </w:trPr>
        <w:tc>
          <w:tcPr>
            <w:tcW w:w="760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6"/>
                <w:szCs w:val="16"/>
                <w:color w:val="auto"/>
              </w:rPr>
              <w:t>Other liabilities</w:t>
            </w:r>
          </w:p>
        </w:tc>
        <w:tc>
          <w:tcPr>
            <w:tcW w:w="102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(184.3 )</w:t>
            </w:r>
          </w:p>
        </w:tc>
        <w:tc>
          <w:tcPr>
            <w:tcW w:w="2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(358.3 )</w:t>
            </w:r>
          </w:p>
        </w:tc>
      </w:tr>
      <w:tr>
        <w:trPr>
          <w:trHeight w:val="205"/>
        </w:trPr>
        <w:tc>
          <w:tcPr>
            <w:tcW w:w="7600" w:type="dxa"/>
            <w:vAlign w:val="bottom"/>
            <w:tcBorders>
              <w:top w:val="single" w:sz="8" w:color="CFF0FC"/>
            </w:tcBorders>
          </w:tcPr>
          <w:p>
            <w:pPr>
              <w:ind w:left="960"/>
              <w:spacing w:after="0"/>
              <w:rPr>
                <w:sz w:val="20"/>
                <w:szCs w:val="20"/>
                <w:color w:val="auto"/>
              </w:rPr>
            </w:pPr>
            <w:r>
              <w:rPr>
                <w:rFonts w:ascii="Times New Roman" w:cs="Times New Roman" w:eastAsia="Times New Roman" w:hAnsi="Times New Roman"/>
                <w:sz w:val="16"/>
                <w:szCs w:val="16"/>
                <w:color w:val="auto"/>
              </w:rPr>
              <w:t>Cash provided by operating activities</w:t>
            </w:r>
          </w:p>
        </w:tc>
        <w:tc>
          <w:tcPr>
            <w:tcW w:w="102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116.0</w:t>
            </w:r>
          </w:p>
        </w:tc>
        <w:tc>
          <w:tcPr>
            <w:tcW w:w="100" w:type="dxa"/>
            <w:vAlign w:val="bottom"/>
            <w:tcBorders>
              <w:top w:val="single" w:sz="8" w:color="CFF0FC"/>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60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124.6</w:t>
            </w:r>
          </w:p>
        </w:tc>
        <w:tc>
          <w:tcPr>
            <w:tcW w:w="120" w:type="dxa"/>
            <w:vAlign w:val="bottom"/>
            <w:tcBorders>
              <w:top w:val="single" w:sz="8" w:color="CFF0FC"/>
            </w:tcBorders>
          </w:tcPr>
          <w:p>
            <w:pPr>
              <w:spacing w:after="0"/>
              <w:rPr>
                <w:sz w:val="17"/>
                <w:szCs w:val="17"/>
                <w:color w:val="auto"/>
              </w:rPr>
            </w:pPr>
          </w:p>
        </w:tc>
      </w:tr>
      <w:tr>
        <w:trPr>
          <w:trHeight w:val="208"/>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10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0"/>
        </w:trPr>
        <w:tc>
          <w:tcPr>
            <w:tcW w:w="76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Capital expenditures</w:t>
            </w:r>
          </w:p>
        </w:tc>
        <w:tc>
          <w:tcPr>
            <w:tcW w:w="102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(11.8 )</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(13.2 )</w:t>
            </w:r>
          </w:p>
        </w:tc>
      </w:tr>
      <w:tr>
        <w:trPr>
          <w:trHeight w:val="213"/>
        </w:trPr>
        <w:tc>
          <w:tcPr>
            <w:tcW w:w="7600" w:type="dxa"/>
            <w:vAlign w:val="bottom"/>
            <w:tcBorders>
              <w:bottom w:val="single" w:sz="8" w:color="CFF0FC"/>
            </w:tcBorders>
            <w:shd w:val="clear" w:color="auto" w:fill="CFF0FC"/>
          </w:tcPr>
          <w:p>
            <w:pPr>
              <w:ind w:left="400"/>
              <w:spacing w:after="0"/>
              <w:rPr>
                <w:sz w:val="20"/>
                <w:szCs w:val="20"/>
                <w:color w:val="auto"/>
              </w:rPr>
            </w:pPr>
            <w:r>
              <w:rPr>
                <w:rFonts w:ascii="Times New Roman" w:cs="Times New Roman" w:eastAsia="Times New Roman" w:hAnsi="Times New Roman"/>
                <w:sz w:val="16"/>
                <w:szCs w:val="16"/>
                <w:color w:val="auto"/>
              </w:rPr>
              <w:t>Proceeds from the sale of property and equipment</w:t>
            </w:r>
          </w:p>
        </w:tc>
        <w:tc>
          <w:tcPr>
            <w:tcW w:w="102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5"/>
        </w:trPr>
        <w:tc>
          <w:tcPr>
            <w:tcW w:w="7600" w:type="dxa"/>
            <w:vAlign w:val="bottom"/>
          </w:tcPr>
          <w:p>
            <w:pPr>
              <w:ind w:left="960"/>
              <w:spacing w:after="0"/>
              <w:rPr>
                <w:sz w:val="20"/>
                <w:szCs w:val="20"/>
                <w:color w:val="auto"/>
              </w:rPr>
            </w:pPr>
            <w:r>
              <w:rPr>
                <w:rFonts w:ascii="Times New Roman" w:cs="Times New Roman" w:eastAsia="Times New Roman" w:hAnsi="Times New Roman"/>
                <w:sz w:val="16"/>
                <w:szCs w:val="16"/>
                <w:color w:val="auto"/>
              </w:rPr>
              <w:t>Cash used in investing activities</w:t>
            </w:r>
          </w:p>
        </w:tc>
        <w:tc>
          <w:tcPr>
            <w:tcW w:w="1020" w:type="dxa"/>
            <w:vAlign w:val="bottom"/>
          </w:tcPr>
          <w:p>
            <w:pPr>
              <w:spacing w:after="0"/>
              <w:rPr>
                <w:sz w:val="17"/>
                <w:szCs w:val="17"/>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(9.7 )</w:t>
            </w: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(13.2 )</w:t>
            </w:r>
          </w:p>
        </w:tc>
      </w:tr>
      <w:tr>
        <w:trPr>
          <w:trHeight w:val="208"/>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02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0"/>
        </w:trPr>
        <w:tc>
          <w:tcPr>
            <w:tcW w:w="76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Net change in short-term borrowings</w:t>
            </w: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(10.7 )</w:t>
            </w:r>
          </w:p>
        </w:tc>
      </w:tr>
      <w:tr>
        <w:trPr>
          <w:trHeight w:val="216"/>
        </w:trPr>
        <w:tc>
          <w:tcPr>
            <w:tcW w:w="760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6"/>
                <w:szCs w:val="16"/>
                <w:color w:val="auto"/>
              </w:rPr>
              <w:t>Proceeds from long-term debt</w:t>
            </w:r>
          </w:p>
        </w:tc>
        <w:tc>
          <w:tcPr>
            <w:tcW w:w="102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20" w:type="dxa"/>
            <w:vAlign w:val="bottom"/>
            <w:shd w:val="clear" w:color="auto" w:fill="CFF0FC"/>
          </w:tcPr>
          <w:p>
            <w:pPr>
              <w:spacing w:after="0"/>
              <w:rPr>
                <w:sz w:val="18"/>
                <w:szCs w:val="18"/>
                <w:color w:val="auto"/>
              </w:rPr>
            </w:pPr>
          </w:p>
        </w:tc>
      </w:tr>
      <w:tr>
        <w:trPr>
          <w:trHeight w:val="210"/>
        </w:trPr>
        <w:tc>
          <w:tcPr>
            <w:tcW w:w="76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Repayments of long-term debt</w:t>
            </w:r>
          </w:p>
        </w:tc>
        <w:tc>
          <w:tcPr>
            <w:tcW w:w="102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(0.2 )</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(0.2 )</w:t>
            </w:r>
          </w:p>
        </w:tc>
      </w:tr>
      <w:tr>
        <w:trPr>
          <w:trHeight w:val="216"/>
        </w:trPr>
        <w:tc>
          <w:tcPr>
            <w:tcW w:w="760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6"/>
                <w:szCs w:val="16"/>
                <w:color w:val="auto"/>
              </w:rPr>
              <w:t>Payments of contingent consideration for acquisitions</w:t>
            </w:r>
          </w:p>
        </w:tc>
        <w:tc>
          <w:tcPr>
            <w:tcW w:w="102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(1.1 )</w:t>
            </w:r>
          </w:p>
        </w:tc>
        <w:tc>
          <w:tcPr>
            <w:tcW w:w="2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76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Proceeds from share-based awards</w:t>
            </w: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tcPr>
          <w:p>
            <w:pPr>
              <w:spacing w:after="0"/>
              <w:rPr>
                <w:sz w:val="18"/>
                <w:szCs w:val="18"/>
                <w:color w:val="auto"/>
              </w:rPr>
            </w:pPr>
          </w:p>
        </w:tc>
      </w:tr>
      <w:tr>
        <w:trPr>
          <w:trHeight w:val="216"/>
        </w:trPr>
        <w:tc>
          <w:tcPr>
            <w:tcW w:w="760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6"/>
                <w:szCs w:val="16"/>
                <w:color w:val="auto"/>
              </w:rPr>
              <w:t>Other share-based award transactions</w:t>
            </w:r>
          </w:p>
        </w:tc>
        <w:tc>
          <w:tcPr>
            <w:tcW w:w="102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(10.3 )</w:t>
            </w:r>
          </w:p>
        </w:tc>
        <w:tc>
          <w:tcPr>
            <w:tcW w:w="2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(9.8 )</w:t>
            </w:r>
          </w:p>
        </w:tc>
      </w:tr>
      <w:tr>
        <w:trPr>
          <w:trHeight w:val="210"/>
        </w:trPr>
        <w:tc>
          <w:tcPr>
            <w:tcW w:w="76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102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(50.0 )</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(30.0 )</w:t>
            </w:r>
          </w:p>
        </w:tc>
      </w:tr>
      <w:tr>
        <w:trPr>
          <w:trHeight w:val="20"/>
        </w:trPr>
        <w:tc>
          <w:tcPr>
            <w:tcW w:w="76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5"/>
        </w:trPr>
        <w:tc>
          <w:tcPr>
            <w:tcW w:w="760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6"/>
                <w:szCs w:val="16"/>
                <w:color w:val="auto"/>
              </w:rPr>
              <w:t>Cash used in financing activities</w:t>
            </w:r>
          </w:p>
        </w:tc>
        <w:tc>
          <w:tcPr>
            <w:tcW w:w="102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(57.5 )</w:t>
            </w:r>
          </w:p>
        </w:tc>
        <w:tc>
          <w:tcPr>
            <w:tcW w:w="2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(48.8 )</w:t>
            </w:r>
          </w:p>
        </w:tc>
      </w:tr>
      <w:tr>
        <w:trPr>
          <w:trHeight w:val="20"/>
        </w:trPr>
        <w:tc>
          <w:tcPr>
            <w:tcW w:w="760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05"/>
        </w:trPr>
        <w:tc>
          <w:tcPr>
            <w:tcW w:w="7600" w:type="dxa"/>
            <w:vAlign w:val="bottom"/>
          </w:tcPr>
          <w:p>
            <w:pPr>
              <w:spacing w:after="0"/>
              <w:rPr>
                <w:sz w:val="20"/>
                <w:szCs w:val="20"/>
                <w:color w:val="auto"/>
              </w:rPr>
            </w:pPr>
            <w:r>
              <w:rPr>
                <w:rFonts w:ascii="Times New Roman" w:cs="Times New Roman" w:eastAsia="Times New Roman" w:hAnsi="Times New Roman"/>
                <w:sz w:val="16"/>
                <w:szCs w:val="16"/>
                <w:color w:val="auto"/>
              </w:rPr>
              <w:t>Effect of exchange rate changes on cash</w:t>
            </w:r>
          </w:p>
        </w:tc>
        <w:tc>
          <w:tcPr>
            <w:tcW w:w="1020" w:type="dxa"/>
            <w:vAlign w:val="bottom"/>
          </w:tcPr>
          <w:p>
            <w:pPr>
              <w:spacing w:after="0"/>
              <w:rPr>
                <w:sz w:val="17"/>
                <w:szCs w:val="17"/>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(25.3 )</w:t>
            </w: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20" w:type="dxa"/>
            <w:vAlign w:val="bottom"/>
          </w:tcPr>
          <w:p>
            <w:pPr>
              <w:spacing w:after="0"/>
              <w:rPr>
                <w:sz w:val="17"/>
                <w:szCs w:val="17"/>
                <w:color w:val="auto"/>
              </w:rPr>
            </w:pPr>
          </w:p>
        </w:tc>
      </w:tr>
      <w:tr>
        <w:trPr>
          <w:trHeight w:val="208"/>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Change in cash and cash equivalents</w:t>
            </w:r>
          </w:p>
        </w:tc>
        <w:tc>
          <w:tcPr>
            <w:tcW w:w="102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23.5</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67.7</w:t>
            </w:r>
          </w:p>
        </w:tc>
        <w:tc>
          <w:tcPr>
            <w:tcW w:w="120" w:type="dxa"/>
            <w:vAlign w:val="bottom"/>
            <w:shd w:val="clear" w:color="auto" w:fill="CFF0FC"/>
          </w:tcPr>
          <w:p>
            <w:pPr>
              <w:spacing w:after="0"/>
              <w:rPr>
                <w:sz w:val="18"/>
                <w:szCs w:val="18"/>
                <w:color w:val="auto"/>
              </w:rPr>
            </w:pPr>
          </w:p>
        </w:tc>
      </w:tr>
      <w:tr>
        <w:trPr>
          <w:trHeight w:val="210"/>
        </w:trPr>
        <w:tc>
          <w:tcPr>
            <w:tcW w:w="7600" w:type="dxa"/>
            <w:vAlign w:val="bottom"/>
          </w:tcPr>
          <w:p>
            <w:pPr>
              <w:spacing w:after="0"/>
              <w:rPr>
                <w:sz w:val="20"/>
                <w:szCs w:val="20"/>
                <w:color w:val="auto"/>
              </w:rPr>
            </w:pPr>
            <w:r>
              <w:rPr>
                <w:rFonts w:ascii="Times New Roman" w:cs="Times New Roman" w:eastAsia="Times New Roman" w:hAnsi="Times New Roman"/>
                <w:sz w:val="16"/>
                <w:szCs w:val="16"/>
                <w:color w:val="auto"/>
              </w:rPr>
              <w:t>Cash and cash equivalents, beginning of period</w:t>
            </w:r>
          </w:p>
        </w:tc>
        <w:tc>
          <w:tcPr>
            <w:tcW w:w="10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581.3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639.0</w:t>
            </w:r>
          </w:p>
        </w:tc>
        <w:tc>
          <w:tcPr>
            <w:tcW w:w="120" w:type="dxa"/>
            <w:vAlign w:val="bottom"/>
          </w:tcPr>
          <w:p>
            <w:pPr>
              <w:spacing w:after="0"/>
              <w:rPr>
                <w:sz w:val="18"/>
                <w:szCs w:val="18"/>
                <w:color w:val="auto"/>
              </w:rPr>
            </w:pPr>
          </w:p>
        </w:tc>
      </w:tr>
      <w:tr>
        <w:trPr>
          <w:trHeight w:val="245"/>
        </w:trPr>
        <w:tc>
          <w:tcPr>
            <w:tcW w:w="76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and cash equivalents, end of period</w:t>
            </w:r>
          </w:p>
        </w:tc>
        <w:tc>
          <w:tcPr>
            <w:tcW w:w="1020" w:type="dxa"/>
            <w:vAlign w:val="bottom"/>
            <w:shd w:val="clear" w:color="auto" w:fill="CFF0FC"/>
          </w:tcPr>
          <w:p>
            <w:pPr>
              <w:jc w:val="right"/>
              <w:ind w:right="861"/>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604.8</w:t>
            </w:r>
          </w:p>
        </w:tc>
        <w:tc>
          <w:tcPr>
            <w:tcW w:w="10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ind w:right="5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706.7</w:t>
            </w:r>
          </w:p>
        </w:tc>
        <w:tc>
          <w:tcPr>
            <w:tcW w:w="120" w:type="dxa"/>
            <w:vAlign w:val="bottom"/>
            <w:shd w:val="clear" w:color="auto" w:fill="CFF0FC"/>
          </w:tcPr>
          <w:p>
            <w:pPr>
              <w:spacing w:after="0"/>
              <w:rPr>
                <w:sz w:val="21"/>
                <w:szCs w:val="21"/>
                <w:color w:val="auto"/>
              </w:rPr>
            </w:pPr>
          </w:p>
        </w:tc>
      </w:tr>
      <w:tr>
        <w:trPr>
          <w:trHeight w:val="952"/>
        </w:trPr>
        <w:tc>
          <w:tcPr>
            <w:tcW w:w="7600" w:type="dxa"/>
            <w:vAlign w:val="bottom"/>
            <w:tcBorders>
              <w:top w:val="single" w:sz="8" w:color="CFF0FC"/>
              <w:bottom w:val="single" w:sz="8" w:color="9A9A9A"/>
            </w:tcBorders>
          </w:tcPr>
          <w:p>
            <w:pPr>
              <w:spacing w:after="0"/>
              <w:rPr>
                <w:sz w:val="24"/>
                <w:szCs w:val="24"/>
                <w:color w:val="auto"/>
              </w:rPr>
            </w:pPr>
          </w:p>
        </w:tc>
        <w:tc>
          <w:tcPr>
            <w:tcW w:w="1020" w:type="dxa"/>
            <w:vAlign w:val="bottom"/>
            <w:tcBorders>
              <w:top w:val="single" w:sz="8" w:color="auto"/>
              <w:bottom w:val="single" w:sz="8" w:color="9A9A9A"/>
            </w:tcBorders>
          </w:tcPr>
          <w:p>
            <w:pPr>
              <w:spacing w:after="0"/>
              <w:rPr>
                <w:sz w:val="24"/>
                <w:szCs w:val="24"/>
                <w:color w:val="auto"/>
              </w:rPr>
            </w:pPr>
          </w:p>
        </w:tc>
        <w:tc>
          <w:tcPr>
            <w:tcW w:w="620" w:type="dxa"/>
            <w:vAlign w:val="bottom"/>
            <w:tcBorders>
              <w:top w:val="single" w:sz="8" w:color="auto"/>
              <w:bottom w:val="single" w:sz="8" w:color="9A9A9A"/>
            </w:tcBorders>
          </w:tcPr>
          <w:p>
            <w:pPr>
              <w:spacing w:after="0"/>
              <w:rPr>
                <w:sz w:val="24"/>
                <w:szCs w:val="24"/>
                <w:color w:val="auto"/>
              </w:rPr>
            </w:pPr>
          </w:p>
        </w:tc>
        <w:tc>
          <w:tcPr>
            <w:tcW w:w="100" w:type="dxa"/>
            <w:vAlign w:val="bottom"/>
            <w:tcBorders>
              <w:top w:val="single" w:sz="8" w:color="CFF0FC"/>
              <w:bottom w:val="single" w:sz="8" w:color="9A9A9A"/>
            </w:tcBorders>
          </w:tcPr>
          <w:p>
            <w:pPr>
              <w:spacing w:after="0"/>
              <w:rPr>
                <w:sz w:val="24"/>
                <w:szCs w:val="24"/>
                <w:color w:val="auto"/>
              </w:rPr>
            </w:pPr>
          </w:p>
        </w:tc>
        <w:tc>
          <w:tcPr>
            <w:tcW w:w="200" w:type="dxa"/>
            <w:vAlign w:val="bottom"/>
            <w:tcBorders>
              <w:top w:val="single" w:sz="8" w:color="CFF0FC"/>
              <w:bottom w:val="single" w:sz="8" w:color="9A9A9A"/>
            </w:tcBorders>
          </w:tcPr>
          <w:p>
            <w:pPr>
              <w:spacing w:after="0"/>
              <w:rPr>
                <w:sz w:val="24"/>
                <w:szCs w:val="24"/>
                <w:color w:val="auto"/>
              </w:rPr>
            </w:pPr>
          </w:p>
        </w:tc>
        <w:tc>
          <w:tcPr>
            <w:tcW w:w="600" w:type="dxa"/>
            <w:vAlign w:val="bottom"/>
            <w:tcBorders>
              <w:top w:val="single" w:sz="8" w:color="auto"/>
              <w:bottom w:val="single" w:sz="8" w:color="9A9A9A"/>
            </w:tcBorders>
          </w:tcPr>
          <w:p>
            <w:pPr>
              <w:spacing w:after="0"/>
              <w:rPr>
                <w:sz w:val="24"/>
                <w:szCs w:val="24"/>
                <w:color w:val="auto"/>
              </w:rPr>
            </w:pPr>
          </w:p>
        </w:tc>
        <w:tc>
          <w:tcPr>
            <w:tcW w:w="1000" w:type="dxa"/>
            <w:vAlign w:val="bottom"/>
            <w:tcBorders>
              <w:top w:val="single" w:sz="8" w:color="auto"/>
              <w:bottom w:val="single" w:sz="8" w:color="9A9A9A"/>
            </w:tcBorders>
          </w:tcPr>
          <w:p>
            <w:pPr>
              <w:spacing w:after="0"/>
              <w:rPr>
                <w:sz w:val="24"/>
                <w:szCs w:val="24"/>
                <w:color w:val="auto"/>
              </w:rPr>
            </w:pPr>
          </w:p>
        </w:tc>
        <w:tc>
          <w:tcPr>
            <w:tcW w:w="120" w:type="dxa"/>
            <w:vAlign w:val="bottom"/>
            <w:tcBorders>
              <w:top w:val="single" w:sz="8" w:color="CFF0FC"/>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5861685</wp:posOffset>
            </wp:positionH>
            <wp:positionV relativeFrom="paragraph">
              <wp:posOffset>-3145790</wp:posOffset>
            </wp:positionV>
            <wp:extent cx="74930" cy="76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-3145790</wp:posOffset>
            </wp:positionV>
            <wp:extent cx="67310" cy="76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5861685</wp:posOffset>
            </wp:positionH>
            <wp:positionV relativeFrom="paragraph">
              <wp:posOffset>-2590165</wp:posOffset>
            </wp:positionV>
            <wp:extent cx="74930" cy="76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-2590165</wp:posOffset>
            </wp:positionV>
            <wp:extent cx="67310" cy="76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5861685</wp:posOffset>
            </wp:positionH>
            <wp:positionV relativeFrom="paragraph">
              <wp:posOffset>-1216025</wp:posOffset>
            </wp:positionV>
            <wp:extent cx="74930" cy="76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-1216025</wp:posOffset>
            </wp:positionV>
            <wp:extent cx="67310" cy="76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5861685</wp:posOffset>
            </wp:positionH>
            <wp:positionV relativeFrom="paragraph">
              <wp:posOffset>-652780</wp:posOffset>
            </wp:positionV>
            <wp:extent cx="74930" cy="76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5861685</wp:posOffset>
            </wp:positionH>
            <wp:positionV relativeFrom="paragraph">
              <wp:posOffset>-637540</wp:posOffset>
            </wp:positionV>
            <wp:extent cx="74930" cy="76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-652780</wp:posOffset>
            </wp:positionV>
            <wp:extent cx="67310" cy="76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7078345</wp:posOffset>
            </wp:positionH>
            <wp:positionV relativeFrom="paragraph">
              <wp:posOffset>-637540</wp:posOffset>
            </wp:positionV>
            <wp:extent cx="67310" cy="76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880" w:right="319" w:bottom="1440"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56826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56826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16775" cy="5682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540702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clrChange>
                        <a:clrFrom>
                          <a:srgbClr val="FFFFFF"/>
                        </a:clrFrom>
                        <a:clrTo>
                          <a:srgbClr val="FFFFFF">
                            <a:alpha val="0"/>
                          </a:srgbClr>
                        </a:clrTo>
                      </a:clrChange>
                      <a:extLst>
                        <a:ext uri="{28A0092B-C50C-407E-A947-70E740481C1C}"/>
                      </a:extLst>
                    </a:blip>
                    <a:srcRect/>
                    <a:stretch>
                      <a:fillRect/>
                    </a:stretch>
                  </pic:blipFill>
                  <pic:spPr bwMode="auto">
                    <a:xfrm>
                      <a:off x="0" y="0"/>
                      <a:ext cx="7204075" cy="54070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ind w:left="10440"/>
        <w:spacing w:after="0"/>
        <w:rPr>
          <w:sz w:val="20"/>
          <w:szCs w:val="20"/>
          <w:color w:val="auto"/>
        </w:rPr>
      </w:pPr>
      <w:r>
        <w:rPr>
          <w:rFonts w:ascii="Times New Roman" w:cs="Times New Roman" w:eastAsia="Times New Roman" w:hAnsi="Times New Roman"/>
          <w:sz w:val="16"/>
          <w:szCs w:val="16"/>
          <w:b w:val="1"/>
          <w:bCs w:val="1"/>
          <w:color w:val="auto"/>
        </w:rPr>
        <w:t>Exhibit 99.3</w:t>
      </w:r>
    </w:p>
    <w:p>
      <w:pPr>
        <w:spacing w:after="0" w:line="2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ManpowerGroup</w:t>
      </w:r>
    </w:p>
    <w:p>
      <w:pPr>
        <w:spacing w:after="0" w:line="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Restated Operating Unit Results</w:t>
      </w:r>
    </w:p>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(In millions)</w:t>
      </w:r>
    </w:p>
    <w:p>
      <w:pPr>
        <w:spacing w:after="0" w:line="100" w:lineRule="exact"/>
        <w:rPr>
          <w:sz w:val="20"/>
          <w:szCs w:val="20"/>
          <w:color w:val="auto"/>
        </w:rPr>
      </w:pPr>
    </w:p>
    <w:p>
      <w:pPr>
        <w:ind w:right="60"/>
        <w:spacing w:after="0" w:line="276" w:lineRule="auto"/>
        <w:rPr>
          <w:sz w:val="20"/>
          <w:szCs w:val="20"/>
          <w:color w:val="auto"/>
        </w:rPr>
      </w:pPr>
      <w:r>
        <w:rPr>
          <w:rFonts w:ascii="Times New Roman" w:cs="Times New Roman" w:eastAsia="Times New Roman" w:hAnsi="Times New Roman"/>
          <w:sz w:val="16"/>
          <w:szCs w:val="16"/>
          <w:color w:val="auto"/>
        </w:rPr>
        <w:t>Effective January 1, 2024, our segment reporting was realigned to include our Puerto Rico business within Other Americas. Accordingly, our reportable segment, United States, is now adjusted to exclude Puerto Rico. All previously reported results have been restated to conform to the current year presentation.</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9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Three Months Ended March 31</w:t>
            </w:r>
          </w:p>
        </w:tc>
        <w:tc>
          <w:tcPr>
            <w:tcW w:w="3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 Variance</w:t>
            </w:r>
          </w:p>
        </w:tc>
        <w:tc>
          <w:tcPr>
            <w:tcW w:w="10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4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center"/>
              <w:ind w:left="261"/>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Constant</w:t>
            </w:r>
          </w:p>
        </w:tc>
        <w:tc>
          <w:tcPr>
            <w:tcW w:w="1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49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5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left="261"/>
              <w:spacing w:after="0"/>
              <w:rPr>
                <w:sz w:val="20"/>
                <w:szCs w:val="20"/>
                <w:color w:val="auto"/>
              </w:rPr>
            </w:pPr>
            <w:r>
              <w:rPr>
                <w:rFonts w:ascii="Times New Roman" w:cs="Times New Roman" w:eastAsia="Times New Roman" w:hAnsi="Times New Roman"/>
                <w:sz w:val="16"/>
                <w:szCs w:val="16"/>
                <w:b w:val="1"/>
                <w:bCs w:val="1"/>
                <w:color w:val="auto"/>
                <w:w w:val="99"/>
              </w:rPr>
              <w:t>Reported</w:t>
            </w:r>
          </w:p>
        </w:tc>
        <w:tc>
          <w:tcPr>
            <w:tcW w:w="3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Currency</w:t>
            </w:r>
          </w:p>
        </w:tc>
        <w:tc>
          <w:tcPr>
            <w:tcW w:w="1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740" w:type="dxa"/>
            <w:vAlign w:val="bottom"/>
            <w:gridSpan w:val="4"/>
          </w:tcPr>
          <w:p>
            <w:pPr>
              <w:jc w:val="center"/>
              <w:ind w:right="501"/>
              <w:spacing w:after="0"/>
              <w:rPr>
                <w:sz w:val="20"/>
                <w:szCs w:val="20"/>
                <w:color w:val="auto"/>
              </w:rPr>
            </w:pPr>
            <w:r>
              <w:rPr>
                <w:rFonts w:ascii="Times New Roman" w:cs="Times New Roman" w:eastAsia="Times New Roman" w:hAnsi="Times New Roman"/>
                <w:sz w:val="16"/>
                <w:szCs w:val="16"/>
                <w:color w:val="auto"/>
                <w:w w:val="98"/>
              </w:rPr>
              <w:t>(Unaudited)</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Revenues from Services:</w:t>
            </w: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9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Americas:</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94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United States</w:t>
            </w:r>
          </w:p>
        </w:tc>
        <w:tc>
          <w:tcPr>
            <w:tcW w:w="32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741.6</w:t>
            </w:r>
          </w:p>
        </w:tc>
        <w:tc>
          <w:tcPr>
            <w:tcW w:w="120" w:type="dxa"/>
            <w:vAlign w:val="bottom"/>
          </w:tcPr>
          <w:p>
            <w:pPr>
              <w:spacing w:after="0"/>
              <w:rPr>
                <w:sz w:val="18"/>
                <w:szCs w:val="18"/>
                <w:color w:val="auto"/>
              </w:rPr>
            </w:pPr>
          </w:p>
        </w:tc>
        <w:tc>
          <w:tcPr>
            <w:tcW w:w="42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854.2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00" w:type="dxa"/>
            <w:vAlign w:val="bottom"/>
            <w:gridSpan w:val="3"/>
          </w:tcPr>
          <w:p>
            <w:pPr>
              <w:jc w:val="right"/>
              <w:ind w:right="400"/>
              <w:spacing w:after="0"/>
              <w:rPr>
                <w:sz w:val="20"/>
                <w:szCs w:val="20"/>
                <w:color w:val="auto"/>
              </w:rPr>
            </w:pPr>
            <w:r>
              <w:rPr>
                <w:rFonts w:ascii="Times New Roman" w:cs="Times New Roman" w:eastAsia="Times New Roman" w:hAnsi="Times New Roman"/>
                <w:sz w:val="16"/>
                <w:szCs w:val="16"/>
                <w:color w:val="auto"/>
                <w:w w:val="94"/>
              </w:rPr>
              <w:t>-13.2 %</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-13.2 %</w:t>
            </w:r>
          </w:p>
        </w:tc>
        <w:tc>
          <w:tcPr>
            <w:tcW w:w="0" w:type="dxa"/>
            <w:vAlign w:val="bottom"/>
          </w:tcPr>
          <w:p>
            <w:pPr>
              <w:spacing w:after="0"/>
              <w:rPr>
                <w:sz w:val="1"/>
                <w:szCs w:val="1"/>
                <w:color w:val="auto"/>
              </w:rPr>
            </w:pPr>
          </w:p>
        </w:tc>
      </w:tr>
      <w:tr>
        <w:trPr>
          <w:trHeight w:val="224"/>
        </w:trPr>
        <w:tc>
          <w:tcPr>
            <w:tcW w:w="494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Other Americas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388.6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397.0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00" w:type="dxa"/>
            <w:vAlign w:val="bottom"/>
            <w:gridSpan w:val="3"/>
          </w:tcPr>
          <w:p>
            <w:pPr>
              <w:jc w:val="right"/>
              <w:ind w:right="400"/>
              <w:spacing w:after="0"/>
              <w:rPr>
                <w:sz w:val="20"/>
                <w:szCs w:val="20"/>
                <w:color w:val="auto"/>
              </w:rPr>
            </w:pPr>
            <w:r>
              <w:rPr>
                <w:rFonts w:ascii="Times New Roman" w:cs="Times New Roman" w:eastAsia="Times New Roman" w:hAnsi="Times New Roman"/>
                <w:sz w:val="16"/>
                <w:szCs w:val="16"/>
                <w:color w:val="auto"/>
              </w:rPr>
              <w:t>-2.1 %</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9.0 %</w:t>
            </w:r>
          </w:p>
        </w:tc>
        <w:tc>
          <w:tcPr>
            <w:tcW w:w="0" w:type="dxa"/>
            <w:vAlign w:val="bottom"/>
          </w:tcPr>
          <w:p>
            <w:pPr>
              <w:spacing w:after="0"/>
              <w:rPr>
                <w:sz w:val="1"/>
                <w:szCs w:val="1"/>
                <w:color w:val="auto"/>
              </w:rPr>
            </w:pPr>
          </w:p>
        </w:tc>
      </w:tr>
      <w:tr>
        <w:trPr>
          <w:trHeight w:val="205"/>
        </w:trPr>
        <w:tc>
          <w:tcPr>
            <w:tcW w:w="49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1,130.2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5"/>
              </w:rPr>
              <w:t>1,251.2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00" w:type="dxa"/>
            <w:vAlign w:val="bottom"/>
            <w:gridSpan w:val="3"/>
          </w:tcPr>
          <w:p>
            <w:pPr>
              <w:jc w:val="right"/>
              <w:ind w:right="400"/>
              <w:spacing w:after="0"/>
              <w:rPr>
                <w:sz w:val="20"/>
                <w:szCs w:val="20"/>
                <w:color w:val="auto"/>
              </w:rPr>
            </w:pPr>
            <w:r>
              <w:rPr>
                <w:rFonts w:ascii="Times New Roman" w:cs="Times New Roman" w:eastAsia="Times New Roman" w:hAnsi="Times New Roman"/>
                <w:sz w:val="16"/>
                <w:szCs w:val="16"/>
                <w:color w:val="auto"/>
              </w:rPr>
              <w:t>-9.7 %</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-6.1 %</w:t>
            </w:r>
          </w:p>
        </w:tc>
        <w:tc>
          <w:tcPr>
            <w:tcW w:w="0" w:type="dxa"/>
            <w:vAlign w:val="bottom"/>
          </w:tcPr>
          <w:p>
            <w:pPr>
              <w:spacing w:after="0"/>
              <w:rPr>
                <w:sz w:val="1"/>
                <w:szCs w:val="1"/>
                <w:color w:val="auto"/>
              </w:rPr>
            </w:pPr>
          </w:p>
        </w:tc>
      </w:tr>
      <w:tr>
        <w:trPr>
          <w:trHeight w:val="194"/>
        </w:trPr>
        <w:tc>
          <w:tcPr>
            <w:tcW w:w="49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Southern Europe:</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94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France</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1,169.3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5"/>
              </w:rPr>
              <w:t>1,192.4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00" w:type="dxa"/>
            <w:vAlign w:val="bottom"/>
            <w:gridSpan w:val="3"/>
          </w:tcPr>
          <w:p>
            <w:pPr>
              <w:jc w:val="right"/>
              <w:ind w:right="400"/>
              <w:spacing w:after="0"/>
              <w:rPr>
                <w:sz w:val="20"/>
                <w:szCs w:val="20"/>
                <w:color w:val="auto"/>
              </w:rPr>
            </w:pPr>
            <w:r>
              <w:rPr>
                <w:rFonts w:ascii="Times New Roman" w:cs="Times New Roman" w:eastAsia="Times New Roman" w:hAnsi="Times New Roman"/>
                <w:sz w:val="16"/>
                <w:szCs w:val="16"/>
                <w:color w:val="auto"/>
              </w:rPr>
              <w:t>-1.9 %</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2.5 %</w:t>
            </w:r>
          </w:p>
        </w:tc>
        <w:tc>
          <w:tcPr>
            <w:tcW w:w="0" w:type="dxa"/>
            <w:vAlign w:val="bottom"/>
          </w:tcPr>
          <w:p>
            <w:pPr>
              <w:spacing w:after="0"/>
              <w:rPr>
                <w:sz w:val="1"/>
                <w:szCs w:val="1"/>
                <w:color w:val="auto"/>
              </w:rPr>
            </w:pPr>
          </w:p>
        </w:tc>
      </w:tr>
      <w:tr>
        <w:trPr>
          <w:trHeight w:val="213"/>
        </w:trPr>
        <w:tc>
          <w:tcPr>
            <w:tcW w:w="494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Italy</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422.2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445.0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00" w:type="dxa"/>
            <w:vAlign w:val="bottom"/>
            <w:gridSpan w:val="3"/>
          </w:tcPr>
          <w:p>
            <w:pPr>
              <w:jc w:val="right"/>
              <w:ind w:right="400"/>
              <w:spacing w:after="0"/>
              <w:rPr>
                <w:sz w:val="20"/>
                <w:szCs w:val="20"/>
                <w:color w:val="auto"/>
              </w:rPr>
            </w:pPr>
            <w:r>
              <w:rPr>
                <w:rFonts w:ascii="Times New Roman" w:cs="Times New Roman" w:eastAsia="Times New Roman" w:hAnsi="Times New Roman"/>
                <w:sz w:val="16"/>
                <w:szCs w:val="16"/>
                <w:color w:val="auto"/>
              </w:rPr>
              <w:t>-5.1 %</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-0.8 %</w:t>
            </w:r>
          </w:p>
        </w:tc>
        <w:tc>
          <w:tcPr>
            <w:tcW w:w="0" w:type="dxa"/>
            <w:vAlign w:val="bottom"/>
          </w:tcPr>
          <w:p>
            <w:pPr>
              <w:spacing w:after="0"/>
              <w:rPr>
                <w:sz w:val="1"/>
                <w:szCs w:val="1"/>
                <w:color w:val="auto"/>
              </w:rPr>
            </w:pPr>
          </w:p>
        </w:tc>
      </w:tr>
      <w:tr>
        <w:trPr>
          <w:trHeight w:val="224"/>
        </w:trPr>
        <w:tc>
          <w:tcPr>
            <w:tcW w:w="494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Other Southern Europe</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476.4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556.5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00" w:type="dxa"/>
            <w:vAlign w:val="bottom"/>
            <w:gridSpan w:val="3"/>
          </w:tcPr>
          <w:p>
            <w:pPr>
              <w:jc w:val="right"/>
              <w:ind w:right="400"/>
              <w:spacing w:after="0"/>
              <w:rPr>
                <w:sz w:val="20"/>
                <w:szCs w:val="20"/>
                <w:color w:val="auto"/>
              </w:rPr>
            </w:pPr>
            <w:r>
              <w:rPr>
                <w:rFonts w:ascii="Times New Roman" w:cs="Times New Roman" w:eastAsia="Times New Roman" w:hAnsi="Times New Roman"/>
                <w:sz w:val="16"/>
                <w:szCs w:val="16"/>
                <w:color w:val="auto"/>
                <w:w w:val="94"/>
              </w:rPr>
              <w:t>-14.4 %</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-10.3 %</w:t>
            </w:r>
          </w:p>
        </w:tc>
        <w:tc>
          <w:tcPr>
            <w:tcW w:w="0" w:type="dxa"/>
            <w:vAlign w:val="bottom"/>
          </w:tcPr>
          <w:p>
            <w:pPr>
              <w:spacing w:after="0"/>
              <w:rPr>
                <w:sz w:val="1"/>
                <w:szCs w:val="1"/>
                <w:color w:val="auto"/>
              </w:rPr>
            </w:pPr>
          </w:p>
        </w:tc>
      </w:tr>
      <w:tr>
        <w:trPr>
          <w:trHeight w:val="205"/>
        </w:trPr>
        <w:tc>
          <w:tcPr>
            <w:tcW w:w="49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2,067.9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5"/>
              </w:rPr>
              <w:t>2,193.9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00" w:type="dxa"/>
            <w:vAlign w:val="bottom"/>
            <w:gridSpan w:val="3"/>
          </w:tcPr>
          <w:p>
            <w:pPr>
              <w:jc w:val="right"/>
              <w:ind w:right="400"/>
              <w:spacing w:after="0"/>
              <w:rPr>
                <w:sz w:val="20"/>
                <w:szCs w:val="20"/>
                <w:color w:val="auto"/>
              </w:rPr>
            </w:pPr>
            <w:r>
              <w:rPr>
                <w:rFonts w:ascii="Times New Roman" w:cs="Times New Roman" w:eastAsia="Times New Roman" w:hAnsi="Times New Roman"/>
                <w:sz w:val="16"/>
                <w:szCs w:val="16"/>
                <w:color w:val="auto"/>
              </w:rPr>
              <w:t>-5.7 %</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-1.4 %</w:t>
            </w:r>
          </w:p>
        </w:tc>
        <w:tc>
          <w:tcPr>
            <w:tcW w:w="0" w:type="dxa"/>
            <w:vAlign w:val="bottom"/>
          </w:tcPr>
          <w:p>
            <w:pPr>
              <w:spacing w:after="0"/>
              <w:rPr>
                <w:sz w:val="1"/>
                <w:szCs w:val="1"/>
                <w:color w:val="auto"/>
              </w:rPr>
            </w:pPr>
          </w:p>
        </w:tc>
      </w:tr>
      <w:tr>
        <w:trPr>
          <w:trHeight w:val="198"/>
        </w:trPr>
        <w:tc>
          <w:tcPr>
            <w:tcW w:w="49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Northern Europe</w:t>
            </w: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967.6</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5"/>
              </w:rPr>
              <w:t>1,094.5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00" w:type="dxa"/>
            <w:vAlign w:val="bottom"/>
            <w:gridSpan w:val="3"/>
          </w:tcPr>
          <w:p>
            <w:pPr>
              <w:jc w:val="right"/>
              <w:ind w:right="400"/>
              <w:spacing w:after="0"/>
              <w:rPr>
                <w:sz w:val="20"/>
                <w:szCs w:val="20"/>
                <w:color w:val="auto"/>
              </w:rPr>
            </w:pPr>
            <w:r>
              <w:rPr>
                <w:rFonts w:ascii="Times New Roman" w:cs="Times New Roman" w:eastAsia="Times New Roman" w:hAnsi="Times New Roman"/>
                <w:sz w:val="16"/>
                <w:szCs w:val="16"/>
                <w:color w:val="auto"/>
                <w:w w:val="94"/>
              </w:rPr>
              <w:t>-11.6 %</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-3.9 %</w:t>
            </w:r>
          </w:p>
        </w:tc>
        <w:tc>
          <w:tcPr>
            <w:tcW w:w="0" w:type="dxa"/>
            <w:vAlign w:val="bottom"/>
          </w:tcPr>
          <w:p>
            <w:pPr>
              <w:spacing w:after="0"/>
              <w:rPr>
                <w:sz w:val="1"/>
                <w:szCs w:val="1"/>
                <w:color w:val="auto"/>
              </w:rPr>
            </w:pPr>
          </w:p>
        </w:tc>
      </w:tr>
      <w:tr>
        <w:trPr>
          <w:trHeight w:val="219"/>
        </w:trPr>
        <w:tc>
          <w:tcPr>
            <w:tcW w:w="49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APME</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605.9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618.2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00" w:type="dxa"/>
            <w:vAlign w:val="bottom"/>
            <w:gridSpan w:val="3"/>
          </w:tcPr>
          <w:p>
            <w:pPr>
              <w:jc w:val="right"/>
              <w:ind w:right="400"/>
              <w:spacing w:after="0"/>
              <w:rPr>
                <w:sz w:val="20"/>
                <w:szCs w:val="20"/>
                <w:color w:val="auto"/>
              </w:rPr>
            </w:pPr>
            <w:r>
              <w:rPr>
                <w:rFonts w:ascii="Times New Roman" w:cs="Times New Roman" w:eastAsia="Times New Roman" w:hAnsi="Times New Roman"/>
                <w:sz w:val="16"/>
                <w:szCs w:val="16"/>
                <w:color w:val="auto"/>
              </w:rPr>
              <w:t>-2.0 %</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7.3 %</w:t>
            </w:r>
          </w:p>
        </w:tc>
        <w:tc>
          <w:tcPr>
            <w:tcW w:w="0" w:type="dxa"/>
            <w:vAlign w:val="bottom"/>
          </w:tcPr>
          <w:p>
            <w:pPr>
              <w:spacing w:after="0"/>
              <w:rPr>
                <w:sz w:val="1"/>
                <w:szCs w:val="1"/>
                <w:color w:val="auto"/>
              </w:rPr>
            </w:pPr>
          </w:p>
        </w:tc>
      </w:tr>
      <w:tr>
        <w:trPr>
          <w:trHeight w:val="201"/>
        </w:trPr>
        <w:tc>
          <w:tcPr>
            <w:tcW w:w="494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4,771.6</w:t>
            </w:r>
          </w:p>
        </w:tc>
        <w:tc>
          <w:tcPr>
            <w:tcW w:w="1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spacing w:after="0"/>
              <w:rPr>
                <w:sz w:val="17"/>
                <w:szCs w:val="17"/>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5"/>
              </w:rPr>
              <w:t>5,157.8</w:t>
            </w: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440" w:type="dxa"/>
            <w:vAlign w:val="bottom"/>
            <w:tcBorders>
              <w:bottom w:val="single" w:sz="8" w:color="CFF0FC"/>
            </w:tcBorders>
            <w:shd w:val="clear" w:color="auto" w:fill="CFF0FC"/>
          </w:tcPr>
          <w:p>
            <w:pPr>
              <w:spacing w:after="0"/>
              <w:rPr>
                <w:sz w:val="17"/>
                <w:szCs w:val="17"/>
                <w:color w:val="auto"/>
              </w:rPr>
            </w:pPr>
          </w:p>
        </w:tc>
        <w:tc>
          <w:tcPr>
            <w:tcW w:w="10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9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Intercompany Eliminations</w:t>
            </w:r>
          </w:p>
        </w:tc>
        <w:tc>
          <w:tcPr>
            <w:tcW w:w="320" w:type="dxa"/>
            <w:vAlign w:val="bottom"/>
          </w:tcPr>
          <w:p>
            <w:pPr>
              <w:spacing w:after="0"/>
              <w:rPr>
                <w:sz w:val="17"/>
                <w:szCs w:val="17"/>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(19.3 )</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(14.5 )</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94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4,752.3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5"/>
              </w:rPr>
              <w:t>5,143.3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00" w:type="dxa"/>
            <w:vAlign w:val="bottom"/>
            <w:gridSpan w:val="3"/>
          </w:tcPr>
          <w:p>
            <w:pPr>
              <w:jc w:val="right"/>
              <w:ind w:right="400"/>
              <w:spacing w:after="0"/>
              <w:rPr>
                <w:sz w:val="20"/>
                <w:szCs w:val="20"/>
                <w:color w:val="auto"/>
              </w:rPr>
            </w:pPr>
            <w:r>
              <w:rPr>
                <w:rFonts w:ascii="Times New Roman" w:cs="Times New Roman" w:eastAsia="Times New Roman" w:hAnsi="Times New Roman"/>
                <w:sz w:val="16"/>
                <w:szCs w:val="16"/>
                <w:color w:val="auto"/>
              </w:rPr>
              <w:t>-7.6 %</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-2.2 %</w:t>
            </w:r>
          </w:p>
        </w:tc>
        <w:tc>
          <w:tcPr>
            <w:tcW w:w="0" w:type="dxa"/>
            <w:vAlign w:val="bottom"/>
          </w:tcPr>
          <w:p>
            <w:pPr>
              <w:spacing w:after="0"/>
              <w:rPr>
                <w:sz w:val="1"/>
                <w:szCs w:val="1"/>
                <w:color w:val="auto"/>
              </w:rPr>
            </w:pPr>
          </w:p>
        </w:tc>
      </w:tr>
      <w:tr>
        <w:trPr>
          <w:trHeight w:val="20"/>
        </w:trPr>
        <w:tc>
          <w:tcPr>
            <w:tcW w:w="49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Operating Unit Profit:</w:t>
            </w: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94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49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Americas:</w:t>
            </w: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94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United States</w:t>
            </w:r>
          </w:p>
        </w:tc>
        <w:tc>
          <w:tcPr>
            <w:tcW w:w="32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120" w:type="dxa"/>
            <w:vAlign w:val="bottom"/>
          </w:tcPr>
          <w:p>
            <w:pPr>
              <w:spacing w:after="0"/>
              <w:rPr>
                <w:sz w:val="17"/>
                <w:szCs w:val="17"/>
                <w:color w:val="auto"/>
              </w:rPr>
            </w:pPr>
          </w:p>
        </w:tc>
        <w:tc>
          <w:tcPr>
            <w:tcW w:w="42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00" w:type="dxa"/>
            <w:vAlign w:val="bottom"/>
            <w:gridSpan w:val="3"/>
          </w:tcPr>
          <w:p>
            <w:pPr>
              <w:jc w:val="right"/>
              <w:ind w:right="400"/>
              <w:spacing w:after="0"/>
              <w:rPr>
                <w:sz w:val="20"/>
                <w:szCs w:val="20"/>
                <w:color w:val="auto"/>
              </w:rPr>
            </w:pPr>
            <w:r>
              <w:rPr>
                <w:rFonts w:ascii="Times New Roman" w:cs="Times New Roman" w:eastAsia="Times New Roman" w:hAnsi="Times New Roman"/>
                <w:sz w:val="16"/>
                <w:szCs w:val="16"/>
                <w:color w:val="auto"/>
                <w:w w:val="94"/>
              </w:rPr>
              <w:t>-44.0 %</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-44.0 %</w:t>
            </w:r>
          </w:p>
        </w:tc>
        <w:tc>
          <w:tcPr>
            <w:tcW w:w="0" w:type="dxa"/>
            <w:vAlign w:val="bottom"/>
          </w:tcPr>
          <w:p>
            <w:pPr>
              <w:spacing w:after="0"/>
              <w:rPr>
                <w:sz w:val="1"/>
                <w:szCs w:val="1"/>
                <w:color w:val="auto"/>
              </w:rPr>
            </w:pPr>
          </w:p>
        </w:tc>
      </w:tr>
      <w:tr>
        <w:trPr>
          <w:trHeight w:val="219"/>
        </w:trPr>
        <w:tc>
          <w:tcPr>
            <w:tcW w:w="494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Other Americas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00" w:type="dxa"/>
            <w:vAlign w:val="bottom"/>
            <w:gridSpan w:val="3"/>
          </w:tcPr>
          <w:p>
            <w:pPr>
              <w:jc w:val="right"/>
              <w:ind w:right="400"/>
              <w:spacing w:after="0"/>
              <w:rPr>
                <w:sz w:val="20"/>
                <w:szCs w:val="20"/>
                <w:color w:val="auto"/>
              </w:rPr>
            </w:pPr>
            <w:r>
              <w:rPr>
                <w:rFonts w:ascii="Times New Roman" w:cs="Times New Roman" w:eastAsia="Times New Roman" w:hAnsi="Times New Roman"/>
                <w:sz w:val="16"/>
                <w:szCs w:val="16"/>
                <w:color w:val="auto"/>
              </w:rPr>
              <w:t>-3.2 %</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9.1 %</w:t>
            </w:r>
          </w:p>
        </w:tc>
        <w:tc>
          <w:tcPr>
            <w:tcW w:w="0" w:type="dxa"/>
            <w:vAlign w:val="bottom"/>
          </w:tcPr>
          <w:p>
            <w:pPr>
              <w:spacing w:after="0"/>
              <w:rPr>
                <w:sz w:val="1"/>
                <w:szCs w:val="1"/>
                <w:color w:val="auto"/>
              </w:rPr>
            </w:pPr>
          </w:p>
        </w:tc>
      </w:tr>
      <w:tr>
        <w:trPr>
          <w:trHeight w:val="205"/>
        </w:trPr>
        <w:tc>
          <w:tcPr>
            <w:tcW w:w="49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48.6</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00" w:type="dxa"/>
            <w:vAlign w:val="bottom"/>
            <w:gridSpan w:val="3"/>
          </w:tcPr>
          <w:p>
            <w:pPr>
              <w:jc w:val="right"/>
              <w:ind w:right="400"/>
              <w:spacing w:after="0"/>
              <w:rPr>
                <w:sz w:val="20"/>
                <w:szCs w:val="20"/>
                <w:color w:val="auto"/>
              </w:rPr>
            </w:pPr>
            <w:r>
              <w:rPr>
                <w:rFonts w:ascii="Times New Roman" w:cs="Times New Roman" w:eastAsia="Times New Roman" w:hAnsi="Times New Roman"/>
                <w:sz w:val="16"/>
                <w:szCs w:val="16"/>
                <w:color w:val="auto"/>
                <w:w w:val="94"/>
              </w:rPr>
              <w:t>-33.2 %</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-30.0 %</w:t>
            </w:r>
          </w:p>
        </w:tc>
        <w:tc>
          <w:tcPr>
            <w:tcW w:w="0" w:type="dxa"/>
            <w:vAlign w:val="bottom"/>
          </w:tcPr>
          <w:p>
            <w:pPr>
              <w:spacing w:after="0"/>
              <w:rPr>
                <w:sz w:val="1"/>
                <w:szCs w:val="1"/>
                <w:color w:val="auto"/>
              </w:rPr>
            </w:pPr>
          </w:p>
        </w:tc>
      </w:tr>
      <w:tr>
        <w:trPr>
          <w:trHeight w:val="205"/>
        </w:trPr>
        <w:tc>
          <w:tcPr>
            <w:tcW w:w="49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Southern Europe:</w:t>
            </w: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94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France</w:t>
            </w: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00" w:type="dxa"/>
            <w:vAlign w:val="bottom"/>
            <w:gridSpan w:val="3"/>
          </w:tcPr>
          <w:p>
            <w:pPr>
              <w:jc w:val="right"/>
              <w:ind w:right="400"/>
              <w:spacing w:after="0"/>
              <w:rPr>
                <w:sz w:val="20"/>
                <w:szCs w:val="20"/>
                <w:color w:val="auto"/>
              </w:rPr>
            </w:pPr>
            <w:r>
              <w:rPr>
                <w:rFonts w:ascii="Times New Roman" w:cs="Times New Roman" w:eastAsia="Times New Roman" w:hAnsi="Times New Roman"/>
                <w:sz w:val="16"/>
                <w:szCs w:val="16"/>
                <w:color w:val="auto"/>
              </w:rPr>
              <w:t>-9.4 %</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-5.7 %</w:t>
            </w:r>
          </w:p>
        </w:tc>
        <w:tc>
          <w:tcPr>
            <w:tcW w:w="0" w:type="dxa"/>
            <w:vAlign w:val="bottom"/>
          </w:tcPr>
          <w:p>
            <w:pPr>
              <w:spacing w:after="0"/>
              <w:rPr>
                <w:sz w:val="1"/>
                <w:szCs w:val="1"/>
                <w:color w:val="auto"/>
              </w:rPr>
            </w:pPr>
          </w:p>
        </w:tc>
      </w:tr>
      <w:tr>
        <w:trPr>
          <w:trHeight w:val="208"/>
        </w:trPr>
        <w:tc>
          <w:tcPr>
            <w:tcW w:w="494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Italy</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00" w:type="dxa"/>
            <w:vAlign w:val="bottom"/>
            <w:gridSpan w:val="3"/>
          </w:tcPr>
          <w:p>
            <w:pPr>
              <w:jc w:val="right"/>
              <w:ind w:right="400"/>
              <w:spacing w:after="0"/>
              <w:rPr>
                <w:sz w:val="20"/>
                <w:szCs w:val="20"/>
                <w:color w:val="auto"/>
              </w:rPr>
            </w:pPr>
            <w:r>
              <w:rPr>
                <w:rFonts w:ascii="Times New Roman" w:cs="Times New Roman" w:eastAsia="Times New Roman" w:hAnsi="Times New Roman"/>
                <w:sz w:val="16"/>
                <w:szCs w:val="16"/>
                <w:color w:val="auto"/>
              </w:rPr>
              <w:t>5.9 %</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10.6 %</w:t>
            </w:r>
          </w:p>
        </w:tc>
        <w:tc>
          <w:tcPr>
            <w:tcW w:w="0" w:type="dxa"/>
            <w:vAlign w:val="bottom"/>
          </w:tcPr>
          <w:p>
            <w:pPr>
              <w:spacing w:after="0"/>
              <w:rPr>
                <w:sz w:val="1"/>
                <w:szCs w:val="1"/>
                <w:color w:val="auto"/>
              </w:rPr>
            </w:pPr>
          </w:p>
        </w:tc>
      </w:tr>
      <w:tr>
        <w:trPr>
          <w:trHeight w:val="224"/>
        </w:trPr>
        <w:tc>
          <w:tcPr>
            <w:tcW w:w="494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Other Southern Europe</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00" w:type="dxa"/>
            <w:vAlign w:val="bottom"/>
            <w:gridSpan w:val="3"/>
          </w:tcPr>
          <w:p>
            <w:pPr>
              <w:jc w:val="right"/>
              <w:ind w:right="400"/>
              <w:spacing w:after="0"/>
              <w:rPr>
                <w:sz w:val="20"/>
                <w:szCs w:val="20"/>
                <w:color w:val="auto"/>
              </w:rPr>
            </w:pPr>
            <w:r>
              <w:rPr>
                <w:rFonts w:ascii="Times New Roman" w:cs="Times New Roman" w:eastAsia="Times New Roman" w:hAnsi="Times New Roman"/>
                <w:sz w:val="16"/>
                <w:szCs w:val="16"/>
                <w:color w:val="auto"/>
                <w:w w:val="94"/>
              </w:rPr>
              <w:t>-14.3 %</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-9.1 %</w:t>
            </w:r>
          </w:p>
        </w:tc>
        <w:tc>
          <w:tcPr>
            <w:tcW w:w="0" w:type="dxa"/>
            <w:vAlign w:val="bottom"/>
          </w:tcPr>
          <w:p>
            <w:pPr>
              <w:spacing w:after="0"/>
              <w:rPr>
                <w:sz w:val="1"/>
                <w:szCs w:val="1"/>
                <w:color w:val="auto"/>
              </w:rPr>
            </w:pPr>
          </w:p>
        </w:tc>
      </w:tr>
      <w:tr>
        <w:trPr>
          <w:trHeight w:val="205"/>
        </w:trPr>
        <w:tc>
          <w:tcPr>
            <w:tcW w:w="49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00" w:type="dxa"/>
            <w:vAlign w:val="bottom"/>
            <w:gridSpan w:val="3"/>
          </w:tcPr>
          <w:p>
            <w:pPr>
              <w:jc w:val="right"/>
              <w:ind w:right="400"/>
              <w:spacing w:after="0"/>
              <w:rPr>
                <w:sz w:val="20"/>
                <w:szCs w:val="20"/>
                <w:color w:val="auto"/>
              </w:rPr>
            </w:pPr>
            <w:r>
              <w:rPr>
                <w:rFonts w:ascii="Times New Roman" w:cs="Times New Roman" w:eastAsia="Times New Roman" w:hAnsi="Times New Roman"/>
                <w:sz w:val="16"/>
                <w:szCs w:val="16"/>
                <w:color w:val="auto"/>
              </w:rPr>
              <w:t>-5.6 %</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-1.3 %</w:t>
            </w:r>
          </w:p>
        </w:tc>
        <w:tc>
          <w:tcPr>
            <w:tcW w:w="0" w:type="dxa"/>
            <w:vAlign w:val="bottom"/>
          </w:tcPr>
          <w:p>
            <w:pPr>
              <w:spacing w:after="0"/>
              <w:rPr>
                <w:sz w:val="1"/>
                <w:szCs w:val="1"/>
                <w:color w:val="auto"/>
              </w:rPr>
            </w:pPr>
          </w:p>
        </w:tc>
      </w:tr>
      <w:tr>
        <w:trPr>
          <w:trHeight w:val="198"/>
        </w:trPr>
        <w:tc>
          <w:tcPr>
            <w:tcW w:w="49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Northern Europe</w:t>
            </w: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00" w:type="dxa"/>
            <w:vAlign w:val="bottom"/>
            <w:gridSpan w:val="3"/>
          </w:tcPr>
          <w:p>
            <w:pPr>
              <w:jc w:val="right"/>
              <w:ind w:right="400"/>
              <w:spacing w:after="0"/>
              <w:rPr>
                <w:sz w:val="20"/>
                <w:szCs w:val="20"/>
                <w:color w:val="auto"/>
              </w:rPr>
            </w:pPr>
            <w:r>
              <w:rPr>
                <w:rFonts w:ascii="Times New Roman" w:cs="Times New Roman" w:eastAsia="Times New Roman" w:hAnsi="Times New Roman"/>
                <w:sz w:val="16"/>
                <w:szCs w:val="16"/>
                <w:color w:val="auto"/>
              </w:rPr>
              <w:t>53.6 %</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107.7 %</w:t>
            </w:r>
          </w:p>
        </w:tc>
        <w:tc>
          <w:tcPr>
            <w:tcW w:w="0" w:type="dxa"/>
            <w:vAlign w:val="bottom"/>
          </w:tcPr>
          <w:p>
            <w:pPr>
              <w:spacing w:after="0"/>
              <w:rPr>
                <w:sz w:val="1"/>
                <w:szCs w:val="1"/>
                <w:color w:val="auto"/>
              </w:rPr>
            </w:pPr>
          </w:p>
        </w:tc>
      </w:tr>
      <w:tr>
        <w:trPr>
          <w:trHeight w:val="219"/>
        </w:trPr>
        <w:tc>
          <w:tcPr>
            <w:tcW w:w="49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APME</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00" w:type="dxa"/>
            <w:vAlign w:val="bottom"/>
            <w:gridSpan w:val="3"/>
          </w:tcPr>
          <w:p>
            <w:pPr>
              <w:jc w:val="right"/>
              <w:ind w:right="400"/>
              <w:spacing w:after="0"/>
              <w:rPr>
                <w:sz w:val="20"/>
                <w:szCs w:val="20"/>
                <w:color w:val="auto"/>
              </w:rPr>
            </w:pPr>
            <w:r>
              <w:rPr>
                <w:rFonts w:ascii="Times New Roman" w:cs="Times New Roman" w:eastAsia="Times New Roman" w:hAnsi="Times New Roman"/>
                <w:sz w:val="16"/>
                <w:szCs w:val="16"/>
                <w:color w:val="auto"/>
              </w:rPr>
              <w:t>11.5 %</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23.9 %</w:t>
            </w:r>
          </w:p>
        </w:tc>
        <w:tc>
          <w:tcPr>
            <w:tcW w:w="0" w:type="dxa"/>
            <w:vAlign w:val="bottom"/>
          </w:tcPr>
          <w:p>
            <w:pPr>
              <w:spacing w:after="0"/>
              <w:rPr>
                <w:sz w:val="1"/>
                <w:szCs w:val="1"/>
                <w:color w:val="auto"/>
              </w:rPr>
            </w:pPr>
          </w:p>
        </w:tc>
      </w:tr>
      <w:tr>
        <w:trPr>
          <w:trHeight w:val="201"/>
        </w:trPr>
        <w:tc>
          <w:tcPr>
            <w:tcW w:w="4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164.6</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Corporate expenses</w:t>
            </w:r>
          </w:p>
        </w:tc>
        <w:tc>
          <w:tcPr>
            <w:tcW w:w="3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(37.9 )</w:t>
            </w: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(42.0 )</w:t>
            </w: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940" w:type="dxa"/>
            <w:vAlign w:val="bottom"/>
          </w:tcPr>
          <w:p>
            <w:pPr>
              <w:spacing w:after="0"/>
              <w:rPr>
                <w:sz w:val="20"/>
                <w:szCs w:val="20"/>
                <w:color w:val="auto"/>
              </w:rPr>
            </w:pPr>
            <w:r>
              <w:rPr>
                <w:rFonts w:ascii="Times New Roman" w:cs="Times New Roman" w:eastAsia="Times New Roman" w:hAnsi="Times New Roman"/>
                <w:sz w:val="16"/>
                <w:szCs w:val="16"/>
                <w:color w:val="auto"/>
              </w:rPr>
              <w:t>Intangible asset amortization expense</w:t>
            </w:r>
          </w:p>
        </w:tc>
        <w:tc>
          <w:tcPr>
            <w:tcW w:w="320" w:type="dxa"/>
            <w:vAlign w:val="bottom"/>
          </w:tcPr>
          <w:p>
            <w:pPr>
              <w:spacing w:after="0"/>
              <w:rPr>
                <w:sz w:val="17"/>
                <w:szCs w:val="17"/>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(8.8 )</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(9.6 )</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9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Operating profit</w:t>
            </w:r>
          </w:p>
        </w:tc>
        <w:tc>
          <w:tcPr>
            <w:tcW w:w="3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00" w:type="dxa"/>
            <w:vAlign w:val="bottom"/>
            <w:gridSpan w:val="3"/>
          </w:tcPr>
          <w:p>
            <w:pPr>
              <w:jc w:val="right"/>
              <w:ind w:right="400"/>
              <w:spacing w:after="0"/>
              <w:rPr>
                <w:sz w:val="20"/>
                <w:szCs w:val="20"/>
                <w:color w:val="auto"/>
              </w:rPr>
            </w:pPr>
            <w:r>
              <w:rPr>
                <w:rFonts w:ascii="Times New Roman" w:cs="Times New Roman" w:eastAsia="Times New Roman" w:hAnsi="Times New Roman"/>
                <w:sz w:val="16"/>
                <w:szCs w:val="16"/>
                <w:color w:val="auto"/>
                <w:w w:val="94"/>
              </w:rPr>
              <w:t>-15.0 %</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-7.4 %</w:t>
            </w:r>
          </w:p>
        </w:tc>
        <w:tc>
          <w:tcPr>
            <w:tcW w:w="0" w:type="dxa"/>
            <w:vAlign w:val="bottom"/>
          </w:tcPr>
          <w:p>
            <w:pPr>
              <w:spacing w:after="0"/>
              <w:rPr>
                <w:sz w:val="1"/>
                <w:szCs w:val="1"/>
                <w:color w:val="auto"/>
              </w:rPr>
            </w:pPr>
          </w:p>
        </w:tc>
      </w:tr>
      <w:tr>
        <w:trPr>
          <w:trHeight w:val="214"/>
        </w:trPr>
        <w:tc>
          <w:tcPr>
            <w:tcW w:w="4940" w:type="dxa"/>
            <w:vAlign w:val="bottom"/>
          </w:tcPr>
          <w:p>
            <w:pPr>
              <w:spacing w:after="0"/>
              <w:rPr>
                <w:sz w:val="20"/>
                <w:szCs w:val="20"/>
                <w:color w:val="auto"/>
              </w:rPr>
            </w:pPr>
            <w:r>
              <w:rPr>
                <w:rFonts w:ascii="Times New Roman" w:cs="Times New Roman" w:eastAsia="Times New Roman" w:hAnsi="Times New Roman"/>
                <w:sz w:val="16"/>
                <w:szCs w:val="16"/>
                <w:color w:val="auto"/>
              </w:rPr>
              <w:t>Interest and other expenses, net</w:t>
            </w:r>
          </w:p>
        </w:tc>
        <w:tc>
          <w:tcPr>
            <w:tcW w:w="32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(7.5 )</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(2.7 )</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494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Earnings before income taxes</w:t>
            </w:r>
          </w:p>
        </w:tc>
        <w:tc>
          <w:tcPr>
            <w:tcW w:w="320" w:type="dxa"/>
            <w:vAlign w:val="bottom"/>
            <w:tcBorders>
              <w:top w:val="single" w:sz="8" w:color="auto"/>
              <w:bottom w:val="single" w:sz="8" w:color="auto"/>
            </w:tcBorders>
            <w:shd w:val="clear" w:color="auto" w:fill="CFF0FC"/>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110.4</w:t>
            </w:r>
          </w:p>
        </w:tc>
        <w:tc>
          <w:tcPr>
            <w:tcW w:w="1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top w:val="single" w:sz="8" w:color="auto"/>
              <w:bottom w:val="single" w:sz="8" w:color="auto"/>
            </w:tcBorders>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bottom w:val="single" w:sz="8" w:color="auto"/>
            </w:tcBorders>
            <w:shd w:val="clear" w:color="auto" w:fill="CFF0FC"/>
          </w:tcPr>
          <w:p>
            <w:pPr>
              <w:spacing w:after="0"/>
              <w:rPr>
                <w:sz w:val="21"/>
                <w:szCs w:val="21"/>
                <w:color w:val="auto"/>
              </w:rPr>
            </w:pP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136.0</w:t>
            </w: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34"/>
        </w:trPr>
        <w:tc>
          <w:tcPr>
            <w:tcW w:w="49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-4895850</wp:posOffset>
            </wp:positionV>
            <wp:extent cx="7149465" cy="135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135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-4340225</wp:posOffset>
            </wp:positionV>
            <wp:extent cx="7149465" cy="135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9465" cy="135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-3784600</wp:posOffset>
            </wp:positionV>
            <wp:extent cx="7149465" cy="135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9465" cy="135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-2101850</wp:posOffset>
            </wp:positionV>
            <wp:extent cx="7149465" cy="135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9465" cy="135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-990600</wp:posOffset>
            </wp:positionV>
            <wp:extent cx="7149465" cy="135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9465" cy="135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-4617720</wp:posOffset>
            </wp:positionV>
            <wp:extent cx="7149465" cy="14287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9465" cy="14287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-4069715</wp:posOffset>
            </wp:positionV>
            <wp:extent cx="7149465" cy="14287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9465" cy="142875"/>
                    </a:xfrm>
                    <a:prstGeom prst="rect">
                      <a:avLst/>
                    </a:prstGeom>
                    <a:noFill/>
                  </pic:spPr>
                </pic:pic>
              </a:graphicData>
            </a:graphic>
          </wp:anchor>
        </w:drawing>
        <w:drawing>
          <wp:anchor simplePos="0" relativeHeight="251657728" behindDoc="1" locked="0" layoutInCell="0" allowOverlap="1">
            <wp:simplePos x="0" y="0"/>
            <wp:positionH relativeFrom="column">
              <wp:posOffset>3999230</wp:posOffset>
            </wp:positionH>
            <wp:positionV relativeFrom="paragraph">
              <wp:posOffset>-3371215</wp:posOffset>
            </wp:positionV>
            <wp:extent cx="74930" cy="76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5050790</wp:posOffset>
            </wp:positionH>
            <wp:positionV relativeFrom="paragraph">
              <wp:posOffset>-3371215</wp:posOffset>
            </wp:positionV>
            <wp:extent cx="67310" cy="76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-3221355</wp:posOffset>
            </wp:positionV>
            <wp:extent cx="7149465" cy="15748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9465" cy="15748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-2658110</wp:posOffset>
            </wp:positionV>
            <wp:extent cx="7149465" cy="14287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9465" cy="14287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-1824355</wp:posOffset>
            </wp:positionV>
            <wp:extent cx="7149465" cy="14287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9465" cy="14287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-1546225</wp:posOffset>
            </wp:positionV>
            <wp:extent cx="7149465" cy="14287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9465" cy="142875"/>
                    </a:xfrm>
                    <a:prstGeom prst="rect">
                      <a:avLst/>
                    </a:prstGeom>
                    <a:noFill/>
                  </pic:spPr>
                </pic:pic>
              </a:graphicData>
            </a:graphic>
          </wp:anchor>
        </w:drawing>
        <w:drawing>
          <wp:anchor simplePos="0" relativeHeight="251657728" behindDoc="1" locked="0" layoutInCell="0" allowOverlap="1">
            <wp:simplePos x="0" y="0"/>
            <wp:positionH relativeFrom="column">
              <wp:posOffset>3999230</wp:posOffset>
            </wp:positionH>
            <wp:positionV relativeFrom="paragraph">
              <wp:posOffset>-577850</wp:posOffset>
            </wp:positionV>
            <wp:extent cx="74930" cy="76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3999230</wp:posOffset>
            </wp:positionH>
            <wp:positionV relativeFrom="paragraph">
              <wp:posOffset>-562610</wp:posOffset>
            </wp:positionV>
            <wp:extent cx="74930" cy="762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5050790</wp:posOffset>
            </wp:positionH>
            <wp:positionV relativeFrom="paragraph">
              <wp:posOffset>-577850</wp:posOffset>
            </wp:positionV>
            <wp:extent cx="67310" cy="76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5050790</wp:posOffset>
            </wp:positionH>
            <wp:positionV relativeFrom="paragraph">
              <wp:posOffset>-562610</wp:posOffset>
            </wp:positionV>
            <wp:extent cx="67310" cy="762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300"/>
          </w:cols>
          <w:pgMar w:left="320" w:top="878" w:right="27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14"/>
        </w:trPr>
        <w:tc>
          <w:tcPr>
            <w:tcW w:w="3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8"/>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8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7"/>
          </w:tcPr>
          <w:p>
            <w:pPr>
              <w:ind w:left="2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8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8"/>
        </w:trPr>
        <w:tc>
          <w:tcPr>
            <w:tcW w:w="3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Borders>
              <w:bottom w:val="single" w:sz="8" w:color="auto"/>
            </w:tcBorders>
            <w:gridSpan w:val="4"/>
          </w:tcPr>
          <w:p>
            <w:pPr>
              <w:ind w:left="560"/>
              <w:spacing w:after="0"/>
              <w:rPr>
                <w:sz w:val="20"/>
                <w:szCs w:val="20"/>
                <w:color w:val="auto"/>
              </w:rPr>
            </w:pPr>
            <w:r>
              <w:rPr>
                <w:rFonts w:ascii="Times New Roman" w:cs="Times New Roman" w:eastAsia="Times New Roman" w:hAnsi="Times New Roman"/>
                <w:sz w:val="16"/>
                <w:szCs w:val="16"/>
                <w:b w:val="1"/>
                <w:bCs w:val="1"/>
                <w:color w:val="auto"/>
              </w:rPr>
              <w:t>% Variance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tcBorders>
              <w:bottom w:val="single" w:sz="8" w:color="auto"/>
            </w:tcBorders>
            <w:gridSpan w:val="4"/>
          </w:tcPr>
          <w:p>
            <w:pPr>
              <w:ind w:left="540"/>
              <w:spacing w:after="0"/>
              <w:rPr>
                <w:sz w:val="20"/>
                <w:szCs w:val="20"/>
                <w:color w:val="auto"/>
              </w:rPr>
            </w:pPr>
            <w:r>
              <w:rPr>
                <w:rFonts w:ascii="Times New Roman" w:cs="Times New Roman" w:eastAsia="Times New Roman" w:hAnsi="Times New Roman"/>
                <w:sz w:val="16"/>
                <w:szCs w:val="16"/>
                <w:b w:val="1"/>
                <w:bCs w:val="1"/>
                <w:color w:val="auto"/>
              </w:rPr>
              <w:t>% Variance</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0"/>
        </w:trPr>
        <w:tc>
          <w:tcPr>
            <w:tcW w:w="3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86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Constant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6"/>
              </w:rPr>
              <w:t>Amount</w:t>
            </w:r>
          </w:p>
        </w:tc>
        <w:tc>
          <w:tcPr>
            <w:tcW w:w="82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Constant</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4"/>
        </w:trPr>
        <w:tc>
          <w:tcPr>
            <w:tcW w:w="3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Reported</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Currency</w:t>
            </w:r>
          </w:p>
        </w:tc>
        <w:tc>
          <w:tcPr>
            <w:tcW w:w="260" w:type="dxa"/>
            <w:vAlign w:val="bottom"/>
            <w:gridSpan w:val="2"/>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b w:val="1"/>
                <w:bCs w:val="1"/>
                <w:color w:val="auto"/>
                <w:w w:val="93"/>
              </w:rPr>
              <w:t>2023</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Reported</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Currency</w:t>
            </w:r>
          </w:p>
        </w:tc>
        <w:tc>
          <w:tcPr>
            <w:tcW w:w="160" w:type="dxa"/>
            <w:vAlign w:val="bottom"/>
            <w:gridSpan w:val="2"/>
          </w:tcPr>
          <w:p>
            <w:pPr>
              <w:spacing w:after="0"/>
              <w:rPr>
                <w:sz w:val="18"/>
                <w:szCs w:val="18"/>
                <w:color w:val="auto"/>
              </w:rPr>
            </w:pPr>
          </w:p>
        </w:tc>
      </w:tr>
      <w:tr>
        <w:trPr>
          <w:trHeight w:val="207"/>
        </w:trPr>
        <w:tc>
          <w:tcPr>
            <w:tcW w:w="3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(Unaudited)</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1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Revenues from Services:</w:t>
            </w:r>
          </w:p>
        </w:tc>
        <w:tc>
          <w:tcPr>
            <w:tcW w:w="1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r>
      <w:tr>
        <w:trPr>
          <w:trHeight w:val="206"/>
        </w:trPr>
        <w:tc>
          <w:tcPr>
            <w:tcW w:w="31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Americas:</w:t>
            </w: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9"/>
        </w:trPr>
        <w:tc>
          <w:tcPr>
            <w:tcW w:w="310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6"/>
                <w:szCs w:val="16"/>
                <w:color w:val="auto"/>
              </w:rPr>
              <w:t>United States</w:t>
            </w:r>
          </w:p>
        </w:tc>
        <w:tc>
          <w:tcPr>
            <w:tcW w:w="180" w:type="dxa"/>
            <w:vAlign w:val="bottom"/>
            <w:shd w:val="clear" w:color="auto" w:fill="CFF0FC"/>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709.1</w:t>
            </w:r>
          </w:p>
        </w:tc>
        <w:tc>
          <w:tcPr>
            <w:tcW w:w="12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870.2</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-18.5 %</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-18.5 %</w:t>
            </w:r>
          </w:p>
        </w:tc>
        <w:tc>
          <w:tcPr>
            <w:tcW w:w="140" w:type="dxa"/>
            <w:vAlign w:val="bottom"/>
          </w:tcPr>
          <w:p>
            <w:pPr>
              <w:spacing w:after="0"/>
              <w:rPr>
                <w:sz w:val="19"/>
                <w:szCs w:val="19"/>
                <w:color w:val="auto"/>
              </w:rPr>
            </w:pPr>
          </w:p>
        </w:tc>
        <w:tc>
          <w:tcPr>
            <w:tcW w:w="2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1,450.7</w:t>
            </w:r>
          </w:p>
        </w:tc>
        <w:tc>
          <w:tcPr>
            <w:tcW w:w="100" w:type="dxa"/>
            <w:vAlign w:val="bottom"/>
          </w:tcPr>
          <w:p>
            <w:pPr>
              <w:spacing w:after="0"/>
              <w:rPr>
                <w:sz w:val="19"/>
                <w:szCs w:val="19"/>
                <w:color w:val="auto"/>
              </w:rPr>
            </w:pP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1,724.4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-15.9 %</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-15.9 %</w:t>
            </w:r>
          </w:p>
        </w:tc>
      </w:tr>
      <w:tr>
        <w:trPr>
          <w:trHeight w:val="213"/>
        </w:trPr>
        <w:tc>
          <w:tcPr>
            <w:tcW w:w="31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Other Americas</w:t>
            </w: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389.6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392.5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-0.7 %</w:t>
            </w:r>
          </w:p>
        </w:tc>
        <w:tc>
          <w:tcPr>
            <w:tcW w:w="112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11.3 %</w:t>
            </w:r>
          </w:p>
        </w:tc>
        <w:tc>
          <w:tcPr>
            <w:tcW w:w="2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778.2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789.5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-1.4 %</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10.1 %</w:t>
            </w:r>
          </w:p>
        </w:tc>
      </w:tr>
      <w:tr>
        <w:trPr>
          <w:trHeight w:val="205"/>
        </w:trPr>
        <w:tc>
          <w:tcPr>
            <w:tcW w:w="31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1,098.7</w:t>
            </w: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1,262.7</w:t>
            </w: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040" w:type="dxa"/>
            <w:vAlign w:val="bottom"/>
            <w:tcBorders>
              <w:bottom w:val="single" w:sz="8" w:color="CFF0FC"/>
            </w:tcBorders>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-13.0 %</w:t>
            </w:r>
          </w:p>
        </w:tc>
        <w:tc>
          <w:tcPr>
            <w:tcW w:w="98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-9.3 %</w:t>
            </w:r>
          </w:p>
        </w:tc>
        <w:tc>
          <w:tcPr>
            <w:tcW w:w="1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2,228.9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2,513.9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-11.3 %</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-7.7 %</w:t>
            </w:r>
          </w:p>
        </w:tc>
      </w:tr>
      <w:tr>
        <w:trPr>
          <w:trHeight w:val="198"/>
        </w:trPr>
        <w:tc>
          <w:tcPr>
            <w:tcW w:w="31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Southern Europe:</w:t>
            </w: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9"/>
        </w:trPr>
        <w:tc>
          <w:tcPr>
            <w:tcW w:w="310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6"/>
                <w:szCs w:val="16"/>
                <w:color w:val="auto"/>
              </w:rPr>
              <w:t>France</w:t>
            </w:r>
          </w:p>
        </w:tc>
        <w:tc>
          <w:tcPr>
            <w:tcW w:w="1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1,278.2</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1,238.2</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3.2 %</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0.9 %</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2,447.5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2,430.6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0.7 %</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1.7 %</w:t>
            </w:r>
          </w:p>
        </w:tc>
      </w:tr>
      <w:tr>
        <w:trPr>
          <w:trHeight w:val="210"/>
        </w:trPr>
        <w:tc>
          <w:tcPr>
            <w:tcW w:w="31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Italy</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457.8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454.3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0.8 %</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-1.5 %</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899.3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-2.1 %</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-1.2 %</w:t>
            </w:r>
          </w:p>
        </w:tc>
      </w:tr>
      <w:tr>
        <w:trPr>
          <w:trHeight w:val="216"/>
        </w:trPr>
        <w:tc>
          <w:tcPr>
            <w:tcW w:w="3100" w:type="dxa"/>
            <w:vAlign w:val="bottom"/>
            <w:tcBorders>
              <w:bottom w:val="single" w:sz="8" w:color="CFF0FC"/>
            </w:tcBorders>
            <w:shd w:val="clear" w:color="auto" w:fill="CFF0FC"/>
          </w:tcPr>
          <w:p>
            <w:pPr>
              <w:ind w:left="400"/>
              <w:spacing w:after="0"/>
              <w:rPr>
                <w:sz w:val="20"/>
                <w:szCs w:val="20"/>
                <w:color w:val="auto"/>
              </w:rPr>
            </w:pPr>
            <w:r>
              <w:rPr>
                <w:rFonts w:ascii="Times New Roman" w:cs="Times New Roman" w:eastAsia="Times New Roman" w:hAnsi="Times New Roman"/>
                <w:sz w:val="16"/>
                <w:szCs w:val="16"/>
                <w:color w:val="auto"/>
              </w:rPr>
              <w:t>Other Southern Europe</w:t>
            </w:r>
          </w:p>
        </w:tc>
        <w:tc>
          <w:tcPr>
            <w:tcW w:w="18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490.9</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508.9</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CFF0FC"/>
            </w:tcBorders>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-3.5 %</w:t>
            </w:r>
          </w:p>
        </w:tc>
        <w:tc>
          <w:tcPr>
            <w:tcW w:w="98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-4.7 %</w:t>
            </w: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967.3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1,065.4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-9.2 %</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-7.6 %</w:t>
            </w:r>
          </w:p>
        </w:tc>
      </w:tr>
      <w:tr>
        <w:trPr>
          <w:trHeight w:val="205"/>
        </w:trPr>
        <w:tc>
          <w:tcPr>
            <w:tcW w:w="3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2,226.9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2,201.4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1.2 %</w:t>
            </w:r>
          </w:p>
        </w:tc>
        <w:tc>
          <w:tcPr>
            <w:tcW w:w="112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-0.9 %</w:t>
            </w:r>
          </w:p>
        </w:tc>
        <w:tc>
          <w:tcPr>
            <w:tcW w:w="2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4,294.8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4,395.3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-2.3 %</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-1.2 %</w:t>
            </w:r>
          </w:p>
        </w:tc>
      </w:tr>
      <w:tr>
        <w:trPr>
          <w:trHeight w:val="205"/>
        </w:trPr>
        <w:tc>
          <w:tcPr>
            <w:tcW w:w="31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Northern Europe</w:t>
            </w:r>
          </w:p>
        </w:tc>
        <w:tc>
          <w:tcPr>
            <w:tcW w:w="18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952.5</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1,027.1</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4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-7.3 %</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-6.3 %</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1,920.1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2,121.6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-9.5 %</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-5.1 %</w:t>
            </w:r>
          </w:p>
        </w:tc>
      </w:tr>
      <w:tr>
        <w:trPr>
          <w:trHeight w:val="213"/>
        </w:trPr>
        <w:tc>
          <w:tcPr>
            <w:tcW w:w="31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APME</w:t>
            </w: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599.4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603.7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-0.7 %</w:t>
            </w:r>
          </w:p>
        </w:tc>
        <w:tc>
          <w:tcPr>
            <w:tcW w:w="112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4.2 %</w:t>
            </w:r>
          </w:p>
        </w:tc>
        <w:tc>
          <w:tcPr>
            <w:tcW w:w="2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1,205.3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1,221.9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-1.4 %</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5.8 %</w:t>
            </w:r>
          </w:p>
        </w:tc>
      </w:tr>
      <w:tr>
        <w:trPr>
          <w:trHeight w:val="201"/>
        </w:trPr>
        <w:tc>
          <w:tcPr>
            <w:tcW w:w="31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4,877.5</w:t>
            </w: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5,094.9</w:t>
            </w: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8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8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9,649.1</w:t>
            </w: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10,252.7</w:t>
            </w:r>
          </w:p>
        </w:tc>
        <w:tc>
          <w:tcPr>
            <w:tcW w:w="1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8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8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40" w:type="dxa"/>
            <w:vAlign w:val="bottom"/>
          </w:tcPr>
          <w:p>
            <w:pPr>
              <w:spacing w:after="0"/>
              <w:rPr>
                <w:sz w:val="17"/>
                <w:szCs w:val="17"/>
                <w:color w:val="auto"/>
              </w:rPr>
            </w:pPr>
          </w:p>
        </w:tc>
      </w:tr>
      <w:tr>
        <w:trPr>
          <w:trHeight w:val="205"/>
        </w:trPr>
        <w:tc>
          <w:tcPr>
            <w:tcW w:w="31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Intercompany Eliminations</w:t>
            </w:r>
          </w:p>
        </w:tc>
        <w:tc>
          <w:tcPr>
            <w:tcW w:w="180" w:type="dxa"/>
            <w:vAlign w:val="bottom"/>
          </w:tcPr>
          <w:p>
            <w:pPr>
              <w:spacing w:after="0"/>
              <w:rPr>
                <w:sz w:val="17"/>
                <w:szCs w:val="17"/>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(21.4 )</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(20.8 )</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(40.7 )</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(35.3 )</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48"/>
        </w:trPr>
        <w:tc>
          <w:tcPr>
            <w:tcW w:w="3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4,856.1</w:t>
            </w: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5,074.1</w:t>
            </w: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CFF0FC"/>
            </w:tcBorders>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-4.3 %</w:t>
            </w:r>
          </w:p>
        </w:tc>
        <w:tc>
          <w:tcPr>
            <w:tcW w:w="98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-3.5 %</w:t>
            </w:r>
          </w:p>
        </w:tc>
        <w:tc>
          <w:tcPr>
            <w:tcW w:w="14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9,608.4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10,217.4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-6.0 %</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-2.8 %</w:t>
            </w:r>
          </w:p>
        </w:tc>
      </w:tr>
      <w:tr>
        <w:trPr>
          <w:trHeight w:val="185"/>
        </w:trPr>
        <w:tc>
          <w:tcPr>
            <w:tcW w:w="3100" w:type="dxa"/>
            <w:vAlign w:val="bottom"/>
          </w:tcPr>
          <w:p>
            <w:pPr>
              <w:spacing w:after="0"/>
              <w:rPr>
                <w:sz w:val="20"/>
                <w:szCs w:val="20"/>
                <w:color w:val="auto"/>
              </w:rPr>
            </w:pPr>
            <w:r>
              <w:rPr>
                <w:rFonts w:ascii="Times New Roman" w:cs="Times New Roman" w:eastAsia="Times New Roman" w:hAnsi="Times New Roman"/>
                <w:sz w:val="16"/>
                <w:szCs w:val="16"/>
                <w:color w:val="auto"/>
              </w:rPr>
              <w:t>Operating Unit Profit (Loss):</w:t>
            </w: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16"/>
        </w:trPr>
        <w:tc>
          <w:tcPr>
            <w:tcW w:w="31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Americas:</w:t>
            </w:r>
          </w:p>
        </w:tc>
        <w:tc>
          <w:tcPr>
            <w:tcW w:w="1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r>
      <w:tr>
        <w:trPr>
          <w:trHeight w:val="210"/>
        </w:trPr>
        <w:tc>
          <w:tcPr>
            <w:tcW w:w="31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United States</w:t>
            </w: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w:t>
            </w:r>
          </w:p>
        </w:tc>
        <w:tc>
          <w:tcPr>
            <w:tcW w:w="12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-61.9 %</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-61.9 %</w:t>
            </w:r>
          </w:p>
        </w:tc>
        <w:tc>
          <w:tcPr>
            <w:tcW w:w="140" w:type="dxa"/>
            <w:vAlign w:val="bottom"/>
          </w:tcPr>
          <w:p>
            <w:pPr>
              <w:spacing w:after="0"/>
              <w:rPr>
                <w:sz w:val="18"/>
                <w:szCs w:val="18"/>
                <w:color w:val="auto"/>
              </w:rPr>
            </w:pPr>
          </w:p>
        </w:tc>
        <w:tc>
          <w:tcPr>
            <w:tcW w:w="2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53.1</w:t>
            </w:r>
          </w:p>
        </w:tc>
        <w:tc>
          <w:tcPr>
            <w:tcW w:w="100" w:type="dxa"/>
            <w:vAlign w:val="bottom"/>
          </w:tcPr>
          <w:p>
            <w:pPr>
              <w:spacing w:after="0"/>
              <w:rPr>
                <w:sz w:val="18"/>
                <w:szCs w:val="18"/>
                <w:color w:val="auto"/>
              </w:rPr>
            </w:pP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-53.5 %</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-53.5 %</w:t>
            </w:r>
          </w:p>
        </w:tc>
      </w:tr>
      <w:tr>
        <w:trPr>
          <w:trHeight w:val="216"/>
        </w:trPr>
        <w:tc>
          <w:tcPr>
            <w:tcW w:w="3100" w:type="dxa"/>
            <w:vAlign w:val="bottom"/>
            <w:tcBorders>
              <w:bottom w:val="single" w:sz="8" w:color="CFF0FC"/>
            </w:tcBorders>
            <w:shd w:val="clear" w:color="auto" w:fill="CFF0FC"/>
          </w:tcPr>
          <w:p>
            <w:pPr>
              <w:ind w:left="400"/>
              <w:spacing w:after="0"/>
              <w:rPr>
                <w:sz w:val="20"/>
                <w:szCs w:val="20"/>
                <w:color w:val="auto"/>
              </w:rPr>
            </w:pPr>
            <w:r>
              <w:rPr>
                <w:rFonts w:ascii="Times New Roman" w:cs="Times New Roman" w:eastAsia="Times New Roman" w:hAnsi="Times New Roman"/>
                <w:sz w:val="16"/>
                <w:szCs w:val="16"/>
                <w:color w:val="auto"/>
              </w:rPr>
              <w:t>Other Americas</w:t>
            </w:r>
          </w:p>
        </w:tc>
        <w:tc>
          <w:tcPr>
            <w:tcW w:w="18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20.1</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CFF0FC"/>
            </w:tcBorders>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-0.9 %</w:t>
            </w:r>
          </w:p>
        </w:tc>
        <w:tc>
          <w:tcPr>
            <w:tcW w:w="98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13.2 %</w:t>
            </w: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-2.0 %</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11.2 %</w:t>
            </w:r>
          </w:p>
        </w:tc>
      </w:tr>
      <w:tr>
        <w:trPr>
          <w:trHeight w:val="205"/>
        </w:trPr>
        <w:tc>
          <w:tcPr>
            <w:tcW w:w="3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-46.6 %</w:t>
            </w:r>
          </w:p>
        </w:tc>
        <w:tc>
          <w:tcPr>
            <w:tcW w:w="112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-43.1 %</w:t>
            </w:r>
          </w:p>
        </w:tc>
        <w:tc>
          <w:tcPr>
            <w:tcW w:w="2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-40.3 %</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-36.9 %</w:t>
            </w:r>
          </w:p>
        </w:tc>
      </w:tr>
      <w:tr>
        <w:trPr>
          <w:trHeight w:val="205"/>
        </w:trPr>
        <w:tc>
          <w:tcPr>
            <w:tcW w:w="31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Southern Europe:</w:t>
            </w:r>
          </w:p>
        </w:tc>
        <w:tc>
          <w:tcPr>
            <w:tcW w:w="1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0" w:type="dxa"/>
            <w:vAlign w:val="bottom"/>
          </w:tcPr>
          <w:p>
            <w:pPr>
              <w:spacing w:after="0"/>
              <w:rPr>
                <w:sz w:val="17"/>
                <w:szCs w:val="17"/>
                <w:color w:val="auto"/>
              </w:rPr>
            </w:pPr>
          </w:p>
        </w:tc>
      </w:tr>
      <w:tr>
        <w:trPr>
          <w:trHeight w:val="206"/>
        </w:trPr>
        <w:tc>
          <w:tcPr>
            <w:tcW w:w="31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France</w:t>
            </w: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-20.5 %</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-22.4 %</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-15.6 %</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-15.0 %</w:t>
            </w:r>
          </w:p>
        </w:tc>
      </w:tr>
      <w:tr>
        <w:trPr>
          <w:trHeight w:val="219"/>
        </w:trPr>
        <w:tc>
          <w:tcPr>
            <w:tcW w:w="310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6"/>
                <w:szCs w:val="16"/>
                <w:color w:val="auto"/>
              </w:rPr>
              <w:t>Italy</w:t>
            </w:r>
          </w:p>
        </w:tc>
        <w:tc>
          <w:tcPr>
            <w:tcW w:w="1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36.3</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35.5</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2.1 %</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-0.3 %</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3.8 %</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4.6 %</w:t>
            </w:r>
          </w:p>
        </w:tc>
      </w:tr>
      <w:tr>
        <w:trPr>
          <w:trHeight w:val="213"/>
        </w:trPr>
        <w:tc>
          <w:tcPr>
            <w:tcW w:w="31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Other Southern Europe</w:t>
            </w: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-50.4 %</w:t>
            </w:r>
          </w:p>
        </w:tc>
        <w:tc>
          <w:tcPr>
            <w:tcW w:w="112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-48.7 %</w:t>
            </w:r>
          </w:p>
        </w:tc>
        <w:tc>
          <w:tcPr>
            <w:tcW w:w="2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-30.7 %</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-27.1 %</w:t>
            </w:r>
          </w:p>
        </w:tc>
      </w:tr>
      <w:tr>
        <w:trPr>
          <w:trHeight w:val="205"/>
        </w:trPr>
        <w:tc>
          <w:tcPr>
            <w:tcW w:w="31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92.6</w:t>
            </w: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111.7</w:t>
            </w: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040" w:type="dxa"/>
            <w:vAlign w:val="bottom"/>
            <w:tcBorders>
              <w:bottom w:val="single" w:sz="8" w:color="CFF0FC"/>
            </w:tcBorders>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-17.0 %</w:t>
            </w:r>
          </w:p>
        </w:tc>
        <w:tc>
          <w:tcPr>
            <w:tcW w:w="98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-18.6 %</w:t>
            </w:r>
          </w:p>
        </w:tc>
        <w:tc>
          <w:tcPr>
            <w:tcW w:w="1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182.5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206.9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-11.8 %</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-10.6 %</w:t>
            </w:r>
          </w:p>
        </w:tc>
      </w:tr>
      <w:tr>
        <w:trPr>
          <w:trHeight w:val="201"/>
        </w:trPr>
        <w:tc>
          <w:tcPr>
            <w:tcW w:w="31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Northern Europe</w:t>
            </w:r>
          </w:p>
        </w:tc>
        <w:tc>
          <w:tcPr>
            <w:tcW w:w="180" w:type="dxa"/>
            <w:vAlign w:val="bottom"/>
          </w:tcPr>
          <w:p>
            <w:pPr>
              <w:spacing w:after="0"/>
              <w:rPr>
                <w:sz w:val="17"/>
                <w:szCs w:val="17"/>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(9.7 )</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-188.9 %</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-190.4 %</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(4.7 )</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-133.0 %</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-121.7 %</w:t>
            </w:r>
          </w:p>
        </w:tc>
      </w:tr>
      <w:tr>
        <w:trPr>
          <w:trHeight w:val="216"/>
        </w:trPr>
        <w:tc>
          <w:tcPr>
            <w:tcW w:w="310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APME</w:t>
            </w:r>
          </w:p>
        </w:tc>
        <w:tc>
          <w:tcPr>
            <w:tcW w:w="18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25.7</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22.5</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CFF0FC"/>
            </w:tcBorders>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13.9 %</w:t>
            </w:r>
          </w:p>
        </w:tc>
        <w:tc>
          <w:tcPr>
            <w:tcW w:w="98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20.0 %</w:t>
            </w: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12.8 %</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21.8 %</w:t>
            </w:r>
          </w:p>
        </w:tc>
      </w:tr>
      <w:tr>
        <w:trPr>
          <w:trHeight w:val="201"/>
        </w:trPr>
        <w:tc>
          <w:tcPr>
            <w:tcW w:w="3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31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Corporate expenses</w:t>
            </w:r>
          </w:p>
        </w:tc>
        <w:tc>
          <w:tcPr>
            <w:tcW w:w="18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(35.5 )</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(35.8 )</w:t>
            </w: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(73.4 )</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(77.8 )</w:t>
            </w: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r>
      <w:tr>
        <w:trPr>
          <w:trHeight w:val="206"/>
        </w:trPr>
        <w:tc>
          <w:tcPr>
            <w:tcW w:w="3100" w:type="dxa"/>
            <w:vAlign w:val="bottom"/>
          </w:tcPr>
          <w:p>
            <w:pPr>
              <w:spacing w:after="0"/>
              <w:rPr>
                <w:sz w:val="20"/>
                <w:szCs w:val="20"/>
                <w:color w:val="auto"/>
              </w:rPr>
            </w:pPr>
            <w:r>
              <w:rPr>
                <w:rFonts w:ascii="Times New Roman" w:cs="Times New Roman" w:eastAsia="Times New Roman" w:hAnsi="Times New Roman"/>
                <w:sz w:val="16"/>
                <w:szCs w:val="16"/>
                <w:color w:val="auto"/>
              </w:rPr>
              <w:t>Intangible asset amortization expense</w:t>
            </w:r>
          </w:p>
        </w:tc>
        <w:tc>
          <w:tcPr>
            <w:tcW w:w="180" w:type="dxa"/>
            <w:vAlign w:val="bottom"/>
          </w:tcPr>
          <w:p>
            <w:pPr>
              <w:spacing w:after="0"/>
              <w:rPr>
                <w:sz w:val="17"/>
                <w:szCs w:val="17"/>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(8.7 )</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(9.4 )</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(17.5 )</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(19.0 )</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1"/>
        </w:trPr>
        <w:tc>
          <w:tcPr>
            <w:tcW w:w="31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Operating (loss) profit</w:t>
            </w:r>
          </w:p>
        </w:tc>
        <w:tc>
          <w:tcPr>
            <w:tcW w:w="18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107.6</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180.7</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-40.4 %</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-39.1 %</w:t>
            </w:r>
          </w:p>
        </w:tc>
        <w:tc>
          <w:tcPr>
            <w:tcW w:w="1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225.5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319.4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-29.4 %</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-25.4 %</w:t>
            </w:r>
          </w:p>
        </w:tc>
      </w:tr>
      <w:tr>
        <w:trPr>
          <w:trHeight w:val="210"/>
        </w:trPr>
        <w:tc>
          <w:tcPr>
            <w:tcW w:w="3100" w:type="dxa"/>
            <w:vAlign w:val="bottom"/>
          </w:tcPr>
          <w:p>
            <w:pPr>
              <w:spacing w:after="0"/>
              <w:rPr>
                <w:sz w:val="20"/>
                <w:szCs w:val="20"/>
                <w:color w:val="auto"/>
              </w:rPr>
            </w:pPr>
            <w:r>
              <w:rPr>
                <w:rFonts w:ascii="Times New Roman" w:cs="Times New Roman" w:eastAsia="Times New Roman" w:hAnsi="Times New Roman"/>
                <w:sz w:val="16"/>
                <w:szCs w:val="16"/>
                <w:color w:val="auto"/>
              </w:rPr>
              <w:t>Interest and other expenses, net</w:t>
            </w:r>
          </w:p>
        </w:tc>
        <w:tc>
          <w:tcPr>
            <w:tcW w:w="1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(11.8 )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(6.7 )</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(19.3 )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(9.4 )</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45"/>
        </w:trPr>
        <w:tc>
          <w:tcPr>
            <w:tcW w:w="310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Earnings before income taxes</w:t>
            </w:r>
          </w:p>
        </w:tc>
        <w:tc>
          <w:tcPr>
            <w:tcW w:w="180" w:type="dxa"/>
            <w:vAlign w:val="bottom"/>
            <w:tcBorders>
              <w:top w:val="single" w:sz="8" w:color="auto"/>
              <w:bottom w:val="single" w:sz="8" w:color="auto"/>
            </w:tcBorders>
            <w:shd w:val="clear" w:color="auto" w:fill="CFF0FC"/>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95.8</w:t>
            </w: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174.0</w:t>
            </w: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Borders>
              <w:top w:val="single" w:sz="8" w:color="auto"/>
              <w:bottom w:val="single" w:sz="8" w:color="auto"/>
            </w:tcBorders>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206.2</w:t>
            </w: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310.0</w:t>
            </w:r>
          </w:p>
        </w:tc>
        <w:tc>
          <w:tcPr>
            <w:tcW w:w="1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40" w:type="dxa"/>
            <w:vAlign w:val="bottom"/>
          </w:tcPr>
          <w:p>
            <w:pPr>
              <w:spacing w:after="0"/>
              <w:rPr>
                <w:sz w:val="21"/>
                <w:szCs w:val="21"/>
                <w:color w:val="auto"/>
              </w:rPr>
            </w:pPr>
          </w:p>
        </w:tc>
      </w:tr>
      <w:tr>
        <w:trPr>
          <w:trHeight w:val="834"/>
        </w:trPr>
        <w:tc>
          <w:tcPr>
            <w:tcW w:w="3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4630420</wp:posOffset>
            </wp:positionH>
            <wp:positionV relativeFrom="paragraph">
              <wp:posOffset>-4895850</wp:posOffset>
            </wp:positionV>
            <wp:extent cx="2515870" cy="135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515870" cy="13525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-4482465</wp:posOffset>
            </wp:positionV>
            <wp:extent cx="74930" cy="762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3113405</wp:posOffset>
            </wp:positionH>
            <wp:positionV relativeFrom="paragraph">
              <wp:posOffset>-4482465</wp:posOffset>
            </wp:positionV>
            <wp:extent cx="74930" cy="762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4630420</wp:posOffset>
            </wp:positionH>
            <wp:positionV relativeFrom="paragraph">
              <wp:posOffset>-4617720</wp:posOffset>
            </wp:positionV>
            <wp:extent cx="2515870" cy="14287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515870" cy="142875"/>
                    </a:xfrm>
                    <a:prstGeom prst="rect">
                      <a:avLst/>
                    </a:prstGeom>
                    <a:noFill/>
                  </pic:spPr>
                </pic:pic>
              </a:graphicData>
            </a:graphic>
          </wp:anchor>
        </w:drawing>
        <w:drawing>
          <wp:anchor simplePos="0" relativeHeight="251657728" behindDoc="1" locked="0" layoutInCell="0" allowOverlap="1">
            <wp:simplePos x="0" y="0"/>
            <wp:positionH relativeFrom="column">
              <wp:posOffset>4630420</wp:posOffset>
            </wp:positionH>
            <wp:positionV relativeFrom="paragraph">
              <wp:posOffset>-4340225</wp:posOffset>
            </wp:positionV>
            <wp:extent cx="2515870" cy="135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515870" cy="13525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-3934460</wp:posOffset>
            </wp:positionV>
            <wp:extent cx="74930" cy="762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3113405</wp:posOffset>
            </wp:positionH>
            <wp:positionV relativeFrom="paragraph">
              <wp:posOffset>-3934460</wp:posOffset>
            </wp:positionV>
            <wp:extent cx="74930" cy="762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4630420</wp:posOffset>
            </wp:positionH>
            <wp:positionV relativeFrom="paragraph">
              <wp:posOffset>-4069715</wp:posOffset>
            </wp:positionV>
            <wp:extent cx="2515870" cy="14287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515870" cy="142875"/>
                    </a:xfrm>
                    <a:prstGeom prst="rect">
                      <a:avLst/>
                    </a:prstGeom>
                    <a:noFill/>
                  </pic:spPr>
                </pic:pic>
              </a:graphicData>
            </a:graphic>
          </wp:anchor>
        </w:drawing>
        <w:drawing>
          <wp:anchor simplePos="0" relativeHeight="251657728" behindDoc="1" locked="0" layoutInCell="0" allowOverlap="1">
            <wp:simplePos x="0" y="0"/>
            <wp:positionH relativeFrom="column">
              <wp:posOffset>4630420</wp:posOffset>
            </wp:positionH>
            <wp:positionV relativeFrom="paragraph">
              <wp:posOffset>-3784600</wp:posOffset>
            </wp:positionV>
            <wp:extent cx="2515870" cy="135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515870" cy="13525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-3371215</wp:posOffset>
            </wp:positionV>
            <wp:extent cx="74930" cy="762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3113405</wp:posOffset>
            </wp:positionH>
            <wp:positionV relativeFrom="paragraph">
              <wp:posOffset>-3371215</wp:posOffset>
            </wp:positionV>
            <wp:extent cx="74930" cy="762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5125720</wp:posOffset>
            </wp:positionH>
            <wp:positionV relativeFrom="paragraph">
              <wp:posOffset>-3371215</wp:posOffset>
            </wp:positionV>
            <wp:extent cx="67310" cy="762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5756275</wp:posOffset>
            </wp:positionH>
            <wp:positionV relativeFrom="paragraph">
              <wp:posOffset>-3371215</wp:posOffset>
            </wp:positionV>
            <wp:extent cx="67310" cy="762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-3086100</wp:posOffset>
            </wp:positionV>
            <wp:extent cx="74930" cy="762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-3070860</wp:posOffset>
            </wp:positionV>
            <wp:extent cx="74930" cy="762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3113405</wp:posOffset>
            </wp:positionH>
            <wp:positionV relativeFrom="paragraph">
              <wp:posOffset>-3086100</wp:posOffset>
            </wp:positionV>
            <wp:extent cx="74930" cy="762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3113405</wp:posOffset>
            </wp:positionH>
            <wp:positionV relativeFrom="paragraph">
              <wp:posOffset>-3070860</wp:posOffset>
            </wp:positionV>
            <wp:extent cx="74930" cy="762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4630420</wp:posOffset>
            </wp:positionH>
            <wp:positionV relativeFrom="paragraph">
              <wp:posOffset>-3221355</wp:posOffset>
            </wp:positionV>
            <wp:extent cx="2515870" cy="15748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515870" cy="157480"/>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-2522855</wp:posOffset>
            </wp:positionV>
            <wp:extent cx="74930" cy="762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3113405</wp:posOffset>
            </wp:positionH>
            <wp:positionV relativeFrom="paragraph">
              <wp:posOffset>-2522855</wp:posOffset>
            </wp:positionV>
            <wp:extent cx="74930" cy="762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4630420</wp:posOffset>
            </wp:positionH>
            <wp:positionV relativeFrom="paragraph">
              <wp:posOffset>-2658110</wp:posOffset>
            </wp:positionV>
            <wp:extent cx="2515870" cy="14287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515870" cy="142875"/>
                    </a:xfrm>
                    <a:prstGeom prst="rect">
                      <a:avLst/>
                    </a:prstGeom>
                    <a:noFill/>
                  </pic:spPr>
                </pic:pic>
              </a:graphicData>
            </a:graphic>
          </wp:anchor>
        </w:drawing>
        <w:drawing>
          <wp:anchor simplePos="0" relativeHeight="251657728" behindDoc="1" locked="0" layoutInCell="0" allowOverlap="1">
            <wp:simplePos x="0" y="0"/>
            <wp:positionH relativeFrom="column">
              <wp:posOffset>4630420</wp:posOffset>
            </wp:positionH>
            <wp:positionV relativeFrom="paragraph">
              <wp:posOffset>-2101850</wp:posOffset>
            </wp:positionV>
            <wp:extent cx="2515870" cy="135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515870" cy="13525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-1689100</wp:posOffset>
            </wp:positionV>
            <wp:extent cx="74930" cy="762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3113405</wp:posOffset>
            </wp:positionH>
            <wp:positionV relativeFrom="paragraph">
              <wp:posOffset>-1689100</wp:posOffset>
            </wp:positionV>
            <wp:extent cx="74930" cy="762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4630420</wp:posOffset>
            </wp:positionH>
            <wp:positionV relativeFrom="paragraph">
              <wp:posOffset>-1824355</wp:posOffset>
            </wp:positionV>
            <wp:extent cx="2515870" cy="14287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515870" cy="14287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-1410970</wp:posOffset>
            </wp:positionV>
            <wp:extent cx="74930" cy="762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3113405</wp:posOffset>
            </wp:positionH>
            <wp:positionV relativeFrom="paragraph">
              <wp:posOffset>-1410970</wp:posOffset>
            </wp:positionV>
            <wp:extent cx="74930" cy="762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4630420</wp:posOffset>
            </wp:positionH>
            <wp:positionV relativeFrom="paragraph">
              <wp:posOffset>-1546225</wp:posOffset>
            </wp:positionV>
            <wp:extent cx="2515870" cy="14287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515870" cy="142875"/>
                    </a:xfrm>
                    <a:prstGeom prst="rect">
                      <a:avLst/>
                    </a:prstGeom>
                    <a:noFill/>
                  </pic:spPr>
                </pic:pic>
              </a:graphicData>
            </a:graphic>
          </wp:anchor>
        </w:drawing>
        <w:drawing>
          <wp:anchor simplePos="0" relativeHeight="251657728" behindDoc="1" locked="0" layoutInCell="0" allowOverlap="1">
            <wp:simplePos x="0" y="0"/>
            <wp:positionH relativeFrom="column">
              <wp:posOffset>4630420</wp:posOffset>
            </wp:positionH>
            <wp:positionV relativeFrom="paragraph">
              <wp:posOffset>-990600</wp:posOffset>
            </wp:positionV>
            <wp:extent cx="2515870" cy="135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515870" cy="13525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-577850</wp:posOffset>
            </wp:positionV>
            <wp:extent cx="74930" cy="762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-562610</wp:posOffset>
            </wp:positionV>
            <wp:extent cx="74930" cy="762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3113405</wp:posOffset>
            </wp:positionH>
            <wp:positionV relativeFrom="paragraph">
              <wp:posOffset>-577850</wp:posOffset>
            </wp:positionV>
            <wp:extent cx="74930" cy="762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3113405</wp:posOffset>
            </wp:positionH>
            <wp:positionV relativeFrom="paragraph">
              <wp:posOffset>-562610</wp:posOffset>
            </wp:positionV>
            <wp:extent cx="74930" cy="762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5125720</wp:posOffset>
            </wp:positionH>
            <wp:positionV relativeFrom="paragraph">
              <wp:posOffset>-577850</wp:posOffset>
            </wp:positionV>
            <wp:extent cx="67310" cy="762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5125720</wp:posOffset>
            </wp:positionH>
            <wp:positionV relativeFrom="paragraph">
              <wp:posOffset>-562610</wp:posOffset>
            </wp:positionV>
            <wp:extent cx="67310" cy="762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5756275</wp:posOffset>
            </wp:positionH>
            <wp:positionV relativeFrom="paragraph">
              <wp:posOffset>-577850</wp:posOffset>
            </wp:positionV>
            <wp:extent cx="67310" cy="762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5756275</wp:posOffset>
            </wp:positionH>
            <wp:positionV relativeFrom="paragraph">
              <wp:posOffset>-562610</wp:posOffset>
            </wp:positionV>
            <wp:extent cx="67310" cy="762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300"/>
          </w:cols>
          <w:pgMar w:left="320" w:top="890" w:right="27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14"/>
        </w:trPr>
        <w:tc>
          <w:tcPr>
            <w:tcW w:w="3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10"/>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7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10"/>
          </w:tcPr>
          <w:p>
            <w:pPr>
              <w:jc w:val="right"/>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7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8"/>
        </w:trPr>
        <w:tc>
          <w:tcPr>
            <w:tcW w:w="3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Borders>
              <w:bottom w:val="single" w:sz="8" w:color="auto"/>
            </w:tcBorders>
            <w:gridSpan w:val="4"/>
          </w:tcPr>
          <w:p>
            <w:pPr>
              <w:ind w:left="560"/>
              <w:spacing w:after="0"/>
              <w:rPr>
                <w:sz w:val="20"/>
                <w:szCs w:val="20"/>
                <w:color w:val="auto"/>
              </w:rPr>
            </w:pPr>
            <w:r>
              <w:rPr>
                <w:rFonts w:ascii="Times New Roman" w:cs="Times New Roman" w:eastAsia="Times New Roman" w:hAnsi="Times New Roman"/>
                <w:sz w:val="16"/>
                <w:szCs w:val="16"/>
                <w:b w:val="1"/>
                <w:bCs w:val="1"/>
                <w:color w:val="auto"/>
              </w:rPr>
              <w:t>% Variance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tcBorders>
              <w:bottom w:val="single" w:sz="8" w:color="auto"/>
            </w:tcBorders>
            <w:gridSpan w:val="4"/>
          </w:tcPr>
          <w:p>
            <w:pPr>
              <w:ind w:left="540"/>
              <w:spacing w:after="0"/>
              <w:rPr>
                <w:sz w:val="20"/>
                <w:szCs w:val="20"/>
                <w:color w:val="auto"/>
              </w:rPr>
            </w:pPr>
            <w:r>
              <w:rPr>
                <w:rFonts w:ascii="Times New Roman" w:cs="Times New Roman" w:eastAsia="Times New Roman" w:hAnsi="Times New Roman"/>
                <w:sz w:val="16"/>
                <w:szCs w:val="16"/>
                <w:b w:val="1"/>
                <w:bCs w:val="1"/>
                <w:color w:val="auto"/>
              </w:rPr>
              <w:t>% Variance</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0"/>
        </w:trPr>
        <w:tc>
          <w:tcPr>
            <w:tcW w:w="3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3"/>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7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Constant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3"/>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6"/>
              </w:rPr>
              <w:t>Amount</w:t>
            </w:r>
          </w:p>
        </w:tc>
        <w:tc>
          <w:tcPr>
            <w:tcW w:w="7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Constant</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4"/>
        </w:trPr>
        <w:tc>
          <w:tcPr>
            <w:tcW w:w="3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Reported</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Currency</w:t>
            </w:r>
          </w:p>
        </w:tc>
        <w:tc>
          <w:tcPr>
            <w:tcW w:w="260" w:type="dxa"/>
            <w:vAlign w:val="bottom"/>
            <w:gridSpan w:val="2"/>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Reported</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Currency</w:t>
            </w:r>
          </w:p>
        </w:tc>
        <w:tc>
          <w:tcPr>
            <w:tcW w:w="160" w:type="dxa"/>
            <w:vAlign w:val="bottom"/>
            <w:gridSpan w:val="2"/>
          </w:tcPr>
          <w:p>
            <w:pPr>
              <w:spacing w:after="0"/>
              <w:rPr>
                <w:sz w:val="18"/>
                <w:szCs w:val="18"/>
                <w:color w:val="auto"/>
              </w:rPr>
            </w:pPr>
          </w:p>
        </w:tc>
      </w:tr>
      <w:tr>
        <w:trPr>
          <w:trHeight w:val="207"/>
        </w:trPr>
        <w:tc>
          <w:tcPr>
            <w:tcW w:w="3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(Unaudited)</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1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Revenues from Services:</w:t>
            </w:r>
          </w:p>
        </w:tc>
        <w:tc>
          <w:tcPr>
            <w:tcW w:w="1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r>
      <w:tr>
        <w:trPr>
          <w:trHeight w:val="206"/>
        </w:trPr>
        <w:tc>
          <w:tcPr>
            <w:tcW w:w="31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Americas:</w:t>
            </w: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9"/>
        </w:trPr>
        <w:tc>
          <w:tcPr>
            <w:tcW w:w="310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6"/>
                <w:szCs w:val="16"/>
                <w:color w:val="auto"/>
              </w:rPr>
              <w:t>United States</w:t>
            </w:r>
          </w:p>
        </w:tc>
        <w:tc>
          <w:tcPr>
            <w:tcW w:w="180" w:type="dxa"/>
            <w:vAlign w:val="bottom"/>
            <w:shd w:val="clear" w:color="auto" w:fill="CFF0FC"/>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730.2</w:t>
            </w:r>
          </w:p>
        </w:tc>
        <w:tc>
          <w:tcPr>
            <w:tcW w:w="12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854.3</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-14.5 %</w:t>
            </w: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-14.5 %</w:t>
            </w:r>
          </w:p>
        </w:tc>
        <w:tc>
          <w:tcPr>
            <w:tcW w:w="140" w:type="dxa"/>
            <w:vAlign w:val="bottom"/>
          </w:tcPr>
          <w:p>
            <w:pPr>
              <w:spacing w:after="0"/>
              <w:rPr>
                <w:sz w:val="19"/>
                <w:szCs w:val="19"/>
                <w:color w:val="auto"/>
              </w:rPr>
            </w:pPr>
          </w:p>
        </w:tc>
        <w:tc>
          <w:tcPr>
            <w:tcW w:w="2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2,180.9</w:t>
            </w:r>
          </w:p>
        </w:tc>
        <w:tc>
          <w:tcPr>
            <w:tcW w:w="10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2,578.8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-15.4 %</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-15.4 %</w:t>
            </w:r>
          </w:p>
        </w:tc>
      </w:tr>
      <w:tr>
        <w:trPr>
          <w:trHeight w:val="213"/>
        </w:trPr>
        <w:tc>
          <w:tcPr>
            <w:tcW w:w="31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Other Americas</w:t>
            </w: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381.1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385.5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-1.1 %</w:t>
            </w:r>
          </w:p>
        </w:tc>
        <w:tc>
          <w:tcPr>
            <w:tcW w:w="102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9.6 %</w:t>
            </w:r>
          </w:p>
        </w:tc>
        <w:tc>
          <w:tcPr>
            <w:tcW w:w="2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1,159.3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1,174.9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-1.3 %</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10.0 %</w:t>
            </w:r>
          </w:p>
        </w:tc>
      </w:tr>
      <w:tr>
        <w:trPr>
          <w:trHeight w:val="205"/>
        </w:trPr>
        <w:tc>
          <w:tcPr>
            <w:tcW w:w="31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1,111.3</w:t>
            </w: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1,239.8</w:t>
            </w: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140" w:type="dxa"/>
            <w:vAlign w:val="bottom"/>
            <w:tcBorders>
              <w:bottom w:val="single" w:sz="8" w:color="CFF0FC"/>
            </w:tcBorders>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-10.4 %</w:t>
            </w:r>
          </w:p>
        </w:tc>
        <w:tc>
          <w:tcPr>
            <w:tcW w:w="88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-7.0 %</w:t>
            </w:r>
          </w:p>
        </w:tc>
        <w:tc>
          <w:tcPr>
            <w:tcW w:w="1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3,340.2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3,753.7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-11.0 %</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-7.5 %</w:t>
            </w:r>
          </w:p>
        </w:tc>
      </w:tr>
      <w:tr>
        <w:trPr>
          <w:trHeight w:val="198"/>
        </w:trPr>
        <w:tc>
          <w:tcPr>
            <w:tcW w:w="31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Southern Europe:</w:t>
            </w: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9"/>
        </w:trPr>
        <w:tc>
          <w:tcPr>
            <w:tcW w:w="310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6"/>
                <w:szCs w:val="16"/>
                <w:color w:val="auto"/>
              </w:rPr>
              <w:t>France</w:t>
            </w:r>
          </w:p>
        </w:tc>
        <w:tc>
          <w:tcPr>
            <w:tcW w:w="1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1,209.9</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1,159.5</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4.4 %</w:t>
            </w: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-3.4 %</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3,657.4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3,590.1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1.9 %</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0.0 %</w:t>
            </w:r>
          </w:p>
        </w:tc>
      </w:tr>
      <w:tr>
        <w:trPr>
          <w:trHeight w:val="210"/>
        </w:trPr>
        <w:tc>
          <w:tcPr>
            <w:tcW w:w="31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Italy</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395.1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4.7 %</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-3.1 %</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1,293.7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1,294.4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-0.1 %</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-1.8 %</w:t>
            </w:r>
          </w:p>
        </w:tc>
      </w:tr>
      <w:tr>
        <w:trPr>
          <w:trHeight w:val="216"/>
        </w:trPr>
        <w:tc>
          <w:tcPr>
            <w:tcW w:w="3100" w:type="dxa"/>
            <w:vAlign w:val="bottom"/>
            <w:tcBorders>
              <w:bottom w:val="single" w:sz="8" w:color="CFF0FC"/>
            </w:tcBorders>
            <w:shd w:val="clear" w:color="auto" w:fill="CFF0FC"/>
          </w:tcPr>
          <w:p>
            <w:pPr>
              <w:ind w:left="400"/>
              <w:spacing w:after="0"/>
              <w:rPr>
                <w:sz w:val="20"/>
                <w:szCs w:val="20"/>
                <w:color w:val="auto"/>
              </w:rPr>
            </w:pPr>
            <w:r>
              <w:rPr>
                <w:rFonts w:ascii="Times New Roman" w:cs="Times New Roman" w:eastAsia="Times New Roman" w:hAnsi="Times New Roman"/>
                <w:sz w:val="16"/>
                <w:szCs w:val="16"/>
                <w:color w:val="auto"/>
              </w:rPr>
              <w:t>Other Southern Europe</w:t>
            </w:r>
          </w:p>
        </w:tc>
        <w:tc>
          <w:tcPr>
            <w:tcW w:w="18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485.1</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485.2</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CFF0FC"/>
            </w:tcBorders>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0.0 %</w:t>
            </w:r>
          </w:p>
        </w:tc>
        <w:tc>
          <w:tcPr>
            <w:tcW w:w="88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-3.7 %</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1,452.4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1,550.6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-6.3 %</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-6.4 %</w:t>
            </w:r>
          </w:p>
        </w:tc>
      </w:tr>
      <w:tr>
        <w:trPr>
          <w:trHeight w:val="205"/>
        </w:trPr>
        <w:tc>
          <w:tcPr>
            <w:tcW w:w="3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2,108.7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2,039.8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3.4 %</w:t>
            </w:r>
          </w:p>
        </w:tc>
        <w:tc>
          <w:tcPr>
            <w:tcW w:w="102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-3.4 %</w:t>
            </w:r>
          </w:p>
        </w:tc>
        <w:tc>
          <w:tcPr>
            <w:tcW w:w="2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6,403.5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6,435.1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-0.5 %</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-1.9 %</w:t>
            </w:r>
          </w:p>
        </w:tc>
      </w:tr>
      <w:tr>
        <w:trPr>
          <w:trHeight w:val="205"/>
        </w:trPr>
        <w:tc>
          <w:tcPr>
            <w:tcW w:w="31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Northern Europe</w:t>
            </w:r>
          </w:p>
        </w:tc>
        <w:tc>
          <w:tcPr>
            <w:tcW w:w="18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914.2</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954.1</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4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-4.2 %</w:t>
            </w: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-9.5 %</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2,834.3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3,075.7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-7.8 %</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-6.5 %</w:t>
            </w:r>
          </w:p>
        </w:tc>
      </w:tr>
      <w:tr>
        <w:trPr>
          <w:trHeight w:val="213"/>
        </w:trPr>
        <w:tc>
          <w:tcPr>
            <w:tcW w:w="31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APME</w:t>
            </w: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564.8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586.9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-3.8 %</w:t>
            </w:r>
          </w:p>
        </w:tc>
        <w:tc>
          <w:tcPr>
            <w:tcW w:w="102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-1.6 %</w:t>
            </w:r>
          </w:p>
        </w:tc>
        <w:tc>
          <w:tcPr>
            <w:tcW w:w="2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1,770.1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1,808.8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-2.1 %</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3.4 %</w:t>
            </w:r>
          </w:p>
        </w:tc>
      </w:tr>
      <w:tr>
        <w:trPr>
          <w:trHeight w:val="201"/>
        </w:trPr>
        <w:tc>
          <w:tcPr>
            <w:tcW w:w="31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4,699.0</w:t>
            </w: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4,820.6</w:t>
            </w: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8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7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6"/>
              </w:rPr>
              <w:t>14,348.1</w:t>
            </w: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15,073.3</w:t>
            </w:r>
          </w:p>
        </w:tc>
        <w:tc>
          <w:tcPr>
            <w:tcW w:w="1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8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7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40" w:type="dxa"/>
            <w:vAlign w:val="bottom"/>
          </w:tcPr>
          <w:p>
            <w:pPr>
              <w:spacing w:after="0"/>
              <w:rPr>
                <w:sz w:val="17"/>
                <w:szCs w:val="17"/>
                <w:color w:val="auto"/>
              </w:rPr>
            </w:pPr>
          </w:p>
        </w:tc>
      </w:tr>
      <w:tr>
        <w:trPr>
          <w:trHeight w:val="205"/>
        </w:trPr>
        <w:tc>
          <w:tcPr>
            <w:tcW w:w="31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Intercompany Eliminations</w:t>
            </w:r>
          </w:p>
        </w:tc>
        <w:tc>
          <w:tcPr>
            <w:tcW w:w="180" w:type="dxa"/>
            <w:vAlign w:val="bottom"/>
          </w:tcPr>
          <w:p>
            <w:pPr>
              <w:spacing w:after="0"/>
              <w:rPr>
                <w:sz w:val="17"/>
                <w:szCs w:val="17"/>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(23.4 )</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(19.7 )</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(64.1 )</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(55.0 )</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48"/>
        </w:trPr>
        <w:tc>
          <w:tcPr>
            <w:tcW w:w="3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4,675.6</w:t>
            </w: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4,800.9</w:t>
            </w: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CFF0FC"/>
            </w:tcBorders>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-2.6 %</w:t>
            </w:r>
          </w:p>
        </w:tc>
        <w:tc>
          <w:tcPr>
            <w:tcW w:w="88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-5.4 %</w:t>
            </w:r>
          </w:p>
        </w:tc>
        <w:tc>
          <w:tcPr>
            <w:tcW w:w="14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6"/>
              </w:rPr>
              <w:t>14,284.0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15,018.3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-4.9 %</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-3.6 %</w:t>
            </w:r>
          </w:p>
        </w:tc>
      </w:tr>
      <w:tr>
        <w:trPr>
          <w:trHeight w:val="185"/>
        </w:trPr>
        <w:tc>
          <w:tcPr>
            <w:tcW w:w="3100" w:type="dxa"/>
            <w:vAlign w:val="bottom"/>
          </w:tcPr>
          <w:p>
            <w:pPr>
              <w:spacing w:after="0"/>
              <w:rPr>
                <w:sz w:val="20"/>
                <w:szCs w:val="20"/>
                <w:color w:val="auto"/>
              </w:rPr>
            </w:pPr>
            <w:r>
              <w:rPr>
                <w:rFonts w:ascii="Times New Roman" w:cs="Times New Roman" w:eastAsia="Times New Roman" w:hAnsi="Times New Roman"/>
                <w:sz w:val="16"/>
                <w:szCs w:val="16"/>
                <w:color w:val="auto"/>
              </w:rPr>
              <w:t>Operating Unit Profit (Loss):</w:t>
            </w: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16"/>
        </w:trPr>
        <w:tc>
          <w:tcPr>
            <w:tcW w:w="31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Americas:</w:t>
            </w:r>
          </w:p>
        </w:tc>
        <w:tc>
          <w:tcPr>
            <w:tcW w:w="1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r>
      <w:tr>
        <w:trPr>
          <w:trHeight w:val="210"/>
        </w:trPr>
        <w:tc>
          <w:tcPr>
            <w:tcW w:w="31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United States</w:t>
            </w: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w:t>
            </w:r>
          </w:p>
        </w:tc>
        <w:tc>
          <w:tcPr>
            <w:tcW w:w="12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-52.9 %</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-52.9 %</w:t>
            </w:r>
          </w:p>
        </w:tc>
        <w:tc>
          <w:tcPr>
            <w:tcW w:w="140" w:type="dxa"/>
            <w:vAlign w:val="bottom"/>
          </w:tcPr>
          <w:p>
            <w:pPr>
              <w:spacing w:after="0"/>
              <w:rPr>
                <w:sz w:val="18"/>
                <w:szCs w:val="18"/>
                <w:color w:val="auto"/>
              </w:rPr>
            </w:pPr>
          </w:p>
        </w:tc>
        <w:tc>
          <w:tcPr>
            <w:tcW w:w="2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77.6</w:t>
            </w:r>
          </w:p>
        </w:tc>
        <w:tc>
          <w:tcPr>
            <w:tcW w:w="10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-53.3 %</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-53.3 %</w:t>
            </w:r>
          </w:p>
        </w:tc>
      </w:tr>
      <w:tr>
        <w:trPr>
          <w:trHeight w:val="216"/>
        </w:trPr>
        <w:tc>
          <w:tcPr>
            <w:tcW w:w="3100" w:type="dxa"/>
            <w:vAlign w:val="bottom"/>
            <w:tcBorders>
              <w:bottom w:val="single" w:sz="8" w:color="CFF0FC"/>
            </w:tcBorders>
            <w:shd w:val="clear" w:color="auto" w:fill="CFF0FC"/>
          </w:tcPr>
          <w:p>
            <w:pPr>
              <w:ind w:left="400"/>
              <w:spacing w:after="0"/>
              <w:rPr>
                <w:sz w:val="20"/>
                <w:szCs w:val="20"/>
                <w:color w:val="auto"/>
              </w:rPr>
            </w:pPr>
            <w:r>
              <w:rPr>
                <w:rFonts w:ascii="Times New Roman" w:cs="Times New Roman" w:eastAsia="Times New Roman" w:hAnsi="Times New Roman"/>
                <w:sz w:val="16"/>
                <w:szCs w:val="16"/>
                <w:color w:val="auto"/>
              </w:rPr>
              <w:t>Other Americas</w:t>
            </w:r>
          </w:p>
        </w:tc>
        <w:tc>
          <w:tcPr>
            <w:tcW w:w="18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CFF0FC"/>
            </w:tcBorders>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-29.9 %</w:t>
            </w:r>
          </w:p>
        </w:tc>
        <w:tc>
          <w:tcPr>
            <w:tcW w:w="88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-21.1 %</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-11.1 %</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0.7 %</w:t>
            </w:r>
          </w:p>
        </w:tc>
      </w:tr>
      <w:tr>
        <w:trPr>
          <w:trHeight w:val="205"/>
        </w:trPr>
        <w:tc>
          <w:tcPr>
            <w:tcW w:w="3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-46.7 %</w:t>
            </w:r>
          </w:p>
        </w:tc>
        <w:tc>
          <w:tcPr>
            <w:tcW w:w="102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-44.4 %</w:t>
            </w:r>
          </w:p>
        </w:tc>
        <w:tc>
          <w:tcPr>
            <w:tcW w:w="2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224.8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-42.3 %</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-39.3 %</w:t>
            </w:r>
          </w:p>
        </w:tc>
      </w:tr>
      <w:tr>
        <w:trPr>
          <w:trHeight w:val="205"/>
        </w:trPr>
        <w:tc>
          <w:tcPr>
            <w:tcW w:w="31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Southern Europe:</w:t>
            </w:r>
          </w:p>
        </w:tc>
        <w:tc>
          <w:tcPr>
            <w:tcW w:w="1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0" w:type="dxa"/>
            <w:vAlign w:val="bottom"/>
          </w:tcPr>
          <w:p>
            <w:pPr>
              <w:spacing w:after="0"/>
              <w:rPr>
                <w:sz w:val="17"/>
                <w:szCs w:val="17"/>
                <w:color w:val="auto"/>
              </w:rPr>
            </w:pPr>
          </w:p>
        </w:tc>
      </w:tr>
      <w:tr>
        <w:trPr>
          <w:trHeight w:val="206"/>
        </w:trPr>
        <w:tc>
          <w:tcPr>
            <w:tcW w:w="31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France</w:t>
            </w: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-15.5 %</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-21.8 %</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-15.6 %</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-17.3 %</w:t>
            </w:r>
          </w:p>
        </w:tc>
      </w:tr>
      <w:tr>
        <w:trPr>
          <w:trHeight w:val="219"/>
        </w:trPr>
        <w:tc>
          <w:tcPr>
            <w:tcW w:w="310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6"/>
                <w:szCs w:val="16"/>
                <w:color w:val="auto"/>
              </w:rPr>
              <w:t>Italy</w:t>
            </w:r>
          </w:p>
        </w:tc>
        <w:tc>
          <w:tcPr>
            <w:tcW w:w="1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27.0</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29.0</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-6.5 %</w:t>
            </w: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-13.5 %</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0.6 %</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-1.0 %</w:t>
            </w:r>
          </w:p>
        </w:tc>
      </w:tr>
      <w:tr>
        <w:trPr>
          <w:trHeight w:val="213"/>
        </w:trPr>
        <w:tc>
          <w:tcPr>
            <w:tcW w:w="31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Other Southern Europe</w:t>
            </w: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-36.1 %</w:t>
            </w:r>
          </w:p>
        </w:tc>
        <w:tc>
          <w:tcPr>
            <w:tcW w:w="102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-35.8 %</w:t>
            </w:r>
          </w:p>
        </w:tc>
        <w:tc>
          <w:tcPr>
            <w:tcW w:w="2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-32.5 %</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-29.9 %</w:t>
            </w:r>
          </w:p>
        </w:tc>
      </w:tr>
      <w:tr>
        <w:trPr>
          <w:trHeight w:val="205"/>
        </w:trPr>
        <w:tc>
          <w:tcPr>
            <w:tcW w:w="31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84.4</w:t>
            </w: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100.3</w:t>
            </w: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140" w:type="dxa"/>
            <w:vAlign w:val="bottom"/>
            <w:tcBorders>
              <w:bottom w:val="single" w:sz="8" w:color="CFF0FC"/>
            </w:tcBorders>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-15.9 %</w:t>
            </w:r>
          </w:p>
        </w:tc>
        <w:tc>
          <w:tcPr>
            <w:tcW w:w="88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-21.5 %</w:t>
            </w:r>
          </w:p>
        </w:tc>
        <w:tc>
          <w:tcPr>
            <w:tcW w:w="1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266.9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307.2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-13.1 %</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-14.2 %</w:t>
            </w:r>
          </w:p>
        </w:tc>
      </w:tr>
      <w:tr>
        <w:trPr>
          <w:trHeight w:val="201"/>
        </w:trPr>
        <w:tc>
          <w:tcPr>
            <w:tcW w:w="31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Northern Europe</w:t>
            </w:r>
          </w:p>
        </w:tc>
        <w:tc>
          <w:tcPr>
            <w:tcW w:w="180" w:type="dxa"/>
            <w:vAlign w:val="bottom"/>
          </w:tcPr>
          <w:p>
            <w:pPr>
              <w:spacing w:after="0"/>
              <w:rPr>
                <w:sz w:val="17"/>
                <w:szCs w:val="17"/>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(30.6 )</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-341.0 %</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-332.1 %</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(35.3 )</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-231.5 %</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-221.3 %</w:t>
            </w:r>
          </w:p>
        </w:tc>
      </w:tr>
      <w:tr>
        <w:trPr>
          <w:trHeight w:val="216"/>
        </w:trPr>
        <w:tc>
          <w:tcPr>
            <w:tcW w:w="310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APME</w:t>
            </w:r>
          </w:p>
        </w:tc>
        <w:tc>
          <w:tcPr>
            <w:tcW w:w="18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24.2</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23.4</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CFF0FC"/>
            </w:tcBorders>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3.4 %</w:t>
            </w:r>
          </w:p>
        </w:tc>
        <w:tc>
          <w:tcPr>
            <w:tcW w:w="88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7.3 %</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9.4 %</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16.5 %</w:t>
            </w:r>
          </w:p>
        </w:tc>
      </w:tr>
      <w:tr>
        <w:trPr>
          <w:trHeight w:val="201"/>
        </w:trPr>
        <w:tc>
          <w:tcPr>
            <w:tcW w:w="3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432.3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623.8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31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Corporate expenses</w:t>
            </w:r>
          </w:p>
        </w:tc>
        <w:tc>
          <w:tcPr>
            <w:tcW w:w="18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(37.4 )</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(37.0 )</w:t>
            </w: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(110.8 )</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(114.8 )</w:t>
            </w: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r>
      <w:tr>
        <w:trPr>
          <w:trHeight w:val="206"/>
        </w:trPr>
        <w:tc>
          <w:tcPr>
            <w:tcW w:w="3100" w:type="dxa"/>
            <w:vAlign w:val="bottom"/>
          </w:tcPr>
          <w:p>
            <w:pPr>
              <w:spacing w:after="0"/>
              <w:rPr>
                <w:sz w:val="20"/>
                <w:szCs w:val="20"/>
                <w:color w:val="auto"/>
              </w:rPr>
            </w:pPr>
            <w:r>
              <w:rPr>
                <w:rFonts w:ascii="Times New Roman" w:cs="Times New Roman" w:eastAsia="Times New Roman" w:hAnsi="Times New Roman"/>
                <w:sz w:val="16"/>
                <w:szCs w:val="16"/>
                <w:color w:val="auto"/>
              </w:rPr>
              <w:t>Intangible asset amortization expense</w:t>
            </w:r>
          </w:p>
        </w:tc>
        <w:tc>
          <w:tcPr>
            <w:tcW w:w="180" w:type="dxa"/>
            <w:vAlign w:val="bottom"/>
          </w:tcPr>
          <w:p>
            <w:pPr>
              <w:spacing w:after="0"/>
              <w:rPr>
                <w:sz w:val="17"/>
                <w:szCs w:val="17"/>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(8.7 )</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(9.1 )</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(26.2 )</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(28.1 )</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1"/>
        </w:trPr>
        <w:tc>
          <w:tcPr>
            <w:tcW w:w="31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Operating (loss) profit</w:t>
            </w:r>
          </w:p>
        </w:tc>
        <w:tc>
          <w:tcPr>
            <w:tcW w:w="18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69.8</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161.5</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-56.8 %</w:t>
            </w: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-57.9 %</w:t>
            </w:r>
          </w:p>
        </w:tc>
        <w:tc>
          <w:tcPr>
            <w:tcW w:w="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295.3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480.9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-38.6 %</w:t>
            </w: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-36.3 %</w:t>
            </w:r>
          </w:p>
        </w:tc>
      </w:tr>
      <w:tr>
        <w:trPr>
          <w:trHeight w:val="210"/>
        </w:trPr>
        <w:tc>
          <w:tcPr>
            <w:tcW w:w="3100" w:type="dxa"/>
            <w:vAlign w:val="bottom"/>
          </w:tcPr>
          <w:p>
            <w:pPr>
              <w:spacing w:after="0"/>
              <w:rPr>
                <w:sz w:val="20"/>
                <w:szCs w:val="20"/>
                <w:color w:val="auto"/>
              </w:rPr>
            </w:pPr>
            <w:r>
              <w:rPr>
                <w:rFonts w:ascii="Times New Roman" w:cs="Times New Roman" w:eastAsia="Times New Roman" w:hAnsi="Times New Roman"/>
                <w:sz w:val="16"/>
                <w:szCs w:val="16"/>
                <w:color w:val="auto"/>
              </w:rPr>
              <w:t>Interest and other expenses, net</w:t>
            </w:r>
          </w:p>
        </w:tc>
        <w:tc>
          <w:tcPr>
            <w:tcW w:w="1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(15.1 )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(4.7 )</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(34.4 )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(14.1 )</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45"/>
        </w:trPr>
        <w:tc>
          <w:tcPr>
            <w:tcW w:w="310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rPr>
              <w:t>Earnings before income taxes</w:t>
            </w:r>
          </w:p>
        </w:tc>
        <w:tc>
          <w:tcPr>
            <w:tcW w:w="180" w:type="dxa"/>
            <w:vAlign w:val="bottom"/>
            <w:tcBorders>
              <w:top w:val="single" w:sz="8" w:color="auto"/>
              <w:bottom w:val="single" w:sz="8" w:color="auto"/>
            </w:tcBorders>
            <w:shd w:val="clear" w:color="auto" w:fill="CFF0FC"/>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54.7</w:t>
            </w: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156.8</w:t>
            </w: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7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Borders>
              <w:top w:val="single" w:sz="8" w:color="auto"/>
              <w:bottom w:val="single" w:sz="8" w:color="auto"/>
            </w:tcBorders>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260.9</w:t>
            </w: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466.8</w:t>
            </w:r>
          </w:p>
        </w:tc>
        <w:tc>
          <w:tcPr>
            <w:tcW w:w="1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8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7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40" w:type="dxa"/>
            <w:vAlign w:val="bottom"/>
          </w:tcPr>
          <w:p>
            <w:pPr>
              <w:spacing w:after="0"/>
              <w:rPr>
                <w:sz w:val="21"/>
                <w:szCs w:val="21"/>
                <w:color w:val="auto"/>
              </w:rPr>
            </w:pPr>
          </w:p>
        </w:tc>
      </w:tr>
      <w:tr>
        <w:trPr>
          <w:trHeight w:val="834"/>
        </w:trPr>
        <w:tc>
          <w:tcPr>
            <w:tcW w:w="3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4630420</wp:posOffset>
            </wp:positionH>
            <wp:positionV relativeFrom="paragraph">
              <wp:posOffset>-4895850</wp:posOffset>
            </wp:positionV>
            <wp:extent cx="2515870" cy="135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515870" cy="13525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-4482465</wp:posOffset>
            </wp:positionV>
            <wp:extent cx="74930" cy="762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3113405</wp:posOffset>
            </wp:positionH>
            <wp:positionV relativeFrom="paragraph">
              <wp:posOffset>-4482465</wp:posOffset>
            </wp:positionV>
            <wp:extent cx="74930" cy="762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4630420</wp:posOffset>
            </wp:positionH>
            <wp:positionV relativeFrom="paragraph">
              <wp:posOffset>-4617720</wp:posOffset>
            </wp:positionV>
            <wp:extent cx="2515870" cy="14287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515870" cy="142875"/>
                    </a:xfrm>
                    <a:prstGeom prst="rect">
                      <a:avLst/>
                    </a:prstGeom>
                    <a:noFill/>
                  </pic:spPr>
                </pic:pic>
              </a:graphicData>
            </a:graphic>
          </wp:anchor>
        </w:drawing>
        <w:drawing>
          <wp:anchor simplePos="0" relativeHeight="251657728" behindDoc="1" locked="0" layoutInCell="0" allowOverlap="1">
            <wp:simplePos x="0" y="0"/>
            <wp:positionH relativeFrom="column">
              <wp:posOffset>4630420</wp:posOffset>
            </wp:positionH>
            <wp:positionV relativeFrom="paragraph">
              <wp:posOffset>-4340225</wp:posOffset>
            </wp:positionV>
            <wp:extent cx="2515870" cy="135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515870" cy="13525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-3934460</wp:posOffset>
            </wp:positionV>
            <wp:extent cx="74930" cy="762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3113405</wp:posOffset>
            </wp:positionH>
            <wp:positionV relativeFrom="paragraph">
              <wp:posOffset>-3934460</wp:posOffset>
            </wp:positionV>
            <wp:extent cx="74930" cy="762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4630420</wp:posOffset>
            </wp:positionH>
            <wp:positionV relativeFrom="paragraph">
              <wp:posOffset>-4069715</wp:posOffset>
            </wp:positionV>
            <wp:extent cx="2515870" cy="14287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515870" cy="142875"/>
                    </a:xfrm>
                    <a:prstGeom prst="rect">
                      <a:avLst/>
                    </a:prstGeom>
                    <a:noFill/>
                  </pic:spPr>
                </pic:pic>
              </a:graphicData>
            </a:graphic>
          </wp:anchor>
        </w:drawing>
        <w:drawing>
          <wp:anchor simplePos="0" relativeHeight="251657728" behindDoc="1" locked="0" layoutInCell="0" allowOverlap="1">
            <wp:simplePos x="0" y="0"/>
            <wp:positionH relativeFrom="column">
              <wp:posOffset>4630420</wp:posOffset>
            </wp:positionH>
            <wp:positionV relativeFrom="paragraph">
              <wp:posOffset>-3784600</wp:posOffset>
            </wp:positionV>
            <wp:extent cx="2515870" cy="135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515870" cy="13525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-3371215</wp:posOffset>
            </wp:positionV>
            <wp:extent cx="74930" cy="762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3113405</wp:posOffset>
            </wp:positionH>
            <wp:positionV relativeFrom="paragraph">
              <wp:posOffset>-3371215</wp:posOffset>
            </wp:positionV>
            <wp:extent cx="74930" cy="762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5125720</wp:posOffset>
            </wp:positionH>
            <wp:positionV relativeFrom="paragraph">
              <wp:posOffset>-3371215</wp:posOffset>
            </wp:positionV>
            <wp:extent cx="67310" cy="762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5756275</wp:posOffset>
            </wp:positionH>
            <wp:positionV relativeFrom="paragraph">
              <wp:posOffset>-3371215</wp:posOffset>
            </wp:positionV>
            <wp:extent cx="67310" cy="762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-3086100</wp:posOffset>
            </wp:positionV>
            <wp:extent cx="74930" cy="762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-3070860</wp:posOffset>
            </wp:positionV>
            <wp:extent cx="74930" cy="762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3113405</wp:posOffset>
            </wp:positionH>
            <wp:positionV relativeFrom="paragraph">
              <wp:posOffset>-3086100</wp:posOffset>
            </wp:positionV>
            <wp:extent cx="74930" cy="762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3113405</wp:posOffset>
            </wp:positionH>
            <wp:positionV relativeFrom="paragraph">
              <wp:posOffset>-3070860</wp:posOffset>
            </wp:positionV>
            <wp:extent cx="74930" cy="762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4630420</wp:posOffset>
            </wp:positionH>
            <wp:positionV relativeFrom="paragraph">
              <wp:posOffset>-3221355</wp:posOffset>
            </wp:positionV>
            <wp:extent cx="2515870" cy="15748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515870" cy="157480"/>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-2522855</wp:posOffset>
            </wp:positionV>
            <wp:extent cx="74930" cy="762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3113405</wp:posOffset>
            </wp:positionH>
            <wp:positionV relativeFrom="paragraph">
              <wp:posOffset>-2522855</wp:posOffset>
            </wp:positionV>
            <wp:extent cx="74930" cy="762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4630420</wp:posOffset>
            </wp:positionH>
            <wp:positionV relativeFrom="paragraph">
              <wp:posOffset>-2658110</wp:posOffset>
            </wp:positionV>
            <wp:extent cx="2515870" cy="14287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515870" cy="142875"/>
                    </a:xfrm>
                    <a:prstGeom prst="rect">
                      <a:avLst/>
                    </a:prstGeom>
                    <a:noFill/>
                  </pic:spPr>
                </pic:pic>
              </a:graphicData>
            </a:graphic>
          </wp:anchor>
        </w:drawing>
        <w:drawing>
          <wp:anchor simplePos="0" relativeHeight="251657728" behindDoc="1" locked="0" layoutInCell="0" allowOverlap="1">
            <wp:simplePos x="0" y="0"/>
            <wp:positionH relativeFrom="column">
              <wp:posOffset>4630420</wp:posOffset>
            </wp:positionH>
            <wp:positionV relativeFrom="paragraph">
              <wp:posOffset>-2101850</wp:posOffset>
            </wp:positionV>
            <wp:extent cx="2515870" cy="135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515870" cy="13525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-1689100</wp:posOffset>
            </wp:positionV>
            <wp:extent cx="74930" cy="762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3113405</wp:posOffset>
            </wp:positionH>
            <wp:positionV relativeFrom="paragraph">
              <wp:posOffset>-1689100</wp:posOffset>
            </wp:positionV>
            <wp:extent cx="74930" cy="762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4630420</wp:posOffset>
            </wp:positionH>
            <wp:positionV relativeFrom="paragraph">
              <wp:posOffset>-1824355</wp:posOffset>
            </wp:positionV>
            <wp:extent cx="2515870" cy="14287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515870" cy="14287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-1410970</wp:posOffset>
            </wp:positionV>
            <wp:extent cx="74930" cy="762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3113405</wp:posOffset>
            </wp:positionH>
            <wp:positionV relativeFrom="paragraph">
              <wp:posOffset>-1410970</wp:posOffset>
            </wp:positionV>
            <wp:extent cx="74930" cy="762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4630420</wp:posOffset>
            </wp:positionH>
            <wp:positionV relativeFrom="paragraph">
              <wp:posOffset>-1546225</wp:posOffset>
            </wp:positionV>
            <wp:extent cx="2515870" cy="14287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515870" cy="142875"/>
                    </a:xfrm>
                    <a:prstGeom prst="rect">
                      <a:avLst/>
                    </a:prstGeom>
                    <a:noFill/>
                  </pic:spPr>
                </pic:pic>
              </a:graphicData>
            </a:graphic>
          </wp:anchor>
        </w:drawing>
        <w:drawing>
          <wp:anchor simplePos="0" relativeHeight="251657728" behindDoc="1" locked="0" layoutInCell="0" allowOverlap="1">
            <wp:simplePos x="0" y="0"/>
            <wp:positionH relativeFrom="column">
              <wp:posOffset>4630420</wp:posOffset>
            </wp:positionH>
            <wp:positionV relativeFrom="paragraph">
              <wp:posOffset>-990600</wp:posOffset>
            </wp:positionV>
            <wp:extent cx="2515870" cy="135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515870" cy="13525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-577850</wp:posOffset>
            </wp:positionV>
            <wp:extent cx="74930" cy="762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-562610</wp:posOffset>
            </wp:positionV>
            <wp:extent cx="74930" cy="762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3113405</wp:posOffset>
            </wp:positionH>
            <wp:positionV relativeFrom="paragraph">
              <wp:posOffset>-577850</wp:posOffset>
            </wp:positionV>
            <wp:extent cx="74930" cy="762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3113405</wp:posOffset>
            </wp:positionH>
            <wp:positionV relativeFrom="paragraph">
              <wp:posOffset>-562610</wp:posOffset>
            </wp:positionV>
            <wp:extent cx="74930" cy="762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5125720</wp:posOffset>
            </wp:positionH>
            <wp:positionV relativeFrom="paragraph">
              <wp:posOffset>-577850</wp:posOffset>
            </wp:positionV>
            <wp:extent cx="67310" cy="762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5125720</wp:posOffset>
            </wp:positionH>
            <wp:positionV relativeFrom="paragraph">
              <wp:posOffset>-562610</wp:posOffset>
            </wp:positionV>
            <wp:extent cx="67310" cy="762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5756275</wp:posOffset>
            </wp:positionH>
            <wp:positionV relativeFrom="paragraph">
              <wp:posOffset>-577850</wp:posOffset>
            </wp:positionV>
            <wp:extent cx="67310" cy="762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5756275</wp:posOffset>
            </wp:positionH>
            <wp:positionV relativeFrom="paragraph">
              <wp:posOffset>-562610</wp:posOffset>
            </wp:positionV>
            <wp:extent cx="67310" cy="762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300"/>
          </w:cols>
          <w:pgMar w:left="320" w:top="890" w:right="27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14"/>
        </w:trPr>
        <w:tc>
          <w:tcPr>
            <w:tcW w:w="3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10"/>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December 31</w:t>
            </w:r>
          </w:p>
        </w:tc>
        <w:tc>
          <w:tcPr>
            <w:tcW w:w="7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7"/>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8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tcBorders>
              <w:bottom w:val="single" w:sz="8" w:color="auto"/>
            </w:tcBorders>
            <w:gridSpan w:val="4"/>
          </w:tcPr>
          <w:p>
            <w:pPr>
              <w:ind w:left="560"/>
              <w:spacing w:after="0"/>
              <w:rPr>
                <w:sz w:val="20"/>
                <w:szCs w:val="20"/>
                <w:color w:val="auto"/>
              </w:rPr>
            </w:pPr>
            <w:r>
              <w:rPr>
                <w:rFonts w:ascii="Times New Roman" w:cs="Times New Roman" w:eastAsia="Times New Roman" w:hAnsi="Times New Roman"/>
                <w:sz w:val="16"/>
                <w:szCs w:val="16"/>
                <w:b w:val="1"/>
                <w:bCs w:val="1"/>
                <w:color w:val="auto"/>
              </w:rPr>
              <w:t>% Variance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tcBorders>
              <w:bottom w:val="single" w:sz="8" w:color="auto"/>
            </w:tcBorders>
            <w:gridSpan w:val="4"/>
          </w:tcPr>
          <w:p>
            <w:pPr>
              <w:ind w:left="540"/>
              <w:spacing w:after="0"/>
              <w:rPr>
                <w:sz w:val="20"/>
                <w:szCs w:val="20"/>
                <w:color w:val="auto"/>
              </w:rPr>
            </w:pPr>
            <w:r>
              <w:rPr>
                <w:rFonts w:ascii="Times New Roman" w:cs="Times New Roman" w:eastAsia="Times New Roman" w:hAnsi="Times New Roman"/>
                <w:sz w:val="16"/>
                <w:szCs w:val="16"/>
                <w:b w:val="1"/>
                <w:bCs w:val="1"/>
                <w:color w:val="auto"/>
              </w:rPr>
              <w:t>% Variance</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3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3"/>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78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Constant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3"/>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2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Constant</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3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Reported</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Currency</w:t>
            </w:r>
          </w:p>
        </w:tc>
        <w:tc>
          <w:tcPr>
            <w:tcW w:w="260" w:type="dxa"/>
            <w:vAlign w:val="bottom"/>
            <w:gridSpan w:val="2"/>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rPr>
              <w:t>Reported</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Currency</w:t>
            </w:r>
          </w:p>
        </w:tc>
        <w:tc>
          <w:tcPr>
            <w:tcW w:w="1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(Unaudited)</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Revenues from Services:</w:t>
            </w:r>
          </w:p>
        </w:tc>
        <w:tc>
          <w:tcPr>
            <w:tcW w:w="1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1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Americas:</w:t>
            </w: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10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6"/>
                <w:szCs w:val="16"/>
                <w:color w:val="auto"/>
              </w:rPr>
              <w:t>United States</w:t>
            </w:r>
          </w:p>
        </w:tc>
        <w:tc>
          <w:tcPr>
            <w:tcW w:w="180" w:type="dxa"/>
            <w:vAlign w:val="bottom"/>
            <w:shd w:val="clear" w:color="auto" w:fill="CFF0FC"/>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685.2</w:t>
            </w:r>
          </w:p>
        </w:tc>
        <w:tc>
          <w:tcPr>
            <w:tcW w:w="12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789.3</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-13.2 %</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-13.2 %</w:t>
            </w:r>
          </w:p>
        </w:tc>
        <w:tc>
          <w:tcPr>
            <w:tcW w:w="140" w:type="dxa"/>
            <w:vAlign w:val="bottom"/>
          </w:tcPr>
          <w:p>
            <w:pPr>
              <w:spacing w:after="0"/>
              <w:rPr>
                <w:sz w:val="19"/>
                <w:szCs w:val="19"/>
                <w:color w:val="auto"/>
              </w:rPr>
            </w:pPr>
          </w:p>
        </w:tc>
        <w:tc>
          <w:tcPr>
            <w:tcW w:w="2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2,866.2</w:t>
            </w:r>
          </w:p>
        </w:tc>
        <w:tc>
          <w:tcPr>
            <w:tcW w:w="10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3,368.1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-14.9 %</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-14.9 %</w:t>
            </w:r>
          </w:p>
        </w:tc>
        <w:tc>
          <w:tcPr>
            <w:tcW w:w="0" w:type="dxa"/>
            <w:vAlign w:val="bottom"/>
          </w:tcPr>
          <w:p>
            <w:pPr>
              <w:spacing w:after="0"/>
              <w:rPr>
                <w:sz w:val="1"/>
                <w:szCs w:val="1"/>
                <w:color w:val="auto"/>
              </w:rPr>
            </w:pPr>
          </w:p>
        </w:tc>
      </w:tr>
      <w:tr>
        <w:trPr>
          <w:trHeight w:val="213"/>
        </w:trPr>
        <w:tc>
          <w:tcPr>
            <w:tcW w:w="31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Other Americas</w:t>
            </w: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389.4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392.7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-0.8 %</w:t>
            </w:r>
          </w:p>
        </w:tc>
        <w:tc>
          <w:tcPr>
            <w:tcW w:w="104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13.1 %</w:t>
            </w:r>
          </w:p>
        </w:tc>
        <w:tc>
          <w:tcPr>
            <w:tcW w:w="2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1,548.6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1,567.6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-1.2 %</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10.7 %</w:t>
            </w:r>
          </w:p>
        </w:tc>
        <w:tc>
          <w:tcPr>
            <w:tcW w:w="0" w:type="dxa"/>
            <w:vAlign w:val="bottom"/>
          </w:tcPr>
          <w:p>
            <w:pPr>
              <w:spacing w:after="0"/>
              <w:rPr>
                <w:sz w:val="1"/>
                <w:szCs w:val="1"/>
                <w:color w:val="auto"/>
              </w:rPr>
            </w:pPr>
          </w:p>
        </w:tc>
      </w:tr>
      <w:tr>
        <w:trPr>
          <w:trHeight w:val="205"/>
        </w:trPr>
        <w:tc>
          <w:tcPr>
            <w:tcW w:w="31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1,074.6</w:t>
            </w: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1,182.0</w:t>
            </w: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120" w:type="dxa"/>
            <w:vAlign w:val="bottom"/>
            <w:tcBorders>
              <w:bottom w:val="single" w:sz="8" w:color="CFF0FC"/>
            </w:tcBorders>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-9.1 %</w:t>
            </w:r>
          </w:p>
        </w:tc>
        <w:tc>
          <w:tcPr>
            <w:tcW w:w="90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-4.5 %</w:t>
            </w:r>
          </w:p>
        </w:tc>
        <w:tc>
          <w:tcPr>
            <w:tcW w:w="1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4,414.8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4,935.7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-10.6 %</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-6.8 %</w:t>
            </w:r>
          </w:p>
        </w:tc>
        <w:tc>
          <w:tcPr>
            <w:tcW w:w="0" w:type="dxa"/>
            <w:vAlign w:val="bottom"/>
          </w:tcPr>
          <w:p>
            <w:pPr>
              <w:spacing w:after="0"/>
              <w:rPr>
                <w:sz w:val="1"/>
                <w:szCs w:val="1"/>
                <w:color w:val="auto"/>
              </w:rPr>
            </w:pPr>
          </w:p>
        </w:tc>
      </w:tr>
      <w:tr>
        <w:trPr>
          <w:trHeight w:val="198"/>
        </w:trPr>
        <w:tc>
          <w:tcPr>
            <w:tcW w:w="31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Southern Europe:</w:t>
            </w: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10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6"/>
                <w:szCs w:val="16"/>
                <w:color w:val="auto"/>
              </w:rPr>
              <w:t>France</w:t>
            </w:r>
          </w:p>
        </w:tc>
        <w:tc>
          <w:tcPr>
            <w:tcW w:w="1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1,209.7</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1,194.9</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1.2 %</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-4.1 %</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4,867.1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4,785.0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1.7 %</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0" w:type="dxa"/>
            <w:vAlign w:val="bottom"/>
          </w:tcPr>
          <w:p>
            <w:pPr>
              <w:spacing w:after="0"/>
              <w:rPr>
                <w:sz w:val="1"/>
                <w:szCs w:val="1"/>
                <w:color w:val="auto"/>
              </w:rPr>
            </w:pPr>
          </w:p>
        </w:tc>
      </w:tr>
      <w:tr>
        <w:trPr>
          <w:trHeight w:val="210"/>
        </w:trPr>
        <w:tc>
          <w:tcPr>
            <w:tcW w:w="31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Italy</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415.1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0.6 %</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-4.6 %</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1,708.8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1,706.9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0.1 %</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-2.5 %</w:t>
            </w:r>
          </w:p>
        </w:tc>
        <w:tc>
          <w:tcPr>
            <w:tcW w:w="0" w:type="dxa"/>
            <w:vAlign w:val="bottom"/>
          </w:tcPr>
          <w:p>
            <w:pPr>
              <w:spacing w:after="0"/>
              <w:rPr>
                <w:sz w:val="1"/>
                <w:szCs w:val="1"/>
                <w:color w:val="auto"/>
              </w:rPr>
            </w:pPr>
          </w:p>
        </w:tc>
      </w:tr>
      <w:tr>
        <w:trPr>
          <w:trHeight w:val="216"/>
        </w:trPr>
        <w:tc>
          <w:tcPr>
            <w:tcW w:w="3100" w:type="dxa"/>
            <w:vAlign w:val="bottom"/>
            <w:tcBorders>
              <w:bottom w:val="single" w:sz="8" w:color="CFF0FC"/>
            </w:tcBorders>
            <w:shd w:val="clear" w:color="auto" w:fill="CFF0FC"/>
          </w:tcPr>
          <w:p>
            <w:pPr>
              <w:ind w:left="400"/>
              <w:spacing w:after="0"/>
              <w:rPr>
                <w:sz w:val="20"/>
                <w:szCs w:val="20"/>
                <w:color w:val="auto"/>
              </w:rPr>
            </w:pPr>
            <w:r>
              <w:rPr>
                <w:rFonts w:ascii="Times New Roman" w:cs="Times New Roman" w:eastAsia="Times New Roman" w:hAnsi="Times New Roman"/>
                <w:sz w:val="16"/>
                <w:szCs w:val="16"/>
                <w:color w:val="auto"/>
              </w:rPr>
              <w:t>Other Southern Europe</w:t>
            </w:r>
          </w:p>
        </w:tc>
        <w:tc>
          <w:tcPr>
            <w:tcW w:w="18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487.0</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493.8</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CFF0FC"/>
            </w:tcBorders>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-1.4 %</w:t>
            </w:r>
          </w:p>
        </w:tc>
        <w:tc>
          <w:tcPr>
            <w:tcW w:w="90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-3.7 %</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1,939.4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2,044.4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-5.1 %</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-5.7 %</w:t>
            </w:r>
          </w:p>
        </w:tc>
        <w:tc>
          <w:tcPr>
            <w:tcW w:w="0" w:type="dxa"/>
            <w:vAlign w:val="bottom"/>
          </w:tcPr>
          <w:p>
            <w:pPr>
              <w:spacing w:after="0"/>
              <w:rPr>
                <w:sz w:val="1"/>
                <w:szCs w:val="1"/>
                <w:color w:val="auto"/>
              </w:rPr>
            </w:pPr>
          </w:p>
        </w:tc>
      </w:tr>
      <w:tr>
        <w:trPr>
          <w:trHeight w:val="205"/>
        </w:trPr>
        <w:tc>
          <w:tcPr>
            <w:tcW w:w="3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2,111.8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2,101.2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0.5 %</w:t>
            </w:r>
          </w:p>
        </w:tc>
        <w:tc>
          <w:tcPr>
            <w:tcW w:w="104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-4.1 %</w:t>
            </w:r>
          </w:p>
        </w:tc>
        <w:tc>
          <w:tcPr>
            <w:tcW w:w="2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8,515.3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8,536.3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-0.2 %</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-2.4 %</w:t>
            </w:r>
          </w:p>
        </w:tc>
        <w:tc>
          <w:tcPr>
            <w:tcW w:w="0" w:type="dxa"/>
            <w:vAlign w:val="bottom"/>
          </w:tcPr>
          <w:p>
            <w:pPr>
              <w:spacing w:after="0"/>
              <w:rPr>
                <w:sz w:val="1"/>
                <w:szCs w:val="1"/>
                <w:color w:val="auto"/>
              </w:rPr>
            </w:pPr>
          </w:p>
        </w:tc>
      </w:tr>
      <w:tr>
        <w:trPr>
          <w:trHeight w:val="205"/>
        </w:trPr>
        <w:tc>
          <w:tcPr>
            <w:tcW w:w="31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Northern Europe</w:t>
            </w:r>
          </w:p>
        </w:tc>
        <w:tc>
          <w:tcPr>
            <w:tcW w:w="18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913.7</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972.6</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2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-6.1 %</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-10.1 %</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3,748.0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4,048.3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-7.4 %</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-7.3 %</w:t>
            </w:r>
          </w:p>
        </w:tc>
        <w:tc>
          <w:tcPr>
            <w:tcW w:w="0" w:type="dxa"/>
            <w:vAlign w:val="bottom"/>
          </w:tcPr>
          <w:p>
            <w:pPr>
              <w:spacing w:after="0"/>
              <w:rPr>
                <w:sz w:val="1"/>
                <w:szCs w:val="1"/>
                <w:color w:val="auto"/>
              </w:rPr>
            </w:pPr>
          </w:p>
        </w:tc>
      </w:tr>
      <w:tr>
        <w:trPr>
          <w:trHeight w:val="213"/>
        </w:trPr>
        <w:tc>
          <w:tcPr>
            <w:tcW w:w="31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APME</w:t>
            </w: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552.2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578.5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-4.5 %</w:t>
            </w:r>
          </w:p>
        </w:tc>
        <w:tc>
          <w:tcPr>
            <w:tcW w:w="104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-2.7 %</w:t>
            </w:r>
          </w:p>
        </w:tc>
        <w:tc>
          <w:tcPr>
            <w:tcW w:w="2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2,322.3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2,387.3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-2.7 %</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1.9 %</w:t>
            </w:r>
          </w:p>
        </w:tc>
        <w:tc>
          <w:tcPr>
            <w:tcW w:w="0" w:type="dxa"/>
            <w:vAlign w:val="bottom"/>
          </w:tcPr>
          <w:p>
            <w:pPr>
              <w:spacing w:after="0"/>
              <w:rPr>
                <w:sz w:val="1"/>
                <w:szCs w:val="1"/>
                <w:color w:val="auto"/>
              </w:rPr>
            </w:pPr>
          </w:p>
        </w:tc>
      </w:tr>
      <w:tr>
        <w:trPr>
          <w:trHeight w:val="201"/>
        </w:trPr>
        <w:tc>
          <w:tcPr>
            <w:tcW w:w="31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4,652.3</w:t>
            </w: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4,834.3</w:t>
            </w: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8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CFF0FC"/>
            </w:tcBorders>
            <w:shd w:val="clear" w:color="auto" w:fill="CFF0FC"/>
          </w:tcPr>
          <w:p>
            <w:pPr>
              <w:spacing w:after="0"/>
              <w:rPr>
                <w:sz w:val="17"/>
                <w:szCs w:val="17"/>
                <w:color w:val="auto"/>
              </w:rPr>
            </w:pPr>
          </w:p>
        </w:tc>
        <w:tc>
          <w:tcPr>
            <w:tcW w:w="7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6"/>
              </w:rPr>
              <w:t>19,000.4</w:t>
            </w: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19,907.6</w:t>
            </w:r>
          </w:p>
        </w:tc>
        <w:tc>
          <w:tcPr>
            <w:tcW w:w="1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8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8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1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Intercompany Eliminations</w:t>
            </w:r>
          </w:p>
        </w:tc>
        <w:tc>
          <w:tcPr>
            <w:tcW w:w="180" w:type="dxa"/>
            <w:vAlign w:val="bottom"/>
          </w:tcPr>
          <w:p>
            <w:pPr>
              <w:spacing w:after="0"/>
              <w:rPr>
                <w:sz w:val="17"/>
                <w:szCs w:val="17"/>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(21.8 )</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(25.1 )</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(85.9 )</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(80.1 )</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3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4,630.5</w:t>
            </w: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4,809.2</w:t>
            </w: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CFF0FC"/>
            </w:tcBorders>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-3.7 %</w:t>
            </w:r>
          </w:p>
        </w:tc>
        <w:tc>
          <w:tcPr>
            <w:tcW w:w="90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-5.2 %</w:t>
            </w:r>
          </w:p>
        </w:tc>
        <w:tc>
          <w:tcPr>
            <w:tcW w:w="14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6"/>
              </w:rPr>
              <w:t>18,914.5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19,827.5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-4.6 %</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-4.0 %</w:t>
            </w:r>
          </w:p>
        </w:tc>
        <w:tc>
          <w:tcPr>
            <w:tcW w:w="0" w:type="dxa"/>
            <w:vAlign w:val="bottom"/>
          </w:tcPr>
          <w:p>
            <w:pPr>
              <w:spacing w:after="0"/>
              <w:rPr>
                <w:sz w:val="1"/>
                <w:szCs w:val="1"/>
                <w:color w:val="auto"/>
              </w:rPr>
            </w:pPr>
          </w:p>
        </w:tc>
      </w:tr>
      <w:tr>
        <w:trPr>
          <w:trHeight w:val="185"/>
        </w:trPr>
        <w:tc>
          <w:tcPr>
            <w:tcW w:w="3100" w:type="dxa"/>
            <w:vAlign w:val="bottom"/>
          </w:tcPr>
          <w:p>
            <w:pPr>
              <w:spacing w:after="0"/>
              <w:rPr>
                <w:sz w:val="20"/>
                <w:szCs w:val="20"/>
                <w:color w:val="auto"/>
              </w:rPr>
            </w:pPr>
            <w:r>
              <w:rPr>
                <w:rFonts w:ascii="Times New Roman" w:cs="Times New Roman" w:eastAsia="Times New Roman" w:hAnsi="Times New Roman"/>
                <w:sz w:val="16"/>
                <w:szCs w:val="16"/>
                <w:color w:val="auto"/>
              </w:rPr>
              <w:t>Operating Unit Profit (Loss):</w:t>
            </w: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1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Americas:</w:t>
            </w:r>
          </w:p>
        </w:tc>
        <w:tc>
          <w:tcPr>
            <w:tcW w:w="1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United States</w:t>
            </w: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12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-56.1 %</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-56.1 %</w:t>
            </w:r>
          </w:p>
        </w:tc>
        <w:tc>
          <w:tcPr>
            <w:tcW w:w="140" w:type="dxa"/>
            <w:vAlign w:val="bottom"/>
          </w:tcPr>
          <w:p>
            <w:pPr>
              <w:spacing w:after="0"/>
              <w:rPr>
                <w:sz w:val="18"/>
                <w:szCs w:val="18"/>
                <w:color w:val="auto"/>
              </w:rPr>
            </w:pPr>
          </w:p>
        </w:tc>
        <w:tc>
          <w:tcPr>
            <w:tcW w:w="2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94.4</w:t>
            </w:r>
          </w:p>
        </w:tc>
        <w:tc>
          <w:tcPr>
            <w:tcW w:w="10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-53.8 %</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-53.8 %</w:t>
            </w:r>
          </w:p>
        </w:tc>
        <w:tc>
          <w:tcPr>
            <w:tcW w:w="0" w:type="dxa"/>
            <w:vAlign w:val="bottom"/>
          </w:tcPr>
          <w:p>
            <w:pPr>
              <w:spacing w:after="0"/>
              <w:rPr>
                <w:sz w:val="1"/>
                <w:szCs w:val="1"/>
                <w:color w:val="auto"/>
              </w:rPr>
            </w:pPr>
          </w:p>
        </w:tc>
      </w:tr>
      <w:tr>
        <w:trPr>
          <w:trHeight w:val="216"/>
        </w:trPr>
        <w:tc>
          <w:tcPr>
            <w:tcW w:w="3100" w:type="dxa"/>
            <w:vAlign w:val="bottom"/>
            <w:tcBorders>
              <w:bottom w:val="single" w:sz="8" w:color="CFF0FC"/>
            </w:tcBorders>
            <w:shd w:val="clear" w:color="auto" w:fill="CFF0FC"/>
          </w:tcPr>
          <w:p>
            <w:pPr>
              <w:ind w:left="400"/>
              <w:spacing w:after="0"/>
              <w:rPr>
                <w:sz w:val="20"/>
                <w:szCs w:val="20"/>
                <w:color w:val="auto"/>
              </w:rPr>
            </w:pPr>
            <w:r>
              <w:rPr>
                <w:rFonts w:ascii="Times New Roman" w:cs="Times New Roman" w:eastAsia="Times New Roman" w:hAnsi="Times New Roman"/>
                <w:sz w:val="16"/>
                <w:szCs w:val="16"/>
                <w:color w:val="auto"/>
              </w:rPr>
              <w:t>Other Americas</w:t>
            </w:r>
          </w:p>
        </w:tc>
        <w:tc>
          <w:tcPr>
            <w:tcW w:w="18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19.7</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CFF0FC"/>
            </w:tcBorders>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-2.5 %</w:t>
            </w:r>
          </w:p>
        </w:tc>
        <w:tc>
          <w:tcPr>
            <w:tcW w:w="90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18.9 %</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-8.9 %</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5.2 %</w:t>
            </w:r>
          </w:p>
        </w:tc>
        <w:tc>
          <w:tcPr>
            <w:tcW w:w="0" w:type="dxa"/>
            <w:vAlign w:val="bottom"/>
          </w:tcPr>
          <w:p>
            <w:pPr>
              <w:spacing w:after="0"/>
              <w:rPr>
                <w:sz w:val="1"/>
                <w:szCs w:val="1"/>
                <w:color w:val="auto"/>
              </w:rPr>
            </w:pPr>
          </w:p>
        </w:tc>
      </w:tr>
      <w:tr>
        <w:trPr>
          <w:trHeight w:val="205"/>
        </w:trPr>
        <w:tc>
          <w:tcPr>
            <w:tcW w:w="3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-37.9 %</w:t>
            </w:r>
          </w:p>
        </w:tc>
        <w:tc>
          <w:tcPr>
            <w:tcW w:w="104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-30.6 %</w:t>
            </w:r>
          </w:p>
        </w:tc>
        <w:tc>
          <w:tcPr>
            <w:tcW w:w="2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282.6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-41.4 %</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-37.5 %</w:t>
            </w:r>
          </w:p>
        </w:tc>
        <w:tc>
          <w:tcPr>
            <w:tcW w:w="0" w:type="dxa"/>
            <w:vAlign w:val="bottom"/>
          </w:tcPr>
          <w:p>
            <w:pPr>
              <w:spacing w:after="0"/>
              <w:rPr>
                <w:sz w:val="1"/>
                <w:szCs w:val="1"/>
                <w:color w:val="auto"/>
              </w:rPr>
            </w:pPr>
          </w:p>
        </w:tc>
      </w:tr>
      <w:tr>
        <w:trPr>
          <w:trHeight w:val="205"/>
        </w:trPr>
        <w:tc>
          <w:tcPr>
            <w:tcW w:w="31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Southern Europe:</w:t>
            </w:r>
          </w:p>
        </w:tc>
        <w:tc>
          <w:tcPr>
            <w:tcW w:w="1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1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France</w:t>
            </w: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-21.0 %</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-25.4 %</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-17.0 %</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-19.3 %</w:t>
            </w:r>
          </w:p>
        </w:tc>
        <w:tc>
          <w:tcPr>
            <w:tcW w:w="0" w:type="dxa"/>
            <w:vAlign w:val="bottom"/>
          </w:tcPr>
          <w:p>
            <w:pPr>
              <w:spacing w:after="0"/>
              <w:rPr>
                <w:sz w:val="1"/>
                <w:szCs w:val="1"/>
                <w:color w:val="auto"/>
              </w:rPr>
            </w:pPr>
          </w:p>
        </w:tc>
      </w:tr>
      <w:tr>
        <w:trPr>
          <w:trHeight w:val="219"/>
        </w:trPr>
        <w:tc>
          <w:tcPr>
            <w:tcW w:w="310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6"/>
                <w:szCs w:val="16"/>
                <w:color w:val="auto"/>
              </w:rPr>
              <w:t>Italy</w:t>
            </w:r>
          </w:p>
        </w:tc>
        <w:tc>
          <w:tcPr>
            <w:tcW w:w="1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30.7</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29.4</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4.1 %</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-1.5 %</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1.5 %</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0" w:type="dxa"/>
            <w:vAlign w:val="bottom"/>
          </w:tcPr>
          <w:p>
            <w:pPr>
              <w:spacing w:after="0"/>
              <w:rPr>
                <w:sz w:val="1"/>
                <w:szCs w:val="1"/>
                <w:color w:val="auto"/>
              </w:rPr>
            </w:pPr>
          </w:p>
        </w:tc>
      </w:tr>
      <w:tr>
        <w:trPr>
          <w:trHeight w:val="213"/>
        </w:trPr>
        <w:tc>
          <w:tcPr>
            <w:tcW w:w="31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Other Southern Europe</w:t>
            </w: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-21.8 %</w:t>
            </w:r>
          </w:p>
        </w:tc>
        <w:tc>
          <w:tcPr>
            <w:tcW w:w="104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-22.1 %</w:t>
            </w:r>
          </w:p>
        </w:tc>
        <w:tc>
          <w:tcPr>
            <w:tcW w:w="2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-29.4 %</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-27.7 %</w:t>
            </w:r>
          </w:p>
        </w:tc>
        <w:tc>
          <w:tcPr>
            <w:tcW w:w="0" w:type="dxa"/>
            <w:vAlign w:val="bottom"/>
          </w:tcPr>
          <w:p>
            <w:pPr>
              <w:spacing w:after="0"/>
              <w:rPr>
                <w:sz w:val="1"/>
                <w:szCs w:val="1"/>
                <w:color w:val="auto"/>
              </w:rPr>
            </w:pPr>
          </w:p>
        </w:tc>
      </w:tr>
      <w:tr>
        <w:trPr>
          <w:trHeight w:val="205"/>
        </w:trPr>
        <w:tc>
          <w:tcPr>
            <w:tcW w:w="31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90.8</w:t>
            </w: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105.8</w:t>
            </w: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120" w:type="dxa"/>
            <w:vAlign w:val="bottom"/>
            <w:tcBorders>
              <w:bottom w:val="single" w:sz="8" w:color="CFF0FC"/>
            </w:tcBorders>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-14.1 %</w:t>
            </w:r>
          </w:p>
        </w:tc>
        <w:tc>
          <w:tcPr>
            <w:tcW w:w="90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-18.2 %</w:t>
            </w:r>
          </w:p>
        </w:tc>
        <w:tc>
          <w:tcPr>
            <w:tcW w:w="1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357.7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413.0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-13.4 %</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-15.2 %</w:t>
            </w:r>
          </w:p>
        </w:tc>
        <w:tc>
          <w:tcPr>
            <w:tcW w:w="0" w:type="dxa"/>
            <w:vAlign w:val="bottom"/>
          </w:tcPr>
          <w:p>
            <w:pPr>
              <w:spacing w:after="0"/>
              <w:rPr>
                <w:sz w:val="1"/>
                <w:szCs w:val="1"/>
                <w:color w:val="auto"/>
              </w:rPr>
            </w:pPr>
          </w:p>
        </w:tc>
      </w:tr>
      <w:tr>
        <w:trPr>
          <w:trHeight w:val="201"/>
        </w:trPr>
        <w:tc>
          <w:tcPr>
            <w:tcW w:w="31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Northern Europe</w:t>
            </w:r>
          </w:p>
        </w:tc>
        <w:tc>
          <w:tcPr>
            <w:tcW w:w="180" w:type="dxa"/>
            <w:vAlign w:val="bottom"/>
          </w:tcPr>
          <w:p>
            <w:pPr>
              <w:spacing w:after="0"/>
              <w:rPr>
                <w:sz w:val="17"/>
                <w:szCs w:val="17"/>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(81.4 )</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-622.3 %</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-609.2 %</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(116.7 )</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-375.0 %</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-363.8 %</w:t>
            </w:r>
          </w:p>
        </w:tc>
        <w:tc>
          <w:tcPr>
            <w:tcW w:w="0" w:type="dxa"/>
            <w:vAlign w:val="bottom"/>
          </w:tcPr>
          <w:p>
            <w:pPr>
              <w:spacing w:after="0"/>
              <w:rPr>
                <w:sz w:val="1"/>
                <w:szCs w:val="1"/>
                <w:color w:val="auto"/>
              </w:rPr>
            </w:pPr>
          </w:p>
        </w:tc>
      </w:tr>
      <w:tr>
        <w:trPr>
          <w:trHeight w:val="216"/>
        </w:trPr>
        <w:tc>
          <w:tcPr>
            <w:tcW w:w="310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APME</w:t>
            </w:r>
          </w:p>
        </w:tc>
        <w:tc>
          <w:tcPr>
            <w:tcW w:w="18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22.9</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CFF0FC"/>
            </w:tcBorders>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-5.4 %</w:t>
            </w:r>
          </w:p>
        </w:tc>
        <w:tc>
          <w:tcPr>
            <w:tcW w:w="90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-2.3 %</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5.6 %</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11.6 %</w:t>
            </w:r>
          </w:p>
        </w:tc>
        <w:tc>
          <w:tcPr>
            <w:tcW w:w="0" w:type="dxa"/>
            <w:vAlign w:val="bottom"/>
          </w:tcPr>
          <w:p>
            <w:pPr>
              <w:spacing w:after="0"/>
              <w:rPr>
                <w:sz w:val="1"/>
                <w:szCs w:val="1"/>
                <w:color w:val="auto"/>
              </w:rPr>
            </w:pPr>
          </w:p>
        </w:tc>
      </w:tr>
      <w:tr>
        <w:trPr>
          <w:trHeight w:val="201"/>
        </w:trPr>
        <w:tc>
          <w:tcPr>
            <w:tcW w:w="3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499.2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825.8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Corporate expenses</w:t>
            </w:r>
          </w:p>
        </w:tc>
        <w:tc>
          <w:tcPr>
            <w:tcW w:w="18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(42.9 )</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(42.2 )</w:t>
            </w: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(153.7 )</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(157.0 )</w:t>
            </w: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00" w:type="dxa"/>
            <w:vAlign w:val="bottom"/>
          </w:tcPr>
          <w:p>
            <w:pPr>
              <w:spacing w:after="0"/>
              <w:rPr>
                <w:sz w:val="20"/>
                <w:szCs w:val="20"/>
                <w:color w:val="auto"/>
              </w:rPr>
            </w:pPr>
            <w:r>
              <w:rPr>
                <w:rFonts w:ascii="Times New Roman" w:cs="Times New Roman" w:eastAsia="Times New Roman" w:hAnsi="Times New Roman"/>
                <w:sz w:val="16"/>
                <w:szCs w:val="16"/>
                <w:color w:val="auto"/>
              </w:rPr>
              <w:t>Goodwill impairment charges</w:t>
            </w:r>
          </w:p>
        </w:tc>
        <w:tc>
          <w:tcPr>
            <w:tcW w:w="1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(55.1 )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(50.0 )</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(55.1 )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(50.0 )</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1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Intangible asset amortization expense</w:t>
            </w:r>
          </w:p>
        </w:tc>
        <w:tc>
          <w:tcPr>
            <w:tcW w:w="18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(8.4 )</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(9.0 )</w:t>
            </w: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(34.6 )</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(37.1 )</w:t>
            </w: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7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40" w:type="dxa"/>
            <w:vAlign w:val="bottom"/>
            <w:gridSpan w:val="3"/>
            <w:shd w:val="clear" w:color="auto" w:fill="CFF0FC"/>
          </w:tcPr>
          <w:p>
            <w:pPr>
              <w:spacing w:after="0" w:line="20" w:lineRule="exact"/>
              <w:rPr>
                <w:sz w:val="1"/>
                <w:szCs w:val="1"/>
                <w:color w:val="auto"/>
              </w:rPr>
            </w:pPr>
          </w:p>
        </w:tc>
        <w:tc>
          <w:tcPr>
            <w:tcW w:w="940" w:type="dxa"/>
            <w:vAlign w:val="bottom"/>
            <w:gridSpan w:val="2"/>
            <w:shd w:val="clear" w:color="auto" w:fill="CFF0FC"/>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31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Operating (loss) profit</w:t>
            </w:r>
          </w:p>
        </w:tc>
        <w:tc>
          <w:tcPr>
            <w:tcW w:w="180" w:type="dxa"/>
            <w:vAlign w:val="bottom"/>
          </w:tcPr>
          <w:p>
            <w:pPr>
              <w:spacing w:after="0"/>
              <w:rPr>
                <w:sz w:val="17"/>
                <w:szCs w:val="17"/>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(39.5 )</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-139.2 %</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-134.8 %</w:t>
            </w:r>
          </w:p>
        </w:tc>
        <w:tc>
          <w:tcPr>
            <w:tcW w:w="14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581.7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-56.0 %</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-53.3 %</w:t>
            </w:r>
          </w:p>
        </w:tc>
        <w:tc>
          <w:tcPr>
            <w:tcW w:w="0" w:type="dxa"/>
            <w:vAlign w:val="bottom"/>
          </w:tcPr>
          <w:p>
            <w:pPr>
              <w:spacing w:after="0"/>
              <w:rPr>
                <w:sz w:val="1"/>
                <w:szCs w:val="1"/>
                <w:color w:val="auto"/>
              </w:rPr>
            </w:pPr>
          </w:p>
        </w:tc>
      </w:tr>
      <w:tr>
        <w:trPr>
          <w:trHeight w:val="213"/>
        </w:trPr>
        <w:tc>
          <w:tcPr>
            <w:tcW w:w="31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Interest and other expenses, net</w:t>
            </w:r>
          </w:p>
        </w:tc>
        <w:tc>
          <w:tcPr>
            <w:tcW w:w="18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(15.5 )</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(10.5 )</w:t>
            </w: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(49.9 )</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(24.6 )</w:t>
            </w: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7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31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(Loss) earnings before income taxes</w:t>
            </w: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(55.0 )</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205.9</w:t>
            </w:r>
          </w:p>
        </w:tc>
        <w:tc>
          <w:tcPr>
            <w:tcW w:w="100" w:type="dxa"/>
            <w:vAlign w:val="bottom"/>
          </w:tcPr>
          <w:p>
            <w:pPr>
              <w:spacing w:after="0"/>
              <w:rPr>
                <w:sz w:val="17"/>
                <w:szCs w:val="17"/>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557.1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4"/>
        </w:trPr>
        <w:tc>
          <w:tcPr>
            <w:tcW w:w="3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4630420</wp:posOffset>
            </wp:positionH>
            <wp:positionV relativeFrom="paragraph">
              <wp:posOffset>-5031105</wp:posOffset>
            </wp:positionV>
            <wp:extent cx="2515870" cy="135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515870" cy="13525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-4617720</wp:posOffset>
            </wp:positionV>
            <wp:extent cx="74930" cy="762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3113405</wp:posOffset>
            </wp:positionH>
            <wp:positionV relativeFrom="paragraph">
              <wp:posOffset>-4617720</wp:posOffset>
            </wp:positionV>
            <wp:extent cx="74930" cy="762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4630420</wp:posOffset>
            </wp:positionH>
            <wp:positionV relativeFrom="paragraph">
              <wp:posOffset>-4752975</wp:posOffset>
            </wp:positionV>
            <wp:extent cx="2515870" cy="14287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515870" cy="142875"/>
                    </a:xfrm>
                    <a:prstGeom prst="rect">
                      <a:avLst/>
                    </a:prstGeom>
                    <a:noFill/>
                  </pic:spPr>
                </pic:pic>
              </a:graphicData>
            </a:graphic>
          </wp:anchor>
        </w:drawing>
        <w:drawing>
          <wp:anchor simplePos="0" relativeHeight="251657728" behindDoc="1" locked="0" layoutInCell="0" allowOverlap="1">
            <wp:simplePos x="0" y="0"/>
            <wp:positionH relativeFrom="column">
              <wp:posOffset>4630420</wp:posOffset>
            </wp:positionH>
            <wp:positionV relativeFrom="paragraph">
              <wp:posOffset>-4475480</wp:posOffset>
            </wp:positionV>
            <wp:extent cx="2515870" cy="135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515870" cy="13525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-4069715</wp:posOffset>
            </wp:positionV>
            <wp:extent cx="74930" cy="762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3113405</wp:posOffset>
            </wp:positionH>
            <wp:positionV relativeFrom="paragraph">
              <wp:posOffset>-4069715</wp:posOffset>
            </wp:positionV>
            <wp:extent cx="74930" cy="762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4630420</wp:posOffset>
            </wp:positionH>
            <wp:positionV relativeFrom="paragraph">
              <wp:posOffset>-4204970</wp:posOffset>
            </wp:positionV>
            <wp:extent cx="2515870" cy="14287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2515870" cy="142875"/>
                    </a:xfrm>
                    <a:prstGeom prst="rect">
                      <a:avLst/>
                    </a:prstGeom>
                    <a:noFill/>
                  </pic:spPr>
                </pic:pic>
              </a:graphicData>
            </a:graphic>
          </wp:anchor>
        </w:drawing>
        <w:drawing>
          <wp:anchor simplePos="0" relativeHeight="251657728" behindDoc="1" locked="0" layoutInCell="0" allowOverlap="1">
            <wp:simplePos x="0" y="0"/>
            <wp:positionH relativeFrom="column">
              <wp:posOffset>4630420</wp:posOffset>
            </wp:positionH>
            <wp:positionV relativeFrom="paragraph">
              <wp:posOffset>-3919220</wp:posOffset>
            </wp:positionV>
            <wp:extent cx="2515870" cy="135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515870" cy="13525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-3506470</wp:posOffset>
            </wp:positionV>
            <wp:extent cx="74930" cy="762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3113405</wp:posOffset>
            </wp:positionH>
            <wp:positionV relativeFrom="paragraph">
              <wp:posOffset>-3506470</wp:posOffset>
            </wp:positionV>
            <wp:extent cx="74930" cy="762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5125720</wp:posOffset>
            </wp:positionH>
            <wp:positionV relativeFrom="paragraph">
              <wp:posOffset>-3506470</wp:posOffset>
            </wp:positionV>
            <wp:extent cx="67310" cy="762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5756275</wp:posOffset>
            </wp:positionH>
            <wp:positionV relativeFrom="paragraph">
              <wp:posOffset>-3506470</wp:posOffset>
            </wp:positionV>
            <wp:extent cx="67310" cy="762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-3221355</wp:posOffset>
            </wp:positionV>
            <wp:extent cx="74930" cy="762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-3206115</wp:posOffset>
            </wp:positionV>
            <wp:extent cx="74930" cy="762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3113405</wp:posOffset>
            </wp:positionH>
            <wp:positionV relativeFrom="paragraph">
              <wp:posOffset>-3221355</wp:posOffset>
            </wp:positionV>
            <wp:extent cx="74930" cy="762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3113405</wp:posOffset>
            </wp:positionH>
            <wp:positionV relativeFrom="paragraph">
              <wp:posOffset>-3206115</wp:posOffset>
            </wp:positionV>
            <wp:extent cx="74930" cy="762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4630420</wp:posOffset>
            </wp:positionH>
            <wp:positionV relativeFrom="paragraph">
              <wp:posOffset>-3355975</wp:posOffset>
            </wp:positionV>
            <wp:extent cx="2515870" cy="15748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2515870" cy="157480"/>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-2658110</wp:posOffset>
            </wp:positionV>
            <wp:extent cx="74930" cy="762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3113405</wp:posOffset>
            </wp:positionH>
            <wp:positionV relativeFrom="paragraph">
              <wp:posOffset>-2658110</wp:posOffset>
            </wp:positionV>
            <wp:extent cx="74930" cy="762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4630420</wp:posOffset>
            </wp:positionH>
            <wp:positionV relativeFrom="paragraph">
              <wp:posOffset>-2792730</wp:posOffset>
            </wp:positionV>
            <wp:extent cx="2515870" cy="14287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515870" cy="142875"/>
                    </a:xfrm>
                    <a:prstGeom prst="rect">
                      <a:avLst/>
                    </a:prstGeom>
                    <a:noFill/>
                  </pic:spPr>
                </pic:pic>
              </a:graphicData>
            </a:graphic>
          </wp:anchor>
        </w:drawing>
        <w:drawing>
          <wp:anchor simplePos="0" relativeHeight="251657728" behindDoc="1" locked="0" layoutInCell="0" allowOverlap="1">
            <wp:simplePos x="0" y="0"/>
            <wp:positionH relativeFrom="column">
              <wp:posOffset>4630420</wp:posOffset>
            </wp:positionH>
            <wp:positionV relativeFrom="paragraph">
              <wp:posOffset>-2237105</wp:posOffset>
            </wp:positionV>
            <wp:extent cx="2515870" cy="135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2515870" cy="13525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-1824355</wp:posOffset>
            </wp:positionV>
            <wp:extent cx="74930" cy="762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3113405</wp:posOffset>
            </wp:positionH>
            <wp:positionV relativeFrom="paragraph">
              <wp:posOffset>-1824355</wp:posOffset>
            </wp:positionV>
            <wp:extent cx="74930" cy="762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4630420</wp:posOffset>
            </wp:positionH>
            <wp:positionV relativeFrom="paragraph">
              <wp:posOffset>-1959610</wp:posOffset>
            </wp:positionV>
            <wp:extent cx="2515870" cy="14287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2515870" cy="14287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-1546225</wp:posOffset>
            </wp:positionV>
            <wp:extent cx="74930" cy="762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3113405</wp:posOffset>
            </wp:positionH>
            <wp:positionV relativeFrom="paragraph">
              <wp:posOffset>-1546225</wp:posOffset>
            </wp:positionV>
            <wp:extent cx="74930" cy="762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4630420</wp:posOffset>
            </wp:positionH>
            <wp:positionV relativeFrom="paragraph">
              <wp:posOffset>-1681480</wp:posOffset>
            </wp:positionV>
            <wp:extent cx="2515870" cy="14287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2515870" cy="14287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-998220</wp:posOffset>
            </wp:positionV>
            <wp:extent cx="74930" cy="762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3113405</wp:posOffset>
            </wp:positionH>
            <wp:positionV relativeFrom="paragraph">
              <wp:posOffset>-998220</wp:posOffset>
            </wp:positionV>
            <wp:extent cx="74930" cy="762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5125720</wp:posOffset>
            </wp:positionH>
            <wp:positionV relativeFrom="paragraph">
              <wp:posOffset>-998220</wp:posOffset>
            </wp:positionV>
            <wp:extent cx="67310" cy="762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5756275</wp:posOffset>
            </wp:positionH>
            <wp:positionV relativeFrom="paragraph">
              <wp:posOffset>-998220</wp:posOffset>
            </wp:positionV>
            <wp:extent cx="67310" cy="762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-720090</wp:posOffset>
            </wp:positionV>
            <wp:extent cx="74930" cy="762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3113405</wp:posOffset>
            </wp:positionH>
            <wp:positionV relativeFrom="paragraph">
              <wp:posOffset>-720090</wp:posOffset>
            </wp:positionV>
            <wp:extent cx="74930" cy="762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4930" cy="7620"/>
                    </a:xfrm>
                    <a:prstGeom prst="rect">
                      <a:avLst/>
                    </a:prstGeom>
                    <a:noFill/>
                  </pic:spPr>
                </pic:pic>
              </a:graphicData>
            </a:graphic>
          </wp:anchor>
        </w:drawing>
        <w:drawing>
          <wp:anchor simplePos="0" relativeHeight="251657728" behindDoc="1" locked="0" layoutInCell="0" allowOverlap="1">
            <wp:simplePos x="0" y="0"/>
            <wp:positionH relativeFrom="column">
              <wp:posOffset>5125720</wp:posOffset>
            </wp:positionH>
            <wp:positionV relativeFrom="paragraph">
              <wp:posOffset>-720090</wp:posOffset>
            </wp:positionV>
            <wp:extent cx="67310" cy="762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5756275</wp:posOffset>
            </wp:positionH>
            <wp:positionV relativeFrom="paragraph">
              <wp:posOffset>-720090</wp:posOffset>
            </wp:positionV>
            <wp:extent cx="67310" cy="762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7310" cy="7620"/>
                    </a:xfrm>
                    <a:prstGeom prst="rect">
                      <a:avLst/>
                    </a:prstGeom>
                    <a:noFill/>
                  </pic:spPr>
                </pic:pic>
              </a:graphicData>
            </a:graphic>
          </wp:anchor>
        </w:drawing>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300"/>
          </w:cols>
          <w:pgMar w:left="320" w:top="890" w:right="279" w:bottom="1440" w:gutter="0" w:footer="0" w:header="0"/>
        </w:sectPr>
      </w:pPr>
    </w:p>
    <w:bookmarkStart w:id="37" w:name="page38"/>
    <w:bookmarkEnd w:id="3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2024-04-18T06:54:21Z</dcterms:created>
  <dcterms:modified xsi:type="dcterms:W3CDTF">2024-04-18T06:54:21Z</dcterms:modified>
</cp:coreProperties>
</file>