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BUCHBAND RICHARD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63"/>
        <w:spacing w:after="0"/>
        <w:rPr>
          <w:sz w:val="20"/>
          <w:szCs w:val="20"/>
          <w:color w:val="auto"/>
        </w:rPr>
      </w:pPr>
      <w:r>
        <w:rPr>
          <w:rFonts w:ascii="Arial" w:cs="Arial" w:eastAsia="Arial" w:hAnsi="Arial"/>
          <w:sz w:val="18"/>
          <w:szCs w:val="18"/>
          <w:color w:val="0000FF"/>
        </w:rPr>
        <w:t>SVP, General Counsel</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40" w:type="dxa"/>
            <w:vAlign w:val="bottom"/>
            <w:gridSpan w:val="6"/>
          </w:tcPr>
          <w:p>
            <w:pPr>
              <w:jc w:val="right"/>
              <w:ind w:right="197"/>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3660" w:type="dxa"/>
            <w:vAlign w:val="bottom"/>
            <w:gridSpan w:val="7"/>
          </w:tcPr>
          <w:p>
            <w:pPr>
              <w:ind w:left="3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w w:val="97"/>
              </w:rPr>
              <w:t>08/22/2019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1,750</w:t>
            </w:r>
          </w:p>
        </w:tc>
        <w:tc>
          <w:tcPr>
            <w:tcW w:w="700" w:type="dxa"/>
            <w:vAlign w:val="bottom"/>
            <w:tcBorders>
              <w:bottom w:val="single" w:sz="8" w:color="2C2C2C"/>
            </w:tcBorders>
          </w:tcPr>
          <w:p>
            <w:pPr>
              <w:jc w:val="right"/>
              <w:ind w:right="197"/>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85.43</w:t>
            </w:r>
            <w:r>
              <w:rPr>
                <w:rFonts w:ascii="Arial" w:cs="Arial" w:eastAsia="Arial" w:hAnsi="Arial"/>
                <w:sz w:val="22"/>
                <w:szCs w:val="22"/>
                <w:color w:val="008000"/>
                <w:w w:val="93"/>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8,214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3"/>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0"/>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$85.39 to $85.44. Upon request, the reporting person will provide to the SEC staff, the issuer, or any security holder of the issuer, full information regarding the number of shares sold at each separate price within this range.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Richard Buchband</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08/23/2019</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705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2019-12-24T04:39:51Z</dcterms:created>
  <dcterms:modified xsi:type="dcterms:W3CDTF">2019-12-24T04:39:51Z</dcterms:modified>
</cp:coreProperties>
</file>