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Rules 424(b)(3) and 424(c)</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333-71040</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Prospectus Supplement No. 9 Dated August 19, 2002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(to Prospectus dated December 7, 2001)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$435,367,000</w:t>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Manpower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Zero Coupon Convertible Debentures Due August 17, 2021</w:t>
      </w:r>
    </w:p>
    <w:p>
      <w:pPr>
        <w:jc w:val="center"/>
        <w:spacing w:after="0" w:line="237" w:lineRule="auto"/>
        <w:rPr>
          <w:sz w:val="20"/>
          <w:szCs w:val="20"/>
          <w:color w:val="auto"/>
        </w:rPr>
      </w:pPr>
      <w:r>
        <w:rPr>
          <w:rFonts w:ascii="Arial" w:cs="Arial" w:eastAsia="Arial" w:hAnsi="Arial"/>
          <w:sz w:val="32"/>
          <w:szCs w:val="32"/>
          <w:b w:val="1"/>
          <w:bCs w:val="1"/>
          <w:color w:val="auto"/>
        </w:rPr>
        <w:t>and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Common Stock Issuable Upon Conversion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129540</wp:posOffset>
            </wp:positionV>
            <wp:extent cx="1029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100" w:firstLine="432"/>
        <w:spacing w:after="0" w:line="287" w:lineRule="auto"/>
        <w:rPr>
          <w:sz w:val="20"/>
          <w:szCs w:val="20"/>
          <w:color w:val="auto"/>
        </w:rPr>
      </w:pPr>
      <w:r>
        <w:rPr>
          <w:rFonts w:ascii="Arial" w:cs="Arial" w:eastAsia="Arial" w:hAnsi="Arial"/>
          <w:sz w:val="19"/>
          <w:szCs w:val="19"/>
          <w:color w:val="auto"/>
        </w:rPr>
        <w:t>Our prospectus dated December 7, 2001, as supplemented through the date hereof, relating to the offer for resale by certain of our securityholders of up to $435,367,000 aggregate principal amount due at maturity of zero coupon convertible debentures due August 17, 2021 of Manpower Inc., and the shares of our common stock issuable upon conversion of the debentures, is hereby supplemented to include the following information in the "Selling Securityholders" section on pages 38-44 of the prospectus.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ADDITIONAL SELLING SECURITYHOLDERS</w:t>
      </w:r>
    </w:p>
    <w:p>
      <w:pPr>
        <w:spacing w:after="0" w:line="212" w:lineRule="exact"/>
        <w:rPr>
          <w:sz w:val="24"/>
          <w:szCs w:val="24"/>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represents additional selling securityholders for the table appearing in the "Selling Securityholders" section of the prospectus.</w:t>
      </w:r>
    </w:p>
    <w:p>
      <w:pPr>
        <w:spacing w:after="0" w:line="264"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420" w:type="dxa"/>
            <w:vAlign w:val="bottom"/>
            <w:gridSpan w:val="3"/>
          </w:tcPr>
          <w:p>
            <w:pPr>
              <w:jc w:val="center"/>
              <w:ind w:left="20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Common Stock That</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5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Debentures</w:t>
            </w:r>
          </w:p>
        </w:tc>
        <w:tc>
          <w:tcPr>
            <w:tcW w:w="3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May Be</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r>
      <w:tr>
        <w:trPr>
          <w:trHeight w:val="148"/>
        </w:trPr>
        <w:tc>
          <w:tcPr>
            <w:tcW w:w="840" w:type="dxa"/>
            <w:vAlign w:val="bottom"/>
          </w:tcPr>
          <w:p>
            <w:pPr>
              <w:spacing w:after="0"/>
              <w:rPr>
                <w:sz w:val="12"/>
                <w:szCs w:val="12"/>
                <w:color w:val="auto"/>
              </w:rPr>
            </w:pPr>
          </w:p>
        </w:tc>
        <w:tc>
          <w:tcPr>
            <w:tcW w:w="1280" w:type="dxa"/>
            <w:vAlign w:val="bottom"/>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50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Sold (1)</w:t>
            </w:r>
          </w:p>
        </w:tc>
        <w:tc>
          <w:tcPr>
            <w:tcW w:w="280" w:type="dxa"/>
            <w:vAlign w:val="bottom"/>
          </w:tcPr>
          <w:p>
            <w:pPr>
              <w:spacing w:after="0"/>
              <w:rPr>
                <w:sz w:val="12"/>
                <w:szCs w:val="12"/>
                <w:color w:val="auto"/>
              </w:rPr>
            </w:pPr>
          </w:p>
        </w:tc>
        <w:tc>
          <w:tcPr>
            <w:tcW w:w="1040" w:type="dxa"/>
            <w:vAlign w:val="bottom"/>
            <w:gridSpan w:val="2"/>
          </w:tcPr>
          <w:p>
            <w:pPr>
              <w:jc w:val="center"/>
              <w:ind w:left="62"/>
              <w:spacing w:after="0" w:line="148" w:lineRule="exact"/>
              <w:rPr>
                <w:sz w:val="20"/>
                <w:szCs w:val="20"/>
                <w:color w:val="auto"/>
              </w:rPr>
            </w:pPr>
            <w:r>
              <w:rPr>
                <w:rFonts w:ascii="Arial" w:cs="Arial" w:eastAsia="Arial" w:hAnsi="Arial"/>
                <w:sz w:val="14"/>
                <w:szCs w:val="14"/>
                <w:b w:val="1"/>
                <w:bCs w:val="1"/>
                <w:color w:val="auto"/>
                <w:w w:val="86"/>
              </w:rPr>
              <w:t>Outstanding (2)</w:t>
            </w:r>
          </w:p>
        </w:tc>
      </w:tr>
      <w:tr>
        <w:trPr>
          <w:trHeight w:val="20"/>
        </w:trPr>
        <w:tc>
          <w:tcPr>
            <w:tcW w:w="8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390"/>
        </w:trPr>
        <w:tc>
          <w:tcPr>
            <w:tcW w:w="2620" w:type="dxa"/>
            <w:vAlign w:val="bottom"/>
            <w:gridSpan w:val="3"/>
          </w:tcPr>
          <w:p>
            <w:pPr>
              <w:spacing w:after="0"/>
              <w:rPr>
                <w:sz w:val="20"/>
                <w:szCs w:val="20"/>
                <w:color w:val="auto"/>
              </w:rPr>
            </w:pPr>
            <w:r>
              <w:rPr>
                <w:rFonts w:ascii="Arial" w:cs="Arial" w:eastAsia="Arial" w:hAnsi="Arial"/>
                <w:sz w:val="18"/>
                <w:szCs w:val="18"/>
                <w:color w:val="auto"/>
              </w:rPr>
              <w:t>McMahan Securities Co. L.P.</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49"/>
              <w:spacing w:after="0"/>
              <w:rPr>
                <w:sz w:val="20"/>
                <w:szCs w:val="20"/>
                <w:color w:val="auto"/>
              </w:rPr>
            </w:pPr>
            <w:r>
              <w:rPr>
                <w:rFonts w:ascii="Arial" w:cs="Arial" w:eastAsia="Arial" w:hAnsi="Arial"/>
                <w:sz w:val="18"/>
                <w:szCs w:val="18"/>
                <w:color w:val="auto"/>
              </w:rPr>
              <w:t>5,000,000</w:t>
            </w:r>
          </w:p>
        </w:tc>
        <w:tc>
          <w:tcPr>
            <w:tcW w:w="1220" w:type="dxa"/>
            <w:vAlign w:val="bottom"/>
            <w:gridSpan w:val="2"/>
          </w:tcPr>
          <w:p>
            <w:pPr>
              <w:jc w:val="center"/>
              <w:ind w:left="422"/>
              <w:spacing w:after="0"/>
              <w:rPr>
                <w:sz w:val="20"/>
                <w:szCs w:val="20"/>
                <w:color w:val="auto"/>
              </w:rPr>
            </w:pPr>
            <w:r>
              <w:rPr>
                <w:rFonts w:ascii="Arial" w:cs="Arial" w:eastAsia="Arial" w:hAnsi="Arial"/>
                <w:sz w:val="18"/>
                <w:szCs w:val="18"/>
                <w:color w:val="auto"/>
                <w:w w:val="87"/>
              </w:rPr>
              <w:t>1.1%</w:t>
            </w:r>
          </w:p>
        </w:tc>
        <w:tc>
          <w:tcPr>
            <w:tcW w:w="200" w:type="dxa"/>
            <w:vAlign w:val="bottom"/>
          </w:tcPr>
          <w:p>
            <w:pPr>
              <w:spacing w:after="0"/>
              <w:rPr>
                <w:sz w:val="24"/>
                <w:szCs w:val="24"/>
                <w:color w:val="auto"/>
              </w:rPr>
            </w:pPr>
          </w:p>
        </w:tc>
        <w:tc>
          <w:tcPr>
            <w:tcW w:w="1240" w:type="dxa"/>
            <w:vAlign w:val="bottom"/>
            <w:gridSpan w:val="2"/>
          </w:tcPr>
          <w:p>
            <w:pPr>
              <w:jc w:val="center"/>
              <w:ind w:left="226"/>
              <w:spacing w:after="0"/>
              <w:rPr>
                <w:sz w:val="20"/>
                <w:szCs w:val="20"/>
                <w:color w:val="auto"/>
              </w:rPr>
            </w:pPr>
            <w:r>
              <w:rPr>
                <w:rFonts w:ascii="Arial" w:cs="Arial" w:eastAsia="Arial" w:hAnsi="Arial"/>
                <w:sz w:val="18"/>
                <w:szCs w:val="18"/>
                <w:color w:val="auto"/>
                <w:w w:val="90"/>
              </w:rPr>
              <w:t>69,779</w:t>
            </w:r>
          </w:p>
        </w:tc>
        <w:tc>
          <w:tcPr>
            <w:tcW w:w="280" w:type="dxa"/>
            <w:vAlign w:val="bottom"/>
          </w:tcPr>
          <w:p>
            <w:pPr>
              <w:spacing w:after="0"/>
              <w:rPr>
                <w:sz w:val="24"/>
                <w:szCs w:val="24"/>
                <w:color w:val="auto"/>
              </w:rPr>
            </w:pPr>
          </w:p>
        </w:tc>
        <w:tc>
          <w:tcPr>
            <w:tcW w:w="1040" w:type="dxa"/>
            <w:vAlign w:val="bottom"/>
            <w:gridSpan w:val="2"/>
          </w:tcPr>
          <w:p>
            <w:pPr>
              <w:jc w:val="center"/>
              <w:ind w:left="62"/>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gridSpan w:val="3"/>
          </w:tcPr>
          <w:p>
            <w:pPr>
              <w:ind w:left="180"/>
              <w:spacing w:after="0"/>
              <w:rPr>
                <w:sz w:val="20"/>
                <w:szCs w:val="20"/>
                <w:color w:val="auto"/>
              </w:rPr>
            </w:pPr>
            <w:r>
              <w:rPr>
                <w:rFonts w:ascii="Arial" w:cs="Arial" w:eastAsia="Arial" w:hAnsi="Arial"/>
                <w:sz w:val="18"/>
                <w:szCs w:val="18"/>
                <w:color w:val="auto"/>
              </w:rPr>
              <w:t>500 West Putnam Avenue</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620" w:type="dxa"/>
            <w:vAlign w:val="bottom"/>
            <w:gridSpan w:val="3"/>
          </w:tcPr>
          <w:p>
            <w:pPr>
              <w:ind w:left="180"/>
              <w:spacing w:after="0"/>
              <w:rPr>
                <w:sz w:val="20"/>
                <w:szCs w:val="20"/>
                <w:color w:val="auto"/>
              </w:rPr>
            </w:pPr>
            <w:r>
              <w:rPr>
                <w:rFonts w:ascii="Arial" w:cs="Arial" w:eastAsia="Arial" w:hAnsi="Arial"/>
                <w:sz w:val="18"/>
                <w:szCs w:val="18"/>
                <w:color w:val="auto"/>
              </w:rPr>
              <w:t>Greenwich, CT 06830</w:t>
            </w: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SELLING SECURITYHOLDERS </w:t>
      </w:r>
      <w:r>
        <w:rPr>
          <w:rFonts w:ascii="Arial" w:cs="Arial" w:eastAsia="Arial" w:hAnsi="Arial"/>
          <w:sz w:val="36"/>
          <w:szCs w:val="36"/>
          <w:b w:val="1"/>
          <w:bCs w:val="1"/>
          <w:color w:val="auto"/>
          <w:vertAlign w:val="superscript"/>
        </w:rPr>
        <w:t>(8)</w:t>
      </w:r>
    </w:p>
    <w:p>
      <w:pPr>
        <w:spacing w:after="0" w:line="96" w:lineRule="exact"/>
        <w:rPr>
          <w:sz w:val="24"/>
          <w:szCs w:val="24"/>
          <w:color w:val="auto"/>
        </w:rPr>
      </w:pPr>
    </w:p>
    <w:p>
      <w:pPr>
        <w:ind w:right="980" w:firstLine="428"/>
        <w:spacing w:after="0" w:line="251" w:lineRule="auto"/>
        <w:rPr>
          <w:sz w:val="20"/>
          <w:szCs w:val="20"/>
          <w:color w:val="auto"/>
        </w:rPr>
      </w:pPr>
      <w:r>
        <w:rPr>
          <w:rFonts w:ascii="Arial" w:cs="Arial" w:eastAsia="Arial" w:hAnsi="Arial"/>
          <w:sz w:val="22"/>
          <w:szCs w:val="22"/>
          <w:color w:val="auto"/>
        </w:rPr>
        <w:t>The following represents updated information regarding the selling securityholders listed in the table in the "Selling Securityholders" section of the prospectus.</w:t>
      </w:r>
    </w:p>
    <w:p>
      <w:pPr>
        <w:spacing w:after="0" w:line="18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Principal Amount at</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Maturity</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920" w:type="dxa"/>
            <w:vAlign w:val="bottom"/>
          </w:tcPr>
          <w:p>
            <w:pPr>
              <w:spacing w:after="0"/>
              <w:rPr>
                <w:sz w:val="12"/>
                <w:szCs w:val="12"/>
                <w:color w:val="auto"/>
              </w:rPr>
            </w:pP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87"/>
              </w:rPr>
              <w:t>of Debentures</w:t>
            </w:r>
          </w:p>
        </w:tc>
        <w:tc>
          <w:tcPr>
            <w:tcW w:w="1360" w:type="dxa"/>
            <w:vAlign w:val="bottom"/>
            <w:gridSpan w:val="3"/>
          </w:tcPr>
          <w:p>
            <w:pPr>
              <w:jc w:val="center"/>
              <w:ind w:left="179"/>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4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4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May Be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r>
      <w:tr>
        <w:trPr>
          <w:trHeight w:val="148"/>
        </w:trPr>
        <w:tc>
          <w:tcPr>
            <w:tcW w:w="860" w:type="dxa"/>
            <w:vAlign w:val="bottom"/>
          </w:tcPr>
          <w:p>
            <w:pPr>
              <w:spacing w:after="0"/>
              <w:rPr>
                <w:sz w:val="12"/>
                <w:szCs w:val="12"/>
                <w:color w:val="auto"/>
              </w:rPr>
            </w:pPr>
          </w:p>
        </w:tc>
        <w:tc>
          <w:tcPr>
            <w:tcW w:w="12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5"/>
              </w:rPr>
              <w:t>Name and Address (7)</w:t>
            </w:r>
          </w:p>
        </w:tc>
        <w:tc>
          <w:tcPr>
            <w:tcW w:w="10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06"/>
              <w:spacing w:after="0" w:line="148" w:lineRule="exact"/>
              <w:rPr>
                <w:sz w:val="20"/>
                <w:szCs w:val="20"/>
                <w:color w:val="auto"/>
              </w:rPr>
            </w:pPr>
            <w:r>
              <w:rPr>
                <w:rFonts w:ascii="Arial" w:cs="Arial" w:eastAsia="Arial" w:hAnsi="Arial"/>
                <w:sz w:val="14"/>
                <w:szCs w:val="14"/>
                <w:b w:val="1"/>
                <w:bCs w:val="1"/>
                <w:color w:val="auto"/>
                <w:w w:val="88"/>
              </w:rPr>
              <w:t>that May Be Sold</w:t>
            </w:r>
          </w:p>
        </w:tc>
        <w:tc>
          <w:tcPr>
            <w:tcW w:w="46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Sold (1)</w:t>
            </w:r>
          </w:p>
        </w:tc>
        <w:tc>
          <w:tcPr>
            <w:tcW w:w="48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Outstanding (2)</w:t>
            </w:r>
          </w:p>
        </w:tc>
      </w:tr>
      <w:tr>
        <w:trPr>
          <w:trHeight w:val="498"/>
        </w:trPr>
        <w:tc>
          <w:tcPr>
            <w:tcW w:w="3220" w:type="dxa"/>
            <w:vAlign w:val="bottom"/>
            <w:gridSpan w:val="3"/>
          </w:tcPr>
          <w:p>
            <w:pPr>
              <w:spacing w:after="0"/>
              <w:rPr>
                <w:sz w:val="20"/>
                <w:szCs w:val="20"/>
                <w:color w:val="auto"/>
              </w:rPr>
            </w:pPr>
            <w:r>
              <w:rPr>
                <w:rFonts w:ascii="Arial" w:cs="Arial" w:eastAsia="Arial" w:hAnsi="Arial"/>
                <w:sz w:val="18"/>
                <w:szCs w:val="18"/>
                <w:color w:val="auto"/>
              </w:rPr>
              <w:t>Goldman Sachs &amp; Co.</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86"/>
              <w:spacing w:after="0"/>
              <w:rPr>
                <w:sz w:val="20"/>
                <w:szCs w:val="20"/>
                <w:color w:val="auto"/>
              </w:rPr>
            </w:pPr>
            <w:r>
              <w:rPr>
                <w:rFonts w:ascii="Arial" w:cs="Arial" w:eastAsia="Arial" w:hAnsi="Arial"/>
                <w:sz w:val="18"/>
                <w:szCs w:val="18"/>
                <w:color w:val="auto"/>
              </w:rPr>
              <w:t>467,000</w:t>
            </w:r>
          </w:p>
        </w:tc>
        <w:tc>
          <w:tcPr>
            <w:tcW w:w="118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152"/>
              <w:spacing w:after="0"/>
              <w:rPr>
                <w:sz w:val="20"/>
                <w:szCs w:val="20"/>
                <w:color w:val="auto"/>
              </w:rPr>
            </w:pPr>
            <w:r>
              <w:rPr>
                <w:rFonts w:ascii="Arial" w:cs="Arial" w:eastAsia="Arial" w:hAnsi="Arial"/>
                <w:sz w:val="18"/>
                <w:szCs w:val="18"/>
                <w:color w:val="auto"/>
              </w:rPr>
              <w:t>6,517</w:t>
            </w:r>
          </w:p>
        </w:tc>
        <w:tc>
          <w:tcPr>
            <w:tcW w:w="480" w:type="dxa"/>
            <w:vAlign w:val="bottom"/>
          </w:tcPr>
          <w:p>
            <w:pPr>
              <w:spacing w:after="0"/>
              <w:rPr>
                <w:sz w:val="24"/>
                <w:szCs w:val="24"/>
                <w:color w:val="auto"/>
              </w:rPr>
            </w:pPr>
          </w:p>
        </w:tc>
        <w:tc>
          <w:tcPr>
            <w:tcW w:w="920" w:type="dxa"/>
            <w:vAlign w:val="bottom"/>
          </w:tcPr>
          <w:p>
            <w:pPr>
              <w:jc w:val="right"/>
              <w:ind w:right="344"/>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gridSpan w:val="3"/>
          </w:tcPr>
          <w:p>
            <w:pPr>
              <w:ind w:left="180"/>
              <w:spacing w:after="0"/>
              <w:rPr>
                <w:sz w:val="20"/>
                <w:szCs w:val="20"/>
                <w:color w:val="auto"/>
              </w:rPr>
            </w:pPr>
            <w:r>
              <w:rPr>
                <w:rFonts w:ascii="Arial" w:cs="Arial" w:eastAsia="Arial" w:hAnsi="Arial"/>
                <w:sz w:val="18"/>
                <w:szCs w:val="18"/>
                <w:color w:val="auto"/>
              </w:rPr>
              <w:t>295 Chipeta Way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220" w:type="dxa"/>
            <w:vAlign w:val="bottom"/>
            <w:gridSpan w:val="3"/>
          </w:tcPr>
          <w:p>
            <w:pPr>
              <w:ind w:left="180"/>
              <w:spacing w:after="0"/>
              <w:rPr>
                <w:sz w:val="20"/>
                <w:szCs w:val="20"/>
                <w:color w:val="auto"/>
              </w:rPr>
            </w:pPr>
            <w:r>
              <w:rPr>
                <w:rFonts w:ascii="Arial" w:cs="Arial" w:eastAsia="Arial" w:hAnsi="Arial"/>
                <w:sz w:val="18"/>
                <w:szCs w:val="18"/>
                <w:color w:val="auto"/>
              </w:rPr>
              <w:t>Salt Lake City, UT 84108 (5)</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507"/>
        </w:trPr>
        <w:tc>
          <w:tcPr>
            <w:tcW w:w="3220" w:type="dxa"/>
            <w:vAlign w:val="bottom"/>
            <w:gridSpan w:val="3"/>
          </w:tcPr>
          <w:p>
            <w:pPr>
              <w:spacing w:after="0"/>
              <w:rPr>
                <w:sz w:val="20"/>
                <w:szCs w:val="20"/>
                <w:color w:val="auto"/>
              </w:rPr>
            </w:pPr>
            <w:r>
              <w:rPr>
                <w:rFonts w:ascii="Arial" w:cs="Arial" w:eastAsia="Arial" w:hAnsi="Arial"/>
                <w:sz w:val="18"/>
                <w:szCs w:val="18"/>
                <w:color w:val="auto"/>
              </w:rPr>
              <w:t>Any other holder of notes or future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26"/>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17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1200" w:type="dxa"/>
            <w:vAlign w:val="bottom"/>
            <w:gridSpan w:val="2"/>
          </w:tcPr>
          <w:p>
            <w:pPr>
              <w:jc w:val="right"/>
              <w:ind w:right="312"/>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4"/>
                <w:szCs w:val="24"/>
                <w:color w:val="auto"/>
              </w:rPr>
            </w:pPr>
          </w:p>
        </w:tc>
        <w:tc>
          <w:tcPr>
            <w:tcW w:w="920" w:type="dxa"/>
            <w:vAlign w:val="bottom"/>
          </w:tcPr>
          <w:p>
            <w:pPr>
              <w:jc w:val="right"/>
              <w:ind w:right="264"/>
              <w:spacing w:after="0"/>
              <w:rPr>
                <w:sz w:val="20"/>
                <w:szCs w:val="20"/>
                <w:color w:val="auto"/>
              </w:rPr>
            </w:pPr>
            <w:r>
              <w:rPr>
                <w:rFonts w:ascii="Arial" w:cs="Arial" w:eastAsia="Arial" w:hAnsi="Arial"/>
                <w:sz w:val="18"/>
                <w:szCs w:val="18"/>
                <w:color w:val="auto"/>
              </w:rPr>
              <w:t>0%</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w w:val="93"/>
              </w:rPr>
              <w:t>transferee, pledgee, donee or successor of</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220" w:type="dxa"/>
            <w:vAlign w:val="bottom"/>
            <w:gridSpan w:val="3"/>
          </w:tcPr>
          <w:p>
            <w:pPr>
              <w:spacing w:after="0"/>
              <w:rPr>
                <w:sz w:val="20"/>
                <w:szCs w:val="20"/>
                <w:color w:val="auto"/>
              </w:rPr>
            </w:pPr>
            <w:r>
              <w:rPr>
                <w:rFonts w:ascii="Arial" w:cs="Arial" w:eastAsia="Arial" w:hAnsi="Arial"/>
                <w:sz w:val="18"/>
                <w:szCs w:val="18"/>
                <w:color w:val="auto"/>
              </w:rPr>
              <w:t>any holder (3)(4)</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*Less than 1%.</w:t>
      </w:r>
    </w:p>
    <w:p>
      <w:pPr>
        <w:sectPr>
          <w:pgSz w:w="11900" w:h="16838" w:orient="portrait"/>
          <w:cols w:equalWidth="0" w:num="1">
            <w:col w:w="11420"/>
          </w:cols>
          <w:pgMar w:left="240" w:top="233" w:right="239" w:bottom="1440" w:gutter="0" w:footer="0" w:header="0"/>
        </w:sectPr>
      </w:pPr>
    </w:p>
    <w:p>
      <w:pPr>
        <w:spacing w:after="0" w:line="206" w:lineRule="exact"/>
        <w:rPr>
          <w:sz w:val="24"/>
          <w:szCs w:val="24"/>
          <w:color w:val="auto"/>
        </w:rPr>
      </w:pPr>
    </w:p>
    <w:p>
      <w:pPr>
        <w:ind w:left="540" w:right="140" w:firstLine="8"/>
        <w:spacing w:after="0" w:line="306" w:lineRule="auto"/>
        <w:tabs>
          <w:tab w:leader="none" w:pos="789"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principal amount at maturity of selling securityholders listed is more than $435,367,000 because certain of the selling securityholders may have transferred debentures pursuant to Rule 144A or otherwise reduced their position prior to selling pursuant to this registration statement. The maximum principal amount at maturity of debentures that may be sold under this prospectus will not exceed $435,367,000.</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2019-12-19T23:39:25Z</dcterms:created>
  <dcterms:modified xsi:type="dcterms:W3CDTF">2019-12-19T23:39:25Z</dcterms:modified>
</cp:coreProperties>
</file>