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412115</wp:posOffset>
            </wp:positionH>
            <wp:positionV relativeFrom="page">
              <wp:posOffset>163195</wp:posOffset>
            </wp:positionV>
            <wp:extent cx="6732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8255"/>
                    </a:xfrm>
                    <a:prstGeom prst="rect">
                      <a:avLst/>
                    </a:prstGeom>
                    <a:noFill/>
                  </pic:spPr>
                </pic:pic>
              </a:graphicData>
            </a:graphic>
          </wp:anchor>
        </w:drawing>
        <w:drawing>
          <wp:anchor simplePos="0" relativeHeight="251657728" behindDoc="1" locked="0" layoutInCell="0" allowOverlap="1">
            <wp:simplePos x="0" y="0"/>
            <wp:positionH relativeFrom="page">
              <wp:posOffset>412115</wp:posOffset>
            </wp:positionH>
            <wp:positionV relativeFrom="page">
              <wp:posOffset>204470</wp:posOffset>
            </wp:positionV>
            <wp:extent cx="6732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8255"/>
                    </a:xfrm>
                    <a:prstGeom prst="rect">
                      <a:avLst/>
                    </a:prstGeom>
                    <a:noFill/>
                  </pic:spPr>
                </pic:pic>
              </a:graphicData>
            </a:graphic>
          </wp:anchor>
        </w:drawing>
        <w:t>UNITED STATES</w:t>
      </w:r>
    </w:p>
    <w:p>
      <w:pPr>
        <w:spacing w:after="0" w:line="26" w:lineRule="exact"/>
        <w:rPr>
          <w:sz w:val="24"/>
          <w:szCs w:val="24"/>
          <w:color w:val="auto"/>
        </w:rPr>
      </w:pPr>
    </w:p>
    <w:p>
      <w:pPr>
        <w:jc w:val="center"/>
        <w:ind w:right="-7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80"/>
        <w:spacing w:after="0"/>
        <w:rPr>
          <w:sz w:val="20"/>
          <w:szCs w:val="20"/>
          <w:color w:val="auto"/>
        </w:rPr>
      </w:pPr>
      <w:r>
        <w:rPr>
          <w:rFonts w:ascii="Arial" w:cs="Arial" w:eastAsia="Arial" w:hAnsi="Arial"/>
          <w:sz w:val="21"/>
          <w:szCs w:val="21"/>
          <w:b w:val="1"/>
          <w:bCs w:val="1"/>
          <w:color w:val="auto"/>
        </w:rPr>
        <w:t>Washington, D.C. 20549</w:t>
      </w:r>
    </w:p>
    <w:p>
      <w:pPr>
        <w:spacing w:after="0" w:line="267" w:lineRule="exact"/>
        <w:rPr>
          <w:sz w:val="24"/>
          <w:szCs w:val="24"/>
          <w:color w:val="auto"/>
        </w:rPr>
      </w:pPr>
    </w:p>
    <w:p>
      <w:pPr>
        <w:ind w:left="2960"/>
        <w:spacing w:after="0"/>
        <w:rPr>
          <w:sz w:val="20"/>
          <w:szCs w:val="20"/>
          <w:color w:val="auto"/>
        </w:rPr>
      </w:pPr>
      <w:r>
        <w:rPr>
          <w:rFonts w:ascii="Arial" w:cs="Arial" w:eastAsia="Arial" w:hAnsi="Arial"/>
          <w:sz w:val="31"/>
          <w:szCs w:val="31"/>
          <w:b w:val="1"/>
          <w:bCs w:val="1"/>
          <w:color w:val="auto"/>
        </w:rPr>
        <w:t>SCHEDULE 14A INFORMATION</w:t>
      </w:r>
    </w:p>
    <w:p>
      <w:pPr>
        <w:spacing w:after="0" w:line="320" w:lineRule="exact"/>
        <w:rPr>
          <w:sz w:val="24"/>
          <w:szCs w:val="24"/>
          <w:color w:val="auto"/>
        </w:rPr>
      </w:pPr>
    </w:p>
    <w:p>
      <w:pPr>
        <w:jc w:val="center"/>
        <w:ind w:right="-78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21"/>
          <w:szCs w:val="21"/>
          <w:b w:val="1"/>
          <w:bCs w:val="1"/>
          <w:color w:val="auto"/>
        </w:rPr>
        <w:t>Securities Exchange Act of 1934</w:t>
      </w:r>
    </w:p>
    <w:p>
      <w:pPr>
        <w:jc w:val="center"/>
        <w:ind w:right="-800"/>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367" w:lineRule="exact"/>
        <w:rPr>
          <w:sz w:val="24"/>
          <w:szCs w:val="24"/>
          <w:color w:val="auto"/>
        </w:rPr>
      </w:pPr>
    </w:p>
    <w:p>
      <w:pPr>
        <w:spacing w:after="0" w:line="196" w:lineRule="exact"/>
        <w:tabs>
          <w:tab w:leader="none" w:pos="310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46"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0" w:lineRule="exact"/>
        <w:rPr>
          <w:rFonts w:ascii="MS PGothic" w:cs="MS PGothic" w:eastAsia="MS PGothic" w:hAnsi="MS PGothic"/>
          <w:sz w:val="17"/>
          <w:szCs w:val="17"/>
          <w:color w:val="auto"/>
        </w:rPr>
      </w:pPr>
    </w:p>
    <w:p>
      <w:pPr>
        <w:ind w:left="540" w:hanging="538"/>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2" w:lineRule="exact"/>
        <w:rPr>
          <w:rFonts w:ascii="MS PGothic" w:cs="MS PGothic" w:eastAsia="MS PGothic" w:hAnsi="MS PGothic"/>
          <w:sz w:val="17"/>
          <w:szCs w:val="17"/>
          <w:color w:val="auto"/>
        </w:rPr>
      </w:pPr>
    </w:p>
    <w:p>
      <w:pPr>
        <w:ind w:left="540" w:hanging="538"/>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6" w:lineRule="exact"/>
        <w:rPr>
          <w:sz w:val="24"/>
          <w:szCs w:val="24"/>
          <w:color w:val="auto"/>
        </w:rPr>
      </w:pPr>
    </w:p>
    <w:p>
      <w:pPr>
        <w:ind w:left="540" w:hanging="538"/>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6" w:lineRule="exact"/>
        <w:rPr>
          <w:sz w:val="24"/>
          <w:szCs w:val="24"/>
          <w:color w:val="auto"/>
        </w:rPr>
      </w:pPr>
    </w:p>
    <w:p>
      <w:pPr>
        <w:ind w:left="540" w:hanging="538"/>
        <w:spacing w:after="0"/>
        <w:tabs>
          <w:tab w:leader="none" w:pos="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780"/>
        <w:spacing w:after="0"/>
        <w:rPr>
          <w:sz w:val="20"/>
          <w:szCs w:val="20"/>
          <w:color w:val="auto"/>
        </w:rPr>
      </w:pPr>
      <w:r>
        <w:rPr>
          <w:rFonts w:ascii="Arial" w:cs="Arial" w:eastAsia="Arial" w:hAnsi="Arial"/>
          <w:sz w:val="38"/>
          <w:szCs w:val="38"/>
          <w:b w:val="1"/>
          <w:bCs w:val="1"/>
          <w:color w:val="auto"/>
        </w:rPr>
        <w:t>MANPOWERGROUP INC.</w:t>
      </w:r>
    </w:p>
    <w:p>
      <w:pPr>
        <w:spacing w:after="0" w:line="39" w:lineRule="exact"/>
        <w:rPr>
          <w:sz w:val="24"/>
          <w:szCs w:val="24"/>
          <w:color w:val="auto"/>
        </w:rPr>
      </w:pPr>
    </w:p>
    <w:p>
      <w:pPr>
        <w:ind w:left="362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22"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46" w:lineRule="exact"/>
        <w:rPr>
          <w:sz w:val="24"/>
          <w:szCs w:val="24"/>
          <w:color w:val="auto"/>
        </w:rPr>
      </w:pPr>
    </w:p>
    <w:p>
      <w:pPr>
        <w:ind w:left="420" w:hanging="418"/>
        <w:spacing w:after="0"/>
        <w:tabs>
          <w:tab w:leader="none" w:pos="4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6" w:lineRule="exact"/>
        <w:rPr>
          <w:sz w:val="24"/>
          <w:szCs w:val="24"/>
          <w:color w:val="auto"/>
        </w:rPr>
      </w:pPr>
    </w:p>
    <w:p>
      <w:pPr>
        <w:ind w:left="420" w:hanging="418"/>
        <w:spacing w:after="0"/>
        <w:tabs>
          <w:tab w:leader="none" w:pos="4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46" w:lineRule="exact"/>
        <w:rPr>
          <w:rFonts w:ascii="MS PGothic" w:cs="MS PGothic" w:eastAsia="MS PGothic" w:hAnsi="MS PGothic"/>
          <w:sz w:val="17"/>
          <w:szCs w:val="17"/>
          <w:color w:val="auto"/>
        </w:rPr>
      </w:pPr>
    </w:p>
    <w:p>
      <w:pPr>
        <w:ind w:left="420" w:hanging="418"/>
        <w:spacing w:after="0"/>
        <w:tabs>
          <w:tab w:leader="none" w:pos="4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732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213995</wp:posOffset>
            </wp:positionV>
            <wp:extent cx="673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8255"/>
                    </a:xfrm>
                    <a:prstGeom prst="rect">
                      <a:avLst/>
                    </a:prstGeom>
                    <a:noFill/>
                  </pic:spPr>
                </pic:pic>
              </a:graphicData>
            </a:graphic>
          </wp:anchor>
        </w:drawing>
      </w:r>
    </w:p>
    <w:p>
      <w:pPr>
        <w:sectPr>
          <w:pgSz w:w="11900" w:h="16838" w:orient="portrait"/>
          <w:cols w:equalWidth="0" w:num="1">
            <w:col w:w="9819"/>
          </w:cols>
          <w:pgMar w:left="640" w:top="50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461645</wp:posOffset>
            </wp:positionH>
            <wp:positionV relativeFrom="page">
              <wp:posOffset>551180</wp:posOffset>
            </wp:positionV>
            <wp:extent cx="6246495" cy="1939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649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220"/>
        <w:spacing w:after="0"/>
        <w:rPr>
          <w:sz w:val="20"/>
          <w:szCs w:val="20"/>
          <w:color w:val="auto"/>
        </w:rPr>
      </w:pPr>
      <w:r>
        <w:rPr>
          <w:rFonts w:ascii="Arial" w:cs="Arial" w:eastAsia="Arial" w:hAnsi="Arial"/>
          <w:sz w:val="16"/>
          <w:szCs w:val="16"/>
          <w:b w:val="1"/>
          <w:bCs w:val="1"/>
          <w:color w:val="auto"/>
        </w:rPr>
        <w:t>Online</w:t>
      </w:r>
    </w:p>
    <w:p>
      <w:pPr>
        <w:spacing w:after="0" w:line="89" w:lineRule="exact"/>
        <w:rPr>
          <w:sz w:val="20"/>
          <w:szCs w:val="20"/>
          <w:color w:val="auto"/>
        </w:rPr>
      </w:pPr>
    </w:p>
    <w:p>
      <w:pPr>
        <w:jc w:val="both"/>
        <w:ind w:left="7220" w:right="60"/>
        <w:spacing w:after="0" w:line="266" w:lineRule="auto"/>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b w:val="1"/>
          <w:bCs w:val="1"/>
          <w:color w:val="auto"/>
        </w:rPr>
        <w:t>www.envisionreports.com/MAN</w:t>
      </w:r>
      <w:r>
        <w:rPr>
          <w:rFonts w:ascii="Arial" w:cs="Arial" w:eastAsia="Arial" w:hAnsi="Arial"/>
          <w:sz w:val="16"/>
          <w:szCs w:val="16"/>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-362585</wp:posOffset>
            </wp:positionV>
            <wp:extent cx="363220" cy="305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000000"/>
                        </a:clrFrom>
                        <a:clrTo>
                          <a:srgbClr val="000000">
                            <a:alpha val="0"/>
                          </a:srgbClr>
                        </a:clrTo>
                      </a:clrChange>
                      <a:extLst>
                        <a:ext uri="{28A0092B-C50C-407E-A947-70E740481C1C}"/>
                      </a:extLst>
                    </a:blip>
                    <a:srcRect/>
                    <a:stretch>
                      <a:fillRect/>
                    </a:stretch>
                  </pic:blipFill>
                  <pic:spPr bwMode="auto">
                    <a:xfrm>
                      <a:off x="0" y="0"/>
                      <a:ext cx="363220" cy="30543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-362585</wp:posOffset>
            </wp:positionV>
            <wp:extent cx="363220" cy="305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63220" cy="30543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478155</wp:posOffset>
            </wp:positionV>
            <wp:extent cx="6625590" cy="346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5590"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40"/>
        <w:spacing w:after="0"/>
        <w:rPr>
          <w:sz w:val="20"/>
          <w:szCs w:val="20"/>
          <w:color w:val="auto"/>
        </w:rPr>
      </w:pPr>
      <w:r>
        <w:rPr>
          <w:rFonts w:ascii="Arial" w:cs="Arial" w:eastAsia="Arial" w:hAnsi="Arial"/>
          <w:sz w:val="24"/>
          <w:szCs w:val="24"/>
          <w:b w:val="1"/>
          <w:bCs w:val="1"/>
          <w:color w:val="auto"/>
        </w:rPr>
        <w:t>Important Notice Regarding the Availability of Proxy Materials for the</w:t>
      </w:r>
    </w:p>
    <w:p>
      <w:pPr>
        <w:spacing w:after="0" w:line="38" w:lineRule="exact"/>
        <w:rPr>
          <w:sz w:val="20"/>
          <w:szCs w:val="20"/>
          <w:color w:val="auto"/>
        </w:rPr>
      </w:pPr>
    </w:p>
    <w:p>
      <w:pPr>
        <w:ind w:left="1660"/>
        <w:spacing w:after="0"/>
        <w:rPr>
          <w:sz w:val="20"/>
          <w:szCs w:val="20"/>
          <w:color w:val="auto"/>
        </w:rPr>
      </w:pPr>
      <w:r>
        <w:rPr>
          <w:rFonts w:ascii="Arial" w:cs="Arial" w:eastAsia="Arial" w:hAnsi="Arial"/>
          <w:sz w:val="24"/>
          <w:szCs w:val="24"/>
          <w:b w:val="1"/>
          <w:bCs w:val="1"/>
          <w:color w:val="auto"/>
        </w:rPr>
        <w:t>ManpowerGroup Inc. Shareholder Meeting to be Held on May 6, 2022</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instructions on how to attend the annual meeting, which will be held virtually, are on the reverse side. Your vote is important!</w:t>
      </w:r>
    </w:p>
    <w:p>
      <w:pPr>
        <w:spacing w:after="0" w:line="133" w:lineRule="exact"/>
        <w:rPr>
          <w:sz w:val="20"/>
          <w:szCs w:val="20"/>
          <w:color w:val="auto"/>
        </w:rPr>
      </w:pPr>
    </w:p>
    <w:p>
      <w:pPr>
        <w:ind w:right="240"/>
        <w:spacing w:after="0" w:line="285" w:lineRule="auto"/>
        <w:rPr>
          <w:sz w:val="20"/>
          <w:szCs w:val="20"/>
          <w:color w:val="auto"/>
        </w:rPr>
      </w:pPr>
      <w:r>
        <w:rPr>
          <w:rFonts w:ascii="Arial" w:cs="Arial" w:eastAsia="Arial" w:hAnsi="Arial"/>
          <w:sz w:val="19"/>
          <w:szCs w:val="19"/>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2022 Proxy Statement and 2021 Annual Report on Form 10-K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117475</wp:posOffset>
            </wp:positionV>
            <wp:extent cx="4579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9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594360" cy="528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360" cy="528320"/>
                    </a:xfrm>
                    <a:prstGeom prst="rect">
                      <a:avLst/>
                    </a:prstGeom>
                    <a:noFill/>
                  </pic:spPr>
                </pic:pic>
              </a:graphicData>
            </a:graphic>
          </wp:anchor>
        </w:drawing>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Step 1: </w:t>
      </w:r>
      <w:r>
        <w:rPr>
          <w:rFonts w:ascii="Arial" w:cs="Arial" w:eastAsia="Arial" w:hAnsi="Arial"/>
          <w:sz w:val="17"/>
          <w:szCs w:val="17"/>
          <w:color w:val="auto"/>
        </w:rPr>
        <w:t>Go to</w:t>
      </w:r>
      <w:r>
        <w:rPr>
          <w:rFonts w:ascii="Arial" w:cs="Arial" w:eastAsia="Arial" w:hAnsi="Arial"/>
          <w:sz w:val="17"/>
          <w:szCs w:val="17"/>
          <w:b w:val="1"/>
          <w:bCs w:val="1"/>
          <w:color w:val="auto"/>
        </w:rPr>
        <w:t xml:space="preserve"> www.envisionreports.com/MAN.</w:t>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Step 2: </w:t>
      </w:r>
      <w:r>
        <w:rPr>
          <w:rFonts w:ascii="Arial" w:cs="Arial" w:eastAsia="Arial" w:hAnsi="Arial"/>
          <w:sz w:val="17"/>
          <w:szCs w:val="17"/>
          <w:color w:val="auto"/>
        </w:rPr>
        <w:t>Click on</w:t>
      </w:r>
      <w:r>
        <w:rPr>
          <w:rFonts w:ascii="Arial" w:cs="Arial" w:eastAsia="Arial" w:hAnsi="Arial"/>
          <w:sz w:val="17"/>
          <w:szCs w:val="17"/>
          <w:b w:val="1"/>
          <w:bCs w:val="1"/>
          <w:color w:val="auto"/>
        </w:rPr>
        <w:t xml:space="preserve"> Cast Your Vote or Request Materials</w:t>
      </w:r>
      <w:r>
        <w:rPr>
          <w:rFonts w:ascii="Arial" w:cs="Arial" w:eastAsia="Arial" w:hAnsi="Arial"/>
          <w:sz w:val="17"/>
          <w:szCs w:val="17"/>
          <w:color w:val="auto"/>
        </w:rPr>
        <w:t>.</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Step 3: </w:t>
      </w:r>
      <w:r>
        <w:rPr>
          <w:rFonts w:ascii="Arial" w:cs="Arial" w:eastAsia="Arial" w:hAnsi="Arial"/>
          <w:sz w:val="17"/>
          <w:szCs w:val="17"/>
          <w:color w:val="auto"/>
        </w:rPr>
        <w:t>Follow the instructions on the screen to log in.</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Step 4: </w:t>
      </w:r>
      <w:r>
        <w:rPr>
          <w:rFonts w:ascii="Arial" w:cs="Arial" w:eastAsia="Arial" w:hAnsi="Arial"/>
          <w:sz w:val="17"/>
          <w:szCs w:val="17"/>
          <w:color w:val="auto"/>
        </w:rPr>
        <w:t>Make your selections as instructed on each screen for your delivery preferences.</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Step 5: </w:t>
      </w:r>
      <w:r>
        <w:rPr>
          <w:rFonts w:ascii="Arial" w:cs="Arial" w:eastAsia="Arial" w:hAnsi="Arial"/>
          <w:sz w:val="17"/>
          <w:szCs w:val="17"/>
          <w:color w:val="auto"/>
        </w:rPr>
        <w:t>Vote your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6732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8255"/>
                    </a:xfrm>
                    <a:prstGeom prst="rect">
                      <a:avLst/>
                    </a:prstGeom>
                    <a:noFill/>
                  </pic:spPr>
                </pic:pic>
              </a:graphicData>
            </a:graphic>
          </wp:anchor>
        </w:drawing>
      </w:r>
    </w:p>
    <w:p>
      <w:pPr>
        <w:spacing w:after="0" w:line="306" w:lineRule="exact"/>
        <w:rPr>
          <w:sz w:val="20"/>
          <w:szCs w:val="20"/>
          <w:color w:val="auto"/>
        </w:rPr>
      </w:pPr>
    </w:p>
    <w:p>
      <w:pPr>
        <w:ind w:left="1280" w:right="20"/>
        <w:spacing w:after="0" w:line="285" w:lineRule="auto"/>
        <w:rPr>
          <w:sz w:val="20"/>
          <w:szCs w:val="20"/>
          <w:color w:val="auto"/>
        </w:rPr>
      </w:pPr>
      <w:r>
        <w:rPr>
          <w:rFonts w:ascii="Arial" w:cs="Arial" w:eastAsia="Arial" w:hAnsi="Arial"/>
          <w:sz w:val="19"/>
          <w:szCs w:val="19"/>
          <w:b w:val="1"/>
          <w:bCs w:val="1"/>
          <w:color w:val="auto"/>
        </w:rPr>
        <w:t>Obtaining a Copy of the Proxy Materials - If you want to receive a copy of the proxy materials, you must request one. There is no charge to you for requesting a copy. Please make your request as instructed on the reverse side on or before 10 days before the meeting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-476250</wp:posOffset>
            </wp:positionV>
            <wp:extent cx="396240" cy="478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240" cy="4787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167005</wp:posOffset>
            </wp:positionV>
            <wp:extent cx="6991985" cy="569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1985" cy="569595"/>
                    </a:xfrm>
                    <a:prstGeom prst="rect">
                      <a:avLst/>
                    </a:prstGeom>
                    <a:noFill/>
                  </pic:spPr>
                </pic:pic>
              </a:graphicData>
            </a:graphic>
          </wp:anchor>
        </w:drawing>
      </w:r>
    </w:p>
    <w:p>
      <w:pPr>
        <w:sectPr>
          <w:pgSz w:w="11900" w:h="16838" w:orient="portrait"/>
          <w:cols w:equalWidth="0" w:num="1">
            <w:col w:w="10560"/>
          </w:cols>
          <w:pgMar w:left="640" w:top="1440" w:right="699" w:bottom="1440" w:gutter="0" w:footer="0" w:header="0"/>
        </w:sectPr>
      </w:pPr>
    </w:p>
    <w:bookmarkStart w:id="2" w:name="page3"/>
    <w:bookmarkEnd w:id="2"/>
    <w:p>
      <w:pPr>
        <w:ind w:left="1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412115</wp:posOffset>
            </wp:positionH>
            <wp:positionV relativeFrom="page">
              <wp:posOffset>179705</wp:posOffset>
            </wp:positionV>
            <wp:extent cx="6732905" cy="272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272415"/>
                    </a:xfrm>
                    <a:prstGeom prst="rect">
                      <a:avLst/>
                    </a:prstGeom>
                    <a:noFill/>
                  </pic:spPr>
                </pic:pic>
              </a:graphicData>
            </a:graphic>
          </wp:anchor>
        </w:drawing>
        <w:t>Shareholder Meeting Notice</w:t>
      </w:r>
    </w:p>
    <w:p>
      <w:pPr>
        <w:spacing w:after="0" w:line="292" w:lineRule="exact"/>
        <w:rPr>
          <w:sz w:val="20"/>
          <w:szCs w:val="20"/>
          <w:color w:val="auto"/>
        </w:rPr>
      </w:pPr>
    </w:p>
    <w:p>
      <w:pPr>
        <w:ind w:right="240"/>
        <w:spacing w:after="0" w:line="262" w:lineRule="auto"/>
        <w:rPr>
          <w:sz w:val="20"/>
          <w:szCs w:val="20"/>
          <w:color w:val="auto"/>
        </w:rPr>
      </w:pPr>
      <w:r>
        <w:rPr>
          <w:rFonts w:ascii="Arial" w:cs="Arial" w:eastAsia="Arial" w:hAnsi="Arial"/>
          <w:sz w:val="21"/>
          <w:szCs w:val="21"/>
          <w:b w:val="1"/>
          <w:bCs w:val="1"/>
          <w:color w:val="auto"/>
        </w:rPr>
        <w:t>ManpowerGroup Inc.’s Annual Meeting of Shareholders will be held on Friday, May 6, 2022, 9:00 a.m. Central time, virtually via the internet at www.meetnow.global/MXN79FA.</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to be voted on at the meeting are listed below along with the Board of Directors’ recommendations.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1, 2 and 3:</w:t>
      </w:r>
    </w:p>
    <w:p>
      <w:pPr>
        <w:spacing w:after="0" w:line="31" w:lineRule="exact"/>
        <w:rPr>
          <w:sz w:val="20"/>
          <w:szCs w:val="20"/>
          <w:color w:val="auto"/>
        </w:rPr>
      </w:pPr>
    </w:p>
    <w:p>
      <w:pPr>
        <w:ind w:left="940" w:hanging="522"/>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 twelve individuals nominated by the Board of Directors of ManpowerGroup Inc. to serve until 2023 as directors.</w:t>
      </w:r>
    </w:p>
    <w:p>
      <w:pPr>
        <w:spacing w:after="0" w:line="12" w:lineRule="exact"/>
        <w:rPr>
          <w:rFonts w:ascii="Arial" w:cs="Arial" w:eastAsia="Arial" w:hAnsi="Arial"/>
          <w:sz w:val="17"/>
          <w:szCs w:val="17"/>
          <w:color w:val="auto"/>
        </w:rPr>
      </w:pPr>
    </w:p>
    <w:p>
      <w:pPr>
        <w:ind w:left="940" w:hanging="522"/>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Ratification of Deloitte &amp; Touche LLP as our independent auditors for 2022.</w:t>
      </w:r>
    </w:p>
    <w:p>
      <w:pPr>
        <w:spacing w:after="0" w:line="12" w:lineRule="exact"/>
        <w:rPr>
          <w:rFonts w:ascii="Arial" w:cs="Arial" w:eastAsia="Arial" w:hAnsi="Arial"/>
          <w:sz w:val="17"/>
          <w:szCs w:val="17"/>
          <w:color w:val="auto"/>
        </w:rPr>
      </w:pPr>
    </w:p>
    <w:p>
      <w:pPr>
        <w:ind w:left="940" w:hanging="522"/>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Advisory vote to approve the compensation of our named executive officers.</w:t>
      </w:r>
    </w:p>
    <w:p>
      <w:pPr>
        <w:spacing w:after="0" w:line="12" w:lineRule="exact"/>
        <w:rPr>
          <w:rFonts w:ascii="Arial" w:cs="Arial" w:eastAsia="Arial" w:hAnsi="Arial"/>
          <w:sz w:val="17"/>
          <w:szCs w:val="17"/>
          <w:color w:val="auto"/>
        </w:rPr>
      </w:pPr>
    </w:p>
    <w:p>
      <w:pPr>
        <w:ind w:left="940" w:hanging="522"/>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their discretion, the Proxies are authorized to vote upon such other business as may properly come before the meeting.</w:t>
      </w:r>
    </w:p>
    <w:p>
      <w:pPr>
        <w:spacing w:after="0" w:line="202" w:lineRule="exact"/>
        <w:rPr>
          <w:sz w:val="20"/>
          <w:szCs w:val="20"/>
          <w:color w:val="auto"/>
        </w:rPr>
      </w:pPr>
    </w:p>
    <w:p>
      <w:pPr>
        <w:spacing w:after="0" w:line="326" w:lineRule="auto"/>
        <w:rPr>
          <w:sz w:val="20"/>
          <w:szCs w:val="20"/>
          <w:color w:val="auto"/>
        </w:rPr>
      </w:pPr>
      <w:r>
        <w:rPr>
          <w:rFonts w:ascii="Arial" w:cs="Arial" w:eastAsia="Arial" w:hAnsi="Arial"/>
          <w:sz w:val="16"/>
          <w:szCs w:val="16"/>
          <w:b w:val="1"/>
          <w:bCs w:val="1"/>
          <w:color w:val="auto"/>
        </w:rPr>
        <w:t>PLEASE NOTE - YOU CANNOT VOTE BY RETURNING THIS NOTICE. To vote your shares you must go online or request a paper copy of the proxy materials to receive a proxy card. Please reference the proxy statement for instructions on how to attend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3316605</wp:posOffset>
            </wp:positionV>
            <wp:extent cx="6732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80"/>
        <w:spacing w:after="0"/>
        <w:rPr>
          <w:sz w:val="20"/>
          <w:szCs w:val="20"/>
          <w:color w:val="auto"/>
        </w:rPr>
      </w:pPr>
      <w:r>
        <w:rPr>
          <w:rFonts w:ascii="Arial" w:cs="Arial" w:eastAsia="Arial" w:hAnsi="Arial"/>
          <w:sz w:val="21"/>
          <w:szCs w:val="21"/>
          <w:b w:val="1"/>
          <w:bCs w:val="1"/>
          <w:color w:val="auto"/>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379730" cy="462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9730" cy="462280"/>
                    </a:xfrm>
                    <a:prstGeom prst="rect">
                      <a:avLst/>
                    </a:prstGeom>
                    <a:noFill/>
                  </pic:spPr>
                </pic:pic>
              </a:graphicData>
            </a:graphic>
          </wp:anchor>
        </w:drawing>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Current and future delivery requests can be submitted using the options below.</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request an email copy, you will receive an email with a link to the current meeting materials.</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 xml:space="preserve">PLEASE NOTE: </w:t>
      </w:r>
      <w:r>
        <w:rPr>
          <w:rFonts w:ascii="Arial" w:cs="Arial" w:eastAsia="Arial" w:hAnsi="Arial"/>
          <w:sz w:val="16"/>
          <w:szCs w:val="16"/>
          <w:color w:val="auto"/>
        </w:rPr>
        <w:t>You must use the number in the shaded bar on the reverse side when requesting a copy of the proxy materials.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Internet - </w:t>
      </w:r>
      <w:r>
        <w:rPr>
          <w:rFonts w:ascii="Arial" w:cs="Arial" w:eastAsia="Arial" w:hAnsi="Arial"/>
          <w:sz w:val="15"/>
          <w:szCs w:val="15"/>
          <w:color w:val="auto"/>
        </w:rPr>
        <w:t>Go to</w:t>
      </w:r>
      <w:r>
        <w:rPr>
          <w:rFonts w:ascii="Arial" w:cs="Arial" w:eastAsia="Arial" w:hAnsi="Arial"/>
          <w:sz w:val="15"/>
          <w:szCs w:val="15"/>
          <w:b w:val="1"/>
          <w:bCs w:val="1"/>
          <w:color w:val="auto"/>
        </w:rPr>
        <w:t xml:space="preserve"> www.envisionreports.com/MAN. </w:t>
      </w:r>
      <w:r>
        <w:rPr>
          <w:rFonts w:ascii="Arial" w:cs="Arial" w:eastAsia="Arial" w:hAnsi="Arial"/>
          <w:sz w:val="15"/>
          <w:szCs w:val="15"/>
          <w:color w:val="auto"/>
        </w:rPr>
        <w:t>Click Cast Your Vote or Request Materials.</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Phone - </w:t>
      </w:r>
      <w:r>
        <w:rPr>
          <w:rFonts w:ascii="Arial" w:cs="Arial" w:eastAsia="Arial" w:hAnsi="Arial"/>
          <w:sz w:val="15"/>
          <w:szCs w:val="15"/>
          <w:color w:val="auto"/>
        </w:rPr>
        <w:t>Call us free of charge at 1-866-641-4276.</w:t>
      </w:r>
    </w:p>
    <w:p>
      <w:pPr>
        <w:spacing w:after="0" w:line="116" w:lineRule="exact"/>
        <w:rPr>
          <w:sz w:val="20"/>
          <w:szCs w:val="20"/>
          <w:color w:val="auto"/>
        </w:rPr>
      </w:pPr>
    </w:p>
    <w:p>
      <w:pPr>
        <w:ind w:left="1600" w:hanging="520"/>
        <w:spacing w:after="0" w:line="274" w:lineRule="auto"/>
        <w:rPr>
          <w:sz w:val="20"/>
          <w:szCs w:val="20"/>
          <w:color w:val="auto"/>
        </w:rPr>
      </w:pPr>
      <w:r>
        <w:rPr>
          <w:rFonts w:ascii="Arial" w:cs="Arial" w:eastAsia="Arial" w:hAnsi="Arial"/>
          <w:sz w:val="17"/>
          <w:szCs w:val="17"/>
          <w:b w:val="1"/>
          <w:bCs w:val="1"/>
          <w:color w:val="auto"/>
        </w:rPr>
        <w:t xml:space="preserve">–Email - </w:t>
      </w:r>
      <w:r>
        <w:rPr>
          <w:rFonts w:ascii="Arial" w:cs="Arial" w:eastAsia="Arial" w:hAnsi="Arial"/>
          <w:sz w:val="17"/>
          <w:szCs w:val="17"/>
          <w:color w:val="auto"/>
        </w:rPr>
        <w:t>Send an email to investorvote@computershare.com with “Proxy Materials ManpowerGroup Inc.” in the subject line.</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your full name and address, plus the number located in the shaded bar on the reverse side, and state that you want a paper copy of the meeting materials.</w:t>
      </w:r>
    </w:p>
    <w:p>
      <w:pPr>
        <w:spacing w:after="0" w:line="6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To facilitate timely delivery, all requests for a paper copy of proxy materials must be received by 10 days before the meeting.</w:t>
      </w:r>
    </w:p>
    <w:sectPr>
      <w:pgSz w:w="11900" w:h="16838" w:orient="portrait"/>
      <w:cols w:equalWidth="0" w:num="1">
        <w:col w:w="10580"/>
      </w:cols>
      <w:pgMar w:left="640" w:top="32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2022-03-10T15:56:50Z</dcterms:created>
  <dcterms:modified xsi:type="dcterms:W3CDTF">2022-03-10T15:56:50Z</dcterms:modified>
</cp:coreProperties>
</file>