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60716.htm"/>
      <w:bookmarkStart w:id="1" w:name="ksman2026071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July 16, 2026</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9535" w:type="dxa"/>
        <w:jc w:val="left"/>
        <w:tblInd w:w="0" w:type="dxa"/>
        <w:tblLayout w:type="fixed"/>
        <w:tblCellMar>
          <w:top w:w="28" w:type="dxa"/>
          <w:left w:w="28" w:type="dxa"/>
          <w:bottom w:w="28" w:type="dxa"/>
          <w:right w:w="28" w:type="dxa"/>
        </w:tblCellMar>
      </w:tblPr>
      <w:tblGrid>
        <w:gridCol w:w="3856"/>
        <w:gridCol w:w="146"/>
        <w:gridCol w:w="2386"/>
        <w:gridCol w:w="14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center"/>
        <w:rPr/>
      </w:pPr>
      <w:r>
        <w:rPr/>
        <w:t> </w:t>
      </w:r>
    </w:p>
    <w:tbl>
      <w:tblPr>
        <w:tblW w:w="4573" w:type="dxa"/>
        <w:jc w:val="left"/>
        <w:tblInd w:w="0" w:type="dxa"/>
        <w:tblLayout w:type="fixed"/>
        <w:tblCellMar>
          <w:top w:w="28" w:type="dxa"/>
          <w:left w:w="28" w:type="dxa"/>
          <w:bottom w:w="28" w:type="dxa"/>
          <w:right w:w="28" w:type="dxa"/>
        </w:tblCellMar>
      </w:tblPr>
      <w:tblGrid>
        <w:gridCol w:w="3376"/>
        <w:gridCol w:w="146"/>
        <w:gridCol w:w="105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(414) 961-1000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626"/>
        <w:gridCol w:w="1621"/>
        <w:gridCol w:w="3706"/>
      </w:tblGrid>
      <w:tr>
        <w:trPr/>
        <w:tc>
          <w:tcPr>
            <w:tcW w:w="26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16, 2026, we issued a press release announcing our results of operations for the three and six months ended June 30, 2026 and 2025. A copy of the press release is attached hereto as Exhibit 99.1 and is incorporated herein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Exhibits</w:t>
      </w:r>
      <w:r>
        <w:rPr>
          <w:rFonts w:ascii="Times New Roman" w:hAnsi="Times New Roman"/>
          <w:color w:val="000000"/>
          <w:sz w:val="20"/>
        </w:rPr>
        <w:t xml:space="preserve">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91"/>
        <w:gridCol w:w="146"/>
        <w:gridCol w:w="660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July 16,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2.htm">
              <w:r>
                <w:rPr>
                  <w:rStyle w:val="InternetLink"/>
                  <w:rFonts w:ascii="Times New Roman" w:hAnsi="Times New Roman"/>
                  <w:color w:val="0000FF"/>
                  <w:sz w:val="20"/>
                  <w:u w:val="single"/>
                </w:rPr>
                <w:t>Presentation materials for July 16, 2026 Conference Call</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628" w:type="dxa"/>
        <w:jc w:val="left"/>
        <w:tblInd w:w="0" w:type="dxa"/>
        <w:tblLayout w:type="fixed"/>
        <w:tblCellMar>
          <w:top w:w="28" w:type="dxa"/>
          <w:left w:w="28" w:type="dxa"/>
          <w:bottom w:w="28" w:type="dxa"/>
          <w:right w:w="28" w:type="dxa"/>
        </w:tblCellMar>
      </w:tblPr>
      <w:tblGrid>
        <w:gridCol w:w="661"/>
        <w:gridCol w:w="146"/>
        <w:gridCol w:w="1216"/>
        <w:gridCol w:w="146"/>
        <w:gridCol w:w="146"/>
        <w:gridCol w:w="631"/>
        <w:gridCol w:w="146"/>
        <w:gridCol w:w="2536"/>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man-ex99_1.htm"/>
      <w:bookmarkStart w:id="3" w:name="ksman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jc w:val="left"/>
        <w:rPr/>
      </w:pPr>
      <w:r>
        <w:rPr/>
        <w:drawing>
          <wp:inline distT="0" distB="0" distL="0" distR="0">
            <wp:extent cx="17049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914400"/>
                    </a:xfrm>
                    <a:prstGeom prst="rect">
                      <a:avLst/>
                    </a:prstGeom>
                  </pic:spPr>
                </pic:pic>
              </a:graphicData>
            </a:graphic>
          </wp:inline>
        </w:drawing>
      </w:r>
    </w:p>
    <w:p>
      <w:pPr>
        <w:pStyle w:val="TextBody"/>
        <w:bidi w:val="0"/>
        <w:jc w:val="left"/>
        <w:rPr/>
      </w:pPr>
      <w:r>
        <w:rPr/>
        <w:t> </w:t>
      </w:r>
    </w:p>
    <w:tbl>
      <w:tblPr>
        <w:tblW w:w="5968" w:type="dxa"/>
        <w:jc w:val="left"/>
        <w:tblInd w:w="0" w:type="dxa"/>
        <w:tblLayout w:type="fixed"/>
        <w:tblCellMar>
          <w:top w:w="28" w:type="dxa"/>
          <w:left w:w="28" w:type="dxa"/>
          <w:bottom w:w="28" w:type="dxa"/>
          <w:right w:w="28" w:type="dxa"/>
        </w:tblCellMar>
      </w:tblPr>
      <w:tblGrid>
        <w:gridCol w:w="2686"/>
        <w:gridCol w:w="146"/>
        <w:gridCol w:w="313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FOR IMMEDIATE RELEASE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Contact:</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Haley Jones</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+1.414.906.6804</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19"/>
                <w:u w:val="single"/>
              </w:rPr>
            </w:pPr>
            <w:r>
              <w:rPr>
                <w:rFonts w:ascii="Arial" w:hAnsi="Arial"/>
                <w:color w:val="0000FF"/>
                <w:sz w:val="19"/>
                <w:u w:val="single"/>
              </w:rPr>
              <w:t>haley.jones@manpowergroup.com</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rPr>
        <w:t>ManpowerGroup Reports 2</w:t>
      </w:r>
      <w:r>
        <w:rPr>
          <w:rFonts w:ascii="Arial" w:hAnsi="Arial"/>
          <w:b/>
          <w:color w:val="000000"/>
          <w:sz w:val="16"/>
        </w:rPr>
        <w:t>nd</w:t>
      </w:r>
      <w:r>
        <w:rPr>
          <w:rFonts w:ascii="Times New Roman" w:hAnsi="Times New Roman"/>
          <w:color w:val="000000"/>
          <w:sz w:val="20"/>
        </w:rPr>
        <w:t xml:space="preserve"> </w:t>
      </w:r>
      <w:r>
        <w:rPr>
          <w:rFonts w:ascii="Arial" w:hAnsi="Arial"/>
          <w:b/>
          <w:color w:val="000000"/>
          <w:sz w:val="24"/>
        </w:rPr>
        <w:t>Quarter 2026 Results</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Revenues of $4.9 billion (+8% as reported, +6% constant currency)</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Strong demand in United States, Latin America, APME and in select European countries including Italy, Spain, Poland and Norway</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Manpower had very strong revenue growth in the quarter. Experis revenue trends improved from previous quarters driven by the United States. Talent Solutions revenue trends also improved sequentially driven by RPO with ongoing solid MSP growth.</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 xml:space="preserve">Gross Profit growth combined with SG&amp;A reductions generated meaningful growth in profitability year over year </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Sale of Jefferson Wells U.S. business for $100 million generating net cash proceeds of $88 million</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2"/>
        </w:rPr>
        <w:t xml:space="preserve">MILWAUKEE, July 16, 2026 – </w:t>
      </w:r>
      <w:r>
        <w:rPr>
          <w:rFonts w:ascii="Arial" w:hAnsi="Arial"/>
          <w:color w:val="000000"/>
          <w:sz w:val="22"/>
        </w:rPr>
        <w:t>ManpowerGroup (NYSE: MAN) today reported net earnings of $1.13 per diluted share for the three months ended June 30, 2026 compared to net losses of $1.44 per diluted share in the prior year period. Net earnings in the quarter were $53.5 million compared to net losses of $67.1 million a year earlier. Revenues for the second quarter were $4.9 billion, an 8% increase from the prior year period.</w:t>
      </w:r>
    </w:p>
    <w:p>
      <w:pPr>
        <w:pStyle w:val="TextBody"/>
        <w:bidi w:val="0"/>
        <w:jc w:val="both"/>
        <w:rPr>
          <w:rFonts w:ascii="Times New Roman" w:hAnsi="Times New Roman"/>
          <w:sz w:val="20"/>
        </w:rPr>
      </w:pPr>
      <w:r>
        <w:rPr>
          <w:rFonts w:ascii="Arial" w:hAnsi="Arial"/>
          <w:color w:val="000000"/>
          <w:sz w:val="22"/>
        </w:rPr>
        <w:t>The current year quarter included the sale of our Jefferson Wells U.S. business, strategic transformation program costs, restructuring costs, and a discontinued business liquidation charge which, in aggregate, positively impacted earnings per share by $0.14 in the second quarter. Excluding these items, earnings per share was $0.99 per diluted share in the quarter representing an increase of 27% in constant currency in the second quarter of 2026.</w:t>
      </w:r>
      <w:r>
        <w:rPr>
          <w:rFonts w:ascii="Arial" w:hAnsi="Arial"/>
          <w:color w:val="000000"/>
          <w:sz w:val="15"/>
        </w:rPr>
        <w:t>1</w:t>
      </w:r>
    </w:p>
    <w:p>
      <w:pPr>
        <w:pStyle w:val="TextBody"/>
        <w:bidi w:val="0"/>
        <w:jc w:val="both"/>
        <w:rPr>
          <w:rFonts w:ascii="Arial" w:hAnsi="Arial"/>
          <w:color w:val="000000"/>
          <w:sz w:val="22"/>
        </w:rPr>
      </w:pPr>
      <w:r>
        <w:rPr>
          <w:rFonts w:ascii="Arial" w:hAnsi="Arial"/>
          <w:color w:val="000000"/>
          <w:sz w:val="22"/>
        </w:rPr>
        <w:t>Financial results in the quarter were also impacted by the U.S. dollar relative to foreign currencies compared to the prior year period. On a constant currency basis, revenues increased 6% compared to the prior year period.</w:t>
      </w:r>
    </w:p>
    <w:p>
      <w:pPr>
        <w:pStyle w:val="TextBody"/>
        <w:bidi w:val="0"/>
        <w:jc w:val="both"/>
        <w:rPr>
          <w:rFonts w:ascii="Times New Roman" w:hAnsi="Times New Roman"/>
          <w:sz w:val="20"/>
        </w:rPr>
      </w:pPr>
      <w:r>
        <w:rPr>
          <w:rFonts w:ascii="Arial" w:hAnsi="Arial"/>
          <w:color w:val="000000"/>
          <w:sz w:val="22"/>
        </w:rPr>
        <w:t>Jonas Prising, ManpowerGroup Chair &amp; CEO, said, “In the second quarter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The prior year period included various adjustments which reduced earnings per share by $2.22 in the second quarter which are also excluded when determining the year over year adjusted trend.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Arial" w:hAnsi="Arial"/>
          <w:color w:val="000000"/>
          <w:sz w:val="22"/>
        </w:rPr>
        <w:t>we delivered strong results with revenues ahead of expectations. Results reflect good execution across our brands and markets, continued cost discipline and improving demand. We are leveraging our scale and diversified platform and focusing commercial efforts on verticals that offer the greatest opportunities to win and capture share. We saw very strong growth in our Manpower brand and improving trends across Experis and Talent Solutions.</w:t>
      </w:r>
      <w:r>
        <w:rPr>
          <w:rFonts w:ascii="Times New Roman" w:hAnsi="Times New Roman"/>
          <w:color w:val="000000"/>
          <w:sz w:val="20"/>
        </w:rPr>
        <w:t xml:space="preserve"> </w:t>
      </w:r>
    </w:p>
    <w:p>
      <w:pPr>
        <w:pStyle w:val="TextBody"/>
        <w:bidi w:val="0"/>
        <w:jc w:val="both"/>
        <w:rPr>
          <w:rFonts w:ascii="Arial" w:hAnsi="Arial"/>
          <w:color w:val="000000"/>
          <w:sz w:val="22"/>
        </w:rPr>
      </w:pPr>
      <w:r>
        <w:rPr>
          <w:rFonts w:ascii="Arial" w:hAnsi="Arial"/>
          <w:color w:val="000000"/>
          <w:sz w:val="22"/>
        </w:rPr>
        <w:t>Throughout the quarter, we advanced our global strategic transformation program and expanded AI capabilities that improve productivity and unlock new higher-value solutions through critical strategic partnerships. Looking ahead, we maintain our view that 2026 represents an important inflection point for ManpowerGroup as we execute our transformation strategy and position the business for long-term durable profitable growth.”</w:t>
      </w:r>
    </w:p>
    <w:p>
      <w:pPr>
        <w:pStyle w:val="TextBody"/>
        <w:bidi w:val="0"/>
        <w:jc w:val="both"/>
        <w:rPr>
          <w:rFonts w:ascii="Arial" w:hAnsi="Arial"/>
          <w:color w:val="000000"/>
          <w:sz w:val="22"/>
        </w:rPr>
      </w:pPr>
      <w:r>
        <w:rPr>
          <w:rFonts w:ascii="Arial" w:hAnsi="Arial"/>
          <w:color w:val="000000"/>
          <w:sz w:val="22"/>
        </w:rPr>
        <w:t>We anticipate diluted earnings per share in the third quarter will be between $0.96 and $1.06, which includes an estimated unfavorable currency impact of 2 cents and a 44% effective tax rate."</w:t>
      </w:r>
    </w:p>
    <w:p>
      <w:pPr>
        <w:pStyle w:val="TextBody"/>
        <w:bidi w:val="0"/>
        <w:jc w:val="both"/>
        <w:rPr>
          <w:rFonts w:ascii="Arial" w:hAnsi="Arial"/>
          <w:color w:val="000000"/>
          <w:sz w:val="22"/>
        </w:rPr>
      </w:pPr>
      <w:r>
        <w:rPr>
          <w:rFonts w:ascii="Arial" w:hAnsi="Arial"/>
          <w:color w:val="000000"/>
          <w:sz w:val="22"/>
        </w:rPr>
        <w:t>In conjunction with its second quarter earnings release, ManpowerGroup will broadcast its conference call live over the internet on July 16, 2026 at 7:30 a.m. Central time (8:30 a.m. Eastern time). Prepared remarks for the conference call, webcast details, presentation and recordings are included within the Investor Relations section of manpowergroup.com.</w:t>
      </w:r>
    </w:p>
    <w:p>
      <w:pPr>
        <w:pStyle w:val="TextBody"/>
        <w:bidi w:val="0"/>
        <w:jc w:val="both"/>
        <w:rPr>
          <w:rFonts w:ascii="Times New Roman" w:hAnsi="Times New Roman"/>
          <w:sz w:val="20"/>
        </w:rPr>
      </w:pPr>
      <w:r>
        <w:rPr>
          <w:rFonts w:ascii="Arial" w:hAnsi="Arial"/>
          <w:color w:val="000000"/>
          <w:sz w:val="22"/>
        </w:rPr>
        <w:t xml:space="preserve">Supplemental financial information referenced in the conference call can be found at </w:t>
      </w:r>
      <w:r>
        <w:rPr>
          <w:rFonts w:ascii="Arial" w:hAnsi="Arial"/>
          <w:sz w:val="22"/>
        </w:rPr>
        <w:t>http://investor.manpowergroup.com/</w:t>
      </w:r>
      <w:r>
        <w:rPr>
          <w:rFonts w:ascii="Arial" w:hAnsi="Arial"/>
          <w:color w:val="000000"/>
          <w:sz w:val="22"/>
        </w:rPr>
        <w:t>.</w:t>
      </w:r>
    </w:p>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About ManpowerGroup</w:t>
      </w:r>
    </w:p>
    <w:p>
      <w:pPr>
        <w:pStyle w:val="TextBody"/>
        <w:bidi w:val="0"/>
        <w:jc w:val="both"/>
        <w:rPr>
          <w:rFonts w:ascii="Arial" w:hAnsi="Arial"/>
          <w:color w:val="000000"/>
          <w:sz w:val="20"/>
        </w:rPr>
      </w:pPr>
      <w:r>
        <w:rPr>
          <w:rFonts w:ascii="Arial" w:hAnsi="Arial"/>
          <w:color w:val="000000"/>
          <w:sz w:val="20"/>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2026 ManpowerGroup was named one of the World's Most Ethical Companies for the 17th time – all confirming our position as the brand of choice for in-demand talent. For more information, visit www.manpowergroup.com.</w:t>
      </w:r>
    </w:p>
    <w:p>
      <w:pPr>
        <w:pStyle w:val="TextBody"/>
        <w:bidi w:val="0"/>
        <w:jc w:val="both"/>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This press release contains forward-looking statements within the meaning of Section 27A of the Securities Act of 1933, as amended, and Section 21E of the Exchange Act of 1934, as amended, including statements regarding trends in labor demand and the future strengthening of such demand, the Company’s financial outlook, and the Company’s strategic initiatives and technology investments, including our ability to increase market share and the acceleration of transformation initiatives to remove structural costs from the organization to drive efficiencies, which are subject to risks and uncertainties.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2025, which information is incorporated herein by reference.</w:t>
      </w:r>
    </w:p>
    <w:p>
      <w:pPr>
        <w:pStyle w:val="TextBody"/>
        <w:bidi w:val="0"/>
        <w:jc w:val="both"/>
        <w:rPr>
          <w:rFonts w:ascii="Arial" w:hAnsi="Arial"/>
          <w:color w:val="000000"/>
          <w:sz w:val="20"/>
        </w:rPr>
      </w:pPr>
      <w:r>
        <w:rPr>
          <w:rFonts w:ascii="Arial" w:hAnsi="Arial"/>
          <w:color w:val="000000"/>
          <w:sz w:val="20"/>
        </w:rPr>
        <w:t>We caution that any forward-looking statement reflects only our belief at the time the statement is made. 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jc w:val="center"/>
        <w:rPr>
          <w:rFonts w:ascii="Arial" w:hAnsi="Arial"/>
          <w:color w:val="000000"/>
          <w:sz w:val="20"/>
        </w:rPr>
      </w:pPr>
      <w:r>
        <w:rPr>
          <w:rFonts w:ascii="Arial" w:hAnsi="Arial"/>
          <w:color w:val="000000"/>
          <w:sz w:val="20"/>
        </w:rPr>
        <w:t>Results of Operations</w:t>
      </w:r>
    </w:p>
    <w:p>
      <w:pPr>
        <w:pStyle w:val="TextBody"/>
        <w:bidi w:val="0"/>
        <w:jc w:val="center"/>
        <w:rPr>
          <w:rFonts w:ascii="Arial" w:hAnsi="Arial"/>
          <w:color w:val="000000"/>
          <w:sz w:val="20"/>
        </w:rPr>
      </w:pPr>
      <w:r>
        <w:rPr>
          <w:rFonts w:ascii="Arial" w:hAnsi="Arial"/>
          <w:color w:val="000000"/>
          <w:sz w:val="20"/>
        </w:rPr>
        <w:t>(In millions, except per share data)</w:t>
      </w:r>
    </w:p>
    <w:p>
      <w:pPr>
        <w:pStyle w:val="TextBody"/>
        <w:bidi w:val="0"/>
        <w:jc w:val="center"/>
        <w:rPr/>
      </w:pPr>
      <w:r>
        <w:rPr/>
        <w:t> </w:t>
      </w:r>
    </w:p>
    <w:tbl>
      <w:tblPr>
        <w:tblW w:w="8225" w:type="dxa"/>
        <w:jc w:val="left"/>
        <w:tblInd w:w="0" w:type="dxa"/>
        <w:tblLayout w:type="fixed"/>
        <w:tblCellMar>
          <w:top w:w="28" w:type="dxa"/>
          <w:left w:w="28" w:type="dxa"/>
          <w:bottom w:w="28" w:type="dxa"/>
          <w:right w:w="28" w:type="dxa"/>
        </w:tblCellMar>
      </w:tblPr>
      <w:tblGrid>
        <w:gridCol w:w="3196"/>
        <w:gridCol w:w="146"/>
        <w:gridCol w:w="211"/>
        <w:gridCol w:w="721"/>
        <w:gridCol w:w="146"/>
        <w:gridCol w:w="146"/>
        <w:gridCol w:w="211"/>
        <w:gridCol w:w="721"/>
        <w:gridCol w:w="166"/>
        <w:gridCol w:w="146"/>
        <w:gridCol w:w="182"/>
        <w:gridCol w:w="659"/>
        <w:gridCol w:w="271"/>
        <w:gridCol w:w="146"/>
        <w:gridCol w:w="182"/>
        <w:gridCol w:w="659"/>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Revenues from services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4,860.2</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4,519.3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Gross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Selling and administrative expenses, </w:t>
              <w:br/>
              <w:t>   excluding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Operating profit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Earnings (loss) before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53.5</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Revenues from services include fees received from our franchise offices of $4.5 million and $4.4 million for the three months ended June 30, 2026 and 2025, respectively. These fees are primarily based on revenues generated by the franchise offices, which were $471.4 million and $428.7 million for the three months ended June 30, 2026 and 2025, respectively.</w:t>
      </w:r>
    </w:p>
    <w:p>
      <w:pPr>
        <w:pStyle w:val="TextBody"/>
        <w:bidi w:val="0"/>
        <w:spacing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three months ended June 30, 2025 consist of a goodwill impairment related to our investments in Switzerland and the United Kingdom and an impairment of an indefinite lived intangible asset in our Switzerland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Operating Unit Results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835" w:type="dxa"/>
        <w:jc w:val="left"/>
        <w:tblInd w:w="0" w:type="dxa"/>
        <w:tblLayout w:type="fixed"/>
        <w:tblCellMar>
          <w:top w:w="28" w:type="dxa"/>
          <w:left w:w="28" w:type="dxa"/>
          <w:bottom w:w="28" w:type="dxa"/>
          <w:right w:w="28" w:type="dxa"/>
        </w:tblCellMar>
      </w:tblPr>
      <w:tblGrid>
        <w:gridCol w:w="3486"/>
        <w:gridCol w:w="146"/>
        <w:gridCol w:w="211"/>
        <w:gridCol w:w="721"/>
        <w:gridCol w:w="166"/>
        <w:gridCol w:w="146"/>
        <w:gridCol w:w="211"/>
        <w:gridCol w:w="721"/>
        <w:gridCol w:w="166"/>
        <w:gridCol w:w="146"/>
        <w:gridCol w:w="170"/>
        <w:gridCol w:w="671"/>
        <w:gridCol w:w="271"/>
        <w:gridCol w:w="146"/>
        <w:gridCol w:w="171"/>
        <w:gridCol w:w="670"/>
        <w:gridCol w:w="616"/>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 from Services: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Arial" w:hAnsi="Arial"/>
                <w:color w:val="000000"/>
                <w:sz w:val="18"/>
              </w:rPr>
              <w:t xml:space="preserve">United States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1,177.6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4,865.2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4,529.0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4,860.2</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4,519.3</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Unit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 amortization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Interest and other expenses, net </w:t>
            </w:r>
            <w:r>
              <w:rPr>
                <w:rFonts w:ascii="Arial" w:hAnsi="Arial"/>
                <w:color w:val="000000"/>
                <w:sz w:val="12"/>
              </w:rPr>
              <w:t>(c)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Earnings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In the United States, revenues from services include fees received from our franchise offices of $2.7 million and $2.6 million for the three months ended June 30, 2026 and 2025, respectively. These fees are primarily based on revenues generated by the franchise offices, which were $93.5 million and $87.1 million for the three months ended June 30, 2026 and 2025, respectively.</w:t>
      </w:r>
    </w:p>
    <w:p>
      <w:pPr>
        <w:pStyle w:val="TextBody"/>
        <w:bidi w:val="0"/>
        <w:spacing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three months ended June 30, 2025 consist of a goodwill impairment related to our investments in Switzerland and the United Kingdom and an impairment of an indefinite lived intangible asset in our Switzerland business.</w:t>
      </w:r>
    </w:p>
    <w:p>
      <w:pPr>
        <w:pStyle w:val="TextBody"/>
        <w:bidi w:val="0"/>
        <w:spacing w:before="120" w:after="283"/>
        <w:jc w:val="left"/>
        <w:rPr>
          <w:rFonts w:ascii="Arial" w:hAnsi="Arial"/>
          <w:color w:val="000000"/>
          <w:sz w:val="18"/>
        </w:rPr>
      </w:pPr>
      <w:r>
        <w:rPr>
          <w:rFonts w:ascii="Arial" w:hAnsi="Arial"/>
          <w:color w:val="000000"/>
          <w:sz w:val="18"/>
        </w:rPr>
        <w:t>(c)</w:t>
      </w:r>
    </w:p>
    <w:p>
      <w:pPr>
        <w:pStyle w:val="TextBody"/>
        <w:bidi w:val="0"/>
        <w:spacing w:before="120" w:after="283"/>
        <w:jc w:val="left"/>
        <w:rPr>
          <w:rFonts w:ascii="Arial" w:hAnsi="Arial"/>
          <w:color w:val="000000"/>
          <w:sz w:val="18"/>
        </w:rPr>
      </w:pPr>
      <w:r>
        <w:rPr>
          <w:rFonts w:ascii="Arial" w:hAnsi="Arial"/>
          <w:color w:val="000000"/>
          <w:sz w:val="18"/>
        </w:rPr>
        <w:t>The components of interest and other expenses, net were:</w:t>
      </w:r>
    </w:p>
    <w:tbl>
      <w:tblPr>
        <w:tblW w:w="4799" w:type="dxa"/>
        <w:jc w:val="left"/>
        <w:tblInd w:w="0" w:type="dxa"/>
        <w:tblLayout w:type="fixed"/>
        <w:tblCellMar>
          <w:top w:w="28" w:type="dxa"/>
          <w:left w:w="28" w:type="dxa"/>
          <w:bottom w:w="28" w:type="dxa"/>
          <w:right w:w="28" w:type="dxa"/>
        </w:tblCellMar>
      </w:tblPr>
      <w:tblGrid>
        <w:gridCol w:w="2776"/>
        <w:gridCol w:w="146"/>
        <w:gridCol w:w="211"/>
        <w:gridCol w:w="466"/>
        <w:gridCol w:w="166"/>
        <w:gridCol w:w="146"/>
        <w:gridCol w:w="211"/>
        <w:gridCol w:w="46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Foreign exchange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jc w:val="center"/>
        <w:rPr>
          <w:rFonts w:ascii="Arial" w:hAnsi="Arial"/>
          <w:color w:val="000000"/>
          <w:sz w:val="20"/>
        </w:rPr>
      </w:pPr>
      <w:r>
        <w:rPr>
          <w:rFonts w:ascii="Arial" w:hAnsi="Arial"/>
          <w:color w:val="000000"/>
          <w:sz w:val="20"/>
        </w:rPr>
        <w:t>Results of Operations</w:t>
      </w:r>
    </w:p>
    <w:p>
      <w:pPr>
        <w:pStyle w:val="TextBody"/>
        <w:bidi w:val="0"/>
        <w:jc w:val="center"/>
        <w:rPr>
          <w:rFonts w:ascii="Arial" w:hAnsi="Arial"/>
          <w:color w:val="000000"/>
          <w:sz w:val="20"/>
        </w:rPr>
      </w:pPr>
      <w:r>
        <w:rPr>
          <w:rFonts w:ascii="Arial" w:hAnsi="Arial"/>
          <w:color w:val="000000"/>
          <w:sz w:val="20"/>
        </w:rPr>
        <w:t>(In millions, except per share data)</w:t>
      </w:r>
    </w:p>
    <w:p>
      <w:pPr>
        <w:pStyle w:val="TextBody"/>
        <w:bidi w:val="0"/>
        <w:jc w:val="center"/>
        <w:rPr/>
      </w:pPr>
      <w:r>
        <w:rPr/>
        <w:t> </w:t>
      </w:r>
    </w:p>
    <w:tbl>
      <w:tblPr>
        <w:tblW w:w="8225" w:type="dxa"/>
        <w:jc w:val="left"/>
        <w:tblInd w:w="0" w:type="dxa"/>
        <w:tblLayout w:type="fixed"/>
        <w:tblCellMar>
          <w:top w:w="28" w:type="dxa"/>
          <w:left w:w="28" w:type="dxa"/>
          <w:bottom w:w="28" w:type="dxa"/>
          <w:right w:w="28" w:type="dxa"/>
        </w:tblCellMar>
      </w:tblPr>
      <w:tblGrid>
        <w:gridCol w:w="3196"/>
        <w:gridCol w:w="146"/>
        <w:gridCol w:w="211"/>
        <w:gridCol w:w="721"/>
        <w:gridCol w:w="146"/>
        <w:gridCol w:w="146"/>
        <w:gridCol w:w="211"/>
        <w:gridCol w:w="721"/>
        <w:gridCol w:w="166"/>
        <w:gridCol w:w="146"/>
        <w:gridCol w:w="149"/>
        <w:gridCol w:w="692"/>
        <w:gridCol w:w="271"/>
        <w:gridCol w:w="146"/>
        <w:gridCol w:w="149"/>
        <w:gridCol w:w="692"/>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Revenues from services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9,370.6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8,609.6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Gross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1,503.3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1,462.0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Selling and administrative expenses, </w:t>
              <w:br/>
              <w:t>   excluding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Operating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4702.9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4487.8</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Earnings (loss) before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Revenues from services include fees received from our franchise offices of $8.3 million and $8.2 million for the six months ended June 30, 2026 and 2025, respectively. These fees are primarily based on revenues generated by the franchise offices, which were $925.7 million and $847.1 million for the six months ended June 30, 2026 and 2025, respectively.</w:t>
      </w:r>
    </w:p>
    <w:p>
      <w:pPr>
        <w:pStyle w:val="TextBody"/>
        <w:bidi w:val="0"/>
        <w:spacing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six months ended June 30, 2025 consist of a goodwill impairment related to our investments in Switzerland and the United Kingdom and an impairment of an indefinite lived intangible asset in our Switzerland business.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Operating Unit Results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835" w:type="dxa"/>
        <w:jc w:val="left"/>
        <w:tblInd w:w="0" w:type="dxa"/>
        <w:tblLayout w:type="fixed"/>
        <w:tblCellMar>
          <w:top w:w="28" w:type="dxa"/>
          <w:left w:w="28" w:type="dxa"/>
          <w:bottom w:w="28" w:type="dxa"/>
          <w:right w:w="28" w:type="dxa"/>
        </w:tblCellMar>
      </w:tblPr>
      <w:tblGrid>
        <w:gridCol w:w="3486"/>
        <w:gridCol w:w="146"/>
        <w:gridCol w:w="211"/>
        <w:gridCol w:w="721"/>
        <w:gridCol w:w="166"/>
        <w:gridCol w:w="146"/>
        <w:gridCol w:w="211"/>
        <w:gridCol w:w="721"/>
        <w:gridCol w:w="166"/>
        <w:gridCol w:w="146"/>
        <w:gridCol w:w="149"/>
        <w:gridCol w:w="692"/>
        <w:gridCol w:w="271"/>
        <w:gridCol w:w="146"/>
        <w:gridCol w:w="149"/>
        <w:gridCol w:w="692"/>
        <w:gridCol w:w="616"/>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 from Services: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Arial" w:hAnsi="Arial"/>
                <w:color w:val="000000"/>
                <w:sz w:val="18"/>
              </w:rPr>
              <w:t xml:space="preserve">United States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1,369.2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1,362.9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2,327.9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2,116.7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2,246.2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2,115.0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1,167.2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1,615.6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1,525.2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9,382.7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8,626.9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9,370.6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8,609.6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Unit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 amortization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8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Interest and other expenses, net </w:t>
            </w:r>
            <w:r>
              <w:rPr>
                <w:rFonts w:ascii="Arial" w:hAnsi="Arial"/>
                <w:color w:val="000000"/>
                <w:sz w:val="12"/>
              </w:rPr>
              <w:t>(c)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Earnings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In the United States, revenues from services include fees received from our franchise offices of $5.1 million and $4.8 million for the six months ended June 30, 2026 and 2025, respectively. These fees are primarily based on revenues generated by the franchise offices, which were $171.9 million and $164.0 million for the six months ended June 30, 2026 and 2025, respectively.</w:t>
      </w:r>
    </w:p>
    <w:p>
      <w:pPr>
        <w:pStyle w:val="TextBody"/>
        <w:bidi w:val="0"/>
        <w:spacing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six months ended June 30, 2025 consist of a goodwill impairment related to our investments in Switzerland and the United Kingdom and an impairment of an indefinite lived intangible asset in our Switzerland business.</w:t>
      </w:r>
    </w:p>
    <w:p>
      <w:pPr>
        <w:pStyle w:val="TextBody"/>
        <w:bidi w:val="0"/>
        <w:spacing w:before="120" w:after="283"/>
        <w:jc w:val="left"/>
        <w:rPr>
          <w:rFonts w:ascii="Arial" w:hAnsi="Arial"/>
          <w:color w:val="000000"/>
          <w:sz w:val="18"/>
        </w:rPr>
      </w:pPr>
      <w:r>
        <w:rPr>
          <w:rFonts w:ascii="Arial" w:hAnsi="Arial"/>
          <w:color w:val="000000"/>
          <w:sz w:val="18"/>
        </w:rPr>
        <w:t>(c)</w:t>
      </w:r>
    </w:p>
    <w:p>
      <w:pPr>
        <w:pStyle w:val="TextBody"/>
        <w:bidi w:val="0"/>
        <w:spacing w:before="120" w:after="283"/>
        <w:jc w:val="left"/>
        <w:rPr>
          <w:rFonts w:ascii="Arial" w:hAnsi="Arial"/>
          <w:color w:val="000000"/>
          <w:sz w:val="18"/>
        </w:rPr>
      </w:pPr>
      <w:r>
        <w:rPr>
          <w:rFonts w:ascii="Arial" w:hAnsi="Arial"/>
          <w:color w:val="000000"/>
          <w:sz w:val="18"/>
        </w:rPr>
        <w:t>The components of interest and other expenses, net were:</w:t>
      </w:r>
    </w:p>
    <w:tbl>
      <w:tblPr>
        <w:tblW w:w="4544" w:type="dxa"/>
        <w:jc w:val="left"/>
        <w:tblInd w:w="0" w:type="dxa"/>
        <w:tblLayout w:type="fixed"/>
        <w:tblCellMar>
          <w:top w:w="28" w:type="dxa"/>
          <w:left w:w="28" w:type="dxa"/>
          <w:bottom w:w="28" w:type="dxa"/>
          <w:right w:w="28" w:type="dxa"/>
        </w:tblCellMar>
      </w:tblPr>
      <w:tblGrid>
        <w:gridCol w:w="2521"/>
        <w:gridCol w:w="146"/>
        <w:gridCol w:w="196"/>
        <w:gridCol w:w="481"/>
        <w:gridCol w:w="166"/>
        <w:gridCol w:w="146"/>
        <w:gridCol w:w="196"/>
        <w:gridCol w:w="481"/>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Foreign exchange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Consolidated Balance Sheets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707" w:type="dxa"/>
        <w:jc w:val="left"/>
        <w:tblInd w:w="0" w:type="dxa"/>
        <w:tblLayout w:type="fixed"/>
        <w:tblCellMar>
          <w:top w:w="28" w:type="dxa"/>
          <w:left w:w="28" w:type="dxa"/>
          <w:bottom w:w="28" w:type="dxa"/>
          <w:right w:w="28" w:type="dxa"/>
        </w:tblCellMar>
      </w:tblPr>
      <w:tblGrid>
        <w:gridCol w:w="5496"/>
        <w:gridCol w:w="146"/>
        <w:gridCol w:w="211"/>
        <w:gridCol w:w="781"/>
        <w:gridCol w:w="166"/>
        <w:gridCol w:w="146"/>
        <w:gridCol w:w="249"/>
        <w:gridCol w:w="921"/>
        <w:gridCol w:w="5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Cash and cash equivalents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871.0</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Prepaid expenses and 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149.1</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Intangible assets,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430.1</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868.5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879.1</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3,246.5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Property and equipment: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Land, buildings, leasehold improvements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Less: accumulated depreciation and amortization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403.7</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Net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8,374.9</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9,160.1</w:t>
            </w:r>
          </w:p>
        </w:tc>
        <w:tc>
          <w:tcPr>
            <w:tcW w:w="5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Employee compensation payable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232.3</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Accrued payroll taxes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Accrued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457.6</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Value added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Short-term operating lease liability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Short-term borrowings and 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current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4,919.4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5,233.6</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Long-term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1,052.1</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Other long-term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509.8</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Shareholders'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ManpowerGroup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Common stock</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Retained earnings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3,754.8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3,732.3</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Treasury stock, at cost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(4,834.3</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ManpowerGroup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Noncontrolling interests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liabilities and shareholders'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8,374.9</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9,160.1</w:t>
            </w:r>
          </w:p>
        </w:tc>
        <w:tc>
          <w:tcPr>
            <w:tcW w:w="5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Consolidated Statements of Cash Flows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9449" w:type="dxa"/>
        <w:jc w:val="left"/>
        <w:tblInd w:w="0" w:type="dxa"/>
        <w:tblLayout w:type="fixed"/>
        <w:tblCellMar>
          <w:top w:w="28" w:type="dxa"/>
          <w:left w:w="28" w:type="dxa"/>
          <w:bottom w:w="28" w:type="dxa"/>
          <w:right w:w="28" w:type="dxa"/>
        </w:tblCellMar>
      </w:tblPr>
      <w:tblGrid>
        <w:gridCol w:w="6496"/>
        <w:gridCol w:w="146"/>
        <w:gridCol w:w="211"/>
        <w:gridCol w:w="631"/>
        <w:gridCol w:w="166"/>
        <w:gridCol w:w="146"/>
        <w:gridCol w:w="211"/>
        <w:gridCol w:w="631"/>
        <w:gridCol w:w="81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Adjustments to reconcile net earnings to net cash used in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(Gain) Loss on sales of subsidiaries,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Non-cash impairment of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Deferred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Share-based compensation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Accounts receivable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Accounts payable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used in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(342.8</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Capital expenditures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Acquisition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Impact to cash resulting from sales of subsidiaries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the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provided by (used in) investing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change in short-term borrowings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proceeds from revolving debt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long-term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Payments of contingent consideration for acquisition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Taxes paid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Repurchases of common stock and excise tax</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(used in) provided by financing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cash and cash equivalents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289.8</w:t>
            </w:r>
          </w:p>
        </w:tc>
        <w:tc>
          <w:tcPr>
            <w:tcW w:w="8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man-ex99_2.htm"/>
      <w:bookmarkStart w:id="5" w:name="ksmanex99_2"/>
      <w:bookmarkEnd w:id="4"/>
      <w:bookmarkEnd w:id="5"/>
      <w:r>
        <w:rPr/>
        <w:drawing>
          <wp:inline distT="0" distB="0" distL="0" distR="0">
            <wp:extent cx="9144000" cy="2143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Results July 16,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 This presentation contains forward-looking statements within the meaning of Section 27A of the Securities Act of 1933, as amended, and Section 21E of the Exchange Act of 1934, as amended, including statements regarding economic and geopolitical uncertainty, including uncertainty regarding trade policy developments, trends in labor demand and the future strengthening of such demand, the impact of AI on labor markets, financial outlook, outlook for our business in the regions in which we operate as well as key countries within those regions, the Company’s strategic initiatives and technology investments, including transformation programs and the use of AI to drive innovation, the ability of our PowerSuite platform to develop and deploy our AI capabilities at scale, and the positioning of future growth for our brands, that are forward-looking in nature and, accordingly, are subject to risks and uncertainties.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2025, which information is incorporated herein by reference.​ We caution that any forward-looking statement reflects only our belief at the time the statement is made. 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Highlights Manpower had very strong revenue growth in the quarter. Experis revenue trends improved from previous quarters driven by the U.S. Talent Solutions revenue trends also improved sequentially driven by RPO with ongoing solid MSP demand. Gross Profit growth combined with SG&amp;A reductions generated meaningful growth in profitability year over year Delivered strong second quarter results with revenues ahead of expectations, driven by good execution across our portfolio of brands and geographies, continued cost discipline and improved market demand. Global strategic transformation program progressing as expected Advanced AI strategy to create new ways of delivering a best-in-class talent experience and monetizing new human + agentic solutions for our clients through strategic partnerships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Q2 Financial Highlights 8% 6% CC 8% 6% CC Revenue $4.9B (Systemwide $5.3B) -80 bps -80 bps Gross Margin 16.1% NM NM 16% 15% CC EBITA $119M ($103M as adjusted) 80 bps 10 bps EBITA Margin 2.4% (2.1% as adjusted) NM NM 27% 27% CC EPS $1.13 ($0.99 as adjusted) Excludes the impact of restructuring costs and strategic transformation program costs of $13.8M ($11.0M net of tax), gain on sale of our Jefferson Wells U.S. business of $30.0M ($23.8M net of tax), liquidation of a discontinued business of $5.5M, and a non-cash currency translation loss of $0.6M related to hyper-inflationary Argentina. Prior year period excludes the impact of restructuring costs, disposition losses, and goodwill impairment charges. Systemwide revenue is a non-GAAP financial measure which also includes revenues generated by franchise offices, which were $471.4M and which generated franchise fees of $4.5M included in revenue. Variances reported above do not include franchise offices. EBITA is a non-GAAP financial measure and is defined herein as Operating Profit before Amortization of Intangible Assets and Goodwill Impairment. Reported operating profit was $112M, and operating profit margin was 2.3%. As adjusted, operating profit was $96M, and operating profit margin was 2.0%. Variances are not meaningful. (3) (3) Consolidated Financial Highlights ManpowerGroup 2026 Second Quarter Results (1) (2) (4)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EPS Bridge – Q2 vs. Guidance Midpoint ManpowerGroup 2026 Second Quarter Results (1) Detail of items included on slide 4.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Manpower organic CC revenue growth improved sequentially to 8% year over year, from 6% in Q1 Talent Solutions organic CC revenue improved to flat year over year, from -1% in Q1 driven by RPO. MSP growth remained solid, partially offset by a modest Right Management decline. Experis organic CC revenue trend -2% year over year, improved from -9% in Q1 driven by the U.S. Business line classifications can vary by entity and are subject to change as service requirements change. Business Line Revenue Q2 2026(1) ManpowerGroup 2026 Second Quarter Results vs. 2025 reported % vs. 2025 organic CC % MANPOWER EXPERIS TALENT ?SOLUTIONS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Gross Margin Change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line classifications can vary by entity and are subject to change as service requirements change. Business Line Gross Profit – Q2 2026(1)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(13.8% CC) (17.6% CC) SG&amp;A Expense Bridge – Q2 YoY?(in millions of USD) ManpowerGroup 2026 Second Quarter Results (14.1% 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Q2 Financial Highlights 14% 12% CC 14% OCC 14% 12% CC 14% OCC Revenue $1.2B 99% 97% CC 24% 22% CC OUP $72M ($45M as adjusted) 250 bps 30 bps OUP Margin 5.9% (3.7% as adjusted) Americas Segment?(25% of Revenue) ManpowerGroup 2026 Second Quarter Results Operating Unit Profit (OUP) is the measure that we use to evaluate segment performance. OUP is equal to segment revenues less direct costs and branch and national headquarters operating costs. Current period excludes the impact of restructuring costs of $3.0M and gain on sale of our Jefferson Wells U.S. business of $30.0M. Prior year period variances exclude restructuring costs.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Americas – Q2 Revenue Trend YoY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Q2 Financial Highlights 7% 4% CC 7% 4% CC Revenue $2.3B 3% -1% CC 4% 1% CC OUP $75M ($79M as adjusted) -10 bps -10 bps OUP Margin 3.3% (3.4% as adjusted) Southern Europe Segment?(47% of Revenue) ManpowerGroup 2026 Second Quarter Results (1) Current period excludes the impact of restructuring costs of $3.7M. Prior year period variances exclude restructuring and other costs.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Southern Europe – Q2 Revenue Trend YoY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Q2 Financial Highlights 4% 1% CC 2% OCC 4% 1% CC 2% OCC Revenue $825M NM NM NM NM OUP $2M 130 bps 100 bps OUP Margin 0.2% Northern Europe Segment?(17% of Revenue) ManpowerGroup 2026 Second Quarter Results (1) Prior year period variances exclude restructuring costs. Variances are not meaningful. (2)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Northern Europe – Q2 Revenue Trend YoY ManpowerGroup 2026 Second Quarter Results -28%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Q2 Financial Highlights -1% 5% CC -1% 5% CC Revenue $519M -9% 0% -10% -1% CC OUP $24M 40 bps 50 bps OUP Margin 4.6% APME Segment?(11% of Revenue) ManpowerGroup 2026 Second Quarter Results Prior year period variances exclude restructuring costs.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APME – Q2 Revenue Trend YoY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Cash Flow Summary ManpowerGroup 2026 Second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Debt (in millions of USD) Total Debt to Total Capitalization Total Debt Net Debt Balance Sheet Highlights ManpowerGroup 2026 Second Quarter Results Long term debt was temporarily increased by €500M on December 15, 2025 when we issued the €500M of Euro notes due 2030 to refinance the €500M of Euro notes scheduled to mature in June 2026. The notes due in June 2026 were repaid with cash in January 2026. 2025 adjusted total debt and total debt to capitalization reflects underlying debt and cash levels excluding the issuance on December 15, 2025. (1)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ManpowerGroup 2026 Second Quarter Results Third Quarter 2026 Outlook Revenue Total Up 2-6% (Up 3-7% CC) (Up 4-8% OCC) Americas Up 9-13% (Up 7-11% CC) (Up 9-13% OCC) Southern Europe Flat / Up 4% (Up 1-5% CC) Northern Europe Up 4-8% (Up 5-9% CC) APME Down 3% / Up 1% (Up 3-7% CC) Gross Profit Margin 15.9 – 16.1% EBITA(1) Margin 2.1 – 2.3% Operating Profit Margin 2.0 – 2.2% Tax Rate 44.0% EPS(2) $0.96 – $1.06 (unfavorable $0.02 currency) Estimates are assuming FX rates of 1.15 for Euro, 1.33 for GBP, 0.0062 for JPY and 0.0007 for ARS. EBITA is a non-GAAP financial measure and is defined herein as Operating Profit before Amortization of Intangible Assets and Goodwill Impairment. Restructuring and strategic transformation program costs are not included in the underlying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Industry Vertical Composition Based on Revenues – Q2 2026 ManpowerGroup 2026 Second Quarter Results Industry vertical composition has been updated to align with our Global Sales Verticals based on client segmentation.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Interest Rate Maturity Date Total Outstanding Remaining Available Euro Notes - €400M 3.514% Jun 2027 456 - Euro Notes - €500M 3.786% Dec 2030 567 - Revolving Credit Agreement 4.777% Dec 2030 0 600 Uncommitted lines and Other Various Various 21 430 Total Debt 1,044 1,030 (3) (1)(2) (4) (2) Debt and Credit Facilities – June 30, 2026?(in millions of USD) ManpowerGroup 2026 Second Quarter Results The $600M agreement requires that we comply with a Leverage Ratio (net Debt-to-EBITDA) of not greater than 3.5 to 1 and a Fixed Charge Coverage Ratio of not less than 1.5 to 1, in addition to other customary restrictive covenants. As defined in the agreement, we had a net Debt-to-EBITDA ratio of 2.51 to 1 and a fixed charge coverage ratio of 2.98 to 1 as of June 30, 2026. Per the agreement, the definition of net debt is defined as total debt less cash in excess of $300M. As of June 30, 2026, there were $0.4M of standby letters of credit issued under the agreement. Under the $600M agreement, we have an option to increase the total availability under the facility by an additional $300M. Represents uncommitted lines of credit &amp; overdraft facilities. The total amount of the facilities as of June 30, 2026 was $514.0M and subsidiary facilities accounted for $364.0M of the total. Total subsidiary borrowings are limited to $300M due to restrictions in our Revolving Credit Facility, with the exception of Q3 when subsidiary borrowings are limited to $600M. This rate is the effective interest rate for this note, net of a favorable impact of a forward rate lock.</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4819</Words>
  <Characters>25585</Characters>
  <CharactersWithSpaces>32069</CharactersWithSpaces>
  <Paragraphs>2832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