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_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ManpowerGroup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56418H100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56418H100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4,750,272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4,750,272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4,750,272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8.3%</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right="7540" w:hanging="707"/>
        <w:spacing w:after="0" w:line="286" w:lineRule="auto"/>
        <w:tabs>
          <w:tab w:leader="none" w:pos="16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ManpowerGroup Inc.</w:t>
      </w:r>
    </w:p>
    <w:p>
      <w:pPr>
        <w:spacing w:after="0" w:line="45" w:lineRule="exact"/>
        <w:rPr>
          <w:rFonts w:ascii="Times New Roman" w:cs="Times New Roman" w:eastAsia="Times New Roman" w:hAnsi="Times New Roman"/>
          <w:sz w:val="21"/>
          <w:szCs w:val="21"/>
          <w:b w:val="1"/>
          <w:bCs w:val="1"/>
          <w:color w:val="auto"/>
        </w:rPr>
      </w:pPr>
    </w:p>
    <w:p>
      <w:pPr>
        <w:ind w:left="1620" w:right="5000" w:hanging="707"/>
        <w:spacing w:after="0" w:line="286" w:lineRule="auto"/>
        <w:tabs>
          <w:tab w:leader="none" w:pos="16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100 Manpower Place, Milwaukee, WI 53212-4030</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jc w:val="both"/>
        <w:ind w:left="1620" w:right="73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Capital World Investors</w:t>
      </w:r>
    </w:p>
    <w:p>
      <w:pPr>
        <w:spacing w:after="0" w:line="45" w:lineRule="exact"/>
        <w:rPr>
          <w:rFonts w:ascii="Times New Roman" w:cs="Times New Roman" w:eastAsia="Times New Roman" w:hAnsi="Times New Roman"/>
          <w:sz w:val="21"/>
          <w:szCs w:val="21"/>
          <w:b w:val="1"/>
          <w:bCs w:val="1"/>
          <w:color w:val="auto"/>
        </w:rPr>
      </w:pPr>
    </w:p>
    <w:p>
      <w:pPr>
        <w:ind w:left="1620" w:right="400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333 South Hope Street, 55th Fl, Los Angeles, CA 90071</w:t>
      </w:r>
    </w:p>
    <w:p>
      <w:pPr>
        <w:spacing w:after="0" w:line="45" w:lineRule="exact"/>
        <w:rPr>
          <w:rFonts w:ascii="Times New Roman" w:cs="Times New Roman" w:eastAsia="Times New Roman" w:hAnsi="Times New Roman"/>
          <w:sz w:val="21"/>
          <w:szCs w:val="21"/>
          <w:b w:val="1"/>
          <w:bCs w:val="1"/>
          <w:color w:val="auto"/>
        </w:rPr>
      </w:pPr>
    </w:p>
    <w:p>
      <w:pPr>
        <w:ind w:left="1620" w:right="83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620" w:right="700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56418H100</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8" w:right="4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8" w:right="2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8" w:right="3040" w:hanging="8"/>
        <w:spacing w:after="0" w:line="363" w:lineRule="auto"/>
        <w:tabs>
          <w:tab w:leader="none" w:pos="4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432"/>
            <w:col w:w="8608"/>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4,750,272 **</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8.3%</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420" w:right="780" w:hanging="805"/>
        <w:spacing w:after="0" w:line="185" w:lineRule="auto"/>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4,750,272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4,750,272</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19" w:right="479" w:bottom="0" w:gutter="0" w:footer="0" w:header="0"/>
          <w:type w:val="continuous"/>
        </w:sectPr>
      </w:pPr>
    </w:p>
    <w:p>
      <w:pPr>
        <w:ind w:right="440"/>
        <w:spacing w:after="0" w:line="255" w:lineRule="auto"/>
        <w:rPr>
          <w:sz w:val="20"/>
          <w:szCs w:val="20"/>
          <w:color w:val="auto"/>
        </w:rPr>
      </w:pPr>
      <w:r>
        <w:rPr>
          <w:rFonts w:ascii="Times New Roman" w:cs="Times New Roman" w:eastAsia="Times New Roman" w:hAnsi="Times New Roman"/>
          <w:sz w:val="21"/>
          <w:szCs w:val="21"/>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and Capital International K.K. (together with CRMC, the "investment management entities"). CWI's divisions of each of the investment management entities collectively provide investment</w:t>
      </w:r>
    </w:p>
    <w:p>
      <w:pPr>
        <w:sectPr>
          <w:pgSz w:w="11900" w:h="16838" w:orient="portrait"/>
          <w:cols w:equalWidth="0" w:num="1">
            <w:col w:w="11020"/>
          </w:cols>
          <w:pgMar w:left="400" w:top="419" w:right="479" w:bottom="0" w:gutter="0" w:footer="0" w:header="0"/>
          <w:type w:val="continuous"/>
        </w:sectPr>
      </w:pPr>
    </w:p>
    <w:bookmarkStart w:id="3" w:name="page4"/>
    <w:bookmarkEnd w:id="3"/>
    <w:p>
      <w:pPr>
        <w:spacing w:after="0" w:line="259" w:lineRule="auto"/>
        <w:rPr>
          <w:sz w:val="20"/>
          <w:szCs w:val="20"/>
          <w:color w:val="auto"/>
        </w:rPr>
      </w:pPr>
      <w:r>
        <w:rPr>
          <w:rFonts w:ascii="Times New Roman" w:cs="Times New Roman" w:eastAsia="Times New Roman" w:hAnsi="Times New Roman"/>
          <w:sz w:val="22"/>
          <w:szCs w:val="22"/>
          <w:color w:val="auto"/>
        </w:rPr>
        <w:t>management services under the name "Capital World Investors." CWI is deemed to be the beneficial owner of 4,750,272 shares or 8.3% of the 57,533,218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40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Michael J. Triessl</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16, 2021</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Michael J. Triessl</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2021-02-16T11:38:49Z</dcterms:created>
  <dcterms:modified xsi:type="dcterms:W3CDTF">2021-02-16T11:38:49Z</dcterms:modified>
</cp:coreProperties>
</file>