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20, 2020</w:t>
      </w:r>
    </w:p>
    <w:p>
      <w:pPr>
        <w:spacing w:after="0" w:line="10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220" w:type="dxa"/>
            <w:vAlign w:val="bottom"/>
          </w:tcPr>
          <w:p>
            <w:pPr>
              <w:spacing w:after="0"/>
              <w:rPr>
                <w:sz w:val="18"/>
                <w:szCs w:val="18"/>
                <w:color w:val="auto"/>
              </w:rPr>
            </w:pPr>
          </w:p>
        </w:tc>
        <w:tc>
          <w:tcPr>
            <w:tcW w:w="3600" w:type="dxa"/>
            <w:vAlign w:val="bottom"/>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82"/>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94" w:lineRule="exact"/>
        <w:rPr>
          <w:sz w:val="24"/>
          <w:szCs w:val="24"/>
          <w:color w:val="auto"/>
        </w:rPr>
      </w:pPr>
    </w:p>
    <w:p>
      <w:pPr>
        <w:ind w:left="3465"/>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5"/>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2" w:lineRule="exact"/>
        <w:rPr>
          <w:sz w:val="24"/>
          <w:szCs w:val="24"/>
          <w:color w:val="auto"/>
        </w:rPr>
      </w:pPr>
    </w:p>
    <w:tbl>
      <w:tblPr>
        <w:tblLayout w:type="fixed"/>
        <w:tblInd w:w="15"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81"/>
        </w:trPr>
        <w:tc>
          <w:tcPr>
            <w:tcW w:w="376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MAN</w:t>
            </w:r>
          </w:p>
        </w:tc>
        <w:tc>
          <w:tcPr>
            <w:tcW w:w="374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73" w:lineRule="exact"/>
        <w:rPr>
          <w:sz w:val="24"/>
          <w:szCs w:val="24"/>
          <w:color w:val="auto"/>
        </w:rPr>
      </w:pPr>
    </w:p>
    <w:p>
      <w:pPr>
        <w:ind w:left="5"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left="5" w:right="32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381"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1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On October 20, 2020, we issued a press release announcing our results of operations for the three and nine months ended September 30, 2020. A copy of the press release is attached hereto as Exhibit 99.1 and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9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65"/>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4"/>
                <w:szCs w:val="14"/>
                <w:color w:val="auto"/>
              </w:rPr>
            </w:pPr>
          </w:p>
        </w:tc>
        <w:tc>
          <w:tcPr>
            <w:tcW w:w="9900" w:type="dxa"/>
            <w:vAlign w:val="bottom"/>
            <w:tcBorders>
              <w:top w:val="single" w:sz="8" w:color="auto"/>
            </w:tcBorders>
          </w:tcPr>
          <w:p>
            <w:pPr>
              <w:spacing w:after="0" w:line="165" w:lineRule="exact"/>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Press Release dated October 20, 2020</w:t>
              </w:r>
            </w:hyperlink>
          </w:p>
        </w:tc>
      </w:tr>
      <w:tr>
        <w:trPr>
          <w:trHeight w:val="189"/>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6"/>
                <w:szCs w:val="16"/>
                <w:color w:val="auto"/>
              </w:rPr>
            </w:pPr>
          </w:p>
        </w:tc>
        <w:tc>
          <w:tcPr>
            <w:tcW w:w="9900" w:type="dxa"/>
            <w:vAlign w:val="bottom"/>
          </w:tcPr>
          <w:p>
            <w:pPr>
              <w:spacing w:after="0"/>
              <w:rPr>
                <w:rFonts w:ascii="Times New Roman" w:cs="Times New Roman" w:eastAsia="Times New Roman" w:hAnsi="Times New Roman"/>
                <w:sz w:val="16"/>
                <w:szCs w:val="16"/>
                <w:u w:val="single" w:color="auto"/>
                <w:color w:val="0000EE"/>
              </w:rPr>
            </w:pPr>
            <w:hyperlink w:anchor="page13">
              <w:r>
                <w:rPr>
                  <w:rFonts w:ascii="Times New Roman" w:cs="Times New Roman" w:eastAsia="Times New Roman" w:hAnsi="Times New Roman"/>
                  <w:sz w:val="16"/>
                  <w:szCs w:val="16"/>
                  <w:u w:val="single" w:color="auto"/>
                  <w:color w:val="0000EE"/>
                </w:rPr>
                <w:t>Presentation materials for October 20, 2020 Conference Call</w:t>
              </w:r>
            </w:hyperlink>
          </w:p>
        </w:tc>
      </w:tr>
      <w:tr>
        <w:trPr>
          <w:trHeight w:val="206"/>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422"/>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320" w:firstLine="5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5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78"/>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Dated:October 20, 2020</w:t>
            </w: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65"/>
        </w:trPr>
        <w:tc>
          <w:tcPr>
            <w:tcW w:w="720" w:type="dxa"/>
            <w:vAlign w:val="bottom"/>
          </w:tcPr>
          <w:p>
            <w:pPr>
              <w:spacing w:after="0"/>
              <w:rPr>
                <w:sz w:val="14"/>
                <w:szCs w:val="14"/>
                <w:color w:val="auto"/>
              </w:rPr>
            </w:pPr>
          </w:p>
        </w:tc>
        <w:tc>
          <w:tcPr>
            <w:tcW w:w="4600" w:type="dxa"/>
            <w:vAlign w:val="bottom"/>
            <w:tcBorders>
              <w:top w:val="single" w:sz="8" w:color="auto"/>
            </w:tcBorders>
          </w:tcPr>
          <w:p>
            <w:pPr>
              <w:spacing w:after="0"/>
              <w:rPr>
                <w:sz w:val="14"/>
                <w:szCs w:val="14"/>
                <w:color w:val="auto"/>
              </w:rPr>
            </w:pPr>
          </w:p>
        </w:tc>
        <w:tc>
          <w:tcPr>
            <w:tcW w:w="820" w:type="dxa"/>
            <w:vAlign w:val="bottom"/>
          </w:tcPr>
          <w:p>
            <w:pPr>
              <w:ind w:left="12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5120" w:type="dxa"/>
            <w:vAlign w:val="bottom"/>
            <w:tcBorders>
              <w:top w:val="single" w:sz="8" w:color="auto"/>
            </w:tcBorders>
          </w:tcPr>
          <w:p>
            <w:pPr>
              <w:ind w:left="60"/>
              <w:spacing w:after="0" w:line="165" w:lineRule="exact"/>
              <w:rPr>
                <w:sz w:val="20"/>
                <w:szCs w:val="20"/>
                <w:color w:val="auto"/>
              </w:rPr>
            </w:pPr>
            <w:r>
              <w:rPr>
                <w:rFonts w:ascii="Times New Roman" w:cs="Times New Roman" w:eastAsia="Times New Roman" w:hAnsi="Times New Roman"/>
                <w:sz w:val="16"/>
                <w:szCs w:val="16"/>
                <w:color w:val="auto"/>
              </w:rPr>
              <w:t>John T. McGinnis</w:t>
            </w:r>
          </w:p>
        </w:tc>
      </w:tr>
      <w:tr>
        <w:trPr>
          <w:trHeight w:val="189"/>
        </w:trPr>
        <w:tc>
          <w:tcPr>
            <w:tcW w:w="7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Title:</w:t>
            </w:r>
          </w:p>
        </w:tc>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60"/>
          </w:cols>
          <w:pgMar w:left="320" w:top="310"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1336675" cy="713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6675" cy="71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19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Jack McGinnis</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+1.414.906.7977</w:t>
      </w:r>
    </w:p>
    <w:p>
      <w:pPr>
        <w:spacing w:after="0" w:line="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0000FF"/>
        </w:rPr>
        <w:t>jack.mcginnis@manpowergroup.com</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ManpowerGroup Reports 3</w:t>
      </w:r>
      <w:r>
        <w:rPr>
          <w:rFonts w:ascii="Arial" w:cs="Arial" w:eastAsia="Arial" w:hAnsi="Arial"/>
          <w:sz w:val="16"/>
          <w:szCs w:val="16"/>
          <w:b w:val="1"/>
          <w:bCs w:val="1"/>
          <w:color w:val="auto"/>
        </w:rPr>
        <w:t>nd</w:t>
      </w:r>
      <w:r>
        <w:rPr>
          <w:rFonts w:ascii="Arial" w:cs="Arial" w:eastAsia="Arial" w:hAnsi="Arial"/>
          <w:sz w:val="19"/>
          <w:szCs w:val="19"/>
          <w:b w:val="1"/>
          <w:bCs w:val="1"/>
          <w:color w:val="auto"/>
        </w:rPr>
        <w:t xml:space="preserve"> Quarter 2020 Results</w:t>
      </w:r>
    </w:p>
    <w:p>
      <w:pPr>
        <w:spacing w:after="0" w:line="202" w:lineRule="exact"/>
        <w:rPr>
          <w:sz w:val="20"/>
          <w:szCs w:val="20"/>
          <w:color w:val="auto"/>
        </w:rPr>
      </w:pPr>
    </w:p>
    <w:p>
      <w:pPr>
        <w:ind w:left="580" w:hanging="396"/>
        <w:spacing w:after="0"/>
        <w:tabs>
          <w:tab w:leader="none" w:pos="5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13% reported revenue decline in third quarter (14.5% decline on a constant currency basis)</w:t>
      </w:r>
    </w:p>
    <w:p>
      <w:pPr>
        <w:spacing w:after="0" w:line="26" w:lineRule="exact"/>
        <w:rPr>
          <w:rFonts w:ascii="Times New Roman" w:cs="Times New Roman" w:eastAsia="Times New Roman" w:hAnsi="Times New Roman"/>
          <w:sz w:val="17"/>
          <w:szCs w:val="17"/>
          <w:color w:val="auto"/>
        </w:rPr>
      </w:pPr>
    </w:p>
    <w:p>
      <w:pPr>
        <w:ind w:left="580" w:hanging="396"/>
        <w:spacing w:after="0"/>
        <w:tabs>
          <w:tab w:leader="none" w:pos="5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Continued improvement in year-over-year revenue trend during the quarter, marking five months of improvement since April 2020</w:t>
      </w:r>
    </w:p>
    <w:p>
      <w:pPr>
        <w:spacing w:after="0" w:line="4" w:lineRule="exact"/>
        <w:rPr>
          <w:rFonts w:ascii="Times New Roman" w:cs="Times New Roman" w:eastAsia="Times New Roman" w:hAnsi="Times New Roman"/>
          <w:sz w:val="17"/>
          <w:szCs w:val="17"/>
          <w:color w:val="auto"/>
        </w:rPr>
      </w:pPr>
    </w:p>
    <w:p>
      <w:pPr>
        <w:ind w:left="580" w:hanging="396"/>
        <w:spacing w:after="0"/>
        <w:tabs>
          <w:tab w:leader="none" w:pos="5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results from Talent Solutions, led by double digit revenue growth in Career Transition activity within Right Management</w:t>
      </w:r>
    </w:p>
    <w:p>
      <w:pPr>
        <w:spacing w:after="0" w:line="4" w:lineRule="exact"/>
        <w:rPr>
          <w:rFonts w:ascii="Times New Roman" w:cs="Times New Roman" w:eastAsia="Times New Roman" w:hAnsi="Times New Roman"/>
          <w:sz w:val="17"/>
          <w:szCs w:val="17"/>
          <w:color w:val="auto"/>
        </w:rPr>
      </w:pPr>
    </w:p>
    <w:p>
      <w:pPr>
        <w:ind w:left="580" w:right="20" w:hanging="396"/>
        <w:spacing w:after="0" w:line="231" w:lineRule="auto"/>
        <w:tabs>
          <w:tab w:leader="none" w:pos="5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Manpower brand exhibited a strong recovery trend during the third quarter as the rate of revenue and gross profit decline halved from the second quarter</w:t>
      </w:r>
    </w:p>
    <w:p>
      <w:pPr>
        <w:spacing w:after="0" w:line="1" w:lineRule="exact"/>
        <w:rPr>
          <w:rFonts w:ascii="Times New Roman" w:cs="Times New Roman" w:eastAsia="Times New Roman" w:hAnsi="Times New Roman"/>
          <w:sz w:val="17"/>
          <w:szCs w:val="17"/>
          <w:color w:val="auto"/>
        </w:rPr>
      </w:pPr>
    </w:p>
    <w:p>
      <w:pPr>
        <w:ind w:left="580" w:hanging="396"/>
        <w:spacing w:after="0"/>
        <w:tabs>
          <w:tab w:leader="none" w:pos="5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Experis brand revenues derived 75% from IT, with improved gross profit compared to second quarter</w:t>
      </w:r>
    </w:p>
    <w:p>
      <w:pPr>
        <w:spacing w:after="0" w:line="4" w:lineRule="exact"/>
        <w:rPr>
          <w:rFonts w:ascii="Times New Roman" w:cs="Times New Roman" w:eastAsia="Times New Roman" w:hAnsi="Times New Roman"/>
          <w:sz w:val="17"/>
          <w:szCs w:val="17"/>
          <w:color w:val="auto"/>
        </w:rPr>
      </w:pPr>
    </w:p>
    <w:p>
      <w:pPr>
        <w:ind w:left="580" w:hanging="396"/>
        <w:spacing w:after="0"/>
        <w:tabs>
          <w:tab w:leader="none" w:pos="5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Restructuring charges of $50 million in the quarter for real estate optimization and streamlining of operations</w:t>
      </w:r>
    </w:p>
    <w:p>
      <w:pPr>
        <w:spacing w:after="0" w:line="4" w:lineRule="exact"/>
        <w:rPr>
          <w:rFonts w:ascii="Times New Roman" w:cs="Times New Roman" w:eastAsia="Times New Roman" w:hAnsi="Times New Roman"/>
          <w:sz w:val="17"/>
          <w:szCs w:val="17"/>
          <w:color w:val="auto"/>
        </w:rPr>
      </w:pPr>
    </w:p>
    <w:p>
      <w:pPr>
        <w:ind w:left="580" w:hanging="396"/>
        <w:spacing w:after="0"/>
        <w:tabs>
          <w:tab w:leader="none" w:pos="58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ongoing cost management in light of significant decreases in gross profit</w:t>
      </w:r>
    </w:p>
    <w:p>
      <w:pPr>
        <w:spacing w:after="0" w:line="395"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 xml:space="preserve">MILWAUKEE, October 20, 2020 -- </w:t>
      </w:r>
      <w:r>
        <w:rPr>
          <w:rFonts w:ascii="Arial" w:cs="Arial" w:eastAsia="Arial" w:hAnsi="Arial"/>
          <w:sz w:val="17"/>
          <w:szCs w:val="17"/>
          <w:color w:val="auto"/>
        </w:rPr>
        <w:t>ManpowerGroup (NYSE: MAN) today reported net earnings of $0.18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2020 compared to $ 2.42 per diluted share in the prior year period. Net earnings in the quarter were $10.3 million compared to $146.1 million a year earlier. Revenues for the third quarter were $4.6 billion, a 13% decline from the prior year period.</w:t>
      </w:r>
    </w:p>
    <w:p>
      <w:pPr>
        <w:jc w:val="both"/>
        <w:ind w:firstLine="778"/>
        <w:spacing w:after="0" w:line="232" w:lineRule="auto"/>
        <w:rPr>
          <w:sz w:val="20"/>
          <w:szCs w:val="20"/>
          <w:color w:val="auto"/>
        </w:rPr>
      </w:pPr>
      <w:r>
        <w:rPr>
          <w:rFonts w:ascii="Arial" w:cs="Arial" w:eastAsia="Arial" w:hAnsi="Arial"/>
          <w:sz w:val="17"/>
          <w:szCs w:val="17"/>
          <w:color w:val="auto"/>
        </w:rPr>
        <w:t>The current year quarter included restructuring costs and other special items consisting of a discrete tax item and a loss on dispositions. The restructuring costs and other special items reduced earnings per share by $1.02 in the current quarter. Excluding the restructuring charges and other special items, earnings per share was $1.20 per diluted share in the quarter. The prior year period included a special item related to the gain from the Greater China IPO which increased earnings per share by 50 cents.</w:t>
      </w:r>
    </w:p>
    <w:p>
      <w:pPr>
        <w:spacing w:after="0" w:line="1" w:lineRule="exact"/>
        <w:rPr>
          <w:sz w:val="20"/>
          <w:szCs w:val="20"/>
          <w:color w:val="auto"/>
        </w:rPr>
      </w:pPr>
    </w:p>
    <w:p>
      <w:pPr>
        <w:jc w:val="both"/>
        <w:ind w:firstLine="778"/>
        <w:spacing w:after="0" w:line="238" w:lineRule="auto"/>
        <w:rPr>
          <w:sz w:val="20"/>
          <w:szCs w:val="20"/>
          <w:color w:val="auto"/>
        </w:rPr>
      </w:pPr>
      <w:r>
        <w:rPr>
          <w:rFonts w:ascii="Arial" w:cs="Arial" w:eastAsia="Arial" w:hAnsi="Arial"/>
          <w:sz w:val="17"/>
          <w:szCs w:val="17"/>
          <w:color w:val="auto"/>
        </w:rPr>
        <w:t>Financial results in the quarter were also impacted by the weaker U.S. dollar relative to foreign currencies compared to the prior year period. Reported earnings per share in the quarter were not impacted by changes in foreign currencies compared to the prior year, but adjusted earnings per share excluding restructuring costs and other special items were positively impacted two cents. On a constant currency basis, revenues decreased 14.5%. Excluding the impact of the restructuring costs and other special items, on a constant currency basis, net earnings per diluted share decreased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71640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4" w:name="page5"/>
    <w:bookmarkEnd w:id="4"/>
    <w:p>
      <w:pPr>
        <w:jc w:val="both"/>
        <w:ind w:firstLine="778"/>
        <w:spacing w:after="0" w:line="245" w:lineRule="auto"/>
        <w:rPr>
          <w:sz w:val="20"/>
          <w:szCs w:val="20"/>
          <w:color w:val="auto"/>
        </w:rPr>
      </w:pPr>
      <w:r>
        <w:rPr>
          <w:rFonts w:ascii="Arial" w:cs="Arial" w:eastAsia="Arial" w:hAnsi="Arial"/>
          <w:sz w:val="17"/>
          <w:szCs w:val="17"/>
          <w:color w:val="auto"/>
        </w:rPr>
        <w:t>Days Sales Outstanding improved by 3 days year over year reflecting our continued focus on collections and working capital management.</w:t>
      </w:r>
    </w:p>
    <w:p>
      <w:pPr>
        <w:spacing w:after="0" w:line="201" w:lineRule="exact"/>
        <w:rPr>
          <w:sz w:val="20"/>
          <w:szCs w:val="20"/>
          <w:color w:val="auto"/>
        </w:rPr>
      </w:pPr>
    </w:p>
    <w:p>
      <w:pPr>
        <w:jc w:val="both"/>
        <w:ind w:firstLine="778"/>
        <w:spacing w:after="0" w:line="232" w:lineRule="auto"/>
        <w:rPr>
          <w:sz w:val="20"/>
          <w:szCs w:val="20"/>
          <w:color w:val="auto"/>
        </w:rPr>
      </w:pPr>
      <w:r>
        <w:rPr>
          <w:rFonts w:ascii="Arial" w:cs="Arial" w:eastAsia="Arial" w:hAnsi="Arial"/>
          <w:sz w:val="17"/>
          <w:szCs w:val="17"/>
          <w:color w:val="auto"/>
        </w:rPr>
        <w:t>Jonas Prising, ManpowerGroup Chairman &amp; CEO, said, “As the global recovery took hold in the third quarter we experienced strengthening demand for our services reflecting the diversity of our offerings and strength of our digital capabilities. We also continued to advance strategic initiatives in the quarter including restructuring activities to improve efficiency, adjustments to our country portfolio to improve profitability, and ongoing execution of our digitization initiatives. All of these actions are improving our business for further progress as we gradually recover from the current crisis. I would like to thank our talented teams around the world for their contribution to these results, their unwavering support to clients and candidates as well as their commitment to creating a positive social impact.”</w:t>
      </w:r>
    </w:p>
    <w:p>
      <w:pPr>
        <w:spacing w:after="0" w:line="2" w:lineRule="exact"/>
        <w:rPr>
          <w:sz w:val="20"/>
          <w:szCs w:val="20"/>
          <w:color w:val="auto"/>
        </w:rPr>
      </w:pPr>
    </w:p>
    <w:p>
      <w:pPr>
        <w:jc w:val="both"/>
        <w:ind w:firstLine="778"/>
        <w:spacing w:after="0" w:line="232" w:lineRule="auto"/>
        <w:rPr>
          <w:sz w:val="20"/>
          <w:szCs w:val="20"/>
          <w:color w:val="auto"/>
        </w:rPr>
      </w:pPr>
      <w:r>
        <w:rPr>
          <w:rFonts w:ascii="Arial" w:cs="Arial" w:eastAsia="Arial" w:hAnsi="Arial"/>
          <w:sz w:val="17"/>
          <w:szCs w:val="17"/>
          <w:color w:val="auto"/>
        </w:rPr>
        <w:t>“We anticipate diluted earnings per share in the fourth quarter will be between $1.06 and $1.14, which includes an estimated favorable currency impact of 3 cents.”</w:t>
      </w:r>
    </w:p>
    <w:p>
      <w:pPr>
        <w:spacing w:after="0" w:line="1" w:lineRule="exact"/>
        <w:rPr>
          <w:sz w:val="20"/>
          <w:szCs w:val="20"/>
          <w:color w:val="auto"/>
        </w:rPr>
      </w:pPr>
    </w:p>
    <w:p>
      <w:pPr>
        <w:jc w:val="both"/>
        <w:ind w:firstLine="778"/>
        <w:spacing w:after="0" w:line="232" w:lineRule="auto"/>
        <w:rPr>
          <w:sz w:val="20"/>
          <w:szCs w:val="20"/>
          <w:color w:val="auto"/>
        </w:rPr>
      </w:pPr>
      <w:r>
        <w:rPr>
          <w:rFonts w:ascii="Arial" w:cs="Arial" w:eastAsia="Arial" w:hAnsi="Arial"/>
          <w:sz w:val="17"/>
          <w:szCs w:val="17"/>
          <w:color w:val="auto"/>
        </w:rPr>
        <w:t>Net losses for the nine months ended September 30, 2020 were $52.4 million, or net loss of $0.90 per diluted share compared to net earnings of $326.9 million, or net earnings of $5.40 per diluted share in the prior year. The year to date period included special items and restructuring costs which reduced earnings per share by $3.09. The prior year-to-date period included special items and restructuring costs which increased earnings per share by 5 cents. Revenues for the nine-month period were $ 12.9 billion, a decrease of 17% from the prior year or a decrease of 16% in constant currency. Earnings per share for the nine-month period were negatively impacted 1 cent by changes in foreign currencies compared to the prior year, or 2 cents excluding the special items and restructuring costs.</w:t>
      </w:r>
    </w:p>
    <w:p>
      <w:pPr>
        <w:spacing w:after="0" w:line="2" w:lineRule="exact"/>
        <w:rPr>
          <w:sz w:val="20"/>
          <w:szCs w:val="20"/>
          <w:color w:val="auto"/>
        </w:rPr>
      </w:pPr>
    </w:p>
    <w:p>
      <w:pPr>
        <w:jc w:val="both"/>
        <w:ind w:right="20" w:firstLine="778"/>
        <w:spacing w:after="0" w:line="239" w:lineRule="auto"/>
        <w:rPr>
          <w:sz w:val="20"/>
          <w:szCs w:val="20"/>
          <w:color w:val="auto"/>
        </w:rPr>
      </w:pPr>
      <w:r>
        <w:rPr>
          <w:rFonts w:ascii="Arial" w:cs="Arial" w:eastAsia="Arial" w:hAnsi="Arial"/>
          <w:sz w:val="17"/>
          <w:szCs w:val="17"/>
          <w:color w:val="auto"/>
        </w:rPr>
        <w:t xml:space="preserve">In conjunction with its third quarter earnings release, ManpowerGroup will broadcast its conference call live over the Internet on October 20, 2020 at 7:30 a.m. CDT (8:30 a.m. EDT). Prepared remarks for the conference call are included within the Investor Relations section of our website at manpowergroup.com. Interested parties are invited to listen to the webcast and view the presentation by logging on to </w:t>
      </w:r>
      <w:r>
        <w:rPr>
          <w:rFonts w:ascii="Arial" w:cs="Arial" w:eastAsia="Arial" w:hAnsi="Arial"/>
          <w:sz w:val="17"/>
          <w:szCs w:val="17"/>
          <w:u w:val="single" w:color="auto"/>
          <w:color w:val="0000FF"/>
        </w:rPr>
        <w:t>http://investor.manpowergroup.com/</w:t>
      </w:r>
      <w:r>
        <w:rPr>
          <w:rFonts w:ascii="Arial" w:cs="Arial" w:eastAsia="Arial" w:hAnsi="Arial"/>
          <w:sz w:val="17"/>
          <w:szCs w:val="17"/>
          <w:color w:val="0000FF"/>
        </w:rPr>
        <w:t xml:space="preserve"> </w:t>
      </w:r>
      <w:r>
        <w:rPr>
          <w:rFonts w:ascii="Arial" w:cs="Arial" w:eastAsia="Arial" w:hAnsi="Arial"/>
          <w:sz w:val="17"/>
          <w:szCs w:val="17"/>
          <w:color w:val="000000"/>
        </w:rPr>
        <w:t>in the section titled “Investor Relations.”</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u w:val="single" w:color="auto"/>
          <w:color w:val="0000FF"/>
        </w:rPr>
        <w:t>http://investor.manpowergroup.com/</w:t>
      </w:r>
      <w:r>
        <w:rPr>
          <w:rFonts w:ascii="Arial" w:cs="Arial" w:eastAsia="Arial" w:hAnsi="Arial"/>
          <w:sz w:val="17"/>
          <w:szCs w:val="17"/>
          <w:color w:val="auto"/>
        </w:rPr>
        <w:t xml:space="preserve"> .</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 xml:space="preserve">ManpowerGroup® (NYSE: </w:t>
      </w:r>
      <w:r>
        <w:rPr>
          <w:rFonts w:ascii="Arial" w:cs="Arial" w:eastAsia="Arial" w:hAnsi="Arial"/>
          <w:sz w:val="16"/>
          <w:szCs w:val="16"/>
          <w:u w:val="single" w:color="auto"/>
          <w:color w:val="auto"/>
        </w:rPr>
        <w:t>MAN</w:t>
      </w:r>
      <w:r>
        <w:rPr>
          <w:rFonts w:ascii="Arial" w:cs="Arial" w:eastAsia="Arial" w:hAnsi="Arial"/>
          <w:sz w:val="16"/>
          <w:szCs w:val="16"/>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2020 ManpowerGroup was named one of the World's Most Ethical Companies for the eleventh year - all confirming our position as the brand of choice for in-demand talent.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483235</wp:posOffset>
            </wp:positionV>
            <wp:extent cx="716407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04" w:right="31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16"/>
          <w:szCs w:val="16"/>
          <w:color w:val="auto"/>
        </w:rPr>
        <w:t>This news release contains statements, including statements regarding the anticipated financial and operational impacts of the COVID-19 pandemic and related economic conditions and the Company’s efforts to respond to such impacts,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2019, as well as the risks and uncertainties arising from the COVID-19 global pandemic and related governmental actions that are discussed in the Company’s Periodic Reports on Form 10-Q for the quarter ended March 31, 2020, which information is incorporated herein by reference.</w:t>
      </w:r>
    </w:p>
    <w:p>
      <w:pPr>
        <w:spacing w:after="0" w:line="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497205</wp:posOffset>
            </wp:positionV>
            <wp:extent cx="716407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08" w:right="319" w:bottom="1440" w:gutter="0" w:footer="0" w:header="0"/>
        </w:sectPr>
      </w:pPr>
    </w:p>
    <w:bookmarkStart w:id="6" w:name="page7"/>
    <w:bookmarkEnd w:id="6"/>
    <w:p>
      <w:pPr>
        <w:jc w:val="center"/>
        <w:ind w:right="-4"/>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2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right="541"/>
              <w:spacing w:after="0"/>
              <w:rPr>
                <w:sz w:val="20"/>
                <w:szCs w:val="20"/>
                <w:color w:val="auto"/>
              </w:rPr>
            </w:pPr>
            <w:r>
              <w:rPr>
                <w:rFonts w:ascii="Times New Roman" w:cs="Times New Roman" w:eastAsia="Times New Roman" w:hAnsi="Times New Roman"/>
                <w:sz w:val="16"/>
                <w:szCs w:val="16"/>
                <w:b w:val="1"/>
                <w:bCs w:val="1"/>
                <w:color w:val="auto"/>
                <w:w w:val="98"/>
              </w:rPr>
              <w:t>Three Months Ended September 30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center"/>
              <w:ind w:left="801"/>
              <w:spacing w:after="0"/>
              <w:rPr>
                <w:sz w:val="20"/>
                <w:szCs w:val="20"/>
                <w:color w:val="auto"/>
              </w:rPr>
            </w:pPr>
            <w:r>
              <w:rPr>
                <w:rFonts w:ascii="Times New Roman" w:cs="Times New Roman" w:eastAsia="Times New Roman" w:hAnsi="Times New Roman"/>
                <w:sz w:val="16"/>
                <w:szCs w:val="16"/>
                <w:color w:val="auto"/>
                <w:w w:val="98"/>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18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4,584.8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5,248.9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-12.7%</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15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3,859.7</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4,408.6</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-12.5%</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725.1</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840.3</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-13.7%</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5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6.5%</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-71.6%</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15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-51.4%</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5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-72.8%</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5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-22.8%</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earnings</w:t>
            </w:r>
          </w:p>
        </w:tc>
        <w:tc>
          <w:tcPr>
            <w:tcW w:w="15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-93.0%</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18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rPr>
              <w:t>-92.6%</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tcBorders>
              <w:bottom w:val="single" w:sz="8" w:color="CFF0FC"/>
            </w:tcBorders>
            <w:vMerge w:val="continue"/>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1"/>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0.18</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2.44</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20" w:type="dxa"/>
            <w:vAlign w:val="bottom"/>
            <w:tcBorders>
              <w:bottom w:val="single" w:sz="8" w:color="CFF0FC"/>
            </w:tcBorders>
            <w:shd w:val="clear" w:color="auto" w:fill="CFF0FC"/>
          </w:tcPr>
          <w:p>
            <w:pPr>
              <w:spacing w:after="0" w:line="177" w:lineRule="exact"/>
              <w:rPr>
                <w:sz w:val="20"/>
                <w:szCs w:val="20"/>
                <w:color w:val="auto"/>
              </w:rPr>
            </w:pPr>
            <w:r>
              <w:rPr>
                <w:rFonts w:ascii="Times New Roman" w:cs="Times New Roman" w:eastAsia="Times New Roman" w:hAnsi="Times New Roman"/>
                <w:sz w:val="16"/>
                <w:szCs w:val="16"/>
                <w:color w:val="auto"/>
              </w:rPr>
              <w:t>Net earnings per share - diluted</w:t>
            </w:r>
          </w:p>
        </w:tc>
        <w:tc>
          <w:tcPr>
            <w:tcW w:w="15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1"/>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0.18</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2.42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341"/>
              <w:spacing w:after="0" w:line="177" w:lineRule="exact"/>
              <w:rPr>
                <w:sz w:val="20"/>
                <w:szCs w:val="20"/>
                <w:color w:val="auto"/>
              </w:rPr>
            </w:pPr>
            <w:r>
              <w:rPr>
                <w:rFonts w:ascii="Times New Roman" w:cs="Times New Roman" w:eastAsia="Times New Roman" w:hAnsi="Times New Roman"/>
                <w:sz w:val="16"/>
                <w:szCs w:val="16"/>
                <w:color w:val="auto"/>
              </w:rPr>
              <w:t>-92.6%</w:t>
            </w:r>
          </w:p>
        </w:tc>
        <w:tc>
          <w:tcPr>
            <w:tcW w:w="1140" w:type="dxa"/>
            <w:vAlign w:val="bottom"/>
            <w:tcBorders>
              <w:bottom w:val="single" w:sz="8" w:color="CFF0FC"/>
            </w:tcBorders>
            <w:gridSpan w:val="2"/>
            <w:shd w:val="clear" w:color="auto" w:fill="CFF0FC"/>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-92.6%</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rPr>
              <w:t>-2.8%</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tcBorders>
              <w:bottom w:val="single" w:sz="8" w:color="CFF0FC"/>
            </w:tcBorders>
            <w:vMerge w:val="continue"/>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58.2</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59.9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20" w:type="dxa"/>
            <w:vAlign w:val="bottom"/>
            <w:tcBorders>
              <w:bottom w:val="single" w:sz="8" w:color="CFF0FC"/>
            </w:tcBorders>
            <w:shd w:val="clear" w:color="auto" w:fill="CFF0FC"/>
          </w:tcPr>
          <w:p>
            <w:pPr>
              <w:spacing w:after="0" w:line="177"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15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58.5</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60.3</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341"/>
              <w:spacing w:after="0" w:line="177" w:lineRule="exact"/>
              <w:rPr>
                <w:sz w:val="20"/>
                <w:szCs w:val="20"/>
                <w:color w:val="auto"/>
              </w:rPr>
            </w:pPr>
            <w:r>
              <w:rPr>
                <w:rFonts w:ascii="Times New Roman" w:cs="Times New Roman" w:eastAsia="Times New Roman" w:hAnsi="Times New Roman"/>
                <w:sz w:val="16"/>
                <w:szCs w:val="16"/>
                <w:color w:val="auto"/>
              </w:rPr>
              <w:t>-3.0%</w:t>
            </w:r>
          </w:p>
        </w:tc>
        <w:tc>
          <w:tcPr>
            <w:tcW w:w="9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525" w:right="20" w:hanging="525"/>
        <w:spacing w:after="0" w:line="261" w:lineRule="auto"/>
        <w:tabs>
          <w:tab w:leader="none" w:pos="52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$3.8 million and $4.3 million for the three months ended September 30, 2020 and 2019, respectively. These fees are primarily based on revenues generated by the franchise offices, which were $236.9 million and $274.0 million for the three months ended September 30,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530225</wp:posOffset>
            </wp:positionV>
            <wp:extent cx="716407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5"/>
          </w:cols>
          <w:pgMar w:left="315" w:top="312" w:right="319" w:bottom="1440" w:gutter="0" w:footer="0" w:header="0"/>
        </w:sectPr>
      </w:pPr>
    </w:p>
    <w:bookmarkStart w:id="7" w:name="page8"/>
    <w:bookmarkEnd w:id="7"/>
    <w:p>
      <w:pPr>
        <w:ind w:left="5085"/>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5"/>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(In millions)</w:t>
      </w:r>
    </w:p>
    <w:p>
      <w:pPr>
        <w:spacing w:after="0" w:line="252"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3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right="541"/>
              <w:spacing w:after="0"/>
              <w:rPr>
                <w:sz w:val="20"/>
                <w:szCs w:val="20"/>
                <w:color w:val="auto"/>
              </w:rPr>
            </w:pPr>
            <w:r>
              <w:rPr>
                <w:rFonts w:ascii="Times New Roman" w:cs="Times New Roman" w:eastAsia="Times New Roman" w:hAnsi="Times New Roman"/>
                <w:sz w:val="16"/>
                <w:szCs w:val="16"/>
                <w:b w:val="1"/>
                <w:bCs w:val="1"/>
                <w:color w:val="auto"/>
                <w:w w:val="98"/>
              </w:rPr>
              <w:t>Three Months Ended September 30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3"/>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3"/>
          </w:tcPr>
          <w:p>
            <w:pPr>
              <w:jc w:val="center"/>
              <w:ind w:left="801"/>
              <w:spacing w:after="0"/>
              <w:rPr>
                <w:sz w:val="20"/>
                <w:szCs w:val="20"/>
                <w:color w:val="auto"/>
              </w:rPr>
            </w:pPr>
            <w:r>
              <w:rPr>
                <w:rFonts w:ascii="Times New Roman" w:cs="Times New Roman" w:eastAsia="Times New Roman" w:hAnsi="Times New Roman"/>
                <w:sz w:val="16"/>
                <w:szCs w:val="16"/>
                <w:color w:val="auto"/>
                <w:w w:val="98"/>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United States (a)</w:t>
            </w:r>
          </w:p>
        </w:tc>
        <w:tc>
          <w:tcPr>
            <w:tcW w:w="17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-13.1%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1"/>
        </w:trPr>
        <w:tc>
          <w:tcPr>
            <w:tcW w:w="386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Other Americas</w:t>
            </w:r>
          </w:p>
        </w:tc>
        <w:tc>
          <w:tcPr>
            <w:tcW w:w="15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350.3</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-18.2%</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2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-15.1%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3"/>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France</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1,205.3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-13.1%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1"/>
        </w:trPr>
        <w:tc>
          <w:tcPr>
            <w:tcW w:w="3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Italy</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-6.8%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Southern Europe</w:t>
            </w:r>
          </w:p>
        </w:tc>
        <w:tc>
          <w:tcPr>
            <w:tcW w:w="15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555.9</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-6.5%</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CFF0FC"/>
            </w:tcBorders>
          </w:tcPr>
          <w:p>
            <w:pPr>
              <w:spacing w:after="0"/>
              <w:rPr>
                <w:sz w:val="16"/>
                <w:szCs w:val="16"/>
                <w:color w:val="auto"/>
              </w:rPr>
            </w:pPr>
          </w:p>
        </w:tc>
        <w:tc>
          <w:tcPr>
            <w:tcW w:w="15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2,112.4</w:t>
            </w:r>
          </w:p>
        </w:tc>
        <w:tc>
          <w:tcPr>
            <w:tcW w:w="2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2,357.8</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-10.4%</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947.7</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-18.8%</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01"/>
        </w:trPr>
        <w:tc>
          <w:tcPr>
            <w:tcW w:w="38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15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629.8</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-5.4%</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4,584.8</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5,248.9</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-12.7%</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United States</w:t>
            </w:r>
          </w:p>
        </w:tc>
        <w:tc>
          <w:tcPr>
            <w:tcW w:w="17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-51.6%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Americas</w:t>
            </w:r>
          </w:p>
        </w:tc>
        <w:tc>
          <w:tcPr>
            <w:tcW w:w="15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-37.1%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CFF0FC"/>
            </w:tcBorders>
          </w:tcPr>
          <w:p>
            <w:pPr>
              <w:spacing w:after="0"/>
              <w:rPr>
                <w:sz w:val="16"/>
                <w:szCs w:val="16"/>
                <w:color w:val="auto"/>
              </w:rPr>
            </w:pPr>
          </w:p>
        </w:tc>
        <w:tc>
          <w:tcPr>
            <w:tcW w:w="15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-46.8%</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France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-26.8%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Italy</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-33.5%</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1"/>
        </w:trPr>
        <w:tc>
          <w:tcPr>
            <w:tcW w:w="386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Other Southern Europe</w:t>
            </w:r>
          </w:p>
        </w:tc>
        <w:tc>
          <w:tcPr>
            <w:tcW w:w="15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-79.1%</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-38.4%</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193"/>
        </w:trPr>
        <w:tc>
          <w:tcPr>
            <w:tcW w:w="3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15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-69.8%</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93"/>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(29.2)</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5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500" w:type="dxa"/>
            <w:vAlign w:val="bottom"/>
            <w:tcBorders>
              <w:top w:val="single" w:sz="8" w:color="CFF0FC"/>
            </w:tcBorders>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-71.6%</w:t>
            </w:r>
          </w:p>
        </w:tc>
        <w:tc>
          <w:tcPr>
            <w:tcW w:w="114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01"/>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 (b)</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52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500" w:type="dxa"/>
            <w:vAlign w:val="bottom"/>
            <w:tcBorders>
              <w:top w:val="single" w:sz="8" w:color="CFF0FC"/>
              <w:bottom w:val="single" w:sz="8" w:color="CFF0FC"/>
            </w:tcBorders>
            <w:shd w:val="clear" w:color="auto" w:fill="CFF0FC"/>
          </w:tcPr>
          <w:p>
            <w:pPr>
              <w:spacing w:after="0"/>
              <w:rPr>
                <w:sz w:val="16"/>
                <w:szCs w:val="16"/>
                <w:color w:val="auto"/>
              </w:rPr>
            </w:pPr>
          </w:p>
        </w:tc>
        <w:tc>
          <w:tcPr>
            <w:tcW w:w="9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jc w:val="both"/>
        <w:ind w:left="525" w:right="180" w:hanging="525"/>
        <w:spacing w:after="0" w:line="261" w:lineRule="auto"/>
        <w:tabs>
          <w:tab w:leader="none" w:pos="52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$3.4 million and $3.5 million for the three months ended September 30, 2020 and 2019, respectively. These fees are primarily based on revenues generated by the franchise offices, which were $116.9 million and $151.6 million for the three months ended September 30, 2020 and 2019, respectively.</w:t>
      </w:r>
    </w:p>
    <w:p>
      <w:pPr>
        <w:spacing w:after="0" w:line="38" w:lineRule="exact"/>
        <w:rPr>
          <w:rFonts w:ascii="Times New Roman" w:cs="Times New Roman" w:eastAsia="Times New Roman" w:hAnsi="Times New Roman"/>
          <w:sz w:val="16"/>
          <w:szCs w:val="16"/>
          <w:color w:val="auto"/>
        </w:rPr>
      </w:pPr>
    </w:p>
    <w:p>
      <w:pPr>
        <w:ind w:left="525" w:hanging="525"/>
        <w:spacing w:after="0"/>
        <w:tabs>
          <w:tab w:leader="none" w:pos="52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7"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7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7"/>
                <w:szCs w:val="17"/>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income</w:t>
            </w:r>
          </w:p>
        </w:tc>
        <w:tc>
          <w:tcPr>
            <w:tcW w:w="1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r>
      <w:tr>
        <w:trPr>
          <w:trHeight w:val="193"/>
        </w:trPr>
        <w:tc>
          <w:tcPr>
            <w:tcW w:w="7740" w:type="dxa"/>
            <w:vAlign w:val="bottom"/>
            <w:tcBorders>
              <w:top w:val="single" w:sz="8" w:color="CFF0FC"/>
              <w:bottom w:val="single" w:sz="8" w:color="CFF0FC"/>
            </w:tcBorders>
            <w:shd w:val="clear" w:color="auto" w:fill="CFF0FC"/>
          </w:tcPr>
          <w:p>
            <w:pPr>
              <w:spacing w:after="0"/>
              <w:rPr>
                <w:sz w:val="16"/>
                <w:szCs w:val="16"/>
                <w:color w:val="auto"/>
              </w:rPr>
            </w:pPr>
          </w:p>
        </w:tc>
        <w:tc>
          <w:tcPr>
            <w:tcW w:w="110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02"/>
        </w:trPr>
        <w:tc>
          <w:tcPr>
            <w:tcW w:w="7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-6985</wp:posOffset>
            </wp:positionV>
            <wp:extent cx="76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5"/>
          </w:cols>
          <w:pgMar w:left="315" w:top="312" w:right="299" w:bottom="1440" w:gutter="0" w:footer="0" w:header="0"/>
        </w:sectPr>
      </w:pPr>
    </w:p>
    <w:bookmarkStart w:id="8" w:name="page9"/>
    <w:bookmarkEnd w:id="8"/>
    <w:p>
      <w:pPr>
        <w:jc w:val="center"/>
        <w:ind w:right="-4"/>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21"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4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center"/>
              <w:ind w:right="581"/>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 30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center"/>
              <w:ind w:left="781"/>
              <w:spacing w:after="0"/>
              <w:rPr>
                <w:sz w:val="20"/>
                <w:szCs w:val="20"/>
                <w:color w:val="auto"/>
              </w:rPr>
            </w:pPr>
            <w:r>
              <w:rPr>
                <w:rFonts w:ascii="Times New Roman" w:cs="Times New Roman" w:eastAsia="Times New Roman" w:hAnsi="Times New Roman"/>
                <w:sz w:val="16"/>
                <w:szCs w:val="16"/>
                <w:color w:val="auto"/>
                <w:w w:val="98"/>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13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12,946.1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15,666.9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-17.4%</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1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10,920.3</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13,151.4</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-17.0%</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93"/>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2,025.8</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-19.5%</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185"/>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and administrative expenses, excluding</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-4.4%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Goodwill impairment charges (b)</w:t>
            </w:r>
          </w:p>
        </w:tc>
        <w:tc>
          <w:tcPr>
            <w:tcW w:w="110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4.2%</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1,976.5</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-4.2%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1"/>
        </w:trPr>
        <w:tc>
          <w:tcPr>
            <w:tcW w:w="42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-89.1%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(income), net</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(46.1)</w:t>
            </w:r>
          </w:p>
        </w:tc>
        <w:tc>
          <w:tcPr>
            <w:tcW w:w="280" w:type="dxa"/>
            <w:vAlign w:val="bottom"/>
          </w:tcPr>
          <w:p>
            <w:pPr>
              <w:spacing w:after="0"/>
              <w:rPr>
                <w:sz w:val="17"/>
                <w:szCs w:val="17"/>
                <w:color w:val="auto"/>
              </w:rPr>
            </w:pPr>
          </w:p>
        </w:tc>
        <w:tc>
          <w:tcPr>
            <w:tcW w:w="15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500" w:type="dxa"/>
            <w:vAlign w:val="bottom"/>
            <w:tcBorders>
              <w:top w:val="single" w:sz="8" w:color="CFF0FC"/>
            </w:tcBorders>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-96.6%</w:t>
            </w:r>
          </w:p>
        </w:tc>
        <w:tc>
          <w:tcPr>
            <w:tcW w:w="114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-59.8%</w:t>
            </w: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2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Net (loss) earnings</w:t>
            </w:r>
          </w:p>
        </w:tc>
        <w:tc>
          <w:tcPr>
            <w:tcW w:w="1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481"/>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earnings per share - basic</w:t>
            </w:r>
          </w:p>
        </w:tc>
        <w:tc>
          <w:tcPr>
            <w:tcW w:w="13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481"/>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Borders>
              <w:bottom w:val="single" w:sz="8" w:color="CFF0FC"/>
            </w:tcBorders>
            <w:vMerge w:val="continue"/>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1"/>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(0.90)</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5.43</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FF0FC"/>
            </w:tcBorders>
            <w:shd w:val="clear" w:color="auto" w:fill="CFF0FC"/>
          </w:tcPr>
          <w:p>
            <w:pPr>
              <w:spacing w:after="0" w:line="177" w:lineRule="exact"/>
              <w:rPr>
                <w:sz w:val="20"/>
                <w:szCs w:val="20"/>
                <w:color w:val="auto"/>
              </w:rPr>
            </w:pPr>
            <w:r>
              <w:rPr>
                <w:rFonts w:ascii="Times New Roman" w:cs="Times New Roman" w:eastAsia="Times New Roman" w:hAnsi="Times New Roman"/>
                <w:sz w:val="16"/>
                <w:szCs w:val="16"/>
                <w:color w:val="auto"/>
              </w:rPr>
              <w:t>Net (loss) earnings per share - diluted</w:t>
            </w:r>
          </w:p>
        </w:tc>
        <w:tc>
          <w:tcPr>
            <w:tcW w:w="1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1"/>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(0.90)</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5.40</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481"/>
              <w:spacing w:after="0" w:line="177" w:lineRule="exact"/>
              <w:rPr>
                <w:sz w:val="20"/>
                <w:szCs w:val="20"/>
                <w:color w:val="auto"/>
              </w:rPr>
            </w:pPr>
            <w:r>
              <w:rPr>
                <w:rFonts w:ascii="Times New Roman" w:cs="Times New Roman" w:eastAsia="Times New Roman" w:hAnsi="Times New Roman"/>
                <w:sz w:val="16"/>
                <w:szCs w:val="16"/>
                <w:color w:val="auto"/>
              </w:rPr>
              <w:t>N/A</w:t>
            </w:r>
          </w:p>
        </w:tc>
        <w:tc>
          <w:tcPr>
            <w:tcW w:w="1140" w:type="dxa"/>
            <w:vAlign w:val="bottom"/>
            <w:tcBorders>
              <w:bottom w:val="single" w:sz="8" w:color="CFF0FC"/>
            </w:tcBorders>
            <w:gridSpan w:val="2"/>
            <w:shd w:val="clear" w:color="auto" w:fill="CFF0FC"/>
          </w:tcPr>
          <w:p>
            <w:pPr>
              <w:jc w:val="right"/>
              <w:ind w:right="180"/>
              <w:spacing w:after="0" w:line="177" w:lineRule="exact"/>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color w:val="auto"/>
              </w:rPr>
              <w:t>-2.9%</w:t>
            </w: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tcBorders>
              <w:bottom w:val="single" w:sz="8" w:color="CFF0FC"/>
            </w:tcBorders>
            <w:vMerge w:val="continue"/>
          </w:tcPr>
          <w:p>
            <w:pPr>
              <w:spacing w:after="0"/>
              <w:rPr>
                <w:sz w:val="18"/>
                <w:szCs w:val="18"/>
                <w:color w:val="auto"/>
              </w:rPr>
            </w:pPr>
          </w:p>
        </w:tc>
        <w:tc>
          <w:tcPr>
            <w:tcW w:w="1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58.4</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60.2</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vMerge w:val="continue"/>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FF0FC"/>
            </w:tcBorders>
            <w:shd w:val="clear" w:color="auto" w:fill="CFF0FC"/>
          </w:tcPr>
          <w:p>
            <w:pPr>
              <w:spacing w:after="0" w:line="177" w:lineRule="exact"/>
              <w:rPr>
                <w:sz w:val="20"/>
                <w:szCs w:val="20"/>
                <w:color w:val="auto"/>
              </w:rPr>
            </w:pPr>
            <w:r>
              <w:rPr>
                <w:rFonts w:ascii="Times New Roman" w:cs="Times New Roman" w:eastAsia="Times New Roman" w:hAnsi="Times New Roman"/>
                <w:sz w:val="16"/>
                <w:szCs w:val="16"/>
                <w:color w:val="auto"/>
              </w:rPr>
              <w:t>Weighted average shares - diluted</w:t>
            </w:r>
          </w:p>
        </w:tc>
        <w:tc>
          <w:tcPr>
            <w:tcW w:w="1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58.4</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77" w:lineRule="exact"/>
              <w:rPr>
                <w:sz w:val="20"/>
                <w:szCs w:val="20"/>
                <w:color w:val="auto"/>
              </w:rPr>
            </w:pPr>
            <w:r>
              <w:rPr>
                <w:rFonts w:ascii="Times New Roman" w:cs="Times New Roman" w:eastAsia="Times New Roman" w:hAnsi="Times New Roman"/>
                <w:sz w:val="16"/>
                <w:szCs w:val="16"/>
                <w:color w:val="auto"/>
              </w:rPr>
              <w:t>60.6</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00" w:type="dxa"/>
            <w:vAlign w:val="bottom"/>
            <w:tcBorders>
              <w:bottom w:val="single" w:sz="8" w:color="CFF0FC"/>
            </w:tcBorders>
            <w:shd w:val="clear" w:color="auto" w:fill="CFF0FC"/>
          </w:tcPr>
          <w:p>
            <w:pPr>
              <w:jc w:val="right"/>
              <w:ind w:right="341"/>
              <w:spacing w:after="0" w:line="177" w:lineRule="exact"/>
              <w:rPr>
                <w:sz w:val="20"/>
                <w:szCs w:val="20"/>
                <w:color w:val="auto"/>
              </w:rPr>
            </w:pPr>
            <w:r>
              <w:rPr>
                <w:rFonts w:ascii="Times New Roman" w:cs="Times New Roman" w:eastAsia="Times New Roman" w:hAnsi="Times New Roman"/>
                <w:sz w:val="16"/>
                <w:szCs w:val="16"/>
                <w:color w:val="auto"/>
              </w:rPr>
              <w:t>-3.6%</w:t>
            </w:r>
          </w:p>
        </w:tc>
        <w:tc>
          <w:tcPr>
            <w:tcW w:w="9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525" w:right="20" w:hanging="525"/>
        <w:spacing w:after="0" w:line="261" w:lineRule="auto"/>
        <w:tabs>
          <w:tab w:leader="none" w:pos="52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$9.9 million and $14.0 million for the nine months ended September 30, 2020 and 2019, respectively. These fees are primarily based on revenues generated by the franchise offices, which were $447.3 million and $680.2 million for the nine months ended September 30, 2020 and 2019, respectively.</w:t>
      </w:r>
    </w:p>
    <w:p>
      <w:pPr>
        <w:spacing w:after="0" w:line="156" w:lineRule="exact"/>
        <w:rPr>
          <w:rFonts w:ascii="Times New Roman" w:cs="Times New Roman" w:eastAsia="Times New Roman" w:hAnsi="Times New Roman"/>
          <w:sz w:val="16"/>
          <w:szCs w:val="16"/>
          <w:color w:val="auto"/>
        </w:rPr>
      </w:pPr>
    </w:p>
    <w:p>
      <w:pPr>
        <w:ind w:left="525" w:hanging="525"/>
        <w:spacing w:after="0"/>
        <w:tabs>
          <w:tab w:leader="none" w:pos="52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charges for both the nine months ended September 30, 2020 and 2019 relate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675005</wp:posOffset>
            </wp:positionV>
            <wp:extent cx="716407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5"/>
          </w:cols>
          <w:pgMar w:left="315" w:top="312" w:right="319" w:bottom="1440" w:gutter="0" w:footer="0" w:header="0"/>
        </w:sectPr>
      </w:pPr>
    </w:p>
    <w:bookmarkStart w:id="9" w:name="page10"/>
    <w:bookmarkEnd w:id="9"/>
    <w:p>
      <w:pPr>
        <w:ind w:left="5085"/>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5"/>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(In millions)</w:t>
      </w:r>
    </w:p>
    <w:p>
      <w:pPr>
        <w:spacing w:after="0" w:line="228"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center"/>
              <w:ind w:right="581"/>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 30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jc w:val="center"/>
              <w:ind w:left="781"/>
              <w:spacing w:after="0"/>
              <w:rPr>
                <w:sz w:val="20"/>
                <w:szCs w:val="20"/>
                <w:color w:val="auto"/>
              </w:rPr>
            </w:pPr>
            <w:r>
              <w:rPr>
                <w:rFonts w:ascii="Times New Roman" w:cs="Times New Roman" w:eastAsia="Times New Roman" w:hAnsi="Times New Roman"/>
                <w:sz w:val="16"/>
                <w:szCs w:val="16"/>
                <w:color w:val="auto"/>
                <w:w w:val="98"/>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United States (a)</w:t>
            </w:r>
          </w:p>
        </w:tc>
        <w:tc>
          <w:tcPr>
            <w:tcW w:w="15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1,942.3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-12.2%</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Other Americas</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1,250.6</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-14.4%</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2,776.7</w:t>
            </w:r>
          </w:p>
        </w:tc>
        <w:tc>
          <w:tcPr>
            <w:tcW w:w="26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3,192.9</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-13.0%</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France</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3,035.1</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4,117.8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-26.3%</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Italy</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-16.0%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Southern Europe</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-4.3%</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tcPr>
          <w:p>
            <w:pPr>
              <w:spacing w:after="0"/>
              <w:rPr>
                <w:sz w:val="16"/>
                <w:szCs w:val="16"/>
                <w:color w:val="auto"/>
              </w:rPr>
            </w:pPr>
          </w:p>
        </w:tc>
        <w:tc>
          <w:tcPr>
            <w:tcW w:w="12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5,527.9</w:t>
            </w:r>
          </w:p>
        </w:tc>
        <w:tc>
          <w:tcPr>
            <w:tcW w:w="2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6,860.9</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-19.4%</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2,881.9</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3,561.4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-19.1%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1,759.6</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-14.2%</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12,946.1</w:t>
            </w:r>
          </w:p>
        </w:tc>
        <w:tc>
          <w:tcPr>
            <w:tcW w:w="2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15,666.9</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-17.4%</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United States</w:t>
            </w:r>
          </w:p>
        </w:tc>
        <w:tc>
          <w:tcPr>
            <w:tcW w:w="154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-67.3%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Americas</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-29.5%</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93"/>
        </w:trPr>
        <w:tc>
          <w:tcPr>
            <w:tcW w:w="4100" w:type="dxa"/>
            <w:vAlign w:val="bottom"/>
            <w:tcBorders>
              <w:bottom w:val="single" w:sz="8" w:color="CFF0FC"/>
            </w:tcBorders>
          </w:tcPr>
          <w:p>
            <w:pPr>
              <w:spacing w:after="0"/>
              <w:rPr>
                <w:sz w:val="16"/>
                <w:szCs w:val="16"/>
                <w:color w:val="auto"/>
              </w:rPr>
            </w:pPr>
          </w:p>
        </w:tc>
        <w:tc>
          <w:tcPr>
            <w:tcW w:w="12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26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-53.7%</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Southern Europe:</w:t>
            </w:r>
          </w:p>
        </w:tc>
        <w:tc>
          <w:tcPr>
            <w:tcW w:w="1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France</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-56.8%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Italy</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-44.6%</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01"/>
        </w:trPr>
        <w:tc>
          <w:tcPr>
            <w:tcW w:w="410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Other Southern Europe</w:t>
            </w:r>
          </w:p>
        </w:tc>
        <w:tc>
          <w:tcPr>
            <w:tcW w:w="12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Times New Roman" w:cs="Times New Roman" w:eastAsia="Times New Roman" w:hAnsi="Times New Roman"/>
                <w:sz w:val="16"/>
                <w:szCs w:val="16"/>
                <w:color w:val="auto"/>
              </w:rPr>
              <w:t>-82.4%</w:t>
            </w:r>
          </w:p>
        </w:tc>
        <w:tc>
          <w:tcPr>
            <w:tcW w:w="11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193"/>
        </w:trPr>
        <w:tc>
          <w:tcPr>
            <w:tcW w:w="4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26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-58.1%</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Northern Europe</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APME</w:t>
            </w:r>
          </w:p>
        </w:tc>
        <w:tc>
          <w:tcPr>
            <w:tcW w:w="128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6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Times New Roman" w:cs="Times New Roman" w:eastAsia="Times New Roman" w:hAnsi="Times New Roman"/>
                <w:sz w:val="16"/>
                <w:szCs w:val="16"/>
                <w:color w:val="auto"/>
              </w:rPr>
              <w:t>-51.0%</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(83.5)</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(89.0)</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(66.8)</w:t>
            </w:r>
          </w:p>
        </w:tc>
        <w:tc>
          <w:tcPr>
            <w:tcW w:w="14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(64.0)</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(22.4)</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profit</w:t>
            </w:r>
          </w:p>
        </w:tc>
        <w:tc>
          <w:tcPr>
            <w:tcW w:w="12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-89.1%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1"/>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income, net (b)</w:t>
            </w: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(32.3)</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525" w:right="160" w:hanging="525"/>
        <w:spacing w:after="0" w:line="261" w:lineRule="auto"/>
        <w:tabs>
          <w:tab w:leader="none" w:pos="5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$8.8 million and $10.8 million for the nine months ended September 30, 2020 and 2019, respectively. These fees are primarily based on revenues generated by the franchise offices, which were $315.7 million and $462.8 million for the nine months ended September 30, 2020 and 2019, respectively.</w:t>
      </w:r>
    </w:p>
    <w:p>
      <w:pPr>
        <w:spacing w:after="0" w:line="38" w:lineRule="exact"/>
        <w:rPr>
          <w:rFonts w:ascii="Times New Roman" w:cs="Times New Roman" w:eastAsia="Times New Roman" w:hAnsi="Times New Roman"/>
          <w:sz w:val="16"/>
          <w:szCs w:val="16"/>
          <w:color w:val="auto"/>
        </w:rPr>
      </w:pPr>
    </w:p>
    <w:p>
      <w:pPr>
        <w:ind w:left="525" w:hanging="525"/>
        <w:spacing w:after="0"/>
        <w:tabs>
          <w:tab w:leader="none" w:pos="52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(income), net were:</w:t>
      </w:r>
    </w:p>
    <w:p>
      <w:pPr>
        <w:spacing w:after="0" w:line="27" w:lineRule="exact"/>
        <w:rPr>
          <w:sz w:val="20"/>
          <w:szCs w:val="20"/>
          <w:color w:val="auto"/>
        </w:rPr>
      </w:pPr>
    </w:p>
    <w:tbl>
      <w:tblPr>
        <w:tblLayout w:type="fixed"/>
        <w:tblInd w:w="5" w:type="dxa"/>
        <w:tblCellMar>
          <w:top w:w="0" w:type="dxa"/>
          <w:left w:w="0" w:type="dxa"/>
          <w:bottom w:w="0" w:type="dxa"/>
          <w:right w:w="0" w:type="dxa"/>
        </w:tblCellMar>
      </w:tblPr>
      <w:tr>
        <w:trPr>
          <w:trHeight w:val="208"/>
        </w:trPr>
        <w:tc>
          <w:tcPr>
            <w:tcW w:w="77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 (income) (c)</w:t>
            </w:r>
          </w:p>
        </w:tc>
        <w:tc>
          <w:tcPr>
            <w:tcW w:w="1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7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34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   2019 includes an $80.0 million gain related to our acquisition of the remaining controlling interest of our Swiss</w:t>
            </w:r>
          </w:p>
        </w:tc>
        <w:tc>
          <w:tcPr>
            <w:tcW w:w="11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franchise.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7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-6985</wp:posOffset>
            </wp:positionV>
            <wp:extent cx="76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5"/>
          </w:cols>
          <w:pgMar w:left="315" w:top="312" w:right="299" w:bottom="1440" w:gutter="0" w:footer="0" w:header="0"/>
        </w:sectPr>
      </w:pPr>
    </w:p>
    <w:bookmarkStart w:id="10" w:name="page11"/>
    <w:bookmarkEnd w:id="10"/>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40" w:type="dxa"/>
            <w:vAlign w:val="bottom"/>
          </w:tcPr>
          <w:p>
            <w:pPr>
              <w:spacing w:after="0"/>
              <w:rPr>
                <w:sz w:val="18"/>
                <w:szCs w:val="18"/>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4"/>
          </w:tcPr>
          <w:p>
            <w:pPr>
              <w:jc w:val="right"/>
              <w:ind w:right="84"/>
              <w:spacing w:after="0"/>
              <w:rPr>
                <w:sz w:val="20"/>
                <w:szCs w:val="20"/>
                <w:color w:val="auto"/>
              </w:rPr>
            </w:pPr>
            <w:r>
              <w:rPr>
                <w:rFonts w:ascii="Times New Roman" w:cs="Times New Roman" w:eastAsia="Times New Roman" w:hAnsi="Times New Roman"/>
                <w:sz w:val="16"/>
                <w:szCs w:val="16"/>
                <w:color w:val="auto"/>
              </w:rPr>
              <w:t>(Unaudited)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1,587.7</w:t>
            </w:r>
          </w:p>
        </w:tc>
        <w:tc>
          <w:tcPr>
            <w:tcW w:w="2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current assets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6,348.1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6,484.5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other assets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assets</w:t>
            </w:r>
          </w:p>
        </w:tc>
        <w:tc>
          <w:tcPr>
            <w:tcW w:w="1020" w:type="dxa"/>
            <w:vAlign w:val="bottom"/>
            <w:tcBorders>
              <w:bottom w:val="single" w:sz="8" w:color="auto"/>
            </w:tcBorders>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8,949.3</w:t>
            </w:r>
          </w:p>
        </w:tc>
        <w:tc>
          <w:tcPr>
            <w:tcW w:w="2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9,223.8</w:t>
            </w: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2,359.9</w:t>
            </w:r>
          </w:p>
        </w:tc>
        <w:tc>
          <w:tcPr>
            <w:tcW w:w="280" w:type="dxa"/>
            <w:vAlign w:val="bottom"/>
          </w:tcPr>
          <w:p>
            <w:pPr>
              <w:spacing w:after="0"/>
              <w:rPr>
                <w:sz w:val="17"/>
                <w:szCs w:val="17"/>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4,275.5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4,441.4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671.8</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other liabilities</w:t>
            </w:r>
          </w:p>
        </w:tc>
        <w:tc>
          <w:tcPr>
            <w:tcW w:w="10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2,068.4</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2,020.9</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3,395.1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3,370.6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(432.8)</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w:t>
            </w:r>
          </w:p>
        </w:tc>
        <w:tc>
          <w:tcPr>
            <w:tcW w:w="10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5"/>
              </w:rPr>
              <w:t>(3,753.3)</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1020" w:type="dxa"/>
            <w:vAlign w:val="bottom"/>
            <w:tcBorders>
              <w:top w:val="single" w:sz="8" w:color="auto"/>
              <w:bottom w:val="single" w:sz="8" w:color="auto"/>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2,588.7</w:t>
            </w:r>
          </w:p>
        </w:tc>
        <w:tc>
          <w:tcPr>
            <w:tcW w:w="2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2,743.0</w:t>
            </w: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2,605.4</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2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8,949.3</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7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2" w:right="299" w:bottom="1440" w:gutter="0" w:footer="0" w:header="0"/>
        </w:sectPr>
      </w:pPr>
    </w:p>
    <w:bookmarkStart w:id="11" w:name="page12"/>
    <w:bookmarkEnd w:id="11"/>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77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7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6"/>
                <w:szCs w:val="16"/>
                <w:color w:val="auto"/>
              </w:rPr>
            </w:pPr>
          </w:p>
        </w:tc>
      </w:tr>
      <w:tr>
        <w:trPr>
          <w:trHeight w:val="193"/>
        </w:trPr>
        <w:tc>
          <w:tcPr>
            <w:tcW w:w="7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(loss) earnings</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(52.4)</w:t>
            </w: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earnings to net cash provided by operating activities: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Non-cash gain on disposition of previously held equity interest</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(80.4)</w:t>
            </w: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Non-cash gain on disposition of previously held controlling interest</w:t>
            </w:r>
          </w:p>
        </w:tc>
        <w:tc>
          <w:tcPr>
            <w:tcW w:w="9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(30.4)</w:t>
            </w: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Non-cash goodwill and other impairment charges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excluding the impact of acquisitions: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(60.9)</w:t>
            </w: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liabilities</w:t>
            </w:r>
          </w:p>
        </w:tc>
        <w:tc>
          <w:tcPr>
            <w:tcW w:w="9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(171.0)</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17"/>
                <w:szCs w:val="17"/>
                <w:color w:val="auto"/>
              </w:rPr>
            </w:pPr>
          </w:p>
        </w:tc>
      </w:tr>
      <w:tr>
        <w:trPr>
          <w:trHeight w:val="193"/>
        </w:trPr>
        <w:tc>
          <w:tcPr>
            <w:tcW w:w="7740" w:type="dxa"/>
            <w:vAlign w:val="bottom"/>
            <w:tcBorders>
              <w:top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980" w:type="dxa"/>
            <w:vAlign w:val="bottom"/>
            <w:tcBorders>
              <w:top w:val="single" w:sz="8" w:color="auto"/>
              <w:bottom w:val="single" w:sz="8" w:color="auto"/>
            </w:tcBorders>
            <w:shd w:val="clear" w:color="auto" w:fill="CFF0FC"/>
          </w:tcPr>
          <w:p>
            <w:pPr>
              <w:spacing w:after="0"/>
              <w:rPr>
                <w:sz w:val="16"/>
                <w:szCs w:val="16"/>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715.7</w:t>
            </w:r>
          </w:p>
        </w:tc>
        <w:tc>
          <w:tcPr>
            <w:tcW w:w="2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120" w:type="dxa"/>
            <w:vAlign w:val="bottom"/>
            <w:tcBorders>
              <w:top w:val="single" w:sz="8" w:color="CFF0FC"/>
            </w:tcBorders>
            <w:shd w:val="clear" w:color="auto" w:fill="CFF0FC"/>
          </w:tcPr>
          <w:p>
            <w:pPr>
              <w:spacing w:after="0"/>
              <w:rPr>
                <w:sz w:val="16"/>
                <w:szCs w:val="16"/>
                <w:color w:val="auto"/>
              </w:rPr>
            </w:pPr>
          </w:p>
        </w:tc>
      </w:tr>
      <w:tr>
        <w:trPr>
          <w:trHeight w:val="193"/>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(30.5)</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(36.2)</w:t>
            </w: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98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Impact to cash resulting from deconsolidation of subsidiaries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(57.9)</w:t>
            </w:r>
          </w:p>
        </w:tc>
      </w:tr>
      <w:tr>
        <w:trPr>
          <w:trHeight w:val="201"/>
        </w:trPr>
        <w:tc>
          <w:tcPr>
            <w:tcW w:w="774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Proceeds from the sale of subsidiaries, investments, property and equipment</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FF0FC"/>
            </w:tcBorders>
          </w:tcPr>
          <w:p>
            <w:pPr>
              <w:spacing w:after="0"/>
              <w:rPr>
                <w:sz w:val="17"/>
                <w:szCs w:val="17"/>
                <w:color w:val="auto"/>
              </w:rPr>
            </w:pPr>
          </w:p>
        </w:tc>
      </w:tr>
      <w:tr>
        <w:trPr>
          <w:trHeight w:val="193"/>
        </w:trPr>
        <w:tc>
          <w:tcPr>
            <w:tcW w:w="77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(22.5)</w:t>
            </w:r>
          </w:p>
        </w:tc>
        <w:tc>
          <w:tcPr>
            <w:tcW w:w="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r>
      <w:tr>
        <w:trPr>
          <w:trHeight w:val="193"/>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(30.6)</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9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Proceeds from share-based awards and sale of subsidiaries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9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(7.3)</w:t>
            </w:r>
          </w:p>
        </w:tc>
      </w:tr>
      <w:tr>
        <w:trPr>
          <w:trHeight w:val="201"/>
        </w:trPr>
        <w:tc>
          <w:tcPr>
            <w:tcW w:w="7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(63.8)</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(152.0)</w:t>
            </w:r>
          </w:p>
        </w:tc>
      </w:tr>
      <w:tr>
        <w:trPr>
          <w:trHeight w:val="201"/>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(63.2)</w:t>
            </w: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(65.2)</w:t>
            </w:r>
          </w:p>
        </w:tc>
      </w:tr>
      <w:tr>
        <w:trPr>
          <w:trHeight w:val="193"/>
        </w:trPr>
        <w:tc>
          <w:tcPr>
            <w:tcW w:w="7740" w:type="dxa"/>
            <w:vAlign w:val="bottom"/>
            <w:tcBorders>
              <w:bottom w:val="single" w:sz="8" w:color="CFF0FC"/>
            </w:tcBorders>
          </w:tcPr>
          <w:p>
            <w:pPr>
              <w:ind w:left="64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9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tcBorders>
              <w:bottom w:val="single" w:sz="8" w:color="CFF0FC"/>
            </w:tcBorders>
          </w:tcPr>
          <w:p>
            <w:pPr>
              <w:spacing w:after="0"/>
              <w:rPr>
                <w:sz w:val="16"/>
                <w:szCs w:val="16"/>
                <w:color w:val="auto"/>
              </w:rPr>
            </w:pPr>
          </w:p>
        </w:tc>
      </w:tr>
      <w:tr>
        <w:trPr>
          <w:trHeight w:val="19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9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shd w:val="clear" w:color="auto" w:fill="CFF0FC"/>
          </w:tcPr>
          <w:p>
            <w:pPr>
              <w:spacing w:after="0"/>
              <w:rPr>
                <w:sz w:val="16"/>
                <w:szCs w:val="16"/>
                <w:color w:val="auto"/>
              </w:rPr>
            </w:pPr>
          </w:p>
        </w:tc>
      </w:tr>
      <w:tr>
        <w:trPr>
          <w:trHeight w:val="19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20" w:type="dxa"/>
            <w:vAlign w:val="bottom"/>
          </w:tcPr>
          <w:p>
            <w:pPr>
              <w:spacing w:after="0"/>
              <w:rPr>
                <w:sz w:val="16"/>
                <w:szCs w:val="16"/>
                <w:color w:val="auto"/>
              </w:rPr>
            </w:pPr>
          </w:p>
        </w:tc>
      </w:tr>
      <w:tr>
        <w:trPr>
          <w:trHeight w:val="201"/>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20" w:type="dxa"/>
            <w:vAlign w:val="bottom"/>
            <w:shd w:val="clear" w:color="auto" w:fill="CFF0FC"/>
          </w:tcPr>
          <w:p>
            <w:pPr>
              <w:spacing w:after="0"/>
              <w:rPr>
                <w:sz w:val="17"/>
                <w:szCs w:val="17"/>
                <w:color w:val="auto"/>
              </w:rPr>
            </w:pPr>
          </w:p>
        </w:tc>
      </w:tr>
      <w:tr>
        <w:trPr>
          <w:trHeight w:val="19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8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1,587.7</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807.1</w:t>
            </w:r>
          </w:p>
        </w:tc>
        <w:tc>
          <w:tcPr>
            <w:tcW w:w="120" w:type="dxa"/>
            <w:vAlign w:val="bottom"/>
          </w:tcPr>
          <w:p>
            <w:pPr>
              <w:spacing w:after="0"/>
              <w:rPr>
                <w:sz w:val="16"/>
                <w:szCs w:val="16"/>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260"/>
          </w:cols>
          <w:pgMar w:left="320" w:top="312"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640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5826125</wp:posOffset>
            </wp:positionV>
            <wp:extent cx="7149465"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2020-10-20T06:48:36Z</dcterms:created>
  <dcterms:modified xsi:type="dcterms:W3CDTF">2020-10-20T06:48:36Z</dcterms:modified>
</cp:coreProperties>
</file>