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 Amendment No. 1)*</w:t>
      </w:r>
    </w:p>
    <w:p>
      <w:pPr>
        <w:spacing w:after="0" w:line="16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(Name of Issuer)</w:t>
      </w: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(Title of Class of Securities)</w:t>
      </w:r>
    </w:p>
    <w:p>
      <w:pPr>
        <w:spacing w:after="0" w:line="208" w:lineRule="exact"/>
        <w:rPr>
          <w:sz w:val="24"/>
          <w:szCs w:val="24"/>
          <w:color w:val="auto"/>
        </w:rPr>
      </w:pPr>
    </w:p>
    <w:p>
      <w:pPr>
        <w:ind w:left="5200"/>
        <w:spacing w:after="0"/>
        <w:rPr>
          <w:sz w:val="20"/>
          <w:szCs w:val="20"/>
          <w:color w:val="auto"/>
        </w:rPr>
      </w:pPr>
      <w:r>
        <w:rPr>
          <w:rFonts w:ascii="Arial" w:cs="Arial" w:eastAsia="Arial" w:hAnsi="Arial"/>
          <w:sz w:val="16"/>
          <w:szCs w:val="16"/>
          <w:color w:val="auto"/>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6"/>
          <w:szCs w:val="16"/>
          <w:color w:val="auto"/>
        </w:rPr>
        <w:t>(CUSIP Number)</w:t>
      </w: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(Date of Event which Requires Filing of this Statement)</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19" w:lineRule="exact"/>
        <w:rPr>
          <w:sz w:val="24"/>
          <w:szCs w:val="24"/>
          <w:color w:val="auto"/>
        </w:rPr>
      </w:pPr>
    </w:p>
    <w:p>
      <w:pPr>
        <w:jc w:val="both"/>
        <w:ind w:right="9840" w:firstLine="8"/>
        <w:spacing w:after="0" w:line="217" w:lineRule="exact"/>
        <w:tabs>
          <w:tab w:leader="none" w:pos="180" w:val="left"/>
        </w:tabs>
        <w:numPr>
          <w:ilvl w:val="0"/>
          <w:numId w:val="1"/>
        </w:numPr>
        <w:rPr>
          <w:rFonts w:ascii="Arial" w:cs="Arial" w:eastAsia="Arial" w:hAnsi="Arial"/>
          <w:sz w:val="18"/>
          <w:szCs w:val="18"/>
          <w:color w:val="auto"/>
        </w:rPr>
      </w:pPr>
      <w:r>
        <w:rPr>
          <w:rFonts w:ascii="Arial" w:cs="Arial" w:eastAsia="Arial" w:hAnsi="Arial"/>
          <w:sz w:val="16"/>
          <w:szCs w:val="16"/>
          <w:color w:val="auto"/>
        </w:rPr>
        <w:t xml:space="preserve">Rule 13d-1(b)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13d-1(c)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13d-1(d)</w:t>
      </w:r>
    </w:p>
    <w:p>
      <w:pPr>
        <w:spacing w:after="0" w:line="241" w:lineRule="exact"/>
        <w:rPr>
          <w:sz w:val="24"/>
          <w:szCs w:val="24"/>
          <w:color w:val="auto"/>
        </w:rPr>
      </w:pPr>
    </w:p>
    <w:p>
      <w:pPr>
        <w:ind w:right="140" w:firstLine="8"/>
        <w:spacing w:after="0" w:line="186" w:lineRule="auto"/>
        <w:tabs>
          <w:tab w:leader="none" w:pos="98"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00"/>
          </w:cols>
          <w:pgMar w:left="320" w:top="229" w:right="479" w:bottom="1440" w:gutter="0" w:footer="0" w:header="0"/>
        </w:sectPr>
      </w:pPr>
    </w:p>
    <w:bookmarkStart w:id="1" w:name="page2"/>
    <w:bookmarkEnd w:id="1"/>
    <w:p>
      <w:pPr>
        <w:spacing w:after="0"/>
        <w:tabs>
          <w:tab w:leader="none" w:pos="558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56418H100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0" w:right="8260" w:hanging="344"/>
        <w:spacing w:after="0" w:line="55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NAMES OF REPORTING PERSONS Victory Capital Management Inc.</w:t>
      </w:r>
    </w:p>
    <w:p>
      <w:pPr>
        <w:ind w:left="460" w:right="5740"/>
        <w:spacing w:after="0" w:line="413" w:lineRule="auto"/>
        <w:rPr>
          <w:rFonts w:ascii="Arial" w:cs="Arial" w:eastAsia="Arial" w:hAnsi="Arial"/>
          <w:sz w:val="15"/>
          <w:szCs w:val="15"/>
          <w:color w:val="auto"/>
        </w:rPr>
      </w:pPr>
      <w:r>
        <w:rPr>
          <w:rFonts w:ascii="Arial" w:cs="Arial" w:eastAsia="Arial" w:hAnsi="Arial"/>
          <w:sz w:val="16"/>
          <w:szCs w:val="16"/>
          <w:color w:val="auto"/>
        </w:rPr>
        <w:t>I.R.S. IDENTIFICATION NOS. OF ABOVE PERSONS (ENTITIES ONLY) 13-2700161</w:t>
      </w:r>
    </w:p>
    <w:p>
      <w:pPr>
        <w:spacing w:after="0" w:line="1" w:lineRule="exact"/>
        <w:rPr>
          <w:rFonts w:ascii="Arial" w:cs="Arial" w:eastAsia="Arial" w:hAnsi="Arial"/>
          <w:sz w:val="15"/>
          <w:szCs w:val="15"/>
          <w:color w:val="auto"/>
        </w:rPr>
      </w:pPr>
    </w:p>
    <w:p>
      <w:pPr>
        <w:ind w:left="460" w:right="6300" w:hanging="344"/>
        <w:spacing w:after="0" w:line="26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800" w:hanging="333"/>
        <w:spacing w:after="0" w:line="189" w:lineRule="exact"/>
        <w:tabs>
          <w:tab w:leader="none" w:pos="80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51" w:lineRule="exact"/>
        <w:rPr>
          <w:rFonts w:ascii="Arial" w:cs="Arial" w:eastAsia="Arial" w:hAnsi="Arial"/>
          <w:sz w:val="16"/>
          <w:szCs w:val="16"/>
          <w:color w:val="auto"/>
        </w:rPr>
      </w:pPr>
    </w:p>
    <w:p>
      <w:pPr>
        <w:ind w:left="820" w:hanging="353"/>
        <w:spacing w:after="0" w:line="189" w:lineRule="exact"/>
        <w:tabs>
          <w:tab w:leader="none" w:pos="82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6"/>
          <w:szCs w:val="16"/>
          <w:color w:val="auto"/>
        </w:rPr>
      </w:pPr>
    </w:p>
    <w:p>
      <w:pPr>
        <w:ind w:left="460" w:hanging="344"/>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0" w:lineRule="exact"/>
        <w:rPr>
          <w:rFonts w:ascii="Arial" w:cs="Arial" w:eastAsia="Arial" w:hAnsi="Arial"/>
          <w:sz w:val="16"/>
          <w:szCs w:val="16"/>
          <w:color w:val="auto"/>
        </w:rPr>
      </w:pPr>
    </w:p>
    <w:p>
      <w:pPr>
        <w:ind w:left="460" w:right="7460" w:hanging="344"/>
        <w:spacing w:after="0" w:line="557"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New York</w:t>
      </w:r>
    </w:p>
    <w:p>
      <w:pPr>
        <w:spacing w:after="0" w:line="253" w:lineRule="exact"/>
        <w:rPr>
          <w:rFonts w:ascii="Arial" w:cs="Arial" w:eastAsia="Arial" w:hAnsi="Arial"/>
          <w:sz w:val="16"/>
          <w:szCs w:val="16"/>
          <w:color w:val="auto"/>
        </w:rPr>
      </w:pPr>
    </w:p>
    <w:p>
      <w:pPr>
        <w:ind w:left="2040" w:hanging="345"/>
        <w:spacing w:after="0"/>
        <w:tabs>
          <w:tab w:leader="none" w:pos="2040" w:val="left"/>
        </w:tabs>
        <w:numPr>
          <w:ilvl w:val="2"/>
          <w:numId w:val="3"/>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-1627505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-1087120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-821690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w w:val="98"/>
              </w:rPr>
              <w:t>2,484,467</w:t>
            </w:r>
          </w:p>
        </w:tc>
        <w:tc>
          <w:tcPr>
            <w:tcW w:w="8480" w:type="dxa"/>
            <w:vAlign w:val="bottom"/>
            <w:tcBorders>
              <w:bottom w:val="single" w:sz="8" w:color="auto"/>
            </w:tcBorders>
          </w:tcPr>
          <w:p>
            <w:pPr>
              <w:spacing w:after="0"/>
              <w:rPr>
                <w:sz w:val="17"/>
                <w:szCs w:val="17"/>
                <w:color w:val="auto"/>
              </w:rPr>
            </w:pPr>
          </w:p>
        </w:tc>
      </w:tr>
      <w:tr>
        <w:trPr>
          <w:trHeight w:val="192"/>
        </w:trPr>
        <w:tc>
          <w:tcPr>
            <w:tcW w:w="1560" w:type="dxa"/>
            <w:vAlign w:val="bottom"/>
          </w:tcPr>
          <w:p>
            <w:pPr>
              <w:jc w:val="center"/>
              <w:spacing w:after="0"/>
              <w:rPr>
                <w:sz w:val="20"/>
                <w:szCs w:val="20"/>
                <w:color w:val="auto"/>
              </w:rPr>
            </w:pPr>
            <w:r>
              <w:rPr>
                <w:rFonts w:ascii="Arial" w:cs="Arial" w:eastAsia="Arial" w:hAnsi="Arial"/>
                <w:sz w:val="16"/>
                <w:szCs w:val="16"/>
                <w:color w:val="auto"/>
                <w:w w:val="97"/>
              </w:rPr>
              <w:t>NUMBER OF</w:t>
            </w:r>
          </w:p>
        </w:tc>
        <w:tc>
          <w:tcPr>
            <w:tcW w:w="14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w w:val="74"/>
              </w:rPr>
              <w:t>6.</w:t>
            </w:r>
          </w:p>
        </w:tc>
        <w:tc>
          <w:tcPr>
            <w:tcW w:w="9320" w:type="dxa"/>
            <w:vAlign w:val="bottom"/>
            <w:gridSpan w:val="2"/>
          </w:tcPr>
          <w:p>
            <w:pPr>
              <w:ind w:left="120"/>
              <w:spacing w:after="0"/>
              <w:rPr>
                <w:sz w:val="20"/>
                <w:szCs w:val="20"/>
                <w:color w:val="auto"/>
              </w:rPr>
            </w:pPr>
            <w:r>
              <w:rPr>
                <w:rFonts w:ascii="Arial" w:cs="Arial" w:eastAsia="Arial" w:hAnsi="Arial"/>
                <w:sz w:val="16"/>
                <w:szCs w:val="16"/>
                <w:color w:val="auto"/>
              </w:rPr>
              <w:t>SHARED VOTING POWER</w:t>
            </w:r>
          </w:p>
        </w:tc>
      </w:tr>
      <w:tr>
        <w:trPr>
          <w:trHeight w:val="203"/>
        </w:trPr>
        <w:tc>
          <w:tcPr>
            <w:tcW w:w="1560" w:type="dxa"/>
            <w:vAlign w:val="bottom"/>
          </w:tcPr>
          <w:p>
            <w:pPr>
              <w:jc w:val="center"/>
              <w:spacing w:after="0"/>
              <w:rPr>
                <w:sz w:val="20"/>
                <w:szCs w:val="20"/>
                <w:color w:val="auto"/>
              </w:rPr>
            </w:pPr>
            <w:r>
              <w:rPr>
                <w:rFonts w:ascii="Arial" w:cs="Arial" w:eastAsia="Arial" w:hAnsi="Arial"/>
                <w:sz w:val="16"/>
                <w:szCs w:val="16"/>
                <w:color w:val="auto"/>
                <w:w w:val="94"/>
              </w:rPr>
              <w:t>SHARES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tcPr>
          <w:p>
            <w:pPr>
              <w:spacing w:after="0"/>
              <w:rPr>
                <w:sz w:val="17"/>
                <w:szCs w:val="17"/>
                <w:color w:val="auto"/>
              </w:rPr>
            </w:pPr>
          </w:p>
        </w:tc>
      </w:tr>
      <w:tr>
        <w:trPr>
          <w:trHeight w:val="206"/>
        </w:trPr>
        <w:tc>
          <w:tcPr>
            <w:tcW w:w="156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w:t>
            </w:r>
          </w:p>
        </w:tc>
        <w:tc>
          <w:tcPr>
            <w:tcW w:w="8480" w:type="dxa"/>
            <w:vAlign w:val="bottom"/>
            <w:tcBorders>
              <w:bottom w:val="single" w:sz="8" w:color="auto"/>
            </w:tcBorders>
          </w:tcPr>
          <w:p>
            <w:pPr>
              <w:spacing w:after="0"/>
              <w:rPr>
                <w:sz w:val="17"/>
                <w:szCs w:val="17"/>
                <w:color w:val="auto"/>
              </w:rPr>
            </w:pPr>
          </w:p>
        </w:tc>
      </w:tr>
      <w:tr>
        <w:trPr>
          <w:trHeight w:val="179"/>
        </w:trPr>
        <w:tc>
          <w:tcPr>
            <w:tcW w:w="1560" w:type="dxa"/>
            <w:vAlign w:val="bottom"/>
          </w:tcPr>
          <w:p>
            <w:pPr>
              <w:jc w:val="center"/>
              <w:spacing w:after="0" w:line="179" w:lineRule="exact"/>
              <w:rPr>
                <w:sz w:val="20"/>
                <w:szCs w:val="20"/>
                <w:color w:val="auto"/>
              </w:rPr>
            </w:pPr>
            <w:r>
              <w:rPr>
                <w:rFonts w:ascii="Arial" w:cs="Arial" w:eastAsia="Arial" w:hAnsi="Arial"/>
                <w:sz w:val="16"/>
                <w:szCs w:val="16"/>
                <w:color w:val="auto"/>
                <w:w w:val="99"/>
              </w:rPr>
              <w:t>OWNED BY EACH</w:t>
            </w:r>
          </w:p>
        </w:tc>
        <w:tc>
          <w:tcPr>
            <w:tcW w:w="140" w:type="dxa"/>
            <w:vAlign w:val="bottom"/>
          </w:tcPr>
          <w:p>
            <w:pPr>
              <w:spacing w:after="0"/>
              <w:rPr>
                <w:sz w:val="15"/>
                <w:szCs w:val="15"/>
                <w:color w:val="auto"/>
              </w:rPr>
            </w:pPr>
          </w:p>
        </w:tc>
        <w:tc>
          <w:tcPr>
            <w:tcW w:w="220" w:type="dxa"/>
            <w:vAlign w:val="bottom"/>
          </w:tcPr>
          <w:p>
            <w:pPr>
              <w:jc w:val="right"/>
              <w:ind w:right="19"/>
              <w:spacing w:after="0" w:line="179" w:lineRule="exact"/>
              <w:rPr>
                <w:sz w:val="20"/>
                <w:szCs w:val="20"/>
                <w:color w:val="auto"/>
              </w:rPr>
            </w:pPr>
            <w:r>
              <w:rPr>
                <w:rFonts w:ascii="Arial" w:cs="Arial" w:eastAsia="Arial" w:hAnsi="Arial"/>
                <w:sz w:val="16"/>
                <w:szCs w:val="16"/>
                <w:color w:val="auto"/>
                <w:w w:val="74"/>
              </w:rPr>
              <w:t>7.</w:t>
            </w:r>
          </w:p>
        </w:tc>
        <w:tc>
          <w:tcPr>
            <w:tcW w:w="9320" w:type="dxa"/>
            <w:vAlign w:val="bottom"/>
            <w:gridSpan w:val="2"/>
          </w:tcPr>
          <w:p>
            <w:pPr>
              <w:ind w:left="120"/>
              <w:spacing w:after="0" w:line="179" w:lineRule="exact"/>
              <w:rPr>
                <w:sz w:val="20"/>
                <w:szCs w:val="20"/>
                <w:color w:val="auto"/>
              </w:rPr>
            </w:pPr>
            <w:r>
              <w:rPr>
                <w:rFonts w:ascii="Arial" w:cs="Arial" w:eastAsia="Arial" w:hAnsi="Arial"/>
                <w:sz w:val="16"/>
                <w:szCs w:val="16"/>
                <w:color w:val="auto"/>
              </w:rPr>
              <w:t>SOLE DISPOSITIVE POWER</w:t>
            </w:r>
          </w:p>
        </w:tc>
      </w:tr>
      <w:tr>
        <w:trPr>
          <w:trHeight w:val="203"/>
        </w:trPr>
        <w:tc>
          <w:tcPr>
            <w:tcW w:w="156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tcPr>
          <w:p>
            <w:pPr>
              <w:spacing w:after="0"/>
              <w:rPr>
                <w:sz w:val="17"/>
                <w:szCs w:val="17"/>
                <w:color w:val="auto"/>
              </w:rPr>
            </w:pPr>
          </w:p>
        </w:tc>
      </w:tr>
      <w:tr>
        <w:trPr>
          <w:trHeight w:val="223"/>
        </w:trPr>
        <w:tc>
          <w:tcPr>
            <w:tcW w:w="1560" w:type="dxa"/>
            <w:vAlign w:val="bottom"/>
          </w:tcPr>
          <w:p>
            <w:pPr>
              <w:jc w:val="center"/>
              <w:spacing w:after="0"/>
              <w:rPr>
                <w:sz w:val="20"/>
                <w:szCs w:val="20"/>
                <w:color w:val="auto"/>
              </w:rPr>
            </w:pPr>
            <w:r>
              <w:rPr>
                <w:rFonts w:ascii="Arial" w:cs="Arial" w:eastAsia="Arial" w:hAnsi="Arial"/>
                <w:sz w:val="16"/>
                <w:szCs w:val="16"/>
                <w:color w:val="auto"/>
                <w:w w:val="95"/>
              </w:rPr>
              <w:t>PERSON WITH</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w w:val="98"/>
              </w:rPr>
              <w:t>2,545,881</w:t>
            </w:r>
          </w:p>
        </w:tc>
        <w:tc>
          <w:tcPr>
            <w:tcW w:w="8480" w:type="dxa"/>
            <w:vAlign w:val="bottom"/>
            <w:tcBorders>
              <w:bottom w:val="single" w:sz="8" w:color="auto"/>
            </w:tcBorders>
          </w:tcPr>
          <w:p>
            <w:pPr>
              <w:spacing w:after="0"/>
              <w:rPr>
                <w:sz w:val="19"/>
                <w:szCs w:val="19"/>
                <w:color w:val="auto"/>
              </w:rPr>
            </w:pPr>
          </w:p>
        </w:tc>
      </w:tr>
      <w:tr>
        <w:trPr>
          <w:trHeight w:val="203"/>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w w:val="74"/>
              </w:rPr>
              <w:t>8.</w:t>
            </w:r>
          </w:p>
        </w:tc>
        <w:tc>
          <w:tcPr>
            <w:tcW w:w="9320" w:type="dxa"/>
            <w:vAlign w:val="bottom"/>
            <w:gridSpan w:val="2"/>
          </w:tcPr>
          <w:p>
            <w:pPr>
              <w:ind w:left="120"/>
              <w:spacing w:after="0"/>
              <w:rPr>
                <w:sz w:val="20"/>
                <w:szCs w:val="20"/>
                <w:color w:val="auto"/>
              </w:rPr>
            </w:pPr>
            <w:r>
              <w:rPr>
                <w:rFonts w:ascii="Arial" w:cs="Arial" w:eastAsia="Arial" w:hAnsi="Arial"/>
                <w:sz w:val="16"/>
                <w:szCs w:val="16"/>
                <w:color w:val="auto"/>
              </w:rPr>
              <w:t>SHARED DISPOSITIVE POWER</w:t>
            </w:r>
          </w:p>
        </w:tc>
      </w:tr>
      <w:tr>
        <w:trPr>
          <w:trHeight w:val="398"/>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w:t>
            </w:r>
          </w:p>
        </w:tc>
        <w:tc>
          <w:tcPr>
            <w:tcW w:w="8480" w:type="dxa"/>
            <w:vAlign w:val="bottom"/>
            <w:tcBorders>
              <w:bottom w:val="single" w:sz="8" w:color="auto"/>
            </w:tcBorders>
          </w:tcPr>
          <w:p>
            <w:pPr>
              <w:spacing w:after="0"/>
              <w:rPr>
                <w:sz w:val="24"/>
                <w:szCs w:val="24"/>
                <w:color w:val="auto"/>
              </w:rPr>
            </w:pPr>
          </w:p>
        </w:tc>
      </w:tr>
      <w:tr>
        <w:trPr>
          <w:trHeight w:val="679"/>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419"/>
              <w:spacing w:after="0"/>
              <w:rPr>
                <w:sz w:val="20"/>
                <w:szCs w:val="20"/>
                <w:color w:val="auto"/>
              </w:rPr>
            </w:pPr>
            <w:r>
              <w:rPr>
                <w:rFonts w:ascii="Arial" w:cs="Arial" w:eastAsia="Arial" w:hAnsi="Arial"/>
                <w:sz w:val="16"/>
                <w:szCs w:val="16"/>
                <w:color w:val="auto"/>
              </w:rPr>
              <w:t>9.</w:t>
            </w:r>
          </w:p>
        </w:tc>
        <w:tc>
          <w:tcPr>
            <w:tcW w:w="8480" w:type="dxa"/>
            <w:vAlign w:val="bottom"/>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r>
      <w:tr>
        <w:trPr>
          <w:trHeight w:val="448"/>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2,545,881</w:t>
            </w:r>
          </w:p>
        </w:tc>
      </w:tr>
      <w:tr>
        <w:trPr>
          <w:trHeight w:val="152"/>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419"/>
              <w:spacing w:after="0" w:line="152" w:lineRule="exact"/>
              <w:rPr>
                <w:sz w:val="20"/>
                <w:szCs w:val="20"/>
                <w:color w:val="auto"/>
              </w:rPr>
            </w:pPr>
            <w:r>
              <w:rPr>
                <w:rFonts w:ascii="Arial" w:cs="Arial" w:eastAsia="Arial" w:hAnsi="Arial"/>
                <w:sz w:val="16"/>
                <w:szCs w:val="16"/>
                <w:color w:val="auto"/>
              </w:rPr>
              <w:t>10.</w:t>
            </w:r>
          </w:p>
        </w:tc>
        <w:tc>
          <w:tcPr>
            <w:tcW w:w="8480" w:type="dxa"/>
            <w:vAlign w:val="bottom"/>
          </w:tcPr>
          <w:p>
            <w:pPr>
              <w:ind w:left="100"/>
              <w:spacing w:after="0" w:line="152" w:lineRule="exact"/>
              <w:rPr>
                <w:sz w:val="20"/>
                <w:szCs w:val="20"/>
                <w:color w:val="auto"/>
              </w:rPr>
            </w:pPr>
            <w:r>
              <w:rPr>
                <w:rFonts w:ascii="Arial" w:cs="Arial" w:eastAsia="Arial" w:hAnsi="Arial"/>
                <w:sz w:val="16"/>
                <w:szCs w:val="16"/>
                <w:color w:val="auto"/>
              </w:rPr>
              <w:t>CHECK IF THE AGGREGATE AMOUNT IN ROW (9) EXCLUDES CERTAIN SHARES</w:t>
            </w:r>
          </w:p>
        </w:tc>
      </w:tr>
      <w:tr>
        <w:trPr>
          <w:trHeight w:val="283"/>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Pr>
          <w:p>
            <w:pPr>
              <w:ind w:left="100"/>
              <w:spacing w:after="0" w:line="196" w:lineRule="exact"/>
              <w:rPr>
                <w:sz w:val="20"/>
                <w:szCs w:val="20"/>
                <w:color w:val="auto"/>
              </w:rPr>
            </w:pPr>
            <w:r>
              <w:rPr>
                <w:rFonts w:ascii="Arial" w:cs="Arial" w:eastAsia="Arial" w:hAnsi="Arial"/>
                <w:sz w:val="16"/>
                <w:szCs w:val="16"/>
                <w:color w:val="auto"/>
              </w:rPr>
              <w:t xml:space="preserve">(see instructions)  </w:t>
            </w:r>
            <w:r>
              <w:rPr>
                <w:rFonts w:ascii="MS PGothic" w:cs="MS PGothic" w:eastAsia="MS PGothic" w:hAnsi="MS PGothic"/>
                <w:sz w:val="17"/>
                <w:szCs w:val="17"/>
                <w:color w:val="auto"/>
              </w:rPr>
              <w:t>☐</w:t>
            </w:r>
          </w:p>
        </w:tc>
      </w:tr>
      <w:tr>
        <w:trPr>
          <w:trHeight w:val="196"/>
        </w:trPr>
        <w:tc>
          <w:tcPr>
            <w:tcW w:w="15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80" w:type="dxa"/>
            <w:vAlign w:val="bottom"/>
            <w:tcBorders>
              <w:bottom w:val="single" w:sz="8" w:color="auto"/>
            </w:tcBorders>
          </w:tcPr>
          <w:p>
            <w:pPr>
              <w:spacing w:after="0"/>
              <w:rPr>
                <w:sz w:val="17"/>
                <w:szCs w:val="17"/>
                <w:color w:val="auto"/>
              </w:rPr>
            </w:pPr>
          </w:p>
        </w:tc>
      </w:tr>
      <w:tr>
        <w:trPr>
          <w:trHeight w:val="200"/>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19"/>
              <w:spacing w:after="0"/>
              <w:rPr>
                <w:sz w:val="20"/>
                <w:szCs w:val="20"/>
                <w:color w:val="auto"/>
              </w:rPr>
            </w:pPr>
            <w:r>
              <w:rPr>
                <w:rFonts w:ascii="Arial" w:cs="Arial" w:eastAsia="Arial" w:hAnsi="Arial"/>
                <w:sz w:val="16"/>
                <w:szCs w:val="16"/>
                <w:color w:val="auto"/>
              </w:rPr>
              <w:t>11.</w:t>
            </w:r>
          </w:p>
        </w:tc>
        <w:tc>
          <w:tcPr>
            <w:tcW w:w="8480" w:type="dxa"/>
            <w:vAlign w:val="bottom"/>
          </w:tcPr>
          <w:p>
            <w:pPr>
              <w:ind w:left="100"/>
              <w:spacing w:after="0"/>
              <w:rPr>
                <w:sz w:val="20"/>
                <w:szCs w:val="20"/>
                <w:color w:val="auto"/>
              </w:rPr>
            </w:pPr>
            <w:r>
              <w:rPr>
                <w:rFonts w:ascii="Arial" w:cs="Arial" w:eastAsia="Arial" w:hAnsi="Arial"/>
                <w:sz w:val="16"/>
                <w:szCs w:val="16"/>
                <w:color w:val="auto"/>
              </w:rPr>
              <w:t>PERCENT OF CLASS REPRESENTED BY AMOUNT IN ROW (9)</w:t>
            </w:r>
          </w:p>
        </w:tc>
      </w:tr>
      <w:tr>
        <w:trPr>
          <w:trHeight w:val="439"/>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4.69%</w:t>
            </w:r>
          </w:p>
        </w:tc>
      </w:tr>
      <w:tr>
        <w:trPr>
          <w:trHeight w:val="203"/>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19"/>
              <w:spacing w:after="0"/>
              <w:rPr>
                <w:sz w:val="20"/>
                <w:szCs w:val="20"/>
                <w:color w:val="auto"/>
              </w:rPr>
            </w:pPr>
            <w:r>
              <w:rPr>
                <w:rFonts w:ascii="Arial" w:cs="Arial" w:eastAsia="Arial" w:hAnsi="Arial"/>
                <w:sz w:val="16"/>
                <w:szCs w:val="16"/>
                <w:color w:val="auto"/>
              </w:rPr>
              <w:t>12.</w:t>
            </w:r>
          </w:p>
        </w:tc>
        <w:tc>
          <w:tcPr>
            <w:tcW w:w="8480" w:type="dxa"/>
            <w:vAlign w:val="bottom"/>
          </w:tcPr>
          <w:p>
            <w:pPr>
              <w:ind w:left="100"/>
              <w:spacing w:after="0"/>
              <w:rPr>
                <w:sz w:val="20"/>
                <w:szCs w:val="20"/>
                <w:color w:val="auto"/>
              </w:rPr>
            </w:pPr>
            <w:r>
              <w:rPr>
                <w:rFonts w:ascii="Arial" w:cs="Arial" w:eastAsia="Arial" w:hAnsi="Arial"/>
                <w:sz w:val="16"/>
                <w:szCs w:val="16"/>
                <w:color w:val="auto"/>
              </w:rPr>
              <w:t>TYPE OF REPORTING PERSON (see instructions)</w:t>
            </w:r>
          </w:p>
        </w:tc>
      </w:tr>
    </w:tbl>
    <w:p>
      <w:pPr>
        <w:spacing w:after="0" w:line="22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2" w:name="page3"/>
    <w:bookmarkEnd w:id="2"/>
    <w:p>
      <w:pPr>
        <w:spacing w:after="0"/>
        <w:tabs>
          <w:tab w:leader="none" w:pos="558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422910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56418H100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3 of 4 Pages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75"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Name of Issuer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ManpowerGroup</w:t>
      </w:r>
    </w:p>
    <w:p>
      <w:pPr>
        <w:spacing w:after="0" w:line="229" w:lineRule="exact"/>
        <w:rPr>
          <w:sz w:val="20"/>
          <w:szCs w:val="20"/>
          <w:color w:val="auto"/>
        </w:rPr>
      </w:pPr>
    </w:p>
    <w:p>
      <w:pPr>
        <w:ind w:left="680" w:right="7480" w:hanging="335"/>
        <w:spacing w:after="0" w:line="266"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Address of Issuer’s Principal Executive Offices 100 Manpower Place</w:t>
      </w:r>
    </w:p>
    <w:p>
      <w:pPr>
        <w:spacing w:after="0" w:line="1"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Milwaukee, W 53212</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75" w:lineRule="exact"/>
        <w:rPr>
          <w:sz w:val="20"/>
          <w:szCs w:val="20"/>
          <w:color w:val="auto"/>
        </w:rPr>
      </w:pPr>
    </w:p>
    <w:p>
      <w:pPr>
        <w:ind w:left="680" w:hanging="335"/>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Persons Filing</w:t>
      </w:r>
    </w:p>
    <w:p>
      <w:pPr>
        <w:spacing w:after="0" w:line="22"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Victory Capital Management Inc.</w:t>
      </w:r>
    </w:p>
    <w:p>
      <w:pPr>
        <w:spacing w:after="0" w:line="257" w:lineRule="exact"/>
        <w:rPr>
          <w:rFonts w:ascii="Arial" w:cs="Arial" w:eastAsia="Arial" w:hAnsi="Arial"/>
          <w:sz w:val="16"/>
          <w:szCs w:val="16"/>
          <w:color w:val="auto"/>
        </w:rPr>
      </w:pPr>
    </w:p>
    <w:p>
      <w:pPr>
        <w:ind w:left="680" w:right="7140" w:hanging="335"/>
        <w:spacing w:after="0" w:line="228"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the Principal Office or, if none, residence 4900 Tiedeman Rd.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680"/>
        <w:spacing w:after="0"/>
        <w:rPr>
          <w:rFonts w:ascii="Arial" w:cs="Arial" w:eastAsia="Arial" w:hAnsi="Arial"/>
          <w:sz w:val="16"/>
          <w:szCs w:val="16"/>
          <w:color w:val="auto"/>
        </w:rPr>
      </w:pPr>
      <w:r>
        <w:rPr>
          <w:rFonts w:ascii="Arial" w:cs="Arial" w:eastAsia="Arial" w:hAnsi="Arial"/>
          <w:sz w:val="16"/>
          <w:szCs w:val="16"/>
          <w:color w:val="auto"/>
        </w:rPr>
        <w:t>Brooklyn, OH 44144</w:t>
      </w:r>
    </w:p>
    <w:p>
      <w:pPr>
        <w:spacing w:after="0" w:line="247" w:lineRule="exact"/>
        <w:rPr>
          <w:rFonts w:ascii="Arial" w:cs="Arial" w:eastAsia="Arial" w:hAnsi="Arial"/>
          <w:sz w:val="16"/>
          <w:szCs w:val="16"/>
          <w:color w:val="auto"/>
        </w:rPr>
      </w:pPr>
    </w:p>
    <w:p>
      <w:pPr>
        <w:ind w:left="680" w:right="9820" w:hanging="335"/>
        <w:spacing w:after="0" w:line="328"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Citizenship New York</w:t>
      </w:r>
    </w:p>
    <w:p>
      <w:pPr>
        <w:spacing w:after="0" w:line="176" w:lineRule="exact"/>
        <w:rPr>
          <w:rFonts w:ascii="Arial" w:cs="Arial" w:eastAsia="Arial" w:hAnsi="Arial"/>
          <w:sz w:val="15"/>
          <w:szCs w:val="15"/>
          <w:color w:val="auto"/>
        </w:rPr>
      </w:pPr>
    </w:p>
    <w:p>
      <w:pPr>
        <w:ind w:left="680" w:right="8840" w:hanging="335"/>
        <w:spacing w:after="0" w:line="369" w:lineRule="auto"/>
        <w:tabs>
          <w:tab w:leader="none" w:pos="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Title of Class of Securities Common Stock</w:t>
      </w:r>
    </w:p>
    <w:p>
      <w:pPr>
        <w:spacing w:after="0" w:line="152" w:lineRule="exact"/>
        <w:rPr>
          <w:rFonts w:ascii="Arial" w:cs="Arial" w:eastAsia="Arial" w:hAnsi="Arial"/>
          <w:sz w:val="14"/>
          <w:szCs w:val="14"/>
          <w:color w:val="auto"/>
        </w:rPr>
      </w:pPr>
    </w:p>
    <w:p>
      <w:pPr>
        <w:ind w:left="680" w:right="9520" w:hanging="335"/>
        <w:spacing w:after="0" w:line="328"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CUSIP Number 56418H100</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138" w:lineRule="exact"/>
        <w:rPr>
          <w:sz w:val="20"/>
          <w:szCs w:val="20"/>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Broker or dealer registered under section 15 of the Act (15 U.S.C. 78o).</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Bank as defined in section 3(a)(6) of the Act (15 U.S.C. 78c).</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Insurance company as defined in section 3(a)(19) of the Act (15 U.S.C. 78c).</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323" w:lineRule="exact"/>
        <w:rPr>
          <w:rFonts w:ascii="Arial" w:cs="Arial" w:eastAsia="Arial" w:hAnsi="Arial"/>
          <w:sz w:val="16"/>
          <w:szCs w:val="16"/>
          <w:color w:val="auto"/>
        </w:rPr>
      </w:pPr>
    </w:p>
    <w:p>
      <w:pPr>
        <w:ind w:left="680" w:hanging="33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8"/>
          <w:szCs w:val="18"/>
          <w:color w:val="auto"/>
        </w:rPr>
        <w:t xml:space="preserve">x   </w:t>
      </w:r>
      <w:r>
        <w:rPr>
          <w:rFonts w:ascii="Arial" w:cs="Arial" w:eastAsia="Arial" w:hAnsi="Arial"/>
          <w:sz w:val="16"/>
          <w:szCs w:val="16"/>
          <w:color w:val="auto"/>
        </w:rPr>
        <w:t>An investment adviser in accordance with §240.13d-1(b)(1)(ii)(E);</w:t>
      </w:r>
    </w:p>
    <w:p>
      <w:pPr>
        <w:spacing w:after="0" w:line="246"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An employee benefit plan or endowment fund in accordance with §240.13d-1(b)(1)(ii)(F);</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 parent holding company or control person in accordance with §240.13d-1(b)(1)(ii)(G);</w:t>
      </w:r>
    </w:p>
    <w:p>
      <w:pPr>
        <w:spacing w:after="0" w:line="290"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 savings associations as defined in Section 3(b) of the Federal Deposit Insurance Act (12 U.S.C. 1813);</w:t>
      </w:r>
    </w:p>
    <w:p>
      <w:pPr>
        <w:spacing w:after="0" w:line="290" w:lineRule="exact"/>
        <w:rPr>
          <w:rFonts w:ascii="Arial" w:cs="Arial" w:eastAsia="Arial" w:hAnsi="Arial"/>
          <w:sz w:val="16"/>
          <w:szCs w:val="16"/>
          <w:color w:val="auto"/>
        </w:rPr>
      </w:pPr>
    </w:p>
    <w:p>
      <w:pPr>
        <w:ind w:left="1020" w:right="20" w:hanging="675"/>
        <w:spacing w:after="0" w:line="223" w:lineRule="exact"/>
        <w:tabs>
          <w:tab w:leader="none" w:pos="683"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 (15 U.S.C. 80a-3);</w:t>
      </w:r>
    </w:p>
    <w:p>
      <w:pPr>
        <w:spacing w:after="0" w:line="202" w:lineRule="exact"/>
        <w:rPr>
          <w:rFonts w:ascii="Arial" w:cs="Arial" w:eastAsia="Arial" w:hAnsi="Arial"/>
          <w:sz w:val="16"/>
          <w:szCs w:val="16"/>
          <w:color w:val="auto"/>
        </w:rPr>
      </w:pPr>
    </w:p>
    <w:p>
      <w:pPr>
        <w:ind w:left="680" w:hanging="335"/>
        <w:spacing w:after="0" w:line="196" w:lineRule="exact"/>
        <w:tabs>
          <w:tab w:leader="none" w:pos="680" w:val="left"/>
        </w:tabs>
        <w:numPr>
          <w:ilvl w:val="0"/>
          <w:numId w:val="6"/>
        </w:numPr>
        <w:rPr>
          <w:rFonts w:ascii="Arial" w:cs="Arial" w:eastAsia="Arial" w:hAnsi="Arial"/>
          <w:sz w:val="16"/>
          <w:szCs w:val="16"/>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Group, in accordance with §240.13d-1(b)(1)(ii)(J).</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ectPr>
          <w:pgSz w:w="11900" w:h="16838" w:orient="portrait"/>
          <w:cols w:equalWidth="0" w:num="1">
            <w:col w:w="11240"/>
          </w:cols>
          <w:pgMar w:left="320" w:top="1372"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398" w:lineRule="exact"/>
        <w:rPr>
          <w:sz w:val="20"/>
          <w:szCs w:val="20"/>
          <w:color w:val="auto"/>
        </w:rPr>
      </w:pPr>
    </w:p>
    <w:p>
      <w:pPr>
        <w:ind w:left="800" w:hanging="455"/>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beneficially owned: 2,545,881</w:t>
      </w:r>
    </w:p>
    <w:p>
      <w:pPr>
        <w:spacing w:after="0" w:line="302" w:lineRule="exact"/>
        <w:rPr>
          <w:rFonts w:ascii="Arial" w:cs="Arial" w:eastAsia="Arial" w:hAnsi="Arial"/>
          <w:sz w:val="16"/>
          <w:szCs w:val="16"/>
          <w:color w:val="auto"/>
        </w:rPr>
      </w:pPr>
    </w:p>
    <w:p>
      <w:pPr>
        <w:ind w:left="800" w:hanging="455"/>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Percent of class: 4.69%</w:t>
      </w:r>
    </w:p>
    <w:p>
      <w:pPr>
        <w:spacing w:after="0" w:line="302" w:lineRule="exact"/>
        <w:rPr>
          <w:rFonts w:ascii="Arial" w:cs="Arial" w:eastAsia="Arial" w:hAnsi="Arial"/>
          <w:sz w:val="16"/>
          <w:szCs w:val="16"/>
          <w:color w:val="auto"/>
        </w:rPr>
      </w:pPr>
    </w:p>
    <w:p>
      <w:pPr>
        <w:ind w:left="800" w:hanging="455"/>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Number of shares as to which the person has:</w:t>
      </w:r>
    </w:p>
    <w:p>
      <w:pPr>
        <w:spacing w:after="0" w:line="302" w:lineRule="exact"/>
        <w:rPr>
          <w:rFonts w:ascii="Arial" w:cs="Arial" w:eastAsia="Arial" w:hAnsi="Arial"/>
          <w:sz w:val="16"/>
          <w:szCs w:val="16"/>
          <w:color w:val="auto"/>
        </w:rPr>
      </w:pPr>
    </w:p>
    <w:p>
      <w:pPr>
        <w:ind w:left="1140" w:hanging="336"/>
        <w:spacing w:after="0"/>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Sole power to vote or to direct the vote: 2,484,467</w:t>
      </w:r>
    </w:p>
    <w:p>
      <w:pPr>
        <w:spacing w:after="0" w:line="302" w:lineRule="exact"/>
        <w:rPr>
          <w:rFonts w:ascii="Arial" w:cs="Arial" w:eastAsia="Arial" w:hAnsi="Arial"/>
          <w:sz w:val="16"/>
          <w:szCs w:val="16"/>
          <w:color w:val="auto"/>
        </w:rPr>
      </w:pPr>
    </w:p>
    <w:p>
      <w:pPr>
        <w:ind w:left="1140" w:hanging="336"/>
        <w:spacing w:after="0"/>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Shared power to vote or to direct the vote: 0</w:t>
      </w:r>
    </w:p>
    <w:p>
      <w:pPr>
        <w:spacing w:after="0" w:line="302" w:lineRule="exact"/>
        <w:rPr>
          <w:rFonts w:ascii="Arial" w:cs="Arial" w:eastAsia="Arial" w:hAnsi="Arial"/>
          <w:sz w:val="16"/>
          <w:szCs w:val="16"/>
          <w:color w:val="auto"/>
        </w:rPr>
      </w:pPr>
    </w:p>
    <w:p>
      <w:pPr>
        <w:ind w:left="1140" w:hanging="336"/>
        <w:spacing w:after="0"/>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2,545,881</w:t>
      </w:r>
    </w:p>
    <w:p>
      <w:pPr>
        <w:spacing w:after="0" w:line="302" w:lineRule="exact"/>
        <w:rPr>
          <w:rFonts w:ascii="Arial" w:cs="Arial" w:eastAsia="Arial" w:hAnsi="Arial"/>
          <w:sz w:val="16"/>
          <w:szCs w:val="16"/>
          <w:color w:val="auto"/>
        </w:rPr>
      </w:pPr>
    </w:p>
    <w:p>
      <w:pPr>
        <w:ind w:left="1140" w:hanging="336"/>
        <w:spacing w:after="0"/>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0</w:t>
      </w:r>
    </w:p>
    <w:p>
      <w:pPr>
        <w:spacing w:after="0" w:line="176"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241" w:lineRule="exact"/>
        <w:rPr>
          <w:sz w:val="20"/>
          <w:szCs w:val="20"/>
          <w:color w:val="auto"/>
        </w:rPr>
      </w:pPr>
    </w:p>
    <w:p>
      <w:pPr>
        <w:ind w:right="500"/>
        <w:spacing w:after="0" w:line="212"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18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The clients of Victory Capital Management Inc., including investment companies registered under the Investment Company Act of 1940 and separately managed accounts, have the right to receive or the power to direct the receipt of dividends from, or the proceeds from the sale of, the class of securities reported herein. No client has the right to receive or the power to direct the receipt of dividends from, or the proceeds from the sale of, more than 5% of such class.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w:t>
      </w:r>
    </w:p>
    <w:p>
      <w:pPr>
        <w:spacing w:after="0" w:line="200" w:lineRule="exact"/>
        <w:rPr>
          <w:sz w:val="20"/>
          <w:szCs w:val="20"/>
          <w:color w:val="auto"/>
        </w:rPr>
      </w:pPr>
    </w:p>
    <w:p>
      <w:pPr>
        <w:spacing w:after="0" w:line="218" w:lineRule="exact"/>
        <w:rPr>
          <w:sz w:val="20"/>
          <w:szCs w:val="20"/>
          <w:color w:val="auto"/>
        </w:rPr>
      </w:pPr>
    </w:p>
    <w:p>
      <w:pPr>
        <w:ind w:left="880" w:hanging="427"/>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certification shall be included if the statement is filed pursuant to §240.13d-1(b):</w:t>
      </w:r>
    </w:p>
    <w:p>
      <w:pPr>
        <w:spacing w:after="0" w:line="302" w:lineRule="exact"/>
        <w:rPr>
          <w:rFonts w:ascii="Arial" w:cs="Arial" w:eastAsia="Arial" w:hAnsi="Arial"/>
          <w:sz w:val="16"/>
          <w:szCs w:val="16"/>
          <w:color w:val="auto"/>
        </w:rPr>
      </w:pPr>
    </w:p>
    <w:p>
      <w:pPr>
        <w:jc w:val="both"/>
        <w:ind w:left="880" w:right="180"/>
        <w:spacing w:after="0" w:line="305" w:lineRule="auto"/>
        <w:rPr>
          <w:rFonts w:ascii="Arial" w:cs="Arial" w:eastAsia="Arial" w:hAnsi="Arial"/>
          <w:sz w:val="16"/>
          <w:szCs w:val="16"/>
          <w:color w:val="auto"/>
        </w:rPr>
      </w:pPr>
      <w:r>
        <w:rPr>
          <w:rFonts w:ascii="Arial" w:cs="Arial" w:eastAsia="Arial" w:hAnsi="Arial"/>
          <w:sz w:val="15"/>
          <w:szCs w:val="15"/>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80"/>
          </w:cols>
          <w:pgMar w:left="320" w:top="654" w:right="399" w:bottom="1440" w:gutter="0" w:footer="0" w:header="0"/>
        </w:sectPr>
      </w:pPr>
    </w:p>
    <w:bookmarkStart w:id="4" w:name="page5"/>
    <w:bookmarkEnd w:id="4"/>
    <w:p>
      <w:pPr>
        <w:spacing w:after="0"/>
        <w:tabs>
          <w:tab w:leader="none" w:pos="5580" w:val="left"/>
          <w:tab w:leader="none" w:pos="100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56418H100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4 of 4 Pages</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 Colin S. 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Colin S. Kinney /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Name/Title</w:t>
      </w:r>
    </w:p>
    <w:sectPr>
      <w:pgSz w:w="11900" w:h="16838" w:orient="portrait"/>
      <w:cols w:equalWidth="0" w:num="1">
        <w:col w:w="11240"/>
      </w:cols>
      <w:pgMar w:left="320" w:top="1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2022-02-02T08:46:44Z</dcterms:created>
  <dcterms:modified xsi:type="dcterms:W3CDTF">2022-02-02T08:46:44Z</dcterms:modified>
</cp:coreProperties>
</file>