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2, 2019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Wisconsin</w:t>
            </w:r>
          </w:p>
        </w:tc>
        <w:tc>
          <w:tcPr>
            <w:tcW w:w="292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1-10686</w:t>
            </w:r>
          </w:p>
        </w:tc>
        <w:tc>
          <w:tcPr>
            <w:tcW w:w="384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660" w:type="dxa"/>
            <w:vAlign w:val="bottom"/>
          </w:tcPr>
          <w:p>
            <w:pPr>
              <w:jc w:val="center"/>
              <w:spacing w:after="0"/>
              <w:rPr>
                <w:sz w:val="20"/>
                <w:szCs w:val="20"/>
                <w:color w:val="auto"/>
              </w:rPr>
            </w:pPr>
            <w:r>
              <w:rPr>
                <w:rFonts w:ascii="Arial" w:cs="Arial" w:eastAsia="Arial" w:hAnsi="Arial"/>
                <w:sz w:val="18"/>
                <w:szCs w:val="18"/>
                <w:b w:val="1"/>
                <w:bCs w:val="1"/>
                <w:color w:val="auto"/>
                <w:w w:val="90"/>
              </w:rPr>
              <w:t>(State or other jurisdiction of incorporation)</w:t>
            </w:r>
          </w:p>
        </w:tc>
        <w:tc>
          <w:tcPr>
            <w:tcW w:w="2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(Commission File Number)</w:t>
            </w:r>
          </w:p>
        </w:tc>
        <w:tc>
          <w:tcPr>
            <w:tcW w:w="38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28"/>
        </w:trPr>
        <w:tc>
          <w:tcPr>
            <w:tcW w:w="4660" w:type="dxa"/>
            <w:vAlign w:val="bottom"/>
          </w:tcPr>
          <w:p>
            <w:pPr>
              <w:jc w:val="center"/>
              <w:ind w:left="970"/>
              <w:spacing w:after="0"/>
              <w:rPr>
                <w:sz w:val="20"/>
                <w:szCs w:val="20"/>
                <w:color w:val="auto"/>
              </w:rPr>
            </w:pPr>
            <w:r>
              <w:rPr>
                <w:rFonts w:ascii="Arial" w:cs="Arial" w:eastAsia="Arial" w:hAnsi="Arial"/>
                <w:sz w:val="18"/>
                <w:szCs w:val="18"/>
                <w:b w:val="1"/>
                <w:bCs w:val="1"/>
                <w:color w:val="auto"/>
                <w:w w:val="90"/>
              </w:rPr>
              <w:t>100 Manpower Place</w:t>
            </w:r>
          </w:p>
        </w:tc>
        <w:tc>
          <w:tcPr>
            <w:tcW w:w="29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41"/>
        </w:trPr>
        <w:tc>
          <w:tcPr>
            <w:tcW w:w="466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b w:val="1"/>
                <w:bCs w:val="1"/>
                <w:color w:val="auto"/>
                <w:w w:val="90"/>
              </w:rPr>
              <w:t>Milwaukee, Wisconsin</w:t>
            </w:r>
          </w:p>
        </w:tc>
        <w:tc>
          <w:tcPr>
            <w:tcW w:w="29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tcPr>
          <w:p>
            <w:pPr>
              <w:jc w:val="right"/>
              <w:ind w:right="2530"/>
              <w:spacing w:after="0"/>
              <w:rPr>
                <w:sz w:val="20"/>
                <w:szCs w:val="20"/>
                <w:color w:val="auto"/>
              </w:rPr>
            </w:pPr>
            <w:r>
              <w:rPr>
                <w:rFonts w:ascii="Arial" w:cs="Arial" w:eastAsia="Arial" w:hAnsi="Arial"/>
                <w:sz w:val="18"/>
                <w:szCs w:val="18"/>
                <w:b w:val="1"/>
                <w:bCs w:val="1"/>
                <w:color w:val="auto"/>
              </w:rPr>
              <w:t>53212</w:t>
            </w:r>
          </w:p>
        </w:tc>
      </w:tr>
      <w:tr>
        <w:trPr>
          <w:trHeight w:val="234"/>
        </w:trPr>
        <w:tc>
          <w:tcPr>
            <w:tcW w:w="4660" w:type="dxa"/>
            <w:vAlign w:val="bottom"/>
          </w:tcPr>
          <w:p>
            <w:pPr>
              <w:jc w:val="center"/>
              <w:ind w:left="9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20" w:type="dxa"/>
            <w:vAlign w:val="bottom"/>
          </w:tcPr>
          <w:p>
            <w:pPr>
              <w:spacing w:after="0"/>
              <w:rPr>
                <w:sz w:val="20"/>
                <w:szCs w:val="20"/>
                <w:color w:val="auto"/>
              </w:rPr>
            </w:pPr>
          </w:p>
        </w:tc>
        <w:tc>
          <w:tcPr>
            <w:tcW w:w="3840" w:type="dxa"/>
            <w:vAlign w:val="bottom"/>
          </w:tcPr>
          <w:p>
            <w:pPr>
              <w:jc w:val="center"/>
              <w:ind w:right="1770"/>
              <w:spacing w:after="0"/>
              <w:rPr>
                <w:sz w:val="20"/>
                <w:szCs w:val="20"/>
                <w:color w:val="auto"/>
              </w:rPr>
            </w:pPr>
            <w:r>
              <w:rPr>
                <w:rFonts w:ascii="Arial" w:cs="Arial" w:eastAsia="Arial" w:hAnsi="Arial"/>
                <w:sz w:val="18"/>
                <w:szCs w:val="18"/>
                <w:b w:val="1"/>
                <w:bCs w:val="1"/>
                <w:color w:val="auto"/>
                <w:w w:val="92"/>
              </w:rPr>
              <w:t>(Zip Code)</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60" w:firstLine="8"/>
        <w:spacing w:after="0" w:line="431" w:lineRule="auto"/>
        <w:tabs>
          <w:tab w:leader="none" w:pos="41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0"/>
        </w:trPr>
        <w:tc>
          <w:tcPr>
            <w:tcW w:w="38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274955</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On August 2, 2019 the Board of Directors of the Company approved a new share repurchase program which gives the Company the ability to repurchase up to 6 million shares of its issued and outstanding common stock. This new repurchase program is in addition to the share repurchase program authorized in August 2018, of which approximately 1.9 million shares remained available for repurchase as of June 30, 2019.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is attached hereto as Exhibit 99.1 and is incorporated by reference herein.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0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0"/>
                <w:szCs w:val="20"/>
                <w:color w:val="auto"/>
              </w:rPr>
            </w:pPr>
          </w:p>
        </w:tc>
      </w:tr>
      <w:tr>
        <w:trPr>
          <w:trHeight w:val="176"/>
        </w:trPr>
        <w:tc>
          <w:tcPr>
            <w:tcW w:w="20" w:type="dxa"/>
            <w:vAlign w:val="bottom"/>
          </w:tcPr>
          <w:p>
            <w:pPr>
              <w:spacing w:after="0"/>
              <w:rPr>
                <w:sz w:val="15"/>
                <w:szCs w:val="15"/>
                <w:color w:val="auto"/>
              </w:rPr>
            </w:pPr>
          </w:p>
        </w:tc>
        <w:tc>
          <w:tcPr>
            <w:tcW w:w="124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1004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August 2, 2019</w:t>
              </w:r>
            </w:hyperlink>
          </w:p>
        </w:tc>
        <w:tc>
          <w:tcPr>
            <w:tcW w:w="20" w:type="dxa"/>
            <w:vAlign w:val="bottom"/>
          </w:tcPr>
          <w:p>
            <w:pPr>
              <w:spacing w:after="0"/>
              <w:rPr>
                <w:sz w:val="15"/>
                <w:szCs w:val="15"/>
                <w:color w:val="auto"/>
              </w:rPr>
            </w:pPr>
          </w:p>
        </w:tc>
      </w:tr>
      <w:tr>
        <w:trPr>
          <w:trHeight w:val="365"/>
        </w:trPr>
        <w:tc>
          <w:tcPr>
            <w:tcW w:w="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580" w:type="dxa"/>
            <w:vAlign w:val="bottom"/>
            <w:tcBorders>
              <w:top w:val="single" w:sz="8" w:color="0000EE"/>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43" w:lineRule="exact"/>
        <w:rPr>
          <w:sz w:val="20"/>
          <w:szCs w:val="20"/>
          <w:color w:val="auto"/>
        </w:rPr>
      </w:pPr>
    </w:p>
    <w:p>
      <w:pPr>
        <w:ind w:right="280" w:firstLine="85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MANPOWERGROUP INC.</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Dated:   August 2, 2019</w:t>
            </w:r>
          </w:p>
        </w:tc>
        <w:tc>
          <w:tcPr>
            <w:tcW w:w="880" w:type="dxa"/>
            <w:vAlign w:val="bottom"/>
          </w:tcPr>
          <w:p>
            <w:pPr>
              <w:ind w:left="140"/>
              <w:spacing w:after="0"/>
              <w:rPr>
                <w:sz w:val="20"/>
                <w:szCs w:val="20"/>
                <w:color w:val="auto"/>
              </w:rPr>
            </w:pPr>
            <w:r>
              <w:rPr>
                <w:rFonts w:ascii="Arial" w:cs="Arial" w:eastAsia="Arial" w:hAnsi="Arial"/>
                <w:sz w:val="18"/>
                <w:szCs w:val="18"/>
                <w:color w:val="auto"/>
              </w:rPr>
              <w:t>By:</w:t>
            </w:r>
          </w:p>
        </w:tc>
        <w:tc>
          <w:tcPr>
            <w:tcW w:w="5140" w:type="dxa"/>
            <w:vAlign w:val="bottom"/>
          </w:tcPr>
          <w:p>
            <w:pPr>
              <w:spacing w:after="0"/>
              <w:rPr>
                <w:sz w:val="20"/>
                <w:szCs w:val="20"/>
                <w:color w:val="auto"/>
              </w:rPr>
            </w:pPr>
            <w:r>
              <w:rPr>
                <w:rFonts w:ascii="Arial" w:cs="Arial" w:eastAsia="Arial" w:hAnsi="Arial"/>
                <w:sz w:val="18"/>
                <w:szCs w:val="18"/>
                <w:color w:val="auto"/>
              </w:rPr>
              <w:t>/s/ Richard Buchband</w:t>
            </w:r>
          </w:p>
        </w:tc>
      </w:tr>
      <w:tr>
        <w:trPr>
          <w:trHeight w:val="195"/>
        </w:trPr>
        <w:tc>
          <w:tcPr>
            <w:tcW w:w="760" w:type="dxa"/>
            <w:vAlign w:val="bottom"/>
          </w:tcPr>
          <w:p>
            <w:pPr>
              <w:spacing w:after="0"/>
              <w:rPr>
                <w:sz w:val="16"/>
                <w:szCs w:val="16"/>
                <w:color w:val="auto"/>
              </w:rPr>
            </w:pPr>
          </w:p>
        </w:tc>
        <w:tc>
          <w:tcPr>
            <w:tcW w:w="4640" w:type="dxa"/>
            <w:vAlign w:val="bottom"/>
            <w:tcBorders>
              <w:top w:val="single" w:sz="8" w:color="auto"/>
            </w:tcBorders>
          </w:tcPr>
          <w:p>
            <w:pPr>
              <w:spacing w:after="0"/>
              <w:rPr>
                <w:sz w:val="16"/>
                <w:szCs w:val="16"/>
                <w:color w:val="auto"/>
              </w:rPr>
            </w:pPr>
          </w:p>
        </w:tc>
        <w:tc>
          <w:tcPr>
            <w:tcW w:w="880" w:type="dxa"/>
            <w:vAlign w:val="bottom"/>
          </w:tcPr>
          <w:p>
            <w:pPr>
              <w:ind w:left="140"/>
              <w:spacing w:after="0" w:line="195" w:lineRule="exact"/>
              <w:rPr>
                <w:sz w:val="20"/>
                <w:szCs w:val="20"/>
                <w:color w:val="auto"/>
              </w:rPr>
            </w:pPr>
            <w:r>
              <w:rPr>
                <w:rFonts w:ascii="Arial" w:cs="Arial" w:eastAsia="Arial" w:hAnsi="Arial"/>
                <w:sz w:val="18"/>
                <w:szCs w:val="18"/>
                <w:color w:val="auto"/>
              </w:rPr>
              <w:t>Name:</w:t>
            </w: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Richard Buchband</w:t>
            </w:r>
          </w:p>
        </w:tc>
      </w:tr>
      <w:tr>
        <w:trPr>
          <w:trHeight w:val="230"/>
        </w:trPr>
        <w:tc>
          <w:tcPr>
            <w:tcW w:w="7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5896610</wp:posOffset>
            </wp:positionH>
            <wp:positionV relativeFrom="paragraph">
              <wp:posOffset>326390</wp:posOffset>
            </wp:positionV>
            <wp:extent cx="1355090" cy="77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509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6160" w:type="dxa"/>
            <w:vAlign w:val="bottom"/>
          </w:tcPr>
          <w:p>
            <w:pPr>
              <w:spacing w:after="0"/>
              <w:rPr>
                <w:sz w:val="20"/>
                <w:szCs w:val="20"/>
                <w:color w:val="auto"/>
              </w:rPr>
            </w:pPr>
            <w:r>
              <w:rPr>
                <w:rFonts w:ascii="Arial" w:cs="Arial" w:eastAsia="Arial" w:hAnsi="Arial"/>
                <w:sz w:val="18"/>
                <w:szCs w:val="18"/>
                <w:b w:val="1"/>
                <w:bCs w:val="1"/>
                <w:color w:val="auto"/>
              </w:rPr>
              <w:t>FOR IMMEDIATE RELEASE</w:t>
            </w:r>
          </w:p>
        </w:tc>
        <w:tc>
          <w:tcPr>
            <w:tcW w:w="2960" w:type="dxa"/>
            <w:vAlign w:val="bottom"/>
          </w:tcPr>
          <w:p>
            <w:pPr>
              <w:spacing w:after="0"/>
              <w:rPr>
                <w:sz w:val="20"/>
                <w:szCs w:val="20"/>
                <w:color w:val="auto"/>
              </w:rPr>
            </w:pPr>
            <w:r>
              <w:rPr>
                <w:rFonts w:ascii="Arial" w:cs="Arial" w:eastAsia="Arial" w:hAnsi="Arial"/>
                <w:sz w:val="18"/>
                <w:szCs w:val="18"/>
                <w:b w:val="1"/>
                <w:bCs w:val="1"/>
                <w:color w:val="auto"/>
              </w:rPr>
              <w:t>Contact:</w:t>
            </w:r>
          </w:p>
        </w:tc>
      </w:tr>
      <w:tr>
        <w:trPr>
          <w:trHeight w:val="217"/>
        </w:trPr>
        <w:tc>
          <w:tcPr>
            <w:tcW w:w="616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Jack McGinnis</w:t>
            </w:r>
          </w:p>
        </w:tc>
      </w:tr>
      <w:tr>
        <w:trPr>
          <w:trHeight w:val="243"/>
        </w:trPr>
        <w:tc>
          <w:tcPr>
            <w:tcW w:w="6160" w:type="dxa"/>
            <w:vAlign w:val="bottom"/>
          </w:tcPr>
          <w:p>
            <w:pPr>
              <w:spacing w:after="0"/>
              <w:rPr>
                <w:sz w:val="21"/>
                <w:szCs w:val="21"/>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+1.414.906.7977</w:t>
            </w:r>
          </w:p>
        </w:tc>
      </w:tr>
      <w:tr>
        <w:trPr>
          <w:trHeight w:val="203"/>
        </w:trPr>
        <w:tc>
          <w:tcPr>
            <w:tcW w:w="6160" w:type="dxa"/>
            <w:vAlign w:val="bottom"/>
          </w:tcPr>
          <w:p>
            <w:pPr>
              <w:spacing w:after="0"/>
              <w:rPr>
                <w:sz w:val="17"/>
                <w:szCs w:val="17"/>
                <w:color w:val="auto"/>
              </w:rPr>
            </w:pPr>
          </w:p>
        </w:tc>
        <w:tc>
          <w:tcPr>
            <w:tcW w:w="2960" w:type="dxa"/>
            <w:vAlign w:val="bottom"/>
            <w:tcBorders>
              <w:bottom w:val="single" w:sz="8" w:color="0000FF"/>
            </w:tcBorders>
          </w:tcPr>
          <w:p>
            <w:pPr>
              <w:spacing w:after="0" w:line="202" w:lineRule="exact"/>
              <w:rPr>
                <w:sz w:val="20"/>
                <w:szCs w:val="20"/>
                <w:color w:val="auto"/>
              </w:rPr>
            </w:pPr>
            <w:r>
              <w:rPr>
                <w:rFonts w:ascii="Arial" w:cs="Arial" w:eastAsia="Arial" w:hAnsi="Arial"/>
                <w:sz w:val="18"/>
                <w:szCs w:val="18"/>
                <w:color w:val="0000FF"/>
                <w:w w:val="99"/>
              </w:rPr>
              <w:t>jack.mcginnis@manpowergroup.com</w:t>
            </w: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ManpowerGroup Announces New Share Repurchase Program</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 xml:space="preserve">MILWAUKEE (August 2, 2019) – </w:t>
      </w:r>
      <w:r>
        <w:rPr>
          <w:rFonts w:ascii="Arial" w:cs="Arial" w:eastAsia="Arial" w:hAnsi="Arial"/>
          <w:sz w:val="18"/>
          <w:szCs w:val="18"/>
          <w:color w:val="auto"/>
        </w:rPr>
        <w:t>ManpowerGroup (MAN) today announced that its Board of Directors has authorized a new share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under which the Company may repurchase up to 6 million shares of its common stock.</w:t>
      </w:r>
    </w:p>
    <w:p>
      <w:pPr>
        <w:spacing w:after="0" w:line="149"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new repurchase program is in addition to the share repurchase program authorized in August 2018, of which approximately 1.9 million shares remained available for repurchase as of June 30, 2019.</w:t>
      </w:r>
    </w:p>
    <w:p>
      <w:pPr>
        <w:spacing w:after="0" w:line="156"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Purchases under the new share repurchase program may be made from time to time through open market purchases, block transactions, privately negotiated transactions or other facilities.</w:t>
      </w:r>
    </w:p>
    <w:p>
      <w:pPr>
        <w:spacing w:after="0" w:line="156" w:lineRule="exact"/>
        <w:rPr>
          <w:sz w:val="20"/>
          <w:szCs w:val="20"/>
          <w:color w:val="auto"/>
        </w:rPr>
      </w:pPr>
    </w:p>
    <w:p>
      <w:pPr>
        <w:ind w:right="1320"/>
        <w:spacing w:after="0" w:line="246" w:lineRule="auto"/>
        <w:rPr>
          <w:sz w:val="20"/>
          <w:szCs w:val="20"/>
          <w:color w:val="auto"/>
        </w:rPr>
      </w:pPr>
      <w:r>
        <w:rPr>
          <w:rFonts w:ascii="Arial" w:cs="Arial" w:eastAsia="Arial" w:hAnsi="Arial"/>
          <w:sz w:val="18"/>
          <w:szCs w:val="18"/>
          <w:color w:val="auto"/>
        </w:rPr>
        <w:t xml:space="preserve">Additional financial information about ManpowerGroup, including stock history and annual shareholder reports, can be found at </w:t>
      </w:r>
      <w:r>
        <w:rPr>
          <w:rFonts w:ascii="Arial" w:cs="Arial" w:eastAsia="Arial" w:hAnsi="Arial"/>
          <w:sz w:val="18"/>
          <w:szCs w:val="18"/>
          <w:u w:val="single" w:color="auto"/>
          <w:color w:val="auto"/>
        </w:rPr>
        <w:t>http://investor.manpowergroup.com</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61"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Right Management® and ManpowerGroup® Solutions – creates substantially more value for candidates and clients across 80 countries and territories and has done so for over 70 years. In 2019, ManpowerGroup was named one of the World's Most Ethical Companies for the tenth year and one of Fortune's Most Admired Companies for the seventeenth year, confirming our position as the most trusted and admired brand in the industry. See how ManpowerGroup is powering the future of work: www.manpowergroup.com</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2019-12-28T08:30:12Z</dcterms:created>
  <dcterms:modified xsi:type="dcterms:W3CDTF">2019-12-28T08:30:12Z</dcterms:modified>
</cp:coreProperties>
</file>