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28, 2015</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39-1672779</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48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19"/>
                <w:szCs w:val="19"/>
                <w:color w:val="auto"/>
              </w:rPr>
            </w:pPr>
          </w:p>
        </w:tc>
        <w:tc>
          <w:tcPr>
            <w:tcW w:w="36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1042035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At our 2015 Annual Meeting, our shareholders voted on proposals to: (1) elect nine individuals nominated by the Board of Directors of the Company to serve until 2016; (2) ratify the appointment of Deloitte &amp; Touche LLP as our independent auditors for 2015; and (3) provide an advisory vote on the compensation of our named executive officers. The final voting results on these proposals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Broker</w:t>
            </w:r>
          </w:p>
        </w:tc>
      </w:tr>
      <w:tr>
        <w:trPr>
          <w:trHeight w:val="220"/>
        </w:trPr>
        <w:tc>
          <w:tcPr>
            <w:tcW w:w="3880" w:type="dxa"/>
            <w:vAlign w:val="bottom"/>
          </w:tcPr>
          <w:p>
            <w:pPr>
              <w:spacing w:after="0"/>
              <w:rPr>
                <w:sz w:val="19"/>
                <w:szCs w:val="19"/>
                <w:color w:val="auto"/>
              </w:rPr>
            </w:pPr>
          </w:p>
        </w:tc>
        <w:tc>
          <w:tcPr>
            <w:tcW w:w="2240" w:type="dxa"/>
            <w:vAlign w:val="bottom"/>
          </w:tcPr>
          <w:p>
            <w:pPr>
              <w:jc w:val="right"/>
              <w:ind w:right="610"/>
              <w:spacing w:after="0"/>
              <w:rPr>
                <w:sz w:val="20"/>
                <w:szCs w:val="20"/>
                <w:color w:val="auto"/>
              </w:rPr>
            </w:pPr>
            <w:r>
              <w:rPr>
                <w:rFonts w:ascii="Arial" w:cs="Arial" w:eastAsia="Arial" w:hAnsi="Arial"/>
                <w:sz w:val="18"/>
                <w:szCs w:val="18"/>
                <w:b w:val="1"/>
                <w:bCs w:val="1"/>
                <w:color w:val="auto"/>
              </w:rPr>
              <w:t>For</w:t>
            </w: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Against</w:t>
            </w: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Abstain</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Non-Votes</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1. a) Election of Cari M. Dominguez</w:t>
            </w: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64,888,325</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967,544</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13,896</w:t>
            </w:r>
          </w:p>
        </w:tc>
        <w:tc>
          <w:tcPr>
            <w:tcW w:w="1180" w:type="dxa"/>
            <w:vAlign w:val="bottom"/>
          </w:tcPr>
          <w:p>
            <w:pPr>
              <w:jc w:val="right"/>
              <w:spacing w:after="0"/>
              <w:rPr>
                <w:sz w:val="20"/>
                <w:szCs w:val="20"/>
                <w:color w:val="auto"/>
              </w:rPr>
            </w:pPr>
            <w:r>
              <w:rPr>
                <w:rFonts w:ascii="Arial" w:cs="Arial" w:eastAsia="Arial" w:hAnsi="Arial"/>
                <w:sz w:val="18"/>
                <w:szCs w:val="18"/>
                <w:color w:val="auto"/>
              </w:rPr>
              <w:t>4,375,108</w:t>
            </w:r>
          </w:p>
        </w:tc>
      </w:tr>
      <w:tr>
        <w:trPr>
          <w:trHeight w:val="432"/>
        </w:trPr>
        <w:tc>
          <w:tcPr>
            <w:tcW w:w="3880" w:type="dxa"/>
            <w:vAlign w:val="bottom"/>
          </w:tcPr>
          <w:p>
            <w:pPr>
              <w:ind w:left="240"/>
              <w:spacing w:after="0"/>
              <w:rPr>
                <w:sz w:val="20"/>
                <w:szCs w:val="20"/>
                <w:color w:val="auto"/>
              </w:rPr>
            </w:pPr>
            <w:r>
              <w:rPr>
                <w:rFonts w:ascii="Arial" w:cs="Arial" w:eastAsia="Arial" w:hAnsi="Arial"/>
                <w:sz w:val="18"/>
                <w:szCs w:val="18"/>
                <w:color w:val="auto"/>
              </w:rPr>
              <w:t>b) Election of Jeffrey A. Joerres</w:t>
            </w: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64,049,236</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1,807,478</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13,051</w:t>
            </w:r>
          </w:p>
        </w:tc>
        <w:tc>
          <w:tcPr>
            <w:tcW w:w="1180" w:type="dxa"/>
            <w:vAlign w:val="bottom"/>
          </w:tcPr>
          <w:p>
            <w:pPr>
              <w:jc w:val="right"/>
              <w:spacing w:after="0"/>
              <w:rPr>
                <w:sz w:val="20"/>
                <w:szCs w:val="20"/>
                <w:color w:val="auto"/>
              </w:rPr>
            </w:pPr>
            <w:r>
              <w:rPr>
                <w:rFonts w:ascii="Arial" w:cs="Arial" w:eastAsia="Arial" w:hAnsi="Arial"/>
                <w:sz w:val="18"/>
                <w:szCs w:val="18"/>
                <w:color w:val="auto"/>
              </w:rPr>
              <w:t>4,375,108</w:t>
            </w:r>
          </w:p>
        </w:tc>
      </w:tr>
      <w:tr>
        <w:trPr>
          <w:trHeight w:val="432"/>
        </w:trPr>
        <w:tc>
          <w:tcPr>
            <w:tcW w:w="3880" w:type="dxa"/>
            <w:vAlign w:val="bottom"/>
          </w:tcPr>
          <w:p>
            <w:pPr>
              <w:ind w:left="240"/>
              <w:spacing w:after="0"/>
              <w:rPr>
                <w:sz w:val="20"/>
                <w:szCs w:val="20"/>
                <w:color w:val="auto"/>
              </w:rPr>
            </w:pPr>
            <w:r>
              <w:rPr>
                <w:rFonts w:ascii="Arial" w:cs="Arial" w:eastAsia="Arial" w:hAnsi="Arial"/>
                <w:sz w:val="18"/>
                <w:szCs w:val="18"/>
                <w:color w:val="auto"/>
              </w:rPr>
              <w:t>c) Election of Roberto Mendoza</w:t>
            </w: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65,441,485</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413,810</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14,470</w:t>
            </w:r>
          </w:p>
        </w:tc>
        <w:tc>
          <w:tcPr>
            <w:tcW w:w="1180" w:type="dxa"/>
            <w:vAlign w:val="bottom"/>
          </w:tcPr>
          <w:p>
            <w:pPr>
              <w:jc w:val="right"/>
              <w:spacing w:after="0"/>
              <w:rPr>
                <w:sz w:val="20"/>
                <w:szCs w:val="20"/>
                <w:color w:val="auto"/>
              </w:rPr>
            </w:pPr>
            <w:r>
              <w:rPr>
                <w:rFonts w:ascii="Arial" w:cs="Arial" w:eastAsia="Arial" w:hAnsi="Arial"/>
                <w:sz w:val="18"/>
                <w:szCs w:val="18"/>
                <w:color w:val="auto"/>
              </w:rPr>
              <w:t>4,375,108</w:t>
            </w:r>
          </w:p>
        </w:tc>
      </w:tr>
      <w:tr>
        <w:trPr>
          <w:trHeight w:val="432"/>
        </w:trPr>
        <w:tc>
          <w:tcPr>
            <w:tcW w:w="3880" w:type="dxa"/>
            <w:vAlign w:val="bottom"/>
          </w:tcPr>
          <w:p>
            <w:pPr>
              <w:ind w:left="240"/>
              <w:spacing w:after="0"/>
              <w:rPr>
                <w:sz w:val="20"/>
                <w:szCs w:val="20"/>
                <w:color w:val="auto"/>
              </w:rPr>
            </w:pPr>
            <w:r>
              <w:rPr>
                <w:rFonts w:ascii="Arial" w:cs="Arial" w:eastAsia="Arial" w:hAnsi="Arial"/>
                <w:sz w:val="18"/>
                <w:szCs w:val="18"/>
                <w:color w:val="auto"/>
              </w:rPr>
              <w:t>d) Election of Ulice Payne, Jr.</w:t>
            </w: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65,692,759</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163,492</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13,514</w:t>
            </w:r>
          </w:p>
        </w:tc>
        <w:tc>
          <w:tcPr>
            <w:tcW w:w="1180" w:type="dxa"/>
            <w:vAlign w:val="bottom"/>
          </w:tcPr>
          <w:p>
            <w:pPr>
              <w:jc w:val="right"/>
              <w:spacing w:after="0"/>
              <w:rPr>
                <w:sz w:val="20"/>
                <w:szCs w:val="20"/>
                <w:color w:val="auto"/>
              </w:rPr>
            </w:pPr>
            <w:r>
              <w:rPr>
                <w:rFonts w:ascii="Arial" w:cs="Arial" w:eastAsia="Arial" w:hAnsi="Arial"/>
                <w:sz w:val="18"/>
                <w:szCs w:val="18"/>
                <w:color w:val="auto"/>
              </w:rPr>
              <w:t>4,375,108</w:t>
            </w:r>
          </w:p>
        </w:tc>
      </w:tr>
      <w:tr>
        <w:trPr>
          <w:trHeight w:val="432"/>
        </w:trPr>
        <w:tc>
          <w:tcPr>
            <w:tcW w:w="3880" w:type="dxa"/>
            <w:vAlign w:val="bottom"/>
          </w:tcPr>
          <w:p>
            <w:pPr>
              <w:ind w:left="240"/>
              <w:spacing w:after="0"/>
              <w:rPr>
                <w:sz w:val="20"/>
                <w:szCs w:val="20"/>
                <w:color w:val="auto"/>
              </w:rPr>
            </w:pPr>
            <w:r>
              <w:rPr>
                <w:rFonts w:ascii="Arial" w:cs="Arial" w:eastAsia="Arial" w:hAnsi="Arial"/>
                <w:sz w:val="18"/>
                <w:szCs w:val="18"/>
                <w:color w:val="auto"/>
              </w:rPr>
              <w:t>e) Election of Jonas Prising</w:t>
            </w: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65,518,662</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338,017</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13,086</w:t>
            </w:r>
          </w:p>
        </w:tc>
        <w:tc>
          <w:tcPr>
            <w:tcW w:w="1180" w:type="dxa"/>
            <w:vAlign w:val="bottom"/>
          </w:tcPr>
          <w:p>
            <w:pPr>
              <w:jc w:val="right"/>
              <w:spacing w:after="0"/>
              <w:rPr>
                <w:sz w:val="20"/>
                <w:szCs w:val="20"/>
                <w:color w:val="auto"/>
              </w:rPr>
            </w:pPr>
            <w:r>
              <w:rPr>
                <w:rFonts w:ascii="Arial" w:cs="Arial" w:eastAsia="Arial" w:hAnsi="Arial"/>
                <w:sz w:val="18"/>
                <w:szCs w:val="18"/>
                <w:color w:val="auto"/>
              </w:rPr>
              <w:t>4,375,108</w:t>
            </w:r>
          </w:p>
        </w:tc>
      </w:tr>
      <w:tr>
        <w:trPr>
          <w:trHeight w:val="432"/>
        </w:trPr>
        <w:tc>
          <w:tcPr>
            <w:tcW w:w="3880" w:type="dxa"/>
            <w:vAlign w:val="bottom"/>
          </w:tcPr>
          <w:p>
            <w:pPr>
              <w:ind w:left="240"/>
              <w:spacing w:after="0"/>
              <w:rPr>
                <w:sz w:val="20"/>
                <w:szCs w:val="20"/>
                <w:color w:val="auto"/>
              </w:rPr>
            </w:pPr>
            <w:r>
              <w:rPr>
                <w:rFonts w:ascii="Arial" w:cs="Arial" w:eastAsia="Arial" w:hAnsi="Arial"/>
                <w:sz w:val="18"/>
                <w:szCs w:val="18"/>
                <w:color w:val="auto"/>
              </w:rPr>
              <w:t>f) Election of Paul Read</w:t>
            </w: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65,519,778</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335,750</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14,237</w:t>
            </w:r>
          </w:p>
        </w:tc>
        <w:tc>
          <w:tcPr>
            <w:tcW w:w="1180" w:type="dxa"/>
            <w:vAlign w:val="bottom"/>
          </w:tcPr>
          <w:p>
            <w:pPr>
              <w:jc w:val="right"/>
              <w:spacing w:after="0"/>
              <w:rPr>
                <w:sz w:val="20"/>
                <w:szCs w:val="20"/>
                <w:color w:val="auto"/>
              </w:rPr>
            </w:pPr>
            <w:r>
              <w:rPr>
                <w:rFonts w:ascii="Arial" w:cs="Arial" w:eastAsia="Arial" w:hAnsi="Arial"/>
                <w:sz w:val="18"/>
                <w:szCs w:val="18"/>
                <w:color w:val="auto"/>
              </w:rPr>
              <w:t>4,375,108</w:t>
            </w:r>
          </w:p>
        </w:tc>
      </w:tr>
      <w:tr>
        <w:trPr>
          <w:trHeight w:val="432"/>
        </w:trPr>
        <w:tc>
          <w:tcPr>
            <w:tcW w:w="3880" w:type="dxa"/>
            <w:vAlign w:val="bottom"/>
          </w:tcPr>
          <w:p>
            <w:pPr>
              <w:ind w:left="240"/>
              <w:spacing w:after="0"/>
              <w:rPr>
                <w:sz w:val="20"/>
                <w:szCs w:val="20"/>
                <w:color w:val="auto"/>
              </w:rPr>
            </w:pPr>
            <w:r>
              <w:rPr>
                <w:rFonts w:ascii="Arial" w:cs="Arial" w:eastAsia="Arial" w:hAnsi="Arial"/>
                <w:sz w:val="18"/>
                <w:szCs w:val="18"/>
                <w:color w:val="auto"/>
              </w:rPr>
              <w:t>g) Election of Elizabeth P. Sartain</w:t>
            </w: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64,888,341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968,001</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13,423</w:t>
            </w:r>
          </w:p>
        </w:tc>
        <w:tc>
          <w:tcPr>
            <w:tcW w:w="1180" w:type="dxa"/>
            <w:vAlign w:val="bottom"/>
          </w:tcPr>
          <w:p>
            <w:pPr>
              <w:jc w:val="right"/>
              <w:spacing w:after="0"/>
              <w:rPr>
                <w:sz w:val="20"/>
                <w:szCs w:val="20"/>
                <w:color w:val="auto"/>
              </w:rPr>
            </w:pPr>
            <w:r>
              <w:rPr>
                <w:rFonts w:ascii="Arial" w:cs="Arial" w:eastAsia="Arial" w:hAnsi="Arial"/>
                <w:sz w:val="18"/>
                <w:szCs w:val="18"/>
                <w:color w:val="auto"/>
              </w:rPr>
              <w:t>4,375,108</w:t>
            </w:r>
          </w:p>
        </w:tc>
      </w:tr>
      <w:tr>
        <w:trPr>
          <w:trHeight w:val="432"/>
        </w:trPr>
        <w:tc>
          <w:tcPr>
            <w:tcW w:w="3880" w:type="dxa"/>
            <w:vAlign w:val="bottom"/>
          </w:tcPr>
          <w:p>
            <w:pPr>
              <w:ind w:left="240"/>
              <w:spacing w:after="0"/>
              <w:rPr>
                <w:sz w:val="20"/>
                <w:szCs w:val="20"/>
                <w:color w:val="auto"/>
              </w:rPr>
            </w:pPr>
            <w:r>
              <w:rPr>
                <w:rFonts w:ascii="Arial" w:cs="Arial" w:eastAsia="Arial" w:hAnsi="Arial"/>
                <w:sz w:val="18"/>
                <w:szCs w:val="18"/>
                <w:color w:val="auto"/>
              </w:rPr>
              <w:t>h) Election of John R. Walter</w:t>
            </w: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64,407,701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1,448,158</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13,906</w:t>
            </w:r>
          </w:p>
        </w:tc>
        <w:tc>
          <w:tcPr>
            <w:tcW w:w="1180" w:type="dxa"/>
            <w:vAlign w:val="bottom"/>
          </w:tcPr>
          <w:p>
            <w:pPr>
              <w:jc w:val="right"/>
              <w:spacing w:after="0"/>
              <w:rPr>
                <w:sz w:val="20"/>
                <w:szCs w:val="20"/>
                <w:color w:val="auto"/>
              </w:rPr>
            </w:pPr>
            <w:r>
              <w:rPr>
                <w:rFonts w:ascii="Arial" w:cs="Arial" w:eastAsia="Arial" w:hAnsi="Arial"/>
                <w:sz w:val="18"/>
                <w:szCs w:val="18"/>
                <w:color w:val="auto"/>
              </w:rPr>
              <w:t>4,375,108</w:t>
            </w:r>
          </w:p>
        </w:tc>
      </w:tr>
      <w:tr>
        <w:trPr>
          <w:trHeight w:val="432"/>
        </w:trPr>
        <w:tc>
          <w:tcPr>
            <w:tcW w:w="3880" w:type="dxa"/>
            <w:vAlign w:val="bottom"/>
          </w:tcPr>
          <w:p>
            <w:pPr>
              <w:ind w:left="240"/>
              <w:spacing w:after="0"/>
              <w:rPr>
                <w:sz w:val="20"/>
                <w:szCs w:val="20"/>
                <w:color w:val="auto"/>
              </w:rPr>
            </w:pPr>
            <w:r>
              <w:rPr>
                <w:rFonts w:ascii="Arial" w:cs="Arial" w:eastAsia="Arial" w:hAnsi="Arial"/>
                <w:sz w:val="18"/>
                <w:szCs w:val="18"/>
                <w:color w:val="auto"/>
              </w:rPr>
              <w:t>h) Election of Edward J. Zore</w:t>
            </w: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64,291,077</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1,565,447</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13,241</w:t>
            </w:r>
          </w:p>
        </w:tc>
        <w:tc>
          <w:tcPr>
            <w:tcW w:w="1180" w:type="dxa"/>
            <w:vAlign w:val="bottom"/>
          </w:tcPr>
          <w:p>
            <w:pPr>
              <w:jc w:val="right"/>
              <w:spacing w:after="0"/>
              <w:rPr>
                <w:sz w:val="20"/>
                <w:szCs w:val="20"/>
                <w:color w:val="auto"/>
              </w:rPr>
            </w:pPr>
            <w:r>
              <w:rPr>
                <w:rFonts w:ascii="Arial" w:cs="Arial" w:eastAsia="Arial" w:hAnsi="Arial"/>
                <w:sz w:val="18"/>
                <w:szCs w:val="18"/>
                <w:color w:val="auto"/>
              </w:rPr>
              <w:t>4,375,108</w:t>
            </w:r>
          </w:p>
        </w:tc>
      </w:tr>
    </w:tbl>
    <w:p>
      <w:pPr>
        <w:spacing w:after="0" w:line="202"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LLP as our independent auditors for 2015</w:t>
            </w:r>
          </w:p>
        </w:tc>
        <w:tc>
          <w:tcPr>
            <w:tcW w:w="2200" w:type="dxa"/>
            <w:vAlign w:val="bottom"/>
          </w:tcPr>
          <w:p>
            <w:pPr>
              <w:jc w:val="right"/>
              <w:ind w:right="270"/>
              <w:spacing w:after="0"/>
              <w:rPr>
                <w:sz w:val="20"/>
                <w:szCs w:val="20"/>
                <w:color w:val="auto"/>
              </w:rPr>
            </w:pPr>
            <w:r>
              <w:rPr>
                <w:rFonts w:ascii="Arial" w:cs="Arial" w:eastAsia="Arial" w:hAnsi="Arial"/>
                <w:sz w:val="18"/>
                <w:szCs w:val="18"/>
                <w:color w:val="auto"/>
              </w:rPr>
              <w:t>70,033,318</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199,449</w:t>
            </w:r>
          </w:p>
        </w:tc>
        <w:tc>
          <w:tcPr>
            <w:tcW w:w="1640" w:type="dxa"/>
            <w:vAlign w:val="bottom"/>
          </w:tcPr>
          <w:p>
            <w:pPr>
              <w:jc w:val="right"/>
              <w:ind w:right="590"/>
              <w:spacing w:after="0"/>
              <w:rPr>
                <w:sz w:val="20"/>
                <w:szCs w:val="20"/>
                <w:color w:val="auto"/>
              </w:rPr>
            </w:pPr>
            <w:r>
              <w:rPr>
                <w:rFonts w:ascii="Arial" w:cs="Arial" w:eastAsia="Arial" w:hAnsi="Arial"/>
                <w:sz w:val="18"/>
                <w:szCs w:val="18"/>
                <w:color w:val="auto"/>
              </w:rPr>
              <w:t>12,106</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Advisory vote on the compensation of our named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executive officers</w:t>
            </w: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63,161,869</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2,669,339</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38,557</w:t>
            </w:r>
          </w:p>
        </w:tc>
        <w:tc>
          <w:tcPr>
            <w:tcW w:w="1080" w:type="dxa"/>
            <w:vAlign w:val="bottom"/>
          </w:tcPr>
          <w:p>
            <w:pPr>
              <w:jc w:val="right"/>
              <w:spacing w:after="0"/>
              <w:rPr>
                <w:sz w:val="20"/>
                <w:szCs w:val="20"/>
                <w:color w:val="auto"/>
              </w:rPr>
            </w:pPr>
            <w:r>
              <w:rPr>
                <w:rFonts w:ascii="Arial" w:cs="Arial" w:eastAsia="Arial" w:hAnsi="Arial"/>
                <w:sz w:val="18"/>
                <w:szCs w:val="18"/>
                <w:color w:val="auto"/>
              </w:rPr>
              <w:t>4,375,108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April 28, 2015 we issued a press release announcing that our Board of Directors declared a semi-annual dividend of $0.80 per share. The dividend will be paid on June 15, 2015 to shareholders of record as of the close of business on June 1, 2015. 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59"/>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10040" w:type="dxa"/>
            <w:vAlign w:val="bottom"/>
          </w:tcPr>
          <w:p>
            <w:pPr>
              <w:ind w:left="800"/>
              <w:spacing w:after="0"/>
              <w:rPr>
                <w:sz w:val="20"/>
                <w:szCs w:val="20"/>
                <w:color w:val="auto"/>
              </w:rPr>
            </w:pPr>
            <w:r>
              <w:rPr>
                <w:rFonts w:ascii="Arial" w:cs="Arial" w:eastAsia="Arial" w:hAnsi="Arial"/>
                <w:sz w:val="18"/>
                <w:szCs w:val="18"/>
                <w:color w:val="auto"/>
              </w:rPr>
              <w:t>Press Release dated April 28, 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6940" w:type="dxa"/>
            <w:vAlign w:val="bottom"/>
            <w:gridSpan w:val="2"/>
          </w:tcPr>
          <w:p>
            <w:pPr>
              <w:ind w:left="1760"/>
              <w:spacing w:after="0"/>
              <w:rPr>
                <w:sz w:val="20"/>
                <w:szCs w:val="20"/>
                <w:color w:val="auto"/>
              </w:rPr>
            </w:pPr>
            <w:r>
              <w:rPr>
                <w:rFonts w:ascii="Arial" w:cs="Arial" w:eastAsia="Arial" w:hAnsi="Arial"/>
                <w:sz w:val="18"/>
                <w:szCs w:val="18"/>
                <w:color w:val="auto"/>
              </w:rPr>
              <w:t>MANPOWERGROUP INC.</w:t>
            </w:r>
          </w:p>
        </w:tc>
      </w:tr>
      <w:tr>
        <w:trPr>
          <w:trHeight w:val="439"/>
        </w:trPr>
        <w:tc>
          <w:tcPr>
            <w:tcW w:w="3020" w:type="dxa"/>
            <w:vAlign w:val="bottom"/>
          </w:tcPr>
          <w:p>
            <w:pPr>
              <w:spacing w:after="0"/>
              <w:rPr>
                <w:sz w:val="20"/>
                <w:szCs w:val="20"/>
                <w:color w:val="auto"/>
              </w:rPr>
            </w:pPr>
            <w:r>
              <w:rPr>
                <w:rFonts w:ascii="Arial" w:cs="Arial" w:eastAsia="Arial" w:hAnsi="Arial"/>
                <w:sz w:val="18"/>
                <w:szCs w:val="18"/>
                <w:color w:val="auto"/>
              </w:rPr>
              <w:t>Dated: 4-29-2015</w:t>
            </w:r>
          </w:p>
        </w:tc>
        <w:tc>
          <w:tcPr>
            <w:tcW w:w="2300" w:type="dxa"/>
            <w:vAlign w:val="bottom"/>
          </w:tcPr>
          <w:p>
            <w:pPr>
              <w:ind w:left="17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Buchband</w:t>
            </w:r>
          </w:p>
        </w:tc>
      </w:tr>
      <w:tr>
        <w:trPr>
          <w:trHeight w:val="202"/>
        </w:trPr>
        <w:tc>
          <w:tcPr>
            <w:tcW w:w="3020" w:type="dxa"/>
            <w:vAlign w:val="bottom"/>
          </w:tcPr>
          <w:p>
            <w:pPr>
              <w:spacing w:after="0"/>
              <w:rPr>
                <w:sz w:val="17"/>
                <w:szCs w:val="17"/>
                <w:color w:val="auto"/>
              </w:rPr>
            </w:pPr>
          </w:p>
        </w:tc>
        <w:tc>
          <w:tcPr>
            <w:tcW w:w="2300" w:type="dxa"/>
            <w:vAlign w:val="bottom"/>
          </w:tcPr>
          <w:p>
            <w:pPr>
              <w:ind w:left="1760"/>
              <w:spacing w:after="0" w:line="201" w:lineRule="exact"/>
              <w:rPr>
                <w:sz w:val="20"/>
                <w:szCs w:val="20"/>
                <w:color w:val="auto"/>
              </w:rPr>
            </w:pPr>
            <w:r>
              <w:rPr>
                <w:rFonts w:ascii="Arial" w:cs="Arial" w:eastAsia="Arial" w:hAnsi="Arial"/>
                <w:sz w:val="18"/>
                <w:szCs w:val="18"/>
                <w:color w:val="auto"/>
                <w:w w:val="98"/>
              </w:rPr>
              <w:t>Name:</w:t>
            </w:r>
          </w:p>
        </w:tc>
        <w:tc>
          <w:tcPr>
            <w:tcW w:w="4640" w:type="dxa"/>
            <w:vAlign w:val="bottom"/>
          </w:tcPr>
          <w:p>
            <w:pPr>
              <w:ind w:left="140"/>
              <w:spacing w:after="0" w:line="201" w:lineRule="exact"/>
              <w:rPr>
                <w:sz w:val="20"/>
                <w:szCs w:val="20"/>
                <w:color w:val="auto"/>
              </w:rPr>
            </w:pPr>
            <w:r>
              <w:rPr>
                <w:rFonts w:ascii="Arial" w:cs="Arial" w:eastAsia="Arial" w:hAnsi="Arial"/>
                <w:sz w:val="18"/>
                <w:szCs w:val="18"/>
                <w:color w:val="auto"/>
              </w:rPr>
              <w:t>Richard Buchband</w:t>
            </w:r>
          </w:p>
        </w:tc>
      </w:tr>
      <w:tr>
        <w:trPr>
          <w:trHeight w:val="230"/>
        </w:trPr>
        <w:tc>
          <w:tcPr>
            <w:tcW w:w="3020" w:type="dxa"/>
            <w:vAlign w:val="bottom"/>
          </w:tcPr>
          <w:p>
            <w:pPr>
              <w:spacing w:after="0"/>
              <w:rPr>
                <w:sz w:val="20"/>
                <w:szCs w:val="20"/>
                <w:color w:val="auto"/>
              </w:rPr>
            </w:pPr>
          </w:p>
        </w:tc>
        <w:tc>
          <w:tcPr>
            <w:tcW w:w="2300" w:type="dxa"/>
            <w:vAlign w:val="bottom"/>
          </w:tcPr>
          <w:p>
            <w:pPr>
              <w:ind w:left="1760"/>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756" w:right="239" w:bottom="616"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403860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28, 2015</w:t>
      </w:r>
    </w:p>
    <w:p>
      <w:pPr>
        <w:sectPr>
          <w:pgSz w:w="11900" w:h="16838" w:orient="portrait"/>
          <w:cols w:equalWidth="0" w:num="1">
            <w:col w:w="10219"/>
          </w:cols>
          <w:pgMar w:left="240" w:top="10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105473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ind w:left="100"/>
              <w:spacing w:after="0"/>
              <w:rPr>
                <w:sz w:val="20"/>
                <w:szCs w:val="20"/>
                <w:color w:val="auto"/>
              </w:rPr>
            </w:pPr>
            <w:r>
              <w:rPr>
                <w:rFonts w:ascii="Arial" w:cs="Arial" w:eastAsia="Arial" w:hAnsi="Arial"/>
                <w:sz w:val="18"/>
                <w:szCs w:val="18"/>
                <w:b w:val="1"/>
                <w:bCs w:val="1"/>
                <w:color w:val="auto"/>
              </w:rPr>
              <w:t>FOR IMMEDIATE</w:t>
            </w:r>
          </w:p>
        </w:tc>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CONTACT:</w:t>
            </w:r>
          </w:p>
        </w:tc>
        <w:tc>
          <w:tcPr>
            <w:tcW w:w="0" w:type="dxa"/>
            <w:vAlign w:val="bottom"/>
          </w:tcPr>
          <w:p>
            <w:pPr>
              <w:spacing w:after="0"/>
              <w:rPr>
                <w:sz w:val="1"/>
                <w:szCs w:val="1"/>
                <w:color w:val="auto"/>
              </w:rPr>
            </w:pPr>
          </w:p>
        </w:tc>
      </w:tr>
      <w:tr>
        <w:trPr>
          <w:trHeight w:val="126"/>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RELEASE</w:t>
            </w:r>
          </w:p>
        </w:tc>
        <w:tc>
          <w:tcPr>
            <w:tcW w:w="3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vMerge w:val="continue"/>
          </w:tcPr>
          <w:p>
            <w:pPr>
              <w:spacing w:after="0"/>
              <w:rPr>
                <w:sz w:val="9"/>
                <w:szCs w:val="9"/>
                <w:color w:val="auto"/>
              </w:rPr>
            </w:pPr>
          </w:p>
        </w:tc>
        <w:tc>
          <w:tcPr>
            <w:tcW w:w="3060" w:type="dxa"/>
            <w:vAlign w:val="bottom"/>
            <w:vMerge w:val="restart"/>
          </w:tcPr>
          <w:p>
            <w:pPr>
              <w:spacing w:after="0"/>
              <w:rPr>
                <w:sz w:val="20"/>
                <w:szCs w:val="20"/>
                <w:color w:val="auto"/>
              </w:rPr>
            </w:pPr>
            <w:r>
              <w:rPr>
                <w:rFonts w:ascii="Arial" w:cs="Arial" w:eastAsia="Arial" w:hAnsi="Arial"/>
                <w:sz w:val="18"/>
                <w:szCs w:val="18"/>
                <w:color w:val="auto"/>
              </w:rPr>
              <w:t>Mike Van Handel</w:t>
            </w: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3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060" w:type="dxa"/>
            <w:vAlign w:val="bottom"/>
          </w:tcPr>
          <w:p>
            <w:pPr>
              <w:jc w:val="right"/>
              <w:ind w:right="1710"/>
              <w:spacing w:after="0"/>
              <w:rPr>
                <w:sz w:val="20"/>
                <w:szCs w:val="20"/>
                <w:color w:val="auto"/>
              </w:rPr>
            </w:pPr>
            <w:r>
              <w:rPr>
                <w:rFonts w:ascii="Arial" w:cs="Arial" w:eastAsia="Arial" w:hAnsi="Arial"/>
                <w:sz w:val="18"/>
                <w:szCs w:val="18"/>
                <w:color w:val="auto"/>
                <w:w w:val="91"/>
              </w:rPr>
              <w:t>+1.414.906.6305</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30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Michael.vanhandel@manpowergroup.com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Increases Dividend 63 Percent</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MILWAUKEE (APRIL 28, 2015) – </w:t>
      </w:r>
      <w:r>
        <w:rPr>
          <w:rFonts w:ascii="Arial" w:cs="Arial" w:eastAsia="Arial" w:hAnsi="Arial"/>
          <w:sz w:val="18"/>
          <w:szCs w:val="18"/>
          <w:color w:val="auto"/>
        </w:rPr>
        <w:t>The Board of Directors of ManpowerGroup (NYSE: MAN) has declared a semi-annual dividend of 80 cents per share, a</w:t>
      </w:r>
      <w:r>
        <w:rPr>
          <w:rFonts w:ascii="Arial" w:cs="Arial" w:eastAsia="Arial" w:hAnsi="Arial"/>
          <w:sz w:val="18"/>
          <w:szCs w:val="18"/>
          <w:b w:val="1"/>
          <w:bCs w:val="1"/>
          <w:color w:val="auto"/>
        </w:rPr>
        <w:t xml:space="preserve"> </w:t>
      </w:r>
      <w:r>
        <w:rPr>
          <w:rFonts w:ascii="Arial" w:cs="Arial" w:eastAsia="Arial" w:hAnsi="Arial"/>
          <w:sz w:val="18"/>
          <w:szCs w:val="18"/>
          <w:color w:val="auto"/>
        </w:rPr>
        <w:t>63 percent increase from the most recent dividend of 49 cents per share.</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increase in our semi-annual dividend reflects our ongoing commitment to return value to our shareholders as well as our confidence in our strong financial position," said Jonas Prising, ManpowerGroup CEO.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dividend is payable on June 15, 2015 to shareholders of record as of the close of business on June 1, 2015.</w:t>
      </w:r>
    </w:p>
    <w:p>
      <w:pPr>
        <w:spacing w:after="0" w:line="252"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 xml:space="preserve">Additional financial information about ManpowerGroup, including stock history and annual shareholder reports, can be found at </w:t>
      </w:r>
      <w:r>
        <w:rPr>
          <w:rFonts w:ascii="Arial" w:cs="Arial" w:eastAsia="Arial" w:hAnsi="Arial"/>
          <w:sz w:val="18"/>
          <w:szCs w:val="18"/>
          <w:u w:val="single" w:color="auto"/>
          <w:color w:val="auto"/>
        </w:rPr>
        <w:t>http://www.manpowergroup.com/investors/investors.cfm</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ManpowerGroup® (NYSE: MAN) is the world’s workforce expert, creating innovative workforce solutions for more than 65 years. As workforce experts, we connect more than 600,000 people to meaningful work across a wide range of skills and industries every day. Through our ManpowerGroup family of brands</w:t>
      </w:r>
    </w:p>
    <w:p>
      <w:pPr>
        <w:ind w:right="60"/>
        <w:spacing w:after="0" w:line="295" w:lineRule="auto"/>
        <w:rPr>
          <w:sz w:val="20"/>
          <w:szCs w:val="20"/>
          <w:color w:val="auto"/>
        </w:rPr>
      </w:pPr>
      <w:r>
        <w:rPr>
          <w:rFonts w:ascii="Arial" w:cs="Arial" w:eastAsia="Arial" w:hAnsi="Arial"/>
          <w:sz w:val="16"/>
          <w:szCs w:val="16"/>
          <w:color w:val="auto"/>
        </w:rPr>
        <w:t xml:space="preserve">– Manpower®, Experis®, Right Management ® and ManpowerGroup® Solutions – we help more than 400,000 clients in 80 countries and territories address their critical talent needs, providing comprehensive solutions to resource, manage and develop talent. In 2015, ManpowerGroup was named one of the World’s Most Ethical Companies for the fifth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auto"/>
        </w:rPr>
        <w:t>www.manpowergroup.com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This news release contains statements, including with respect to the Company’s future financial position,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2014,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 100 Manpower Place, Milwaukee, WI 53212 • USA • Phone +1.414.961.1000 • www.manpowergroup.com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2019-12-06T05:29:18Z</dcterms:created>
  <dcterms:modified xsi:type="dcterms:W3CDTF">2019-12-06T05:29:18Z</dcterms:modified>
</cp:coreProperties>
</file>