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March 31, 2013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06" w:right="239" w:bottom="1440" w:gutter="0" w:footer="0" w:header="0"/>
        </w:sectPr>
      </w:pPr>
    </w:p>
    <w:p>
      <w:pPr>
        <w:spacing w:after="0" w:line="232"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206" w:right="239" w:bottom="1440" w:gutter="0" w:footer="0" w:header="0"/>
          <w:type w:val="continuous"/>
        </w:sectPr>
      </w:pPr>
    </w:p>
    <w:p>
      <w:pPr>
        <w:spacing w:after="0" w:line="18"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540" w:space="720"/>
            <w:col w:w="4160"/>
          </w:cols>
          <w:pgMar w:left="240" w:top="206"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920" w:space="720"/>
            <w:col w:w="1960" w:space="100"/>
            <w:col w:w="3720"/>
          </w:cols>
          <w:pgMar w:left="240" w:top="2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06"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22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92"/>
              </w:rPr>
              <w:t>at May 1, 2013</w:t>
            </w:r>
          </w:p>
        </w:tc>
      </w:tr>
      <w:tr>
        <w:trPr>
          <w:trHeight w:val="230"/>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Common Stock, $.01 par value</w:t>
            </w:r>
          </w:p>
        </w:tc>
        <w:tc>
          <w:tcPr>
            <w:tcW w:w="61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88"/>
              </w:rPr>
              <w:t>77,130,718</w:t>
            </w:r>
          </w:p>
        </w:tc>
      </w:tr>
      <w:tr>
        <w:trPr>
          <w:trHeight w:val="1346"/>
        </w:trPr>
        <w:tc>
          <w:tcPr>
            <w:tcW w:w="222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ManpowerGroup Inc.</w:t>
            </w:r>
          </w:p>
        </w:tc>
        <w:tc>
          <w:tcPr>
            <w:tcW w:w="3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300" w:type="dxa"/>
            <w:vAlign w:val="bottom"/>
            <w:gridSpan w:val="2"/>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Financial Statements (unaudited)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Consolidated Balance Sheets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Consolidated Statements of Operations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Consolidated Statements of Comprehensive (Loss) Income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Consolidated Statements of Cash Flows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Quantitative and Qualitative Disclosures About Market Risk</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Controls and Procedures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20" w:type="dxa"/>
            <w:vAlign w:val="bottom"/>
            <w:gridSpan w:val="3"/>
          </w:tcPr>
          <w:p>
            <w:pPr>
              <w:ind w:left="44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Unregistered Sales of Equity Securities and Use of Proceeds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Item 5</w:t>
            </w:r>
          </w:p>
        </w:tc>
        <w:tc>
          <w:tcPr>
            <w:tcW w:w="8320" w:type="dxa"/>
            <w:vAlign w:val="bottom"/>
            <w:gridSpan w:val="3"/>
          </w:tcPr>
          <w:p>
            <w:pPr>
              <w:ind w:left="440"/>
              <w:spacing w:after="0"/>
              <w:rPr>
                <w:sz w:val="20"/>
                <w:szCs w:val="20"/>
                <w:color w:val="auto"/>
              </w:rPr>
            </w:pPr>
            <w:r>
              <w:rPr>
                <w:rFonts w:ascii="Arial" w:cs="Arial" w:eastAsia="Arial" w:hAnsi="Arial"/>
                <w:sz w:val="18"/>
                <w:szCs w:val="18"/>
                <w:color w:val="auto"/>
              </w:rPr>
              <w:t>Other Information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Exhibits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3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3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3"/>
              </w:rPr>
              <w:t>ManpowerGroup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$111.6 and $118.0, respectively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4,885.8</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$221.0 and $213.2, respectively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Arial" w:cs="Arial" w:eastAsia="Arial" w:hAnsi="Arial"/>
                <w:sz w:val="18"/>
                <w:szCs w:val="18"/>
                <w:color w:val="auto"/>
              </w:rPr>
              <w:t>Total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6,803.3</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1,470.0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3,475.1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 par value, authorized 125,000,000 shares, issued 109,965,533 and 109,543,492 shares,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2,890.1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32,901,506 and 32,896,063 shares, respectively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shareholders’ equity</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6,803.3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4,768.9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3,978.8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earnings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8600" w:type="dxa"/>
            <w:vAlign w:val="bottom"/>
            <w:tcBorders>
              <w:top w:val="single" w:sz="8" w:color="CCEEFF"/>
            </w:tcBorders>
          </w:tcPr>
          <w:p>
            <w:pPr>
              <w:jc w:val="center"/>
              <w:ind w:left="2710"/>
              <w:spacing w:after="0"/>
              <w:rPr>
                <w:sz w:val="20"/>
                <w:szCs w:val="20"/>
                <w:color w:val="auto"/>
              </w:rPr>
            </w:pPr>
            <w:r>
              <w:rPr>
                <w:rFonts w:ascii="Arial" w:cs="Arial" w:eastAsia="Arial" w:hAnsi="Arial"/>
                <w:sz w:val="18"/>
                <w:szCs w:val="18"/>
                <w:b w:val="1"/>
                <w:bCs w:val="1"/>
                <w:color w:val="auto"/>
                <w:w w:val="93"/>
              </w:rPr>
              <w:t>ManpowerGroup Inc.</w:t>
            </w: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89"/>
              </w:rPr>
              <w:t>Consolidated Statements of Comprehensive (Loss) Income (Unaudited)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1"/>
              </w:rPr>
              <w:t>(in millions)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20"/>
              <w:spacing w:after="0"/>
              <w:rPr>
                <w:sz w:val="20"/>
                <w:szCs w:val="20"/>
                <w:color w:val="auto"/>
              </w:rPr>
            </w:pPr>
            <w:r>
              <w:rPr>
                <w:rFonts w:ascii="Arial" w:cs="Arial" w:eastAsia="Arial" w:hAnsi="Arial"/>
                <w:sz w:val="18"/>
                <w:szCs w:val="18"/>
                <w:color w:val="auto"/>
                <w:w w:val="97"/>
              </w:rPr>
              <w:t>Translation adjustments on net investment hedge, less income taxes of $7.4 and $(7.1),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Translation adjustments of long-term intercompany loans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Unrealized gain on investments, less income taxes of $0.4 and $0.8,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w w:val="93"/>
              </w:rPr>
              <w:t>Amortization of net loss included in pension plan net periodic benefit cost, less income taxes of $0.0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$0.1, respectively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Excess tax benefit on exercise of share-based awards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share-based award transactions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583.4</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 (refunded) paid,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ManpowerGroup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2013 and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2012 Annual Report to Shareholders.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2011, the FASB issued new accounting guidance on balance sheet offsetting. The new guidance requires an entity to disclose both gross information and net information about instruments and transactions eligible for offset in the statement of financial position. It also requires disclosures on instruments and transactions subject to an agreement similar to a master netting agreement. We adopted this guidance effective January 1, 2013. There was no impact of this adoption on our Consolidated Financial Statements.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2012, the FASB issued new accounting guidance on testing indefinite-lived intangible assets other than goodwill for impairment. The new guidance allows entities the option to first assess qualitative factors to determine whether it is necessary to perform the quantitative impairment test. An entity electing to perform a qualitative assessment is no longer required to calculate the fair value of an indefinite-lived intangible asset unless the entity determines, based on a qualitative assessment, that it is “more likely than not” that the asset is impaired. We adopted this guidance effective January 1, 2013. We perform annual impairment tests in the third quarter of each year. The application of the guidance to our annual impairment tests is not expected to have a significant impact on our Consolidated Financial Statements.</w:t>
      </w:r>
    </w:p>
    <w:p>
      <w:pPr>
        <w:spacing w:after="0" w:line="2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February 2013, the FASB issued new accounting guidance on comprehensive income. The new guidance requires an entity to provide information about the changes in accumulated other comprehensive income by component. An entity is also required to present significant amounts reclassified out of accumulated other comprehensive income by the respective line items of net income. We adopted this guidance effective January 1, 2013. There was no material impact of this adoption on our Consolidated Financial Statements.</w:t>
      </w:r>
    </w:p>
    <w:p>
      <w:pPr>
        <w:spacing w:after="0" w:line="2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The guidance is effective for us in 2014. We are currently assessing the impact of the adoption of this guidance on our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 w:name="page8"/>
    <w:bookmarkEnd w:id="7"/>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2013 and 2012, we recognized share-based compensation expense of approximately $6.5 and $6.9, respectively, related to stock options, deferred stock, restricted stock and performance share units. Consideration received from share-based awards was $10.2 and $3.5 for the three months ended March 31, 2013 and 2012, respectively. We recognize share-based compensation expense in selling and administrative expenses on a straight-line basis over the service period of each award.</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annual grant of share-based compensation generally takes place during the first quarter of each fiscal year. The number of shares underlying grants to all employees and the weighted-average fair value per share for shares granted during the first quarter of 2013 and 2012 are presented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3 Months Ended March 31,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1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3"/>
              </w:rPr>
              <w:t>Wtd.-Avg. Per</w:t>
            </w:r>
          </w:p>
        </w:tc>
        <w:tc>
          <w:tcPr>
            <w:tcW w:w="200" w:type="dxa"/>
            <w:vAlign w:val="bottom"/>
          </w:tcPr>
          <w:p>
            <w:pPr>
              <w:spacing w:after="0"/>
              <w:rPr>
                <w:sz w:val="17"/>
                <w:szCs w:val="17"/>
                <w:color w:val="auto"/>
              </w:rPr>
            </w:pPr>
          </w:p>
        </w:tc>
        <w:tc>
          <w:tcPr>
            <w:tcW w:w="124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Wtd.-Avg. Per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Stock Units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35.75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44.81</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Shares 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$0.0 and $1.5 for the first quarter of 2013 and 2012, respectively. For the acquisitions completed during the first quarter of 2013, our cash payments were fully offset by the cash acquired.</w:t>
      </w:r>
    </w:p>
    <w:p>
      <w:pPr>
        <w:spacing w:after="0" w:line="200" w:lineRule="exact"/>
        <w:rPr>
          <w:sz w:val="20"/>
          <w:szCs w:val="20"/>
          <w:color w:val="auto"/>
        </w:rPr>
      </w:pPr>
    </w:p>
    <w:p>
      <w:pPr>
        <w:spacing w:after="0" w:line="22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recorded net restructuring costs of $34.8 and $0.1 in the first quarter of 2013 and 2012, respectively, in selling and administrative expenses, related to severances and office closures. During the first quarter of 2013, we made payments of $24.8 out of our restructuring reserve. We expect a majority of the remaining $51.4 reserve will be paid in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8"/>
              </w:rPr>
              <w:t>Americas</w:t>
            </w:r>
            <w:r>
              <w:rPr>
                <w:rFonts w:ascii="Arial" w:cs="Arial" w:eastAsia="Arial" w:hAnsi="Arial"/>
                <w:sz w:val="25"/>
                <w:szCs w:val="25"/>
                <w:color w:val="auto"/>
                <w:w w:val="98"/>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Severance costs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closure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Balance, March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the United States were $3.8 and $4.1 as of January 1, 2013 and March 31, 2013, respectively.</w:t>
      </w:r>
    </w:p>
    <w:p>
      <w:pPr>
        <w:spacing w:after="0" w:line="23" w:lineRule="exact"/>
        <w:rPr>
          <w:rFonts w:ascii="Arial" w:cs="Arial" w:eastAsia="Arial" w:hAnsi="Arial"/>
          <w:sz w:val="18"/>
          <w:szCs w:val="18"/>
          <w:color w:val="auto"/>
        </w:rPr>
      </w:pPr>
    </w:p>
    <w:p>
      <w:pPr>
        <w:ind w:right="40" w:firstLine="8"/>
        <w:spacing w:after="0" w:line="261"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related to France were $3.8 and $3.5 as of January 1, 2013 and March 31, 2013, respectively. Balances related to Italy were $0.9 and $0.2 as of January 1, 2013 and March 31, 2013,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recorded an income tax expense at an effective rate of 44.3% for the three months ended March 31, 2013, as compared to an effective rate of 50.9% for the three months ended March 31, 2012. The 2013 rate was favorably impacted by the 2012 United States Federal Work Opportunity Credit (“WOTC”) which was enacted in January of 2013, retroactive to January 1, 2012, and unfavorably impacted by the restructuring charges in the quarter (which have a relatively lower effective tax rate benefit) and the French business tax. Excluding these items, our tax rate for the first quarter of 2013 and 2012 would have been approximately 32% and 38%, respectively. The rate decreased for 2013 primarily due to the tax effects of repatriations from non-United States entities and a lower amount of non-United States taxes. The 44.3% effective tax rate in the quarter was higher than the United States Federal statutory rate of 35%, and we currently expect an annual effective tax rate of approximately 40%, due primarily to the impact of valuation allowances, other permanent items and the French business tax.</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2013, we had gross unrecognized tax benefits related to various tax jurisdictions, including interest and penalties, of $28.6. We had related tax benefits of $2.5, and the net amount of $26.1 would favorably affect the effective tax rate if recognized. As of December 31, 2012, we had gross unrecognized tax benefits related to various tax jurisdictions, including interest and penalties, of $28.5. We had related tax benefits of $2.5 for a net amount of $26.0. We do not expect our unrecognized tax benefits to change significantly over the next 12 months.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2009 through 2011 for our major operations in Germany, Italy, France, Japan, United States and United Kingdom. As of March 31, 2013, we are subject to tax audits in France, Germany, Denmark, Austria, Italy, Norway and Spain. We believe that the resolution of these audits will not have a material impact on earnings.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Arial" w:cs="Arial" w:eastAsia="Arial" w:hAnsi="Arial"/>
                <w:sz w:val="18"/>
                <w:szCs w:val="18"/>
                <w:color w:val="auto"/>
              </w:rPr>
              <w:t>(7) Net Earnings Per Share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60" w:type="dxa"/>
            <w:vAlign w:val="bottom"/>
            <w:gridSpan w:val="4"/>
          </w:tcPr>
          <w:p>
            <w:pPr>
              <w:spacing w:after="0"/>
              <w:rPr>
                <w:sz w:val="20"/>
                <w:szCs w:val="20"/>
                <w:color w:val="auto"/>
              </w:rPr>
            </w:pPr>
            <w:r>
              <w:rPr>
                <w:rFonts w:ascii="Arial" w:cs="Arial" w:eastAsia="Arial" w:hAnsi="Arial"/>
                <w:sz w:val="18"/>
                <w:szCs w:val="18"/>
                <w:color w:val="auto"/>
                <w:w w:val="98"/>
              </w:rPr>
              <w:t>The calculation of net earnings per share – basic and net earnings per share – diluted were as follows: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360"/>
              <w:spacing w:after="0"/>
              <w:rPr>
                <w:sz w:val="20"/>
                <w:szCs w:val="20"/>
                <w:color w:val="auto"/>
              </w:rPr>
            </w:pPr>
            <w:r>
              <w:rPr>
                <w:rFonts w:ascii="Arial" w:cs="Arial" w:eastAsia="Arial" w:hAnsi="Arial"/>
                <w:sz w:val="18"/>
                <w:szCs w:val="18"/>
                <w:b w:val="1"/>
                <w:bCs w:val="1"/>
                <w:color w:val="auto"/>
              </w:rPr>
              <w:t>3 Months Ended</w:t>
            </w: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Net earnings available to common shareholders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Net earnings available to common shareholders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Effect of dilutive securities – stock options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Effect of other share-based awards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3.4 million and 4.1 million share-based awards excluded from the calculation of net earnings per share – diluted for the three months ended March 31, 2013 and 2012, respectively, as the exercise price for these awards was greater than the average market price of the common shares during the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3"/>
              </w:rPr>
              <w:t>March 31, 2013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2012</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Finite-lived: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165.1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Indefinite-lived:</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line="216" w:lineRule="exact"/>
              <w:rPr>
                <w:sz w:val="20"/>
                <w:szCs w:val="20"/>
                <w:color w:val="auto"/>
              </w:rPr>
            </w:pPr>
            <w:r>
              <w:rPr>
                <w:rFonts w:ascii="Arial" w:cs="Arial" w:eastAsia="Arial" w:hAnsi="Arial"/>
                <w:sz w:val="18"/>
                <w:szCs w:val="18"/>
                <w:color w:val="auto"/>
              </w:rPr>
              <w:t>Tradenames</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March 31, 2013 and December 31, 2012.</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March 31, 2013 and December 31, 2012.</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2013 is expected to be $24.7 and in each of the next five years is expected to be as follows: 2014- $28.0, 2015 - $24.8, 2016 - $20.7, 2017 - $18.8 and 2018 - $16.9.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Right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color w:val="auto"/>
                <w:w w:val="86"/>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Management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line="234" w:lineRule="exact"/>
              <w:rPr>
                <w:sz w:val="20"/>
                <w:szCs w:val="20"/>
                <w:color w:val="auto"/>
              </w:rPr>
            </w:pPr>
            <w:r>
              <w:rPr>
                <w:rFonts w:ascii="Arial" w:cs="Arial" w:eastAsia="Arial" w:hAnsi="Arial"/>
                <w:sz w:val="18"/>
                <w:szCs w:val="18"/>
                <w:b w:val="1"/>
                <w:bCs w:val="1"/>
                <w:color w:val="auto"/>
                <w:w w:val="95"/>
              </w:rPr>
              <w:t>Corporate</w:t>
            </w:r>
            <w:r>
              <w:rPr>
                <w:rFonts w:ascii="Arial" w:cs="Arial" w:eastAsia="Arial" w:hAnsi="Arial"/>
                <w:sz w:val="25"/>
                <w:szCs w:val="25"/>
                <w:color w:val="auto"/>
                <w:w w:val="95"/>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5"/>
              </w:rPr>
              <w:t>Balance, March 31, 2013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466.7</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the United States were $448.5 as of both January 1, 2013 and March 31, 2013.</w:t>
      </w:r>
    </w:p>
    <w:p>
      <w:pPr>
        <w:spacing w:after="0" w:line="23" w:lineRule="exact"/>
        <w:rPr>
          <w:rFonts w:ascii="Arial" w:cs="Arial" w:eastAsia="Arial" w:hAnsi="Arial"/>
          <w:sz w:val="18"/>
          <w:szCs w:val="18"/>
          <w:color w:val="auto"/>
        </w:rPr>
      </w:pPr>
    </w:p>
    <w:p>
      <w:pPr>
        <w:ind w:right="100" w:firstLine="8"/>
        <w:spacing w:after="0" w:line="250"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France were $83.8 and $81.4 as of January 1, 2013 and March 31, 2013, respectively. Balances related to Italy were $5.5 and $5.3 as of January 1, 2013 and March 31, 2013, respectively.</w:t>
      </w:r>
    </w:p>
    <w:p>
      <w:pPr>
        <w:ind w:right="160" w:firstLine="8"/>
        <w:spacing w:after="0" w:line="254"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from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Netherlands (Vitae)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Right Management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reporting units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1,041.3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first quarter of 2013 as we noted no significant indicators of impairment as of March 31, 2013.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860" w:type="dxa"/>
            <w:vAlign w:val="bottom"/>
            <w:gridSpan w:val="4"/>
          </w:tcPr>
          <w:p>
            <w:pPr>
              <w:spacing w:after="0"/>
              <w:rPr>
                <w:sz w:val="20"/>
                <w:szCs w:val="20"/>
                <w:color w:val="auto"/>
              </w:rPr>
            </w:pPr>
            <w:r>
              <w:rPr>
                <w:rFonts w:ascii="Arial" w:cs="Arial" w:eastAsia="Arial" w:hAnsi="Arial"/>
                <w:sz w:val="18"/>
                <w:szCs w:val="18"/>
                <w:color w:val="auto"/>
                <w:w w:val="94"/>
              </w:rPr>
              <w:t>The components of the net periodic benefit cost for our plans were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8"/>
              </w:rPr>
              <w:t>3 Months Ended March 31,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jc w:val="right"/>
              <w:ind w:right="250"/>
              <w:spacing w:after="0" w:line="198" w:lineRule="exact"/>
              <w:rPr>
                <w:sz w:val="20"/>
                <w:szCs w:val="20"/>
                <w:color w:val="auto"/>
              </w:rPr>
            </w:pPr>
            <w:r>
              <w:rPr>
                <w:rFonts w:ascii="Arial" w:cs="Arial" w:eastAsia="Arial" w:hAnsi="Arial"/>
                <w:sz w:val="18"/>
                <w:szCs w:val="18"/>
                <w:b w:val="1"/>
                <w:bCs w:val="1"/>
                <w:color w:val="auto"/>
              </w:rPr>
              <w:t>Defined Benefit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right"/>
              <w:ind w:right="590"/>
              <w:spacing w:after="0" w:line="198" w:lineRule="exact"/>
              <w:rPr>
                <w:sz w:val="20"/>
                <w:szCs w:val="20"/>
                <w:color w:val="auto"/>
              </w:rPr>
            </w:pPr>
            <w:r>
              <w:rPr>
                <w:rFonts w:ascii="Arial" w:cs="Arial" w:eastAsia="Arial" w:hAnsi="Arial"/>
                <w:sz w:val="18"/>
                <w:szCs w:val="18"/>
                <w:b w:val="1"/>
                <w:bCs w:val="1"/>
                <w:color w:val="auto"/>
              </w:rPr>
              <w:t>Retiree Health</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Care Plan</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10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Effective January 1, 2013, we amended a defined benefit plan in the Netherlands. The defined benefit plan was frozen, and the participants were transitioned to a defined contribution plan. In April 2013, following the approval by the local Workers’ Council, we recognized a curtailment gain of €1.8 ($2.3) related to this amendment.</w:t>
      </w:r>
    </w:p>
    <w:p>
      <w:pPr>
        <w:spacing w:after="0" w:line="20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the three months ended March 31, 2013, contributions made to our pension plans were $4.0 and contributions made to our retiree health care plan were $0.5. During 2013, we expect to make total contributions of $18.0 to our pension plans and to fund our retiree health care payments as incurred.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spacing w:after="0"/>
              <w:rPr>
                <w:sz w:val="20"/>
                <w:szCs w:val="20"/>
                <w:color w:val="auto"/>
              </w:rPr>
            </w:pPr>
            <w:r>
              <w:rPr>
                <w:rFonts w:ascii="Arial" w:cs="Arial" w:eastAsia="Arial" w:hAnsi="Arial"/>
                <w:sz w:val="18"/>
                <w:szCs w:val="18"/>
                <w:color w:val="auto"/>
              </w:rPr>
              <w:t>(10) Shareholders’ Equity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92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(loss) income, net of tax, were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Translation loss on net investment hedge, net of income taxes of $(23.9) and $(31.3), respectively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 on long-term intercompany loans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Unrealized gain on investments, net of income taxes of $4.3 and $3.9, respectively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 net of income taxes of $(22.6) for both dates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Retiree health care plan, net of income taxes of $(1.7) for both dates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April 30, 2013, the Board of Directors declared a semi-annual cash dividend of $0.46 per share, which is payable on June 14, 2013 to shareholders of record on June 3, 2013.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248"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3 Months Ended</w:t>
      </w:r>
    </w:p>
    <w:p>
      <w:pPr>
        <w:spacing w:after="0" w:line="5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5715</wp:posOffset>
            </wp:positionV>
            <wp:extent cx="1629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and other expenses</w:t>
      </w:r>
    </w:p>
    <w:p>
      <w:pPr>
        <w:spacing w:after="0" w:line="200" w:lineRule="exact"/>
        <w:rPr>
          <w:sz w:val="20"/>
          <w:szCs w:val="20"/>
          <w:color w:val="auto"/>
        </w:rPr>
      </w:pPr>
    </w:p>
    <w:p>
      <w:pPr>
        <w:spacing w:after="0" w:line="29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Derivative Financial Instruments and Fair Value Measurements</w:t>
      </w:r>
    </w:p>
    <w:p>
      <w:pPr>
        <w:spacing w:after="0" w:line="20" w:lineRule="exact"/>
        <w:rPr>
          <w:sz w:val="20"/>
          <w:szCs w:val="20"/>
          <w:color w:val="auto"/>
        </w:rPr>
      </w:pPr>
      <w:r>
        <w:rPr>
          <w:sz w:val="20"/>
          <w:szCs w:val="20"/>
          <w:color w:val="auto"/>
        </w:rPr>
        <w:br w:type="column"/>
      </w:r>
    </w:p>
    <w:p>
      <w:pPr>
        <w:ind w:left="401"/>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372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0" w:lineRule="exact"/>
        <w:rPr>
          <w:sz w:val="20"/>
          <w:szCs w:val="20"/>
          <w:color w:val="auto"/>
        </w:rPr>
      </w:pPr>
    </w:p>
    <w:p>
      <w:pPr>
        <w:ind w:left="841" w:hanging="841"/>
        <w:spacing w:after="0"/>
        <w:tabs>
          <w:tab w:leader="none" w:pos="8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10.7</w:t>
      </w:r>
    </w:p>
    <w:p>
      <w:pPr>
        <w:spacing w:after="0" w:line="23" w:lineRule="exact"/>
        <w:rPr>
          <w:rFonts w:ascii="Arial" w:cs="Arial" w:eastAsia="Arial" w:hAnsi="Arial"/>
          <w:sz w:val="18"/>
          <w:szCs w:val="18"/>
          <w:color w:val="auto"/>
        </w:rPr>
      </w:pPr>
    </w:p>
    <w:p>
      <w:pPr>
        <w:ind w:left="881"/>
        <w:spacing w:after="0"/>
        <w:rPr>
          <w:rFonts w:ascii="Arial" w:cs="Arial" w:eastAsia="Arial" w:hAnsi="Arial"/>
          <w:sz w:val="18"/>
          <w:szCs w:val="18"/>
          <w:color w:val="auto"/>
        </w:rPr>
      </w:pPr>
      <w:r>
        <w:rPr>
          <w:rFonts w:ascii="Arial" w:cs="Arial" w:eastAsia="Arial" w:hAnsi="Arial"/>
          <w:sz w:val="16"/>
          <w:szCs w:val="16"/>
          <w:color w:val="auto"/>
        </w:rPr>
        <w:t>(0.9)</w:t>
      </w:r>
    </w:p>
    <w:p>
      <w:pPr>
        <w:spacing w:after="0" w:line="32" w:lineRule="exact"/>
        <w:rPr>
          <w:rFonts w:ascii="Arial" w:cs="Arial" w:eastAsia="Arial" w:hAnsi="Arial"/>
          <w:sz w:val="18"/>
          <w:szCs w:val="18"/>
          <w:color w:val="auto"/>
        </w:rPr>
      </w:pPr>
    </w:p>
    <w:p>
      <w:pPr>
        <w:ind w:left="941"/>
        <w:spacing w:after="0"/>
        <w:rPr>
          <w:rFonts w:ascii="Arial" w:cs="Arial" w:eastAsia="Arial" w:hAnsi="Arial"/>
          <w:sz w:val="18"/>
          <w:szCs w:val="18"/>
          <w:color w:val="auto"/>
        </w:rPr>
      </w:pPr>
      <w:r>
        <w:rPr>
          <w:rFonts w:ascii="Arial" w:cs="Arial" w:eastAsia="Arial" w:hAnsi="Arial"/>
          <w:sz w:val="18"/>
          <w:szCs w:val="18"/>
          <w:color w:val="auto"/>
        </w:rPr>
        <w:t>0.4</w:t>
      </w:r>
    </w:p>
    <w:p>
      <w:pPr>
        <w:spacing w:after="0" w:line="9" w:lineRule="exact"/>
        <w:rPr>
          <w:rFonts w:ascii="Arial" w:cs="Arial" w:eastAsia="Arial" w:hAnsi="Arial"/>
          <w:sz w:val="18"/>
          <w:szCs w:val="18"/>
          <w:color w:val="auto"/>
        </w:rPr>
      </w:pPr>
    </w:p>
    <w:p>
      <w:pPr>
        <w:ind w:left="941"/>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 w:lineRule="exact"/>
        <w:rPr>
          <w:sz w:val="20"/>
          <w:szCs w:val="20"/>
          <w:color w:val="auto"/>
        </w:rPr>
      </w:pPr>
    </w:p>
    <w:p>
      <w:pPr>
        <w:ind w:left="861" w:hanging="861"/>
        <w:spacing w:after="0"/>
        <w:tabs>
          <w:tab w:leader="none" w:pos="8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372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0" w:lineRule="exact"/>
        <w:rPr>
          <w:sz w:val="20"/>
          <w:szCs w:val="20"/>
          <w:color w:val="auto"/>
        </w:rPr>
      </w:pPr>
    </w:p>
    <w:p>
      <w:pPr>
        <w:ind w:left="860" w:hanging="85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10.6</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6"/>
          <w:szCs w:val="16"/>
          <w:color w:val="auto"/>
        </w:rPr>
        <w:t>(1.8)</w:t>
      </w:r>
    </w:p>
    <w:p>
      <w:pPr>
        <w:spacing w:after="0" w:line="3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6"/>
          <w:szCs w:val="16"/>
          <w:color w:val="auto"/>
        </w:rPr>
        <w:t>(0.2)</w:t>
      </w:r>
    </w:p>
    <w:p>
      <w:pPr>
        <w:spacing w:after="0" w:line="32"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372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 w:lineRule="exact"/>
        <w:rPr>
          <w:sz w:val="20"/>
          <w:szCs w:val="20"/>
          <w:color w:val="auto"/>
        </w:rPr>
      </w:pPr>
    </w:p>
    <w:p>
      <w:pPr>
        <w:ind w:left="860" w:hanging="857"/>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11.8</w:t>
      </w:r>
    </w:p>
    <w:p>
      <w:pPr>
        <w:spacing w:after="0" w:line="933" w:lineRule="exact"/>
        <w:rPr>
          <w:sz w:val="20"/>
          <w:szCs w:val="20"/>
          <w:color w:val="auto"/>
        </w:rPr>
      </w:pPr>
    </w:p>
    <w:p>
      <w:pPr>
        <w:sectPr>
          <w:pgSz w:w="11900" w:h="16838" w:orient="portrait"/>
          <w:cols w:equalWidth="0" w:num="3">
            <w:col w:w="7999" w:space="720"/>
            <w:col w:w="1221" w:space="180"/>
            <w:col w:w="1300"/>
          </w:cols>
          <w:pgMar w:left="240" w:top="274" w:right="239" w:bottom="1440" w:gutter="0" w:footer="0" w:header="0"/>
          <w:type w:val="continuous"/>
        </w:sectPr>
      </w:pPr>
    </w:p>
    <w:p>
      <w:pPr>
        <w:spacing w:after="0" w:line="7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9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portion of the €350.0 ($448.6) Notes and the €200.0 ($256.3) Notes was designated as economic hedges of our net investment in our foreign subsidiaries with a Euro functional currency as of March 31, 2013. For derivatives designated as an economic hedge of the foreign currency exposure of a net investment in a foreign operation, the gain or loss associated with foreign currency translation is recorded as a component of accumulated other comprehensive income, net of taxes. As of March 31, 2013 and December 31, 2012, we had a $39.0 and $51.1, respectively, unrealized translation loss included in accumulated other comprehensive (loss) income, net of taxes, as the net investment hedge was deemed effective.</w:t>
      </w:r>
    </w:p>
    <w:p>
      <w:pPr>
        <w:spacing w:after="0" w:line="20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in interest and other expenses of $0.2 for the quarter ended March 31, 2013 and a gain of $0.7 for the quarter ended March 31, 2012, associated with our forward contracts, which offset the loss and gain recorded for the items noted above.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March 31, 2013 and December 31, 2012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vMerge w:val="restart"/>
          </w:tcPr>
          <w:p>
            <w:pPr>
              <w:jc w:val="right"/>
              <w:ind w:right="19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$751.8 and $778.8 as of March 31, 2013 and December 31, 2012, respectively, compared to a carrying value of $704.9 and $725.5, respectively.</w:t>
      </w: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as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2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Managed Service Provider (MSP), Recruitment Process Outsourcing (RPO), Borderless Talent Solutions (BTS) and Strategic Workforce Consulting (SWC). The Right Management segment revenues are derived from career management and talent management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3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Americas: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(a)</w:t>
            </w:r>
          </w:p>
        </w:tc>
        <w:tc>
          <w:tcPr>
            <w:tcW w:w="2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Other Americas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France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Other Southern Europe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APME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Consolidated (b)</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4,768.9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unit profit: (c)</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Americas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Southern Europe: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Italy</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Southern Europe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Northern Europe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APME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Right Management</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Corporate expenses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Reclassification of French Business Tax (d)</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2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right="60" w:hanging="392"/>
        <w:spacing w:after="0" w:line="264" w:lineRule="auto"/>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United States, where a majority of our franchises operate, revenues from services included fees received from the related franchise offices of $3.2 for both the three months ended March 31, 2013 and 2012. These fees are primarily based on revenues generated by the franchise offices, which were $155.1 and $164.4 for the three months ended March 31, 2013 and 2012, respectively.</w:t>
      </w:r>
    </w:p>
    <w:p>
      <w:pPr>
        <w:spacing w:after="0" w:line="181" w:lineRule="exact"/>
        <w:rPr>
          <w:rFonts w:ascii="Arial" w:cs="Arial" w:eastAsia="Arial" w:hAnsi="Arial"/>
          <w:sz w:val="18"/>
          <w:szCs w:val="18"/>
          <w:color w:val="auto"/>
        </w:rPr>
      </w:pPr>
    </w:p>
    <w:p>
      <w:pPr>
        <w:ind w:left="400" w:right="220" w:hanging="392"/>
        <w:spacing w:after="0" w:line="264" w:lineRule="auto"/>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$5.3 and $5.4 for the three months ended March 31, 2013 and 2012, respectively. These fees are primarily based on revenues generated by the franchise offices, which were $234.7 and $253.9 for the three months ended March 31, 2013 and 2012, respectively.</w:t>
      </w:r>
    </w:p>
    <w:p>
      <w:pPr>
        <w:spacing w:after="0" w:line="208" w:lineRule="exact"/>
        <w:rPr>
          <w:rFonts w:ascii="Arial" w:cs="Arial" w:eastAsia="Arial" w:hAnsi="Arial"/>
          <w:sz w:val="18"/>
          <w:szCs w:val="18"/>
          <w:color w:val="auto"/>
        </w:rPr>
      </w:pPr>
    </w:p>
    <w:p>
      <w:pPr>
        <w:ind w:left="400" w:right="420" w:hanging="392"/>
        <w:spacing w:after="0" w:line="286" w:lineRule="auto"/>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192" w:lineRule="exact"/>
        <w:rPr>
          <w:rFonts w:ascii="Arial" w:cs="Arial" w:eastAsia="Arial" w:hAnsi="Arial"/>
          <w:sz w:val="17"/>
          <w:szCs w:val="17"/>
          <w:color w:val="auto"/>
        </w:rPr>
      </w:pPr>
    </w:p>
    <w:p>
      <w:pPr>
        <w:ind w:left="400" w:right="40" w:hanging="392"/>
        <w:spacing w:after="0" w:line="259" w:lineRule="auto"/>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French business tax was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OUP of our France reportable segment. Therefore, we have shown the amount of the French business tax separately to be able to reconcile to our earnings before income taxes.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the financial measures section on pages 19 and 20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March 31, 2013 and 2012</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three months ended March 31, 2013, we saw continued revenue decline in several of our markets consistent with that seen in the fourth quarter of 2012, after adjusting for the two fewer billing days in this quarter compared to the same quarter last year. This revenue decline, coupled with having fewer billing days, unfavorably impacted our operating leverage and profitability. The decline in revenues in the first quarter of 2013 compared to 2012 occurred across all segments and was due to the economic uncertainty in most markets. We saw continued declines in our staffing/interim business and further slowing in our permanent recruitment businesses, particularly across Europe. Our ManpowerGroup Solutions business showed continued growth in the first quarter of 2013 consistent with that seen in 2012. At Right Management, we continue to see a decrease in demand for the talent management services, as clients delay their discretionary spending, while demand for our countercyclical outplacement services remained relatively flat.</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gross profit margin in the first quarter of 2013 compared to 2012 remained flat as the growth in our higher-margin ManpowerGroup Solutions business was offset by the impact of the decline in our permanent recruitment business. Our staffing/interim gross profit margin was flat with 2012 as payroll tax credits related to the Credit d’Impôt pour la Compétitivité et l’Emploi (“CICE”) in France offset margin declines in certain Northern Europe countries. For additional information on the CICE payroll tax credit, please see the Legal Regulations section of Management’s Discussion and Analysis. We saw a deleveraging of our expenses during the first quarter of 2013, primarily due to the $34.8 million of restructuring charges recorded in the quarter as we further simplify our organization and recalibrate our cost base. Selling and administrative expenses, excluding these restructuring charges, decreased 7.0% in constant currency in the quarter as we are seeing the benefits of the simplification actions initiated since the fourth quarter of 2012.</w:t>
      </w:r>
    </w:p>
    <w:p>
      <w:pPr>
        <w:spacing w:after="0" w:line="1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Client demand for workforce solutions and services is dependent on the overall strength of the labor market and secular trends toward greater workforce flexibility within each of the countries and territories in which we operate. Slowing economic growth or economic contraction typically results in decreasing demand for labor, resulting in less demand for our staffing services. This slowdown typically impacts our operating profit unfavorably as we may experience a deleveraging of our selling and administrative expense base as expenses may not change at the same pace as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2013 as compared to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ind w:left="28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9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Variance</w:t>
            </w:r>
          </w:p>
        </w:tc>
        <w:tc>
          <w:tcPr>
            <w:tcW w:w="320" w:type="dxa"/>
            <w:vAlign w:val="bottom"/>
          </w:tcPr>
          <w:p>
            <w:pPr>
              <w:spacing w:after="0"/>
              <w:rPr>
                <w:sz w:val="20"/>
                <w:szCs w:val="20"/>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5,096.4</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4,249.0</w:t>
            </w:r>
          </w:p>
        </w:tc>
        <w:tc>
          <w:tcPr>
            <w:tcW w:w="26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520"/>
              <w:spacing w:after="0"/>
              <w:rPr>
                <w:sz w:val="20"/>
                <w:szCs w:val="20"/>
                <w:color w:val="auto"/>
              </w:rPr>
            </w:pPr>
            <w:r>
              <w:rPr>
                <w:rFonts w:ascii="Arial" w:cs="Arial" w:eastAsia="Arial" w:hAnsi="Arial"/>
                <w:sz w:val="18"/>
                <w:szCs w:val="18"/>
                <w:color w:val="auto"/>
              </w:rPr>
              <w:t>Gross profit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790.1</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847.4</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i w:val="1"/>
                <w:iCs w:val="1"/>
                <w:color w:val="auto"/>
              </w:rPr>
              <w:t>Gross profit margin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16.6</w:t>
            </w:r>
            <w:r>
              <w:rPr>
                <w:rFonts w:ascii="Arial" w:cs="Arial" w:eastAsia="Arial" w:hAnsi="Arial"/>
                <w:sz w:val="18"/>
                <w:szCs w:val="18"/>
                <w:color w:val="auto"/>
              </w:rPr>
              <w:t>%</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753.6</w:t>
            </w: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520"/>
              <w:spacing w:after="0"/>
              <w:rPr>
                <w:sz w:val="20"/>
                <w:szCs w:val="20"/>
                <w:color w:val="auto"/>
              </w:rPr>
            </w:pPr>
            <w:r>
              <w:rPr>
                <w:rFonts w:ascii="Arial" w:cs="Arial" w:eastAsia="Arial" w:hAnsi="Arial"/>
                <w:sz w:val="18"/>
                <w:szCs w:val="18"/>
                <w:color w:val="auto"/>
              </w:rPr>
              <w:t>Operating profit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93.8</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580"/>
              <w:spacing w:after="0"/>
              <w:rPr>
                <w:sz w:val="20"/>
                <w:szCs w:val="20"/>
                <w:color w:val="auto"/>
              </w:rPr>
            </w:pPr>
            <w:r>
              <w:rPr>
                <w:rFonts w:ascii="Arial" w:cs="Arial" w:eastAsia="Arial" w:hAnsi="Arial"/>
                <w:sz w:val="18"/>
                <w:szCs w:val="18"/>
                <w:i w:val="1"/>
                <w:iCs w:val="1"/>
                <w:color w:val="auto"/>
              </w:rPr>
              <w:t>Operating profit margin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1.1</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1.8</w:t>
            </w:r>
            <w:r>
              <w:rPr>
                <w:rFonts w:ascii="Arial" w:cs="Arial" w:eastAsia="Arial" w:hAnsi="Arial"/>
                <w:sz w:val="18"/>
                <w:szCs w:val="18"/>
                <w:color w:val="auto"/>
              </w:rPr>
              <w:t>%</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520"/>
              <w:spacing w:after="0"/>
              <w:rPr>
                <w:sz w:val="20"/>
                <w:szCs w:val="20"/>
                <w:color w:val="auto"/>
              </w:rPr>
            </w:pPr>
            <w:r>
              <w:rPr>
                <w:rFonts w:ascii="Arial" w:cs="Arial" w:eastAsia="Arial" w:hAnsi="Arial"/>
                <w:sz w:val="18"/>
                <w:szCs w:val="18"/>
                <w:color w:val="auto"/>
              </w:rPr>
              <w:t>Earnings before income taxes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(47.7)</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50.9%</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560"/>
              <w:spacing w:after="0"/>
              <w:rPr>
                <w:sz w:val="20"/>
                <w:szCs w:val="20"/>
                <w:color w:val="auto"/>
              </w:rPr>
            </w:pPr>
            <w:r>
              <w:rPr>
                <w:rFonts w:ascii="Arial" w:cs="Arial" w:eastAsia="Arial" w:hAnsi="Arial"/>
                <w:sz w:val="18"/>
                <w:szCs w:val="18"/>
                <w:color w:val="auto"/>
              </w:rPr>
              <w:t>Net earnings</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40.2</w:t>
            </w:r>
          </w:p>
        </w:tc>
        <w:tc>
          <w:tcPr>
            <w:tcW w:w="230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80.9</w:t>
            </w:r>
          </w:p>
        </w:tc>
        <w:tc>
          <w:tcPr>
            <w:tcW w:w="23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The year-over-year decrease in revenues from services of 6.4% (-5.8% in constant currency and -6.0% on an organic constant currency basis) was attributed to:</w:t>
      </w:r>
    </w:p>
    <w:p>
      <w:pPr>
        <w:spacing w:after="0" w:line="197" w:lineRule="exact"/>
        <w:rPr>
          <w:sz w:val="20"/>
          <w:szCs w:val="20"/>
          <w:color w:val="auto"/>
        </w:rPr>
      </w:pPr>
    </w:p>
    <w:p>
      <w:pPr>
        <w:jc w:val="both"/>
        <w:ind w:left="660" w:hanging="139"/>
        <w:spacing w:after="0" w:line="29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decreased demand for services in several of our markets within the Americas, Southern Europe, Northern Europe and APME, where revenues decreased 4.0% (-3.1% in constant currency and -3.3% on an organic constant currency basis), 9.0% (-9.6% in constant currency and -10.1% on an organic constant currency basis), 5.1% (-5.6% on a constant currency basis) and 7.0% (-1.4% on a constant currency basis), respectively. Several of our larger markets such as France and Italy experienced revenue declines of 11.3% (-11.8% in constant currency and -12.5% on an organic constant currency basis) and 3.6% (-4.1% on a constant currency basis), respectively, due to the current economic environments in those countries;</w:t>
      </w:r>
    </w:p>
    <w:p>
      <w:pPr>
        <w:spacing w:after="0" w:line="185"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decline in the United States of 4.0% was primarily due to a decrease of our key account client revenues because of softening demand as well as stronger pricing discipline on new business opportunities;</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talent management services at Right Management, where these revenues decreased 12.1% (-11.4% on a constant currency basis);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unfavorable impact of approximately 3.0% from two fewer billing days in the period;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0.6% decrease due to the impact of currency exchange rates; partially offset by</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 of two entities in April 2012, one in Southern Europe and one in the Americas, which combined to add 0.2% of revenue growth to our consolidated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was flat year-over-year and was primarily attributed to:</w:t>
      </w:r>
    </w:p>
    <w:p>
      <w:pPr>
        <w:spacing w:after="0" w:line="252" w:lineRule="exact"/>
        <w:rPr>
          <w:sz w:val="20"/>
          <w:szCs w:val="20"/>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increase from our higher-margin ManpowerGroup Solutions business; offset by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10 basis point (-0.10%) unfavorable impact resulting from the decline in our permanent recruitment business, which decreased 10% year-over-year.</w:t>
      </w:r>
    </w:p>
    <w:p>
      <w:pPr>
        <w:spacing w:after="0" w:line="275" w:lineRule="exact"/>
        <w:rPr>
          <w:rFonts w:ascii="Arial" w:cs="Arial" w:eastAsia="Arial" w:hAnsi="Arial"/>
          <w:sz w:val="16"/>
          <w:szCs w:val="16"/>
          <w:color w:val="auto"/>
        </w:rPr>
      </w:pPr>
    </w:p>
    <w:p>
      <w:pPr>
        <w:ind w:left="660" w:right="20" w:hanging="13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staffing/interim margins were stable in the quarter as increases in the Americas and Southern Europe (due to the benefit of the CICE payroll tax credit) offset lower gross profit margins in Northern Europe.</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2.4% decline in selling and administrative expenses in the first quarter of 2013 (-1.9% in constant currency and -2.2% in organic constant currency) was attributed to:</w:t>
      </w:r>
    </w:p>
    <w:p>
      <w:pPr>
        <w:spacing w:after="0" w:line="197" w:lineRule="exact"/>
        <w:rPr>
          <w:sz w:val="20"/>
          <w:szCs w:val="20"/>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our organic salary-related costs, because of lower headcount and lower variable incentive-based costs;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lease costs because we have closed offices since the first quarter of 2012;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0.5% decrease due to the impact of currency exchange rates; partially offset by</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costs of $34.8 million, comprised of $5.9 million in the Americas, $1.2 million in Southern Europe, $17.1 million in Northern Europe, $2.4 million in APME, $3.8 million at Right Management and $4.4 million in corporate expenses; and</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as a result of the acquisitions in Southern Europe and the Americas.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Selling and administrative expenses as a percent of revenues increased 60 basis points (0.60%) in the first quarter of 2013 compared to 2012. The change in selling and administrative expense as a percent of revenues consists of:</w:t>
      </w:r>
    </w:p>
    <w:p>
      <w:pPr>
        <w:spacing w:after="0" w:line="197" w:lineRule="exact"/>
        <w:rPr>
          <w:sz w:val="20"/>
          <w:szCs w:val="20"/>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70 basis point (0.70%) increase due to the restructuring costs of $34.8 million in the first quarter of 2013; partially offset by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(-0.10%) favorable impact due to the decrease in our organic salary-related costs and lease costs as noted above.</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other expenses are comprised of interest, foreign exchange gains and losses and other miscellaneous non-operating income and expenses. Interest and other expenses were $11.5 million in the first quarter of 2013 compared to $11.8 million in the first quarter of 2012. Net interest expense increased $1.0 million in the first quarter of 2013 to $9.8 million from $8.8 million in the first quarter of 2012. Other expenses were $1.3 million in the first quarter of 2013 compared to $3.2 million in the first quarter of 2012.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spacing w:after="0" w:line="254" w:lineRule="auto"/>
        <w:rPr>
          <w:sz w:val="20"/>
          <w:szCs w:val="20"/>
          <w:color w:val="auto"/>
        </w:rPr>
      </w:pPr>
      <w:r>
        <w:rPr>
          <w:rFonts w:ascii="Arial" w:cs="Arial" w:eastAsia="Arial" w:hAnsi="Arial"/>
          <w:sz w:val="18"/>
          <w:szCs w:val="18"/>
          <w:color w:val="auto"/>
        </w:rPr>
        <w:t>We recorded an income tax expense at an effective rate of 44.3% for the three months ended March 31, 2013, as compared to an effective rate of 50.9% for the three months ended March 31, 2012. The 2013 rate was favorably impacted by the 2012 United States Federal Work Opportunity Credit (“WOTC”) which was enacted in January of 2013, retroactive to January 1, 2012, and unfavorably impacted by the restructuring charges in the quarter (which have a relatively lower effective tax rate benefit) and the French business tax. Excluding these items, our tax rate for the first quarter of 2013 and 2012 would have been approximately 32% and 38%, respectively. The rate decreased for 2013 primarily due to the tax effects of repatriations from non-United States entities and a lower amount of non-United States taxes. The 44.3% effective tax rate in the quarter was higher than the United States Federal statutory rate of 35%, and we currently expect an annual effective tax rate of approximately 40%, due primarily to the impact of valuation allowances, other permanent items and the French business tax.</w:t>
      </w:r>
    </w:p>
    <w:p>
      <w:pPr>
        <w:spacing w:after="0" w:line="21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earnings per share - diluted was $0.31 for the three months ended March 31, 2013 compared to $0.50 for the three months ended March 31, 2012. Foreign currency exchange rates unfavorably impacted net earnings per share - diluted by approximately $0.01 per share for the three months ended March 31, 2013.</w:t>
      </w:r>
    </w:p>
    <w:p>
      <w:pPr>
        <w:spacing w:after="0" w:line="15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Weighted average shares - diluted decreased 3.3% to 78.2 million for the three months ended March 31, 2013 from 80.9 million for the three months ended March 31, 2012. This decrease is primarily a result of the repurchase of 3.6 million shares during 2012 subsequent to March 31,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the Americas, revenues from services decreased 4.0% (-3.1% decrease in constant currency and -3.3% decrease in organic constant currency) in the first quarter of 2013 compared to 2012. In the United States, revenues from services declined 4.0% in the first quarter of 2013 compared to 2012. The revenue decline in the United States was attributable to staffing/interim services within the Manpower and Experis business lines as we had approximately two fewer billing days in the quarter, softening of demand from our larger strategic accounts in the first quarter of 2013 compared to 2012, and we maintained stronger pricing discipline in accepting new business opportunities. These declines were partially offset by an increase in ManpowerGroup Solutions revenues of</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13.4% and an increase in our permanent recruitment revenues of 6.6% in the United States for the first quarter of 2013 compared to 2012. In Other Americas, revenues from services declined 3.9% (-1.4% in constant currency and -2.0% on an organic constant currency basis) in the first quarter of 2013 compared to 2012, with revenue growth in Canada of 9.8% in constant currency (5.4% on an organic constant currency basis) and revenue declines in Mexico and Argentina of 2.4% and 9.1%, respectively, in constant currency.</w:t>
      </w:r>
    </w:p>
    <w:p>
      <w:pPr>
        <w:spacing w:after="0" w:line="2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profit margin increased in the first quarter of 2013 compared to 2012 due to the favorable impact of improved staffing/interim gross profit margin resulting from lower employment tax costs and stronger pricing discipline in the United States, as well as continued growth in our ManpowerGroup Solutions business and permanent recruitment business.</w:t>
      </w:r>
    </w:p>
    <w:p>
      <w:pPr>
        <w:spacing w:after="0" w:line="2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first quarter of 2013, selling and administrative expenses increased 4.4% in constant currency due to the $5.9 million of restructuring costs. Excluding these restructuring costs, expenses were up slightly in constant currency as the inflationary impact on Argentina’s expenses offset overall declines in salary-related and lease costs in the Americas.</w:t>
      </w:r>
    </w:p>
    <w:p>
      <w:pPr>
        <w:spacing w:after="0" w:line="2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Operating Unit Profit (“OUP”) margin in the Americas was 1.5% and 2.0% for the first quarter of 2013 and 2012, respectively. In the United States, OUP margin was 1.0% in the first quarter of 2013 compared to 0.9% in 2012. The margin increase in the first quarter of 2013 in the United States was due to the improvement in the gross profit margin as noted above, partially offset by the impact of fewer billing days and restructuring costs. Other Americas OUP margin was 2.3% in the first quarter of 2013 compared to 3.8% in the first quarter of 2012. The decrease in the Other Americas OUP margin was due to the restructuring costs noted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Southern Europe, which includes operations in France and Italy, revenues from services decreased 9.0% (-9.6% in constant currency and -10.1% on an organic constant currency basis) in the first quarter of 2013 compared to 2012. In France and Italy (which represent 72% and 16%, respectively, of Southern Europe’s revenues), revenues from services decreased 12.5% in organic constant currency and decreased 4.1% in constant currency, respectively, in the first quarter of 2013 compared to 2012. The decrease in France is due primarily to one fewer billing day in the first quarter of 2013 compared to 2012, a softening demand in the staffing/interim business, and a 30.9% decline in constant currency in the permanent recruitment business. The decrease in Italy is mostly due to one fewer billing day in the first quarter of 2013 compared to 2012 as well as a 17.4% decline in constant currency in the permanent recruitment business. In Other Southern Europe, revenues from services decreased 0.9% (-1.9% in constant currency) during the first quarter of 2013 compared to 2012 driven by the 17.6% revenue decline in Spain due to the weak economic conditions in that market.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right="100"/>
        <w:spacing w:after="0" w:line="308" w:lineRule="auto"/>
        <w:rPr>
          <w:sz w:val="20"/>
          <w:szCs w:val="20"/>
          <w:color w:val="auto"/>
        </w:rPr>
      </w:pPr>
      <w:r>
        <w:rPr>
          <w:rFonts w:ascii="Arial" w:cs="Arial" w:eastAsia="Arial" w:hAnsi="Arial"/>
          <w:sz w:val="17"/>
          <w:szCs w:val="17"/>
          <w:color w:val="auto"/>
        </w:rPr>
        <w:t>Gross profit margin increased in the first quarter of 2013 compared to 2012 due primarily to the CICE payroll tax credit in France, which was partially offset by the decrease in our permanent recruitment business and pricing pressures in Italy that unfavorably impacted staffing/interim gross margins.</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Selling and administrative expenses decreased 7.5% (-8.1% in constant currency and -9.1% on an organic constant currency basis) during the first quarter of 2013 compared to 2012 primarily related to the decrease in organic salary-related costs due to lower headcount, partially offset by the $1.2 million of restructuring costs and the additional costs resulting from the 2012 Damilo acquisition in France.</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OUP margin in Southern Europe was 1.8% for the first quarter of 2013 compared to 1.3% for 2012. In France, the OUP margin was 1.3% for the first quarter of 2013 compared to 0.4% for 2012, due to the improvement in our gross profit margin, partially offset by the impact of one fewer billing day. In Italy, the OUP margin was 4.5% for the first quarter of 2013 compared to 5.4% for 2012, due to the decrease in gross profit margin, deleveraging of expenses, as Italy did not decrease expenses at the rate of the decline in revenues, and the impact of one fewer billing day. Other Southern Europe’s OUP margin declined to 1.2% for the first quarter of 2013 from 1.8% in 2012 due to the decrease of the gross profit margin.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Northern Europe, which includes operations in the United Kingdom, the Nordics, Germany and the Netherlands (comprising 25%, 23%, 12%, and 9%, respectively, of Northern Europe’s revenues), revenues from services decreased 5.1% (-5.6% in constant currency) in the first quarter of 2013 as compared to 2012. The decrease in revenues from services was primarily attributable to having two fewer billing days in the quarter and the 16.5% decline in our Experis business line, which saw softening demand in both our interim and permanent recruitment businesses, as well as slight declines in our Manpower and ManpowerGroup Solutions businesses.</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margin decreased in the first quarter of 2013 compared to 2012 due to the decline in our staffing/interim margins as we experienced lower bench utilization in Germany and Sweden, encountered general pricing pressures in several markets, and saw a 16.4% decrease in our permanent recruitment business.</w:t>
      </w:r>
    </w:p>
    <w:p>
      <w:pPr>
        <w:spacing w:after="0" w:line="20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Selling and administrative expenses increased 0.8% (-0.2% decrease in constant currency) in the first quarter of 2013 compared to 2012. The increase in selling and administrative expenses was due primarily to the $17.1 million of restructuring costs partially offset by lower headcount, which reduced compensation-related expenses such as salaries and variable incentive-based costs, and lower lease costs.</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OUP margin for Northern Europe was 0.8% and 3.0% for the first quarter of 2013 and 2012, respectively. The decline in OUP margin was the result of the decrease in the gross profit margin, deleveraging of expenses, as the decrease in expenses in constant currency was less than the decline in revenues in constant currency, and the impact of fewer billing days.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APME, revenues from services decreased 7.0% (-1.4% in constant currency) in the first quarter of 2013 compared to 2012. In Japan (which represents 38% of APME’s revenues), revenues from services decreased 5.0% in constant currency due primarily to three fewer billing days in the first quarter of 2013 compared to 2012 and declining demand for our staffing/interim services, partially offset by an increase in the permanent recruitment business. In Australia (which represents 25% of APME’s revenues), revenues from services were down 9.0% in constant currency for the first quarter of 2013 compared to 2012 due to the decreased demand for staffing services in our Manpower business line and one fewer billing day in the first quarter of 2013 compared to 2012, partially offset by the increase in the permanent recruitment business.</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Gross profit margin decreased in the first quarter of 2013 compared to 2012 due to the 6.6% decline in our permanent recruitment business as well as a decrease in our staffing/interim gross profit margin.</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Selling and administrative expenses decreased 7.4% (-2.3% in constant currency) in the first quarter of 2013 compared to 2012 related to reduced compensation-related expenses such as salaries and variable incentive-based costs due to lower headcount, partially offset by $2.4 million of restructuring costs.</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OUP margin for APME was 2.3% in the first quarter of 2013 compared to 2.9% in 2012. OUP margin decreased for the first quarter of 2013 compared to 2012 due to the decrease in our gross profit margin and the impact of one fewer billing day.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Revenues from services decreased 3.8% (-2.5% in constant currency). The decrease was due to the decline in demand for our talent management business, as we are seeing a longer sales cycle as clients continue to defer their discretionary spending growth. Our countercyclical outplacement services increased 1.5% in constant currency in the first quarter of 2013 compared to 2012, a significant moderation from the growth rates seen in the past few quarters as there are a lower number of large outplacement projects, primarily in the Americas, as well as clients opting for programs with shorter durations.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8" w:name="page19"/>
    <w:bookmarkEnd w:id="18"/>
    <w:p>
      <w:pPr>
        <w:ind w:right="120"/>
        <w:spacing w:after="0" w:line="381" w:lineRule="auto"/>
        <w:rPr>
          <w:sz w:val="20"/>
          <w:szCs w:val="20"/>
          <w:color w:val="auto"/>
        </w:rPr>
      </w:pPr>
      <w:r>
        <w:rPr>
          <w:rFonts w:ascii="Arial" w:cs="Arial" w:eastAsia="Arial" w:hAnsi="Arial"/>
          <w:sz w:val="15"/>
          <w:szCs w:val="15"/>
          <w:color w:val="auto"/>
        </w:rPr>
        <w:t>Gross profit margin decreased in the first quarter of 2013 compared to 2012 due to the margin deterioration in both the outplacement business and talent management business, offset by the change in business mix as the higher-margin outplacement business represented a greater percentage of the revenue mix.</w:t>
      </w:r>
    </w:p>
    <w:p>
      <w:pPr>
        <w:spacing w:after="0" w:line="10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Selling and administrative expenses decreased 4.1% (-3.2% in constant currency) in the first quarter of 2013 compared to 2012 as the cost savings from the expense realignment program put in place in 2012 favorably impacted expense levels, partially offset by $3.8 million of restructuring costs recorded in the first quarter of 2013.</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OUP margin for Right Management was 2.7% in the first quarter of 2013 compared to 3.1% in 2012. The OUP margin for the first quarter of 2013 declined due to the decrease in the gross profit margin partially offset by the decrease in selling and administrative expenses due to costs savings from the realignment program noted above.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Reconciliation of these Non-GAAP percent variances to those calculated based on our GAAP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b w:val="1"/>
                <w:bCs w:val="1"/>
                <w:color w:val="auto"/>
              </w:rPr>
              <w:t>3 Months Ended March 31, 2013 Compared to 2012</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center"/>
              <w:ind w:left="170"/>
              <w:spacing w:after="0" w:line="201" w:lineRule="exact"/>
              <w:rPr>
                <w:sz w:val="20"/>
                <w:szCs w:val="20"/>
                <w:color w:val="auto"/>
              </w:rPr>
            </w:pPr>
            <w:r>
              <w:rPr>
                <w:rFonts w:ascii="Arial" w:cs="Arial" w:eastAsia="Arial" w:hAnsi="Arial"/>
                <w:sz w:val="18"/>
                <w:szCs w:val="18"/>
                <w:color w:val="auto"/>
                <w:w w:val="94"/>
              </w:rPr>
              <w:t>Impact of</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94"/>
              </w:rPr>
              <w:t>Acquisitions/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Variance in</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2"/>
              </w:rPr>
              <w:t>Dispositions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Reported</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Reported</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Impact of</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Constant</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1"/>
              </w:rPr>
              <w:t>(In Constant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line="230" w:lineRule="exact"/>
              <w:rPr>
                <w:sz w:val="20"/>
                <w:szCs w:val="20"/>
                <w:color w:val="auto"/>
              </w:rPr>
            </w:pPr>
            <w:r>
              <w:rPr>
                <w:rFonts w:ascii="Arial" w:cs="Arial" w:eastAsia="Arial" w:hAnsi="Arial"/>
                <w:sz w:val="18"/>
                <w:szCs w:val="18"/>
                <w:color w:val="auto"/>
                <w:w w:val="87"/>
              </w:rPr>
              <w:t>Amount</w:t>
            </w:r>
            <w:r>
              <w:rPr>
                <w:rFonts w:ascii="Arial" w:cs="Arial" w:eastAsia="Arial" w:hAnsi="Arial"/>
                <w:sz w:val="25"/>
                <w:szCs w:val="25"/>
                <w:color w:val="auto"/>
                <w:w w:val="87"/>
                <w:vertAlign w:val="superscript"/>
              </w:rPr>
              <w:t>(a)</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Variance</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Currency</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Currency</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3"/>
              </w:rPr>
              <w:t>Currency)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28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0.6</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1,093.0</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0.2</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France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1,145.2</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12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0.7</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257.9</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1,596.5</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1,370.3</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APME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632.5</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Consolidated</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4,768.9</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12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0.2</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790.1</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2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0.3</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735.7</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0.3</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Profit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(40.5)</w:t>
            </w:r>
          </w:p>
        </w:tc>
        <w:tc>
          <w:tcPr>
            <w:tcW w:w="128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0.2</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March 31, 2013.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March 31, 2013, we had $312.3 million of cash held by foreign subsidiaries that was not available to fund domestic operations unless repatriated. We anticipate cash repatriations to the United States from certain foreign subsidiaries and have provided for deferred tax related to those foreign earnings not considered to be permanently invested. As of March 31, 2013, we have identified approximately $371.7 million of non-United States earnings that are not permanently invested. We may repatriate additional earnings in the future as cash needs arise.</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Cash used in operating activities was $62.3 million during the first quarter of 2013 compared to $20.7 million during the first quarter of 2012. This increase is primarily due to changes in our operating assets and liabilities, due to the timing of collections, accruals and payments. Changes in operating assets and liabilities utilized $125.2 million of cash during the first quarter of 2013 compared to $96.3 million during the first quarter of 2012.</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 decreased to $4,042.0 million as of March 31, 2013 from $4,179.0 million as of December 31, 2012. This decrease is mostly due to changes in foreign currency exchange rates and the decline in demand for our services. At constant exchange rates, the March 31, 2013 balance would have been approximately $102.4 million higher than reported.</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Capital expenditures were $12.8 million in the first quarter of 2013 compared to $19.7 million in the first quarter of 2012. These expenditures were primarily comprised of purchases of computer equipment, office furniture and other costs related to office openings and refurbishments. The expenditures were higher in the first quarter of 2012 primarily due to office consolidations and realignments, as well as several leasehold improvement projects.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right="180"/>
        <w:spacing w:after="0" w:line="264"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was $0.0 million and $1.5 million for the first quarter of 2013 and 2012, respectively. For the acquisitions completed during the first quarter of 2013, our cash payments were fully offset by the cash acquired.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net debt borrowings was $1.9 million in the first quarter of 2013 compared to $1.2 million in the first quarter of 2012.</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€200.0 million notes are due June 2013, and our €350.0 million notes are due June 2018. When the €200.0 million notes mature, we plan to repay these amounts with available cash and borrowings under our $800.0 million revolving credit facility. The €350.0 million notes will likely be replaced with a new borrowing. The credit terms, including interest rate and facility fees, of any replacement borrowings will be dependent upon the condition of the credit markets at that time. We currently do not anticipate any problems accessing the credit markets should we need to replace either of the notes.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2013, we had letters of credit totaling $0.9 million issued under our $800.0 million revolving credit facility. Additional borrowings of $799.1 million were available to us under the credit agreement as of March 31, 2013.</w:t>
      </w:r>
    </w:p>
    <w:p>
      <w:pPr>
        <w:spacing w:after="0" w:line="19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$800.0 million revolving credit agreement requires that we comply with a leverage ratio (Debt-to-EBITDA) of not greater than 3.5 to 1 and a fixed charge coverage ratio of not less than 1.5 to 1. As defined in the agreement, we had a Debt-to-EBITDA ratio of 1.08 to 1 and a fixed charge coverage ratio of 2.78 to 1 as of March 31, 2013. Based on our current forecast, we expect to be in compliance with our financial covenants for the next 12 months.</w:t>
      </w:r>
    </w:p>
    <w:p>
      <w:pPr>
        <w:spacing w:after="0" w:line="14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March 31, 2013, such credit lines totaled $364.0 million, of which $317.8 million was unused. Under the revolving credit agreement, total subsidiary borrowings cannot exceed $300.0 million in the first, second and fourth quarters, and $600.0 million in the third quarter of each year. Due to limitations on subsidiary borrowings in our revolving credit agreement, additional borrowings of $253.8 million could have been made under these lines as of March 31, 2013.</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No repurchases were made during the first quarter of 2013 or 2012 under any authorization. As of March 31, 2013, there were 8.0 million shares remaining authorized for repurchase under the 2012 authorization.</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April 30, 2013, the Board of Directors declared a semi-annual cash dividend of $0.46 per share, which is payable on June 14, 2013 to shareholders of record on June 3, 2013.</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$1,994.8 million as of March 31, 2013 compared to $1,989.1 million as of December 31, 2012.</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$157.9 million and $166.8 million as of March 31, 2013 and December 31, 2012, respectively, consisting of $120.4 million and $128.9 million for guarantees, respectively, and $37.5 million and $37.9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$0.4 million in both the first quarter of 2013 and 2012.</w:t>
      </w:r>
    </w:p>
    <w:p>
      <w:pPr>
        <w:spacing w:after="0" w:line="189"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recorded net restructuring costs of $34.8 million and $0.1 million in the first quarter of 2013 and 2012, respectively, in selling and administrative expenses, related to severances and office closures in several countries. During the first quarter of 2013, we made payments of $24.8 million out of our restructuring reserve. We expect a majority of the remaining $51.4 million reserve will be paid in 2013. Changes in the restructuring costs by reportable segment and Corporate are shown in Note 5 to the Consolidated Financial Statements.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fourth quarter of 2012, we implemented a simplification plan that impacts all of our segments as well as our corporate functions. The goal of our plan is to simplify our organization by creating the right agility and speed, and focuses around four different areas: organization design, programs, delivery models, and technology structure. We estimate that the $26.6 million and $34.8 million of restructuring costs we recorded in the fourth quarter of 2012 and first quarter of 2013, respectively, in connection with this plan will result in a reduction in selling and administrative expenses of over $80 million in 2013. We expect further restructuring costs, and estimate that we will achieve additional savings in selling and administrative expenses as we continue to execute our plan.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Legal Regulations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French government passed legislation effective January 1, 2013 to improve competitiveness and reduce employment costs by offering payroll tax credits to most French and foreign enterprises subject to corporate tax in France. This law, CICE, provides credits based on a percentage of wages paid to employees receiving less than two and a half times the French minimum wage. The payroll tax credit is equal to 4% of eligible wages in 2013 and increases to 6% of eligible wages in 2014 and thereafter. We will receive the credit as a reduction of our current income taxes payable, with any amounts not creditable against our current income tax payable being paid to us after three years. Given the amount of our current income taxes payable, we expect the majority of the cash to be received at the end of this three-year carry forward period. We intend to use the credit to invest in employment opportunities and to improve our competitiveness, as required by the law. We are uncertain what impact, if any, this credit will have on overall market pricing or on client requests for pricing concessions, either of which could reduce the net benefit we receive from these credits. The CICE credit is accounted for as a reduction of our cost of services in the period earned, and we expect it will have a favorable impact on our consolidated gross profit margin, as well as our margins in France and Southern Europe.</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Germany, six labor unions representing approximately two-thirds of the market for temporary workers entered into new Collective Labor Agreements with the temporary help industry. Seven of these new agreements became effective between November 2012 and April 2013, and one will become effective in May 2013 and another in July 2013. We expect additional unions representing temporary workers to negotiate similar arrangements. These agreements will require, among other things, higher wages to temporary employees. This will have an unfavorable impact on our gross profit margin in Germany, as we pass on many of these additional costs to the client without a mark-up. However, we currently do not expect a significant impact on our consolidated or Northern Europe financial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2012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March 31, 2013, there were 8.0 million shares remaining authorized for repurchase under the 2012 authorization. The following table shows the total amount of shares repurchased during the first quarter of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ISSUER PURCHASES OF EQUITY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of shares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w:t>
            </w: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part of</w:t>
            </w: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publicly</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 that</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of shares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paid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announced</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yet be</w:t>
            </w:r>
          </w:p>
        </w:tc>
      </w:t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January 1- 31, 2013</w:t>
            </w:r>
          </w:p>
        </w:tc>
        <w:tc>
          <w:tcPr>
            <w:tcW w:w="4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8,000,000</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February 1 - 28, 2013</w:t>
            </w:r>
          </w:p>
        </w:tc>
        <w:tc>
          <w:tcPr>
            <w:tcW w:w="4740" w:type="dxa"/>
            <w:vAlign w:val="bottom"/>
            <w:gridSpan w:val="3"/>
          </w:tcPr>
          <w:p>
            <w:pPr>
              <w:jc w:val="right"/>
              <w:ind w:right="20"/>
              <w:spacing w:after="0" w:line="216" w:lineRule="exact"/>
              <w:rPr>
                <w:sz w:val="20"/>
                <w:szCs w:val="20"/>
                <w:color w:val="auto"/>
              </w:rPr>
            </w:pPr>
            <w:r>
              <w:rPr>
                <w:rFonts w:ascii="Arial" w:cs="Arial" w:eastAsia="Arial" w:hAnsi="Arial"/>
                <w:sz w:val="18"/>
                <w:szCs w:val="18"/>
                <w:color w:val="auto"/>
              </w:rPr>
              <w:t xml:space="preserve">20,940 </w:t>
            </w:r>
            <w:r>
              <w:rPr>
                <w:rFonts w:ascii="Arial" w:cs="Arial" w:eastAsia="Arial" w:hAnsi="Arial"/>
                <w:sz w:val="25"/>
                <w:szCs w:val="25"/>
                <w:color w:val="auto"/>
                <w:vertAlign w:val="superscript"/>
              </w:rPr>
              <w:t>(1)</w:t>
            </w:r>
          </w:p>
        </w:tc>
        <w:tc>
          <w:tcPr>
            <w:tcW w:w="11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99"/>
              </w:rPr>
              <w:t>8,000,000</w:t>
            </w: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March 1 - 31, 2013</w:t>
            </w:r>
          </w:p>
        </w:tc>
        <w:tc>
          <w:tcPr>
            <w:tcW w:w="474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8"/>
                <w:szCs w:val="18"/>
                <w:color w:val="auto"/>
              </w:rPr>
              <w:t xml:space="preserve">186 </w:t>
            </w:r>
            <w:r>
              <w:rPr>
                <w:rFonts w:ascii="Arial" w:cs="Arial" w:eastAsia="Arial" w:hAnsi="Arial"/>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8,000,000</w:t>
            </w:r>
          </w:p>
        </w:tc>
      </w:tr>
    </w:tbl>
    <w:p>
      <w:pPr>
        <w:spacing w:after="0" w:line="202" w:lineRule="exact"/>
        <w:rPr>
          <w:sz w:val="20"/>
          <w:szCs w:val="20"/>
          <w:color w:val="auto"/>
        </w:rPr>
      </w:pPr>
    </w:p>
    <w:p>
      <w:pPr>
        <w:ind w:right="580" w:firstLine="8"/>
        <w:spacing w:after="0" w:line="25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common stock withheld by ManpowerGroup to satisfy tax withholding obligations on shares acquired by certain officers in settlement of restricted stock and restricted stock units.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ManpowerGroup, upon vesting, to satisfy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Declaration</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30, 2013, the Board of Directors declared a semi-annual cash dividend of $0.46 per share, which is payable on June 14, 2013 to shareholders of record on June 3,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2013:</w:t>
      </w:r>
    </w:p>
    <w:p>
      <w:pPr>
        <w:spacing w:after="0" w:line="19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63" w:lineRule="exact"/>
        <w:rPr>
          <w:rFonts w:ascii="Arial" w:cs="Arial" w:eastAsia="Arial" w:hAnsi="Arial"/>
          <w:sz w:val="17"/>
          <w:szCs w:val="17"/>
          <w:color w:val="auto"/>
        </w:rPr>
      </w:pPr>
    </w:p>
    <w:p>
      <w:pPr>
        <w:ind w:left="380" w:right="720" w:hanging="372"/>
        <w:spacing w:after="0" w:line="308"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73" w:lineRule="exact"/>
        <w:rPr>
          <w:rFonts w:ascii="Arial" w:cs="Arial" w:eastAsia="Arial" w:hAnsi="Arial"/>
          <w:sz w:val="17"/>
          <w:szCs w:val="17"/>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90"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Item 6 – Exhibits</w:t>
      </w:r>
    </w:p>
    <w:p>
      <w:pPr>
        <w:spacing w:after="0" w:line="252" w:lineRule="exact"/>
        <w:rPr>
          <w:sz w:val="20"/>
          <w:szCs w:val="20"/>
          <w:color w:val="auto"/>
        </w:rPr>
      </w:pPr>
    </w:p>
    <w:p>
      <w:pPr>
        <w:ind w:left="1160" w:right="140" w:hanging="769"/>
        <w:spacing w:after="0" w:line="27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Separation Agreement dated March 29, 2013 between ManpowerGroup Inc. and Owen Sullivan, incorporated by reference to the Company’s Current Report on Form 8-K dated March 29, 2013.</w:t>
      </w:r>
    </w:p>
    <w:p>
      <w:pPr>
        <w:spacing w:after="0" w:line="19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160" w:hanging="769"/>
        <w:spacing w:after="0" w:line="277" w:lineRule="auto"/>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1160" w:right="140" w:hanging="774"/>
        <w:spacing w:after="0" w:line="259"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March 31, 2013, formatted in XBRL (Extensible Business Reporting Language): (i) Consolidated Balance Sheets, (ii) Consolidated Statements of Operations, (iii) Consolidated Statements of Comprehensive (Loss)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25" w:name="page26"/>
    <w:bookmarkEnd w:id="25"/>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14605</wp:posOffset>
            </wp:positionV>
            <wp:extent cx="18440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44040" cy="1714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14605</wp:posOffset>
            </wp:positionV>
            <wp:extent cx="32499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61" w:right="379" w:bottom="1440" w:gutter="0" w:footer="0" w:header="0"/>
        </w:sectPr>
      </w:pPr>
    </w:p>
    <w:bookmarkStart w:id="26" w:name="page27"/>
    <w:bookmarkEnd w:id="26"/>
    <w:p>
      <w:pPr>
        <w:spacing w:after="0"/>
        <w:tabs>
          <w:tab w:leader="none" w:pos="58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14605</wp:posOffset>
            </wp:positionV>
            <wp:extent cx="65176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ectPr>
          <w:pgSz w:w="11900" w:h="16838" w:orient="portrait"/>
          <w:cols w:equalWidth="0" w:num="1">
            <w:col w:w="11260"/>
          </w:cols>
          <w:pgMar w:left="280" w:top="733" w:right="359" w:bottom="1440" w:gutter="0" w:footer="0" w:header="0"/>
        </w:sectPr>
      </w:pPr>
    </w:p>
    <w:p>
      <w:pPr>
        <w:spacing w:after="0" w:line="279" w:lineRule="exact"/>
        <w:rPr>
          <w:sz w:val="20"/>
          <w:szCs w:val="20"/>
          <w:color w:val="auto"/>
        </w:rPr>
      </w:pPr>
    </w:p>
    <w:p>
      <w:pPr>
        <w:ind w:left="1120" w:right="140" w:hanging="769"/>
        <w:spacing w:after="0" w:line="277" w:lineRule="auto"/>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Separation Agreement dated March 29, 2013 between ManpowerGroup Inc. and Owen Sullivan, incorporated by reference to the Company’s Current Report on Form 8-K dated March 29, 2013.</w:t>
      </w:r>
    </w:p>
    <w:p>
      <w:pPr>
        <w:spacing w:after="0" w:line="197"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120" w:hanging="769"/>
        <w:spacing w:after="0" w:line="277" w:lineRule="auto"/>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1120" w:right="140" w:hanging="774"/>
        <w:spacing w:after="0" w:line="259"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March 31, 2013, formatted in XBRL (Extensible Business Reporting Language): (i) Consolidated Balance Sheets, (ii) Consolidated Statements of Operations, (iii) Consolidated Statements of Comprehensive (Loss) Income, (iv) Consolidated Statements of Cash Flows, and (v)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80" w:top="733" w:right="35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ind w:right="3440"/>
        <w:spacing w:after="0"/>
        <w:rPr>
          <w:sz w:val="20"/>
          <w:szCs w:val="20"/>
          <w:color w:val="auto"/>
        </w:rPr>
      </w:pPr>
      <w:r>
        <w:rPr>
          <w:rFonts w:ascii="Arial" w:cs="Arial" w:eastAsia="Arial" w:hAnsi="Arial"/>
          <w:sz w:val="18"/>
          <w:szCs w:val="18"/>
          <w:color w:val="auto"/>
        </w:rPr>
        <w:t>MANPOWERGROUP INC.</w:t>
      </w:r>
    </w:p>
    <w:p>
      <w:pPr>
        <w:spacing w:after="0" w:line="198"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gridSpan w:val="8"/>
          </w:tcPr>
          <w:p>
            <w:pPr>
              <w:jc w:val="center"/>
              <w:ind w:right="800"/>
              <w:spacing w:after="0"/>
              <w:rPr>
                <w:sz w:val="20"/>
                <w:szCs w:val="20"/>
                <w:color w:val="auto"/>
              </w:rPr>
            </w:pPr>
            <w:r>
              <w:rPr>
                <w:rFonts w:ascii="Arial" w:cs="Arial" w:eastAsia="Arial" w:hAnsi="Arial"/>
                <w:sz w:val="18"/>
                <w:szCs w:val="18"/>
                <w:b w:val="1"/>
                <w:bCs w:val="1"/>
                <w:color w:val="auto"/>
                <w:w w:val="91"/>
              </w:rPr>
              <w:t>3 Months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gridSpan w:val="8"/>
          </w:tcPr>
          <w:p>
            <w:pPr>
              <w:jc w:val="center"/>
              <w:ind w:right="82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0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gridSpan w:val="4"/>
          </w:tcPr>
          <w:p>
            <w:pPr>
              <w:ind w:left="180"/>
              <w:spacing w:after="0"/>
              <w:rPr>
                <w:sz w:val="20"/>
                <w:szCs w:val="20"/>
                <w:color w:val="auto"/>
              </w:rPr>
            </w:pPr>
            <w:r>
              <w:rPr>
                <w:rFonts w:ascii="Arial" w:cs="Arial" w:eastAsia="Arial" w:hAnsi="Arial"/>
                <w:sz w:val="18"/>
                <w:szCs w:val="18"/>
                <w:color w:val="auto"/>
              </w:rPr>
              <w:t>Earnings before income taxes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42.9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42.9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85.8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15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20" w:type="dxa"/>
            <w:vAlign w:val="bottom"/>
            <w:gridSpan w:val="4"/>
          </w:tcPr>
          <w:p>
            <w:pPr>
              <w:ind w:left="180"/>
              <w:spacing w:after="0"/>
              <w:rPr>
                <w:sz w:val="20"/>
                <w:szCs w:val="20"/>
                <w:color w:val="auto"/>
              </w:rPr>
            </w:pPr>
            <w:r>
              <w:rPr>
                <w:rFonts w:ascii="Arial" w:cs="Arial" w:eastAsia="Arial" w:hAnsi="Arial"/>
                <w:sz w:val="18"/>
                <w:szCs w:val="18"/>
                <w:color w:val="auto"/>
                <w:w w:val="90"/>
              </w:rPr>
              <w:t>Interest (expensed or capitalized)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10.9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gridSpan w:val="9"/>
          </w:tcPr>
          <w:p>
            <w:pPr>
              <w:ind w:left="180"/>
              <w:spacing w:after="0"/>
              <w:rPr>
                <w:sz w:val="20"/>
                <w:szCs w:val="20"/>
                <w:color w:val="auto"/>
              </w:rPr>
            </w:pPr>
            <w:r>
              <w:rPr>
                <w:rFonts w:ascii="Arial" w:cs="Arial" w:eastAsia="Arial" w:hAnsi="Arial"/>
                <w:sz w:val="18"/>
                <w:szCs w:val="18"/>
                <w:color w:val="auto"/>
              </w:rPr>
              <w:t>Estimated interest portion of rent expense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32.0</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5"/>
              </w:rPr>
              <w:t>42.9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620" w:type="dxa"/>
            <w:vAlign w:val="bottom"/>
            <w:gridSpan w:val="4"/>
          </w:tcPr>
          <w:p>
            <w:pPr>
              <w:spacing w:after="0"/>
              <w:rPr>
                <w:sz w:val="20"/>
                <w:szCs w:val="20"/>
                <w:color w:val="auto"/>
              </w:rPr>
            </w:pPr>
            <w:r>
              <w:rPr>
                <w:rFonts w:ascii="Arial" w:cs="Arial" w:eastAsia="Arial" w:hAnsi="Arial"/>
                <w:sz w:val="18"/>
                <w:szCs w:val="18"/>
                <w:color w:val="auto"/>
                <w:w w:val="96"/>
              </w:rPr>
              <w:t>Ratio of earnings to fixed charges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430"/>
        </w:trPr>
        <w:tc>
          <w:tcPr>
            <w:tcW w:w="15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368.4</w:t>
            </w:r>
          </w:p>
        </w:tc>
        <w:tc>
          <w:tcPr>
            <w:tcW w:w="2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479.9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(165.2)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-3102610</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-2536825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-2261870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-1970405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-1661795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-1387475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-1061720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-769620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-272415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2720" w:space="720"/>
            <w:col w:w="798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161.9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May 3,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252" w:lineRule="exact"/>
        <w:rPr>
          <w:sz w:val="20"/>
          <w:szCs w:val="20"/>
          <w:color w:val="auto"/>
        </w:rPr>
      </w:pPr>
    </w:p>
    <w:p>
      <w:pPr>
        <w:ind w:left="700" w:hanging="34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7" w:lineRule="exact"/>
        <w:rPr>
          <w:sz w:val="20"/>
          <w:szCs w:val="20"/>
          <w:color w:val="auto"/>
        </w:rPr>
      </w:pPr>
    </w:p>
    <w:p>
      <w:pPr>
        <w:ind w:left="820" w:right="340" w:hanging="582"/>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2013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97" w:lineRule="exact"/>
        <w:rPr>
          <w:sz w:val="20"/>
          <w:szCs w:val="20"/>
          <w:color w:val="auto"/>
        </w:rPr>
      </w:pPr>
    </w:p>
    <w:p>
      <w:pPr>
        <w:ind w:left="820" w:right="340" w:hanging="461"/>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2013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3"/>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0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2019-12-06T05:13:28Z</dcterms:created>
  <dcterms:modified xsi:type="dcterms:W3CDTF">2019-12-06T05:13:28Z</dcterms:modified>
</cp:coreProperties>
</file>