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8-K</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Pursuant to Section 13 or 15(d) of the Securities Exchange Act of 1934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February 16, 2011</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MANPOWER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620" w:type="dxa"/>
            <w:vAlign w:val="bottom"/>
            <w:tcBorders>
              <w:bottom w:val="single" w:sz="8" w:color="auto"/>
            </w:tcBorders>
          </w:tcPr>
          <w:p>
            <w:pPr>
              <w:ind w:left="1720"/>
              <w:spacing w:after="0"/>
              <w:rPr>
                <w:sz w:val="20"/>
                <w:szCs w:val="20"/>
                <w:color w:val="auto"/>
              </w:rPr>
            </w:pPr>
            <w:r>
              <w:rPr>
                <w:rFonts w:ascii="Arial" w:cs="Arial" w:eastAsia="Arial" w:hAnsi="Arial"/>
                <w:sz w:val="17"/>
                <w:szCs w:val="17"/>
                <w:color w:val="auto"/>
              </w:rPr>
              <w:t>Wisconsin</w:t>
            </w:r>
          </w:p>
        </w:tc>
        <w:tc>
          <w:tcPr>
            <w:tcW w:w="2940" w:type="dxa"/>
            <w:vAlign w:val="bottom"/>
            <w:tcBorders>
              <w:bottom w:val="single" w:sz="8" w:color="auto"/>
            </w:tcBorders>
            <w:gridSpan w:val="2"/>
          </w:tcPr>
          <w:p>
            <w:pPr>
              <w:jc w:val="center"/>
              <w:ind w:left="1314"/>
              <w:spacing w:after="0"/>
              <w:rPr>
                <w:sz w:val="20"/>
                <w:szCs w:val="20"/>
                <w:color w:val="auto"/>
              </w:rPr>
            </w:pPr>
            <w:r>
              <w:rPr>
                <w:rFonts w:ascii="Arial" w:cs="Arial" w:eastAsia="Arial" w:hAnsi="Arial"/>
                <w:sz w:val="17"/>
                <w:szCs w:val="17"/>
                <w:color w:val="auto"/>
                <w:w w:val="92"/>
              </w:rPr>
              <w:t>1-10686</w:t>
            </w:r>
          </w:p>
        </w:tc>
        <w:tc>
          <w:tcPr>
            <w:tcW w:w="4860" w:type="dxa"/>
            <w:vAlign w:val="bottom"/>
            <w:tcBorders>
              <w:bottom w:val="single" w:sz="8" w:color="auto"/>
            </w:tcBorders>
          </w:tcPr>
          <w:p>
            <w:pPr>
              <w:jc w:val="center"/>
              <w:ind w:left="634"/>
              <w:spacing w:after="0"/>
              <w:rPr>
                <w:sz w:val="20"/>
                <w:szCs w:val="20"/>
                <w:color w:val="auto"/>
              </w:rPr>
            </w:pPr>
            <w:r>
              <w:rPr>
                <w:rFonts w:ascii="Arial" w:cs="Arial" w:eastAsia="Arial" w:hAnsi="Arial"/>
                <w:sz w:val="17"/>
                <w:szCs w:val="17"/>
                <w:color w:val="auto"/>
                <w:w w:val="90"/>
              </w:rPr>
              <w:t>39-1672779</w:t>
            </w:r>
          </w:p>
        </w:tc>
        <w:tc>
          <w:tcPr>
            <w:tcW w:w="0" w:type="dxa"/>
            <w:vAlign w:val="bottom"/>
          </w:tcPr>
          <w:p>
            <w:pPr>
              <w:spacing w:after="0"/>
              <w:rPr>
                <w:sz w:val="1"/>
                <w:szCs w:val="1"/>
                <w:color w:val="auto"/>
              </w:rPr>
            </w:pPr>
          </w:p>
        </w:tc>
      </w:tr>
      <w:tr>
        <w:trPr>
          <w:trHeight w:val="194"/>
        </w:trPr>
        <w:tc>
          <w:tcPr>
            <w:tcW w:w="3620" w:type="dxa"/>
            <w:vAlign w:val="bottom"/>
          </w:tcPr>
          <w:p>
            <w:pPr>
              <w:jc w:val="center"/>
              <w:ind w:left="594"/>
              <w:spacing w:after="0" w:line="194" w:lineRule="exact"/>
              <w:rPr>
                <w:sz w:val="20"/>
                <w:szCs w:val="20"/>
                <w:color w:val="auto"/>
              </w:rPr>
            </w:pPr>
            <w:r>
              <w:rPr>
                <w:rFonts w:ascii="Arial" w:cs="Arial" w:eastAsia="Arial" w:hAnsi="Arial"/>
                <w:sz w:val="17"/>
                <w:szCs w:val="17"/>
                <w:color w:val="auto"/>
                <w:w w:val="93"/>
              </w:rPr>
              <w:t>(State or other jurisdiction</w:t>
            </w:r>
          </w:p>
        </w:tc>
        <w:tc>
          <w:tcPr>
            <w:tcW w:w="2940" w:type="dxa"/>
            <w:vAlign w:val="bottom"/>
            <w:gridSpan w:val="2"/>
          </w:tcPr>
          <w:p>
            <w:pPr>
              <w:jc w:val="center"/>
              <w:ind w:left="1294"/>
              <w:spacing w:after="0" w:line="194" w:lineRule="exact"/>
              <w:rPr>
                <w:sz w:val="20"/>
                <w:szCs w:val="20"/>
                <w:color w:val="auto"/>
              </w:rPr>
            </w:pPr>
            <w:r>
              <w:rPr>
                <w:rFonts w:ascii="Arial" w:cs="Arial" w:eastAsia="Arial" w:hAnsi="Arial"/>
                <w:sz w:val="17"/>
                <w:szCs w:val="17"/>
                <w:color w:val="auto"/>
                <w:w w:val="92"/>
              </w:rPr>
              <w:t>(Commission</w:t>
            </w:r>
          </w:p>
        </w:tc>
        <w:tc>
          <w:tcPr>
            <w:tcW w:w="4860" w:type="dxa"/>
            <w:vAlign w:val="bottom"/>
          </w:tcPr>
          <w:p>
            <w:pPr>
              <w:jc w:val="center"/>
              <w:ind w:left="654"/>
              <w:spacing w:after="0" w:line="194" w:lineRule="exact"/>
              <w:rPr>
                <w:sz w:val="20"/>
                <w:szCs w:val="20"/>
                <w:color w:val="auto"/>
              </w:rPr>
            </w:pPr>
            <w:r>
              <w:rPr>
                <w:rFonts w:ascii="Arial" w:cs="Arial" w:eastAsia="Arial" w:hAnsi="Arial"/>
                <w:sz w:val="17"/>
                <w:szCs w:val="17"/>
                <w:color w:val="auto"/>
                <w:w w:val="94"/>
              </w:rPr>
              <w:t>(IRS Employer</w:t>
            </w:r>
          </w:p>
        </w:tc>
        <w:tc>
          <w:tcPr>
            <w:tcW w:w="0" w:type="dxa"/>
            <w:vAlign w:val="bottom"/>
          </w:tcPr>
          <w:p>
            <w:pPr>
              <w:spacing w:after="0"/>
              <w:rPr>
                <w:sz w:val="1"/>
                <w:szCs w:val="1"/>
                <w:color w:val="auto"/>
              </w:rPr>
            </w:pPr>
          </w:p>
        </w:tc>
      </w:tr>
      <w:tr>
        <w:trPr>
          <w:trHeight w:val="217"/>
        </w:trPr>
        <w:tc>
          <w:tcPr>
            <w:tcW w:w="3620" w:type="dxa"/>
            <w:vAlign w:val="bottom"/>
          </w:tcPr>
          <w:p>
            <w:pPr>
              <w:jc w:val="center"/>
              <w:ind w:left="594"/>
              <w:spacing w:after="0"/>
              <w:rPr>
                <w:sz w:val="20"/>
                <w:szCs w:val="20"/>
                <w:color w:val="auto"/>
              </w:rPr>
            </w:pPr>
            <w:r>
              <w:rPr>
                <w:rFonts w:ascii="Arial" w:cs="Arial" w:eastAsia="Arial" w:hAnsi="Arial"/>
                <w:sz w:val="17"/>
                <w:szCs w:val="17"/>
                <w:color w:val="auto"/>
                <w:w w:val="96"/>
              </w:rPr>
              <w:t>of incorporation)</w:t>
            </w:r>
          </w:p>
        </w:tc>
        <w:tc>
          <w:tcPr>
            <w:tcW w:w="2940" w:type="dxa"/>
            <w:vAlign w:val="bottom"/>
            <w:gridSpan w:val="2"/>
          </w:tcPr>
          <w:p>
            <w:pPr>
              <w:jc w:val="center"/>
              <w:ind w:left="1314"/>
              <w:spacing w:after="0"/>
              <w:rPr>
                <w:sz w:val="20"/>
                <w:szCs w:val="20"/>
                <w:color w:val="auto"/>
              </w:rPr>
            </w:pPr>
            <w:r>
              <w:rPr>
                <w:rFonts w:ascii="Arial" w:cs="Arial" w:eastAsia="Arial" w:hAnsi="Arial"/>
                <w:sz w:val="17"/>
                <w:szCs w:val="17"/>
                <w:color w:val="auto"/>
                <w:w w:val="95"/>
              </w:rPr>
              <w:t>File Number)</w:t>
            </w:r>
          </w:p>
        </w:tc>
        <w:tc>
          <w:tcPr>
            <w:tcW w:w="4860" w:type="dxa"/>
            <w:vAlign w:val="bottom"/>
          </w:tcPr>
          <w:p>
            <w:pPr>
              <w:jc w:val="center"/>
              <w:ind w:left="654"/>
              <w:spacing w:after="0"/>
              <w:rPr>
                <w:sz w:val="20"/>
                <w:szCs w:val="20"/>
                <w:color w:val="auto"/>
              </w:rPr>
            </w:pPr>
            <w:r>
              <w:rPr>
                <w:rFonts w:ascii="Arial" w:cs="Arial" w:eastAsia="Arial" w:hAnsi="Arial"/>
                <w:sz w:val="17"/>
                <w:szCs w:val="17"/>
                <w:color w:val="auto"/>
                <w:w w:val="96"/>
              </w:rPr>
              <w:t>Identification No.)</w:t>
            </w:r>
          </w:p>
        </w:tc>
        <w:tc>
          <w:tcPr>
            <w:tcW w:w="0" w:type="dxa"/>
            <w:vAlign w:val="bottom"/>
          </w:tcPr>
          <w:p>
            <w:pPr>
              <w:spacing w:after="0"/>
              <w:rPr>
                <w:sz w:val="1"/>
                <w:szCs w:val="1"/>
                <w:color w:val="auto"/>
              </w:rPr>
            </w:pPr>
          </w:p>
        </w:tc>
      </w:tr>
      <w:tr>
        <w:trPr>
          <w:trHeight w:val="428"/>
        </w:trPr>
        <w:tc>
          <w:tcPr>
            <w:tcW w:w="3620" w:type="dxa"/>
            <w:vAlign w:val="bottom"/>
          </w:tcPr>
          <w:p>
            <w:pPr>
              <w:jc w:val="center"/>
              <w:ind w:left="1874"/>
              <w:spacing w:after="0"/>
              <w:rPr>
                <w:sz w:val="20"/>
                <w:szCs w:val="20"/>
                <w:color w:val="auto"/>
              </w:rPr>
            </w:pPr>
            <w:r>
              <w:rPr>
                <w:rFonts w:ascii="Arial" w:cs="Arial" w:eastAsia="Arial" w:hAnsi="Arial"/>
                <w:sz w:val="17"/>
                <w:szCs w:val="17"/>
                <w:color w:val="auto"/>
                <w:w w:val="91"/>
              </w:rPr>
              <w:t>100 Manpower Place</w:t>
            </w: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60" w:type="dxa"/>
            <w:vAlign w:val="bottom"/>
            <w:vMerge w:val="restart"/>
          </w:tcPr>
          <w:p>
            <w:pPr>
              <w:jc w:val="right"/>
              <w:ind w:right="2134"/>
              <w:spacing w:after="0"/>
              <w:rPr>
                <w:sz w:val="20"/>
                <w:szCs w:val="20"/>
                <w:color w:val="auto"/>
              </w:rPr>
            </w:pPr>
            <w:r>
              <w:rPr>
                <w:rFonts w:ascii="Arial" w:cs="Arial" w:eastAsia="Arial" w:hAnsi="Arial"/>
                <w:sz w:val="17"/>
                <w:szCs w:val="17"/>
                <w:color w:val="auto"/>
              </w:rPr>
              <w:t>53212</w:t>
            </w:r>
          </w:p>
        </w:tc>
        <w:tc>
          <w:tcPr>
            <w:tcW w:w="0" w:type="dxa"/>
            <w:vAlign w:val="bottom"/>
          </w:tcPr>
          <w:p>
            <w:pPr>
              <w:spacing w:after="0"/>
              <w:rPr>
                <w:sz w:val="1"/>
                <w:szCs w:val="1"/>
                <w:color w:val="auto"/>
              </w:rPr>
            </w:pPr>
          </w:p>
        </w:tc>
      </w:tr>
      <w:tr>
        <w:trPr>
          <w:trHeight w:val="225"/>
        </w:trPr>
        <w:tc>
          <w:tcPr>
            <w:tcW w:w="3620" w:type="dxa"/>
            <w:vAlign w:val="bottom"/>
            <w:tcBorders>
              <w:bottom w:val="single" w:sz="8" w:color="auto"/>
            </w:tcBorders>
          </w:tcPr>
          <w:p>
            <w:pPr>
              <w:jc w:val="center"/>
              <w:ind w:left="1874"/>
              <w:spacing w:after="0"/>
              <w:rPr>
                <w:sz w:val="20"/>
                <w:szCs w:val="20"/>
                <w:color w:val="auto"/>
              </w:rPr>
            </w:pPr>
            <w:r>
              <w:rPr>
                <w:rFonts w:ascii="Arial" w:cs="Arial" w:eastAsia="Arial" w:hAnsi="Arial"/>
                <w:sz w:val="17"/>
                <w:szCs w:val="17"/>
                <w:color w:val="auto"/>
                <w:w w:val="94"/>
              </w:rPr>
              <w:t>Milwaukee, Wisconsin</w:t>
            </w:r>
          </w:p>
        </w:tc>
        <w:tc>
          <w:tcPr>
            <w:tcW w:w="196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4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80" w:type="dxa"/>
            <w:vAlign w:val="bottom"/>
            <w:gridSpan w:val="2"/>
          </w:tcPr>
          <w:p>
            <w:pPr>
              <w:jc w:val="center"/>
              <w:spacing w:after="0"/>
              <w:rPr>
                <w:sz w:val="20"/>
                <w:szCs w:val="20"/>
                <w:color w:val="auto"/>
              </w:rPr>
            </w:pPr>
            <w:r>
              <w:rPr>
                <w:rFonts w:ascii="Arial" w:cs="Arial" w:eastAsia="Arial" w:hAnsi="Arial"/>
                <w:sz w:val="17"/>
                <w:szCs w:val="17"/>
                <w:color w:val="auto"/>
                <w:w w:val="94"/>
              </w:rPr>
              <w:t>(Address of principal executive offices)</w:t>
            </w:r>
          </w:p>
        </w:tc>
        <w:tc>
          <w:tcPr>
            <w:tcW w:w="98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7"/>
                <w:szCs w:val="17"/>
                <w:color w:val="auto"/>
                <w:w w:val="94"/>
              </w:rPr>
              <w:t>(Zip Code)</w:t>
            </w:r>
          </w:p>
        </w:tc>
        <w:tc>
          <w:tcPr>
            <w:tcW w:w="0" w:type="dxa"/>
            <w:vAlign w:val="bottom"/>
          </w:tcPr>
          <w:p>
            <w:pPr>
              <w:spacing w:after="0"/>
              <w:rPr>
                <w:sz w:val="1"/>
                <w:szCs w:val="1"/>
                <w:color w:val="auto"/>
              </w:rPr>
            </w:pPr>
          </w:p>
        </w:tc>
      </w:tr>
      <w:tr>
        <w:trPr>
          <w:trHeight w:val="633"/>
        </w:trPr>
        <w:tc>
          <w:tcPr>
            <w:tcW w:w="3620" w:type="dxa"/>
            <w:vAlign w:val="bottom"/>
          </w:tcPr>
          <w:p>
            <w:pPr>
              <w:spacing w:after="0"/>
              <w:rPr>
                <w:sz w:val="20"/>
                <w:szCs w:val="20"/>
                <w:color w:val="auto"/>
              </w:rPr>
            </w:pPr>
            <w:r>
              <w:rPr>
                <w:rFonts w:ascii="Arial" w:cs="Arial" w:eastAsia="Arial" w:hAnsi="Arial"/>
                <w:sz w:val="17"/>
                <w:szCs w:val="17"/>
                <w:color w:val="auto"/>
                <w:w w:val="91"/>
              </w:rPr>
              <w:t>Registrant’s telephone number, including area code:</w:t>
            </w:r>
          </w:p>
        </w:tc>
        <w:tc>
          <w:tcPr>
            <w:tcW w:w="1960" w:type="dxa"/>
            <w:vAlign w:val="bottom"/>
          </w:tcPr>
          <w:p>
            <w:pPr>
              <w:jc w:val="right"/>
              <w:ind w:right="714"/>
              <w:spacing w:after="0"/>
              <w:rPr>
                <w:sz w:val="20"/>
                <w:szCs w:val="20"/>
                <w:color w:val="auto"/>
              </w:rPr>
            </w:pPr>
            <w:r>
              <w:rPr>
                <w:rFonts w:ascii="Arial" w:cs="Arial" w:eastAsia="Arial" w:hAnsi="Arial"/>
                <w:sz w:val="17"/>
                <w:szCs w:val="17"/>
                <w:color w:val="auto"/>
                <w:w w:val="98"/>
              </w:rPr>
              <w:t>(414) 961-1000</w:t>
            </w:r>
          </w:p>
        </w:tc>
        <w:tc>
          <w:tcPr>
            <w:tcW w:w="9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420" w:hanging="417"/>
        <w:spacing w:after="0"/>
        <w:tabs>
          <w:tab w:leader="none" w:pos="4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43" w:lineRule="exact"/>
        <w:rPr>
          <w:rFonts w:ascii="Arial" w:cs="Arial" w:eastAsia="Arial" w:hAnsi="Arial"/>
          <w:sz w:val="17"/>
          <w:szCs w:val="17"/>
          <w:color w:val="auto"/>
        </w:rPr>
      </w:pPr>
    </w:p>
    <w:p>
      <w:pPr>
        <w:ind w:left="420" w:hanging="417"/>
        <w:spacing w:after="0"/>
        <w:tabs>
          <w:tab w:leader="none" w:pos="4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3" w:lineRule="exact"/>
        <w:rPr>
          <w:rFonts w:ascii="Arial" w:cs="Arial" w:eastAsia="Arial" w:hAnsi="Arial"/>
          <w:sz w:val="17"/>
          <w:szCs w:val="17"/>
          <w:color w:val="auto"/>
        </w:rPr>
      </w:pPr>
    </w:p>
    <w:p>
      <w:pPr>
        <w:ind w:left="420" w:hanging="417"/>
        <w:spacing w:after="0"/>
        <w:tabs>
          <w:tab w:leader="none" w:pos="4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3" w:lineRule="exact"/>
        <w:rPr>
          <w:rFonts w:ascii="Arial" w:cs="Arial" w:eastAsia="Arial" w:hAnsi="Arial"/>
          <w:sz w:val="17"/>
          <w:szCs w:val="17"/>
          <w:color w:val="auto"/>
        </w:rPr>
      </w:pPr>
    </w:p>
    <w:p>
      <w:pPr>
        <w:ind w:left="420" w:hanging="417"/>
        <w:spacing w:after="0"/>
        <w:tabs>
          <w:tab w:leader="none" w:pos="4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463550</wp:posOffset>
            </wp:positionV>
            <wp:extent cx="725741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1" w:name="page2"/>
    <w:bookmarkEnd w:id="1"/>
    <w:p>
      <w:pPr>
        <w:spacing w:after="0"/>
        <w:tabs>
          <w:tab w:leader="none" w:pos="1660" w:val="left"/>
        </w:tabs>
        <w:rPr>
          <w:sz w:val="20"/>
          <w:szCs w:val="20"/>
          <w:color w:val="auto"/>
        </w:rPr>
      </w:pPr>
      <w:r>
        <w:rPr>
          <w:rFonts w:ascii="Arial" w:cs="Arial" w:eastAsia="Arial" w:hAnsi="Arial"/>
          <w:sz w:val="17"/>
          <w:szCs w:val="17"/>
          <w:b w:val="1"/>
          <w:bCs w:val="1"/>
          <w:color w:val="auto"/>
        </w:rPr>
        <w:t>Item 1.01.</w:t>
      </w:r>
      <w:r>
        <w:rPr>
          <w:sz w:val="20"/>
          <w:szCs w:val="20"/>
          <w:color w:val="auto"/>
        </w:rPr>
        <w:tab/>
      </w:r>
      <w:r>
        <w:rPr>
          <w:rFonts w:ascii="Arial" w:cs="Arial" w:eastAsia="Arial" w:hAnsi="Arial"/>
          <w:sz w:val="16"/>
          <w:szCs w:val="16"/>
          <w:b w:val="1"/>
          <w:bCs w:val="1"/>
          <w:u w:val="single" w:color="auto"/>
          <w:color w:val="auto"/>
        </w:rPr>
        <w:t>Entry into a Material Definitive Agreement.</w:t>
      </w:r>
    </w:p>
    <w:p>
      <w:pPr>
        <w:spacing w:after="0" w:line="249"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On February 16, 2011, the Board of Directors of Manpower Inc. approved an amendment to the compensation program for non-employee directors of the Company (the “Program”) and amended Terms and Conditions Regarding the Grant of Awards to Non-Employee Directors (the “Terms and Conditions”) under the 2003 Equity Incentive Plan of Manpower Inc. Both amendments are effective February 16, 2011.</w:t>
      </w:r>
    </w:p>
    <w:p>
      <w:pPr>
        <w:spacing w:after="0" w:line="20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amendment to the Program increases the annual cash retainer paid to non-employee directors to $75,000 per year ($73,110 for calendar year 2011) from $60,000, but also eliminates the $2,000 per meeting fee for board meetings attended in person or $1,000 per meeting fee attended telephonically. The additional cash retainer paid to the committee chairs of the three principal committees of the board are also increased to $15,000 per year ($14,370 for calendar year 2011) from $10,000 per year for the executive compensation and human resources committee chair and $12,500 per year ($12,185 for calendar year 2011) from $10,000 per year for nominating and governance committee chair. Non-employee directors will continue to be paid $2,000 per committee meeting attended in person and $1,000 per board or committee meeting attended telephonically.</w:t>
      </w:r>
    </w:p>
    <w:p>
      <w:pPr>
        <w:spacing w:after="0" w:line="210" w:lineRule="exact"/>
        <w:rPr>
          <w:sz w:val="20"/>
          <w:szCs w:val="20"/>
          <w:color w:val="auto"/>
        </w:rPr>
      </w:pPr>
    </w:p>
    <w:p>
      <w:pPr>
        <w:ind w:right="260"/>
        <w:spacing w:after="0" w:line="280" w:lineRule="auto"/>
        <w:rPr>
          <w:sz w:val="20"/>
          <w:szCs w:val="20"/>
          <w:color w:val="auto"/>
        </w:rPr>
      </w:pPr>
      <w:r>
        <w:rPr>
          <w:rFonts w:ascii="Arial" w:cs="Arial" w:eastAsia="Arial" w:hAnsi="Arial"/>
          <w:sz w:val="17"/>
          <w:szCs w:val="17"/>
          <w:color w:val="auto"/>
        </w:rPr>
        <w:t>Under the amendment to the Program and the amendment to the Terms and Conditions, the annual grant of deferred stock under the 2003 Equity Incentive Plan to non-employee directors has been increased to $105,000 ($104,370 for calendar year 2011) from $100,000.</w:t>
      </w:r>
    </w:p>
    <w:p>
      <w:pPr>
        <w:spacing w:after="0" w:line="189" w:lineRule="exact"/>
        <w:rPr>
          <w:sz w:val="20"/>
          <w:szCs w:val="20"/>
          <w:color w:val="auto"/>
        </w:rPr>
      </w:pPr>
    </w:p>
    <w:p>
      <w:pPr>
        <w:jc w:val="both"/>
        <w:ind w:right="280"/>
        <w:spacing w:after="0" w:line="266" w:lineRule="auto"/>
        <w:rPr>
          <w:sz w:val="20"/>
          <w:szCs w:val="20"/>
          <w:color w:val="auto"/>
        </w:rPr>
      </w:pPr>
      <w:r>
        <w:rPr>
          <w:rFonts w:ascii="Arial" w:cs="Arial" w:eastAsia="Arial" w:hAnsi="Arial"/>
          <w:sz w:val="17"/>
          <w:szCs w:val="17"/>
          <w:color w:val="auto"/>
        </w:rPr>
        <w:t>The description of the amendment to the Program and to the Terms and Conditions does not purport to describe all of the terms of the Program and the Terms and Conditions and is qualified by reference to the full text of those documents, copies of which are attached to this report as Exhibits 10.1 and 10.2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460" w:hanging="1238"/>
        <w:spacing w:after="0" w:line="287" w:lineRule="auto"/>
        <w:tabs>
          <w:tab w:leader="none" w:pos="1220" w:val="left"/>
        </w:tabs>
        <w:rPr>
          <w:sz w:val="20"/>
          <w:szCs w:val="20"/>
          <w:color w:val="auto"/>
        </w:rPr>
      </w:pPr>
      <w:r>
        <w:rPr>
          <w:rFonts w:ascii="Arial" w:cs="Arial" w:eastAsia="Arial" w:hAnsi="Arial"/>
          <w:sz w:val="17"/>
          <w:szCs w:val="17"/>
          <w:b w:val="1"/>
          <w:bCs w:val="1"/>
          <w:color w:val="auto"/>
        </w:rPr>
        <w:t>Item 5.01</w:t>
      </w:r>
      <w:r>
        <w:rPr>
          <w:sz w:val="20"/>
          <w:szCs w:val="20"/>
          <w:color w:val="auto"/>
        </w:rPr>
        <w:tab/>
      </w:r>
      <w:r>
        <w:rPr>
          <w:rFonts w:ascii="Arial" w:cs="Arial" w:eastAsia="Arial" w:hAnsi="Arial"/>
          <w:sz w:val="17"/>
          <w:szCs w:val="17"/>
          <w:b w:val="1"/>
          <w:bCs w:val="1"/>
          <w:u w:val="single" w:color="auto"/>
          <w:color w:val="auto"/>
        </w:rPr>
        <w:t>Departure of Directors or Certain Officers; Election of Directors; Appointment of Certain Officers; Compensatory Arrangements of Certain Officers</w:t>
      </w:r>
    </w:p>
    <w:p>
      <w:pPr>
        <w:spacing w:after="0" w:line="184" w:lineRule="exact"/>
        <w:rPr>
          <w:sz w:val="20"/>
          <w:szCs w:val="20"/>
          <w:color w:val="auto"/>
        </w:rPr>
      </w:pPr>
    </w:p>
    <w:p>
      <w:pPr>
        <w:ind w:right="160" w:firstLine="620"/>
        <w:spacing w:after="0" w:line="276" w:lineRule="auto"/>
        <w:rPr>
          <w:sz w:val="20"/>
          <w:szCs w:val="20"/>
          <w:color w:val="auto"/>
        </w:rPr>
      </w:pPr>
      <w:r>
        <w:rPr>
          <w:rFonts w:ascii="Arial" w:cs="Arial" w:eastAsia="Arial" w:hAnsi="Arial"/>
          <w:sz w:val="16"/>
          <w:szCs w:val="16"/>
          <w:color w:val="auto"/>
        </w:rPr>
        <w:t>On February 16, 2011, the Company entered into a compensation agreement and severance agreement with each of Jeffrey A. Joerres, the Chief Executive Officer of the company, and Michael J. Van Handel, the Executive Vice President and Chief Financial Officer of the Company. These agreements replaced similar agreements that were set to expire on February 20, 2011. The most significant change to the severance agreements was the elimination of the tax gross-up to cover additional taxes if Mr. Joerres or Mr. Van Handel is subject to the golden parachute tax on a change of control, which the Company felt was necessary to align its executive compensation program with best governance practices. None of the other Company executive’s severance agreements contain ed this feature. The term under each of the compensation agreements and severance agreements expires on the first to occur of (1) the date two years after the occurrence of a change of control of the Company or (2) February 16, 2014, if no such change of control occurs before February 16, 2014.</w:t>
      </w:r>
    </w:p>
    <w:p>
      <w:pPr>
        <w:spacing w:after="0" w:line="197" w:lineRule="exact"/>
        <w:rPr>
          <w:sz w:val="20"/>
          <w:szCs w:val="20"/>
          <w:color w:val="auto"/>
        </w:rPr>
      </w:pPr>
    </w:p>
    <w:p>
      <w:pPr>
        <w:ind w:right="40" w:firstLine="620"/>
        <w:spacing w:after="0" w:line="256" w:lineRule="auto"/>
        <w:rPr>
          <w:sz w:val="20"/>
          <w:szCs w:val="20"/>
          <w:color w:val="auto"/>
        </w:rPr>
      </w:pPr>
      <w:r>
        <w:rPr>
          <w:rFonts w:ascii="Arial" w:cs="Arial" w:eastAsia="Arial" w:hAnsi="Arial"/>
          <w:sz w:val="17"/>
          <w:szCs w:val="17"/>
          <w:color w:val="auto"/>
        </w:rPr>
        <w:t>Under the compensation agreements, Mr. Joerres and Mr. Van Handel are entitled to receive a base salary, as may be increased from time to time by the Company, and each is entitled to receive incentive compensation in accordance with an incentive plan approved and administered by the Company’s Executive Compensation and Human Resources Committee of the Board of Directors (the “Committee”). Effective February 16, 2011 Mr. Joerres’ annual base salary has been increased to $1,200,000 per year, and Mr. Van Handel’ annual base salary has been increased to $600,000 per year. In addition, Mr. Joerres and Mr. Van Handel are eligible for all benefits generally available to the senior executives of the Company, subject to and on a basis consistent with the terms, conditions and overall administration o f such benefits. The compensation agreements also contain nondisclosure provisions that are effective during the term of the executive’s employment with the Company and during the two-year period following the termination of the executive’s employment with the Company, and nonsolicitation provisions that are effective during the term of the executive’s employment with the Company and during the one-year period following the termination of the executive’s employment with the Company.</w:t>
      </w:r>
    </w:p>
    <w:p>
      <w:pPr>
        <w:spacing w:after="0" w:line="214" w:lineRule="exact"/>
        <w:rPr>
          <w:sz w:val="20"/>
          <w:szCs w:val="20"/>
          <w:color w:val="auto"/>
        </w:rPr>
      </w:pPr>
    </w:p>
    <w:p>
      <w:pPr>
        <w:ind w:right="20" w:firstLine="620"/>
        <w:spacing w:after="0" w:line="276" w:lineRule="auto"/>
        <w:rPr>
          <w:sz w:val="20"/>
          <w:szCs w:val="20"/>
          <w:color w:val="auto"/>
        </w:rPr>
      </w:pPr>
      <w:r>
        <w:rPr>
          <w:rFonts w:ascii="Arial" w:cs="Arial" w:eastAsia="Arial" w:hAnsi="Arial"/>
          <w:sz w:val="16"/>
          <w:szCs w:val="16"/>
          <w:color w:val="auto"/>
        </w:rPr>
        <w:t>Under the severance agreements, upon the involuntary termination of the executive’s employment (other than for “cause”) or upon the voluntary termination of employment by the executive for “good reason,” the executive is entitled to receive a severance payment equal to the sum of the executive’s base salary and target level annual incentive. The severance payment to Mr. Joerres is capped at 2 1/2 times his base salary in effect at the time of the termination, while Mr. Van Handel’s severance payment is capped at 2 times his base salary in effect at the time of the termination. In the event the executive’s termination occurs in the two-year period following a change of control of the Company or during a “protected period” (generally, the six-month period prior to a ch ange of control), the severance payment payable to the executive is equal to three times the sum of his base salary and target level annual incentive. The cap described above for Mr. Joerres and Mr. Van Handel does not apply in the event of a change of control.</w:t>
      </w:r>
    </w:p>
    <w:p>
      <w:pPr>
        <w:spacing w:after="0" w:line="197" w:lineRule="exact"/>
        <w:rPr>
          <w:sz w:val="20"/>
          <w:szCs w:val="20"/>
          <w:color w:val="auto"/>
        </w:rPr>
      </w:pPr>
    </w:p>
    <w:p>
      <w:pPr>
        <w:ind w:right="20" w:firstLine="620"/>
        <w:spacing w:after="0" w:line="271" w:lineRule="auto"/>
        <w:rPr>
          <w:sz w:val="20"/>
          <w:szCs w:val="20"/>
          <w:color w:val="auto"/>
        </w:rPr>
      </w:pPr>
      <w:r>
        <w:rPr>
          <w:rFonts w:ascii="Arial" w:cs="Arial" w:eastAsia="Arial" w:hAnsi="Arial"/>
          <w:sz w:val="16"/>
          <w:szCs w:val="16"/>
          <w:color w:val="auto"/>
        </w:rPr>
        <w:t>A “change of control” under the severance agreement means the first to occur of (i) the acquisition, directly or indirectly, of beneficial ownership of more than 50% of the then outstanding shares of common stock of the Company or voting securities representing more than 50% of the combined voting power of the Company’s then outstanding voting securities entitled to vote generally in the election of directors; provided however, no change of control will have occurred if an acquisition of shares of common stock or voting securities of the Company by(a) the Company or its subsidiaries or employee benefit of the Company or (b) another company or entity, with respect to which, following the acquisition, 60% of the outstanding shares of common stock and voting securities representin g 60% of the combined voting power of the then outstanding voting securities entitled to vote generally in the election of directors of the other company, are beneficially owned by the persons who were the Company’s shareholders immediately prior to the acquisition in the same proportions immediately prior to the acquisition; (ii) the consummation of any merger or consolidation of the Company with any other company, other than a merger or consolidation which results in more than 60% of the outstanding shares of common stock, and voting securities representing more than 60% of the combined voting power of the then outstanding voting securities entitled to vote generally in the election of directors, are beneficially owned by the persons who were the Company’s shareholders immediately prior to the acquisition in the same proportions immediately prior to the acquisition; or (iii) the consummation of any liquidation or dissolution of the Company or a sale or other disposition of all or substantially all of the assets of the Company; or (iv) individuals who constitute the board of directors (“incumbent board”) as of February 16, 2011 cease for any reason to constitute at least a majority of such Board, provided however, that any person becoming a director after February 16, 2011 whose election or nomination for election by the shareholders of the Company was approved by a vote of at least a majority of the directors comprising the Incumbent Board shall be considered a member of the incumbent board, excluding any individual whose initial assumption of office occurs as a result of an actual or threatened election contest with was subject to Exchange Act Rule 14a-12(c); or (v) 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w:t>
      </w:r>
    </w:p>
    <w:p>
      <w:pPr>
        <w:spacing w:after="0" w:line="210" w:lineRule="exact"/>
        <w:rPr>
          <w:sz w:val="20"/>
          <w:szCs w:val="20"/>
          <w:color w:val="auto"/>
        </w:rPr>
      </w:pPr>
    </w:p>
    <w:p>
      <w:pPr>
        <w:ind w:right="40" w:firstLine="620"/>
        <w:spacing w:after="0" w:line="297" w:lineRule="auto"/>
        <w:rPr>
          <w:sz w:val="20"/>
          <w:szCs w:val="20"/>
          <w:color w:val="auto"/>
        </w:rPr>
      </w:pPr>
      <w:r>
        <w:rPr>
          <w:rFonts w:ascii="Arial" w:cs="Arial" w:eastAsia="Arial" w:hAnsi="Arial"/>
          <w:sz w:val="15"/>
          <w:szCs w:val="15"/>
          <w:color w:val="auto"/>
        </w:rPr>
        <w:t>A termination for “cause” under the severance agreement is generally a termination upon (i) repeated failure to perform duties in a competent, diligent and satisfactory manner as determined by the chief executive officer (or the Committee, for Mr. Joerres’ agreement), (ii) failure or refusal to follow the reasonable instructions or direction of the chief executive officer (or Board of Directors, for Mr. Joerres’ agreement), which failure or refusal remains uncured, if subject to cure, to the reasonable satisfaction of the chief executive officer (or Board of Directors, for Mr. Joerres’ agreement) for five business days after receiving notice thereof from the chief executive officer (or the Committee, for Mr. Joerres’ agreement), or repeated failure or refusal to follow the reasonable instructions or di rections of the chief executive officer (or Board of Directors, for Mr. Joerres’ agreement), (iii) any act of fraud, material dishonesty or material disloyalty, (iv) any violation of a policy of material import, (v) any act of moral turpitude which is likely to result in discredit to or loss of business, reputation or goodwill, (vi) chronic absence from</w:t>
      </w:r>
    </w:p>
    <w:p>
      <w:pPr>
        <w:sectPr>
          <w:pgSz w:w="11900" w:h="16838" w:orient="portrait"/>
          <w:cols w:equalWidth="0" w:num="1">
            <w:col w:w="11420"/>
          </w:cols>
          <w:pgMar w:left="240" w:top="353" w:right="239" w:bottom="0" w:gutter="0" w:footer="0" w:header="0"/>
        </w:sectPr>
      </w:pPr>
    </w:p>
    <w:bookmarkStart w:id="2" w:name="page3"/>
    <w:bookmarkEnd w:id="2"/>
    <w:p>
      <w:pPr>
        <w:ind w:right="20"/>
        <w:spacing w:after="0" w:line="280" w:lineRule="auto"/>
        <w:rPr>
          <w:sz w:val="20"/>
          <w:szCs w:val="20"/>
          <w:color w:val="auto"/>
        </w:rPr>
      </w:pPr>
      <w:r>
        <w:rPr>
          <w:rFonts w:ascii="Arial" w:cs="Arial" w:eastAsia="Arial" w:hAnsi="Arial"/>
          <w:sz w:val="17"/>
          <w:szCs w:val="17"/>
          <w:color w:val="auto"/>
        </w:rPr>
        <w:t>work other than by reason of a serious health condition, (vii) commission of a crime the circumstances of which substantially relate to employment duties or (viii) the willful engaging in conduct which is demonstrably and materially injurious to the Company.</w:t>
      </w:r>
    </w:p>
    <w:p>
      <w:pPr>
        <w:spacing w:after="0" w:line="189" w:lineRule="exact"/>
        <w:rPr>
          <w:sz w:val="20"/>
          <w:szCs w:val="20"/>
          <w:color w:val="auto"/>
        </w:rPr>
      </w:pPr>
    </w:p>
    <w:p>
      <w:pPr>
        <w:ind w:right="140" w:firstLine="620"/>
        <w:spacing w:after="0" w:line="296" w:lineRule="auto"/>
        <w:rPr>
          <w:sz w:val="20"/>
          <w:szCs w:val="20"/>
          <w:color w:val="auto"/>
        </w:rPr>
      </w:pPr>
      <w:r>
        <w:rPr>
          <w:rFonts w:ascii="Arial" w:cs="Arial" w:eastAsia="Arial" w:hAnsi="Arial"/>
          <w:sz w:val="15"/>
          <w:szCs w:val="15"/>
          <w:color w:val="auto"/>
        </w:rPr>
        <w:t>A termination for “good reason” under the severance agreement is generally a termination that occurs upon (i) a material dimunition in authority, duties or responsibilities, (ii) any material breach of the severance agreement, (iii) a material dimunition in base salary or a failure to provide an arrangement for any fiscal year of the opportunity to earn an incentive bonus for such year, (iv) being required to materially change the location of the principal office; provided such new location is one in excess of fifty miles from the executive’s current principal office or (v) a material dimunition in annual target bonus opportunity for a given fiscal year within two years after the occurrence of a change of control, as compared to the annual target bonus opportunity for the fiscal year immediately preceding the fiscal yea r in which a change of control occurred. Notwithstanding the above, good reason does not exist unless (i) there is an objection to any material dimunition or breach described above by written notice within twenty business days after such dimunition or breach occurs, (ii) the Company fails to cure such dimunition or breach within thirty days after such notice is given and (iii) employment with the Company is terminated within ninety days after such dimunition or breach occurs.</w:t>
      </w:r>
    </w:p>
    <w:p>
      <w:pPr>
        <w:spacing w:after="0" w:line="182" w:lineRule="exact"/>
        <w:rPr>
          <w:sz w:val="20"/>
          <w:szCs w:val="20"/>
          <w:color w:val="auto"/>
        </w:rPr>
      </w:pPr>
    </w:p>
    <w:p>
      <w:pPr>
        <w:ind w:right="540" w:firstLine="620"/>
        <w:spacing w:after="0" w:line="280" w:lineRule="auto"/>
        <w:rPr>
          <w:sz w:val="20"/>
          <w:szCs w:val="20"/>
          <w:color w:val="auto"/>
        </w:rPr>
      </w:pPr>
      <w:r>
        <w:rPr>
          <w:rFonts w:ascii="Arial" w:cs="Arial" w:eastAsia="Arial" w:hAnsi="Arial"/>
          <w:sz w:val="17"/>
          <w:szCs w:val="17"/>
          <w:color w:val="auto"/>
        </w:rPr>
        <w:t>All severance payments under the severance agreements are contingent upon the executive signing a general release in favor of the Company and are payable to the executive in a lump sum within 30 days following the date of termination.</w:t>
      </w:r>
    </w:p>
    <w:p>
      <w:pPr>
        <w:spacing w:after="0" w:line="189" w:lineRule="exact"/>
        <w:rPr>
          <w:sz w:val="20"/>
          <w:szCs w:val="20"/>
          <w:color w:val="auto"/>
        </w:rPr>
      </w:pPr>
    </w:p>
    <w:p>
      <w:pPr>
        <w:ind w:right="240" w:firstLine="620"/>
        <w:spacing w:after="0" w:line="280" w:lineRule="auto"/>
        <w:rPr>
          <w:sz w:val="20"/>
          <w:szCs w:val="20"/>
          <w:color w:val="auto"/>
        </w:rPr>
      </w:pPr>
      <w:r>
        <w:rPr>
          <w:rFonts w:ascii="Arial" w:cs="Arial" w:eastAsia="Arial" w:hAnsi="Arial"/>
          <w:sz w:val="17"/>
          <w:szCs w:val="17"/>
          <w:color w:val="auto"/>
        </w:rPr>
        <w:t>Under the severance agreements, the executives are bound by non-competition agreements in favor of the Company for the one-year period following the termination of their employment for any reason.</w:t>
      </w:r>
    </w:p>
    <w:p>
      <w:pPr>
        <w:spacing w:after="0" w:line="189" w:lineRule="exact"/>
        <w:rPr>
          <w:sz w:val="20"/>
          <w:szCs w:val="20"/>
          <w:color w:val="auto"/>
        </w:rPr>
      </w:pPr>
    </w:p>
    <w:p>
      <w:pPr>
        <w:ind w:right="220" w:firstLine="620"/>
        <w:spacing w:after="0" w:line="349" w:lineRule="auto"/>
        <w:rPr>
          <w:sz w:val="20"/>
          <w:szCs w:val="20"/>
          <w:color w:val="auto"/>
        </w:rPr>
      </w:pPr>
      <w:r>
        <w:rPr>
          <w:rFonts w:ascii="Arial" w:cs="Arial" w:eastAsia="Arial" w:hAnsi="Arial"/>
          <w:sz w:val="15"/>
          <w:szCs w:val="15"/>
          <w:color w:val="auto"/>
        </w:rPr>
        <w:t>Under the severance agreements, upon the executive’s (i) involuntary termination (other than for “cause”), (ii) voluntary termination for “good reason” or (iii) termination due to the death or disability of the executive, the executives are entitled to receive a prorated incentive for the year in which termination occurs.</w:t>
      </w:r>
    </w:p>
    <w:p>
      <w:pPr>
        <w:spacing w:after="0" w:line="144" w:lineRule="exact"/>
        <w:rPr>
          <w:sz w:val="20"/>
          <w:szCs w:val="20"/>
          <w:color w:val="auto"/>
        </w:rPr>
      </w:pPr>
    </w:p>
    <w:p>
      <w:pPr>
        <w:ind w:right="200" w:firstLine="620"/>
        <w:spacing w:after="0" w:line="262" w:lineRule="auto"/>
        <w:rPr>
          <w:sz w:val="20"/>
          <w:szCs w:val="20"/>
          <w:color w:val="auto"/>
        </w:rPr>
      </w:pPr>
      <w:r>
        <w:rPr>
          <w:rFonts w:ascii="Arial" w:cs="Arial" w:eastAsia="Arial" w:hAnsi="Arial"/>
          <w:sz w:val="17"/>
          <w:szCs w:val="17"/>
          <w:color w:val="auto"/>
        </w:rPr>
        <w:t>The Company has agreed to pay for continued health insurance for the executives and their families for a 12-month period following an involuntary termination of their employment (other than for “cause”) or a voluntary termination of their employment for “good reason.” Furthermore, if such a termination occurs with the two-year period following a change of control or during a protected period (generally, the six-month period prior to a change of control), the health insurance benefits will continue for 18 months.</w:t>
      </w:r>
    </w:p>
    <w:p>
      <w:pPr>
        <w:spacing w:after="0" w:line="205" w:lineRule="exact"/>
        <w:rPr>
          <w:sz w:val="20"/>
          <w:szCs w:val="20"/>
          <w:color w:val="auto"/>
        </w:rPr>
      </w:pPr>
    </w:p>
    <w:p>
      <w:pPr>
        <w:ind w:right="80" w:firstLine="620"/>
        <w:spacing w:after="0" w:line="266" w:lineRule="auto"/>
        <w:rPr>
          <w:sz w:val="20"/>
          <w:szCs w:val="20"/>
          <w:color w:val="auto"/>
        </w:rPr>
      </w:pPr>
      <w:r>
        <w:rPr>
          <w:rFonts w:ascii="Arial" w:cs="Arial" w:eastAsia="Arial" w:hAnsi="Arial"/>
          <w:sz w:val="17"/>
          <w:szCs w:val="17"/>
          <w:color w:val="auto"/>
        </w:rPr>
        <w:t>The descriptions of the compensation agreements and severance agreements with Mr. Joerres and Mr. Van Handel set forth above do not purport to describe all of the terms of the agreements and are qualified by reference to the full text of the agreements, copies of which are filed with this report as Exhibits 10.3, 10.4, 10.5 and 10.6, and incorporated herein by reference.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80" w:type="dxa"/>
            <w:vAlign w:val="bottom"/>
          </w:tcPr>
          <w:p>
            <w:pPr>
              <w:spacing w:after="0"/>
              <w:rPr>
                <w:sz w:val="20"/>
                <w:szCs w:val="20"/>
                <w:color w:val="auto"/>
              </w:rPr>
            </w:pPr>
            <w:r>
              <w:rPr>
                <w:rFonts w:ascii="Arial" w:cs="Arial" w:eastAsia="Arial" w:hAnsi="Arial"/>
                <w:sz w:val="17"/>
                <w:szCs w:val="17"/>
                <w:b w:val="1"/>
                <w:bCs w:val="1"/>
                <w:color w:val="auto"/>
              </w:rPr>
              <w:t>Item 9.01.</w:t>
            </w:r>
          </w:p>
        </w:tc>
        <w:tc>
          <w:tcPr>
            <w:tcW w:w="9740" w:type="dxa"/>
            <w:vAlign w:val="bottom"/>
            <w:gridSpan w:val="2"/>
          </w:tcPr>
          <w:p>
            <w:pPr>
              <w:spacing w:after="0"/>
              <w:rPr>
                <w:sz w:val="20"/>
                <w:szCs w:val="20"/>
                <w:color w:val="auto"/>
              </w:rPr>
            </w:pPr>
            <w:r>
              <w:rPr>
                <w:rFonts w:ascii="Arial" w:cs="Arial" w:eastAsia="Arial" w:hAnsi="Arial"/>
                <w:sz w:val="17"/>
                <w:szCs w:val="17"/>
                <w:b w:val="1"/>
                <w:bCs w:val="1"/>
                <w:color w:val="auto"/>
              </w:rPr>
              <w:t>Financial Statements and Exhibits.</w:t>
            </w:r>
          </w:p>
        </w:tc>
      </w:tr>
      <w:tr>
        <w:trPr>
          <w:trHeight w:val="456"/>
        </w:trPr>
        <w:tc>
          <w:tcPr>
            <w:tcW w:w="1680" w:type="dxa"/>
            <w:vAlign w:val="bottom"/>
          </w:tcPr>
          <w:p>
            <w:pPr>
              <w:spacing w:after="0"/>
              <w:rPr>
                <w:sz w:val="20"/>
                <w:szCs w:val="20"/>
                <w:color w:val="auto"/>
              </w:rPr>
            </w:pPr>
            <w:r>
              <w:rPr>
                <w:rFonts w:ascii="Arial" w:cs="Arial" w:eastAsia="Arial" w:hAnsi="Arial"/>
                <w:sz w:val="17"/>
                <w:szCs w:val="17"/>
                <w:b w:val="1"/>
                <w:bCs w:val="1"/>
                <w:color w:val="auto"/>
              </w:rPr>
              <w:t>(d) Exhibits</w:t>
            </w:r>
          </w:p>
        </w:tc>
        <w:tc>
          <w:tcPr>
            <w:tcW w:w="2520" w:type="dxa"/>
            <w:vAlign w:val="bottom"/>
            <w:tcBorders>
              <w:top w:val="single" w:sz="8" w:color="auto"/>
            </w:tcBorders>
          </w:tcPr>
          <w:p>
            <w:pPr>
              <w:spacing w:after="0"/>
              <w:rPr>
                <w:sz w:val="24"/>
                <w:szCs w:val="24"/>
                <w:color w:val="auto"/>
              </w:rPr>
            </w:pPr>
          </w:p>
        </w:tc>
        <w:tc>
          <w:tcPr>
            <w:tcW w:w="7220" w:type="dxa"/>
            <w:vAlign w:val="bottom"/>
          </w:tcPr>
          <w:p>
            <w:pPr>
              <w:spacing w:after="0"/>
              <w:rPr>
                <w:sz w:val="24"/>
                <w:szCs w:val="24"/>
                <w:color w:val="auto"/>
              </w:rPr>
            </w:pPr>
          </w:p>
        </w:tc>
      </w:tr>
      <w:tr>
        <w:trPr>
          <w:trHeight w:val="408"/>
        </w:trPr>
        <w:tc>
          <w:tcPr>
            <w:tcW w:w="16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Exhibit No.</w:t>
            </w:r>
          </w:p>
        </w:tc>
        <w:tc>
          <w:tcPr>
            <w:tcW w:w="9740" w:type="dxa"/>
            <w:vAlign w:val="bottom"/>
            <w:tcBorders>
              <w:bottom w:val="single" w:sz="8" w:color="auto"/>
            </w:tcBorders>
            <w:gridSpan w:val="2"/>
          </w:tcPr>
          <w:p>
            <w:pPr>
              <w:ind w:left="480"/>
              <w:spacing w:after="0"/>
              <w:rPr>
                <w:sz w:val="20"/>
                <w:szCs w:val="20"/>
                <w:color w:val="auto"/>
              </w:rPr>
            </w:pPr>
            <w:r>
              <w:rPr>
                <w:rFonts w:ascii="Arial" w:cs="Arial" w:eastAsia="Arial" w:hAnsi="Arial"/>
                <w:sz w:val="17"/>
                <w:szCs w:val="17"/>
                <w:b w:val="1"/>
                <w:bCs w:val="1"/>
                <w:color w:val="auto"/>
              </w:rPr>
              <w:t>Description</w:t>
            </w:r>
          </w:p>
        </w:tc>
      </w:tr>
      <w:tr>
        <w:trPr>
          <w:trHeight w:val="194"/>
        </w:trPr>
        <w:tc>
          <w:tcPr>
            <w:tcW w:w="1680" w:type="dxa"/>
            <w:vAlign w:val="bottom"/>
          </w:tcPr>
          <w:p>
            <w:pPr>
              <w:spacing w:after="0" w:line="194" w:lineRule="exact"/>
              <w:rPr>
                <w:sz w:val="20"/>
                <w:szCs w:val="20"/>
                <w:color w:val="auto"/>
              </w:rPr>
            </w:pPr>
            <w:r>
              <w:rPr>
                <w:rFonts w:ascii="Arial" w:cs="Arial" w:eastAsia="Arial" w:hAnsi="Arial"/>
                <w:sz w:val="17"/>
                <w:szCs w:val="17"/>
                <w:color w:val="auto"/>
              </w:rPr>
              <w:t>10.1</w:t>
            </w:r>
          </w:p>
        </w:tc>
        <w:tc>
          <w:tcPr>
            <w:tcW w:w="9740" w:type="dxa"/>
            <w:vAlign w:val="bottom"/>
            <w:gridSpan w:val="2"/>
          </w:tcPr>
          <w:p>
            <w:pPr>
              <w:ind w:left="480"/>
              <w:spacing w:after="0" w:line="194" w:lineRule="exact"/>
              <w:rPr>
                <w:sz w:val="20"/>
                <w:szCs w:val="20"/>
                <w:color w:val="auto"/>
              </w:rPr>
            </w:pPr>
            <w:r>
              <w:rPr>
                <w:rFonts w:ascii="Arial" w:cs="Arial" w:eastAsia="Arial" w:hAnsi="Arial"/>
                <w:sz w:val="17"/>
                <w:szCs w:val="17"/>
                <w:color w:val="auto"/>
              </w:rPr>
              <w:t>Manpower Inc. Compensation for Non-Employee Directors (Amended and Restated February 16, 2011)</w:t>
            </w:r>
          </w:p>
        </w:tc>
      </w:tr>
      <w:tr>
        <w:trPr>
          <w:trHeight w:val="206"/>
        </w:trPr>
        <w:tc>
          <w:tcPr>
            <w:tcW w:w="1680" w:type="dxa"/>
            <w:vAlign w:val="bottom"/>
          </w:tcPr>
          <w:p>
            <w:pPr>
              <w:spacing w:after="0"/>
              <w:rPr>
                <w:sz w:val="20"/>
                <w:szCs w:val="20"/>
                <w:color w:val="auto"/>
              </w:rPr>
            </w:pPr>
            <w:r>
              <w:rPr>
                <w:rFonts w:ascii="Arial" w:cs="Arial" w:eastAsia="Arial" w:hAnsi="Arial"/>
                <w:sz w:val="17"/>
                <w:szCs w:val="17"/>
                <w:color w:val="auto"/>
              </w:rPr>
              <w:t>10.2</w:t>
            </w:r>
          </w:p>
        </w:tc>
        <w:tc>
          <w:tcPr>
            <w:tcW w:w="9740" w:type="dxa"/>
            <w:vAlign w:val="bottom"/>
            <w:gridSpan w:val="2"/>
          </w:tcPr>
          <w:p>
            <w:pPr>
              <w:ind w:left="480"/>
              <w:spacing w:after="0"/>
              <w:rPr>
                <w:sz w:val="20"/>
                <w:szCs w:val="20"/>
                <w:color w:val="auto"/>
              </w:rPr>
            </w:pPr>
            <w:r>
              <w:rPr>
                <w:rFonts w:ascii="Arial" w:cs="Arial" w:eastAsia="Arial" w:hAnsi="Arial"/>
                <w:sz w:val="17"/>
                <w:szCs w:val="17"/>
                <w:color w:val="auto"/>
                <w:w w:val="92"/>
              </w:rPr>
              <w:t>Terms and Conditions Regarding the Grant of Awards to Non-Employee Directors under the 2003 Equity Incentive Plan of Manpower</w:t>
            </w:r>
          </w:p>
        </w:tc>
      </w:tr>
      <w:tr>
        <w:trPr>
          <w:trHeight w:val="206"/>
        </w:trPr>
        <w:tc>
          <w:tcPr>
            <w:tcW w:w="1680" w:type="dxa"/>
            <w:vAlign w:val="bottom"/>
          </w:tcPr>
          <w:p>
            <w:pPr>
              <w:spacing w:after="0"/>
              <w:rPr>
                <w:sz w:val="17"/>
                <w:szCs w:val="17"/>
                <w:color w:val="auto"/>
              </w:rPr>
            </w:pPr>
          </w:p>
        </w:tc>
        <w:tc>
          <w:tcPr>
            <w:tcW w:w="9740" w:type="dxa"/>
            <w:vAlign w:val="bottom"/>
            <w:gridSpan w:val="2"/>
          </w:tcPr>
          <w:p>
            <w:pPr>
              <w:ind w:left="480"/>
              <w:spacing w:after="0"/>
              <w:rPr>
                <w:sz w:val="20"/>
                <w:szCs w:val="20"/>
                <w:color w:val="auto"/>
              </w:rPr>
            </w:pPr>
            <w:r>
              <w:rPr>
                <w:rFonts w:ascii="Arial" w:cs="Arial" w:eastAsia="Arial" w:hAnsi="Arial"/>
                <w:sz w:val="17"/>
                <w:szCs w:val="17"/>
                <w:color w:val="auto"/>
              </w:rPr>
              <w:t>Inc. (Amended and Restated Effective February 16, 2011)</w:t>
            </w:r>
          </w:p>
        </w:tc>
      </w:tr>
      <w:tr>
        <w:trPr>
          <w:trHeight w:val="206"/>
        </w:trPr>
        <w:tc>
          <w:tcPr>
            <w:tcW w:w="1680" w:type="dxa"/>
            <w:vAlign w:val="bottom"/>
          </w:tcPr>
          <w:p>
            <w:pPr>
              <w:spacing w:after="0"/>
              <w:rPr>
                <w:sz w:val="20"/>
                <w:szCs w:val="20"/>
                <w:color w:val="auto"/>
              </w:rPr>
            </w:pPr>
            <w:r>
              <w:rPr>
                <w:rFonts w:ascii="Arial" w:cs="Arial" w:eastAsia="Arial" w:hAnsi="Arial"/>
                <w:sz w:val="17"/>
                <w:szCs w:val="17"/>
                <w:color w:val="auto"/>
              </w:rPr>
              <w:t>10.3</w:t>
            </w:r>
          </w:p>
        </w:tc>
        <w:tc>
          <w:tcPr>
            <w:tcW w:w="9740" w:type="dxa"/>
            <w:vAlign w:val="bottom"/>
            <w:gridSpan w:val="2"/>
          </w:tcPr>
          <w:p>
            <w:pPr>
              <w:ind w:left="480"/>
              <w:spacing w:after="0"/>
              <w:rPr>
                <w:sz w:val="20"/>
                <w:szCs w:val="20"/>
                <w:color w:val="auto"/>
              </w:rPr>
            </w:pPr>
            <w:r>
              <w:rPr>
                <w:rFonts w:ascii="Arial" w:cs="Arial" w:eastAsia="Arial" w:hAnsi="Arial"/>
                <w:sz w:val="17"/>
                <w:szCs w:val="17"/>
                <w:color w:val="auto"/>
              </w:rPr>
              <w:t>Compensation Agreement between Jeffrey A. Joerres and Manpower Inc. dated as of February 16, 2011</w:t>
            </w:r>
          </w:p>
        </w:tc>
      </w:tr>
      <w:tr>
        <w:trPr>
          <w:trHeight w:val="206"/>
        </w:trPr>
        <w:tc>
          <w:tcPr>
            <w:tcW w:w="1680" w:type="dxa"/>
            <w:vAlign w:val="bottom"/>
          </w:tcPr>
          <w:p>
            <w:pPr>
              <w:spacing w:after="0"/>
              <w:rPr>
                <w:sz w:val="20"/>
                <w:szCs w:val="20"/>
                <w:color w:val="auto"/>
              </w:rPr>
            </w:pPr>
            <w:r>
              <w:rPr>
                <w:rFonts w:ascii="Arial" w:cs="Arial" w:eastAsia="Arial" w:hAnsi="Arial"/>
                <w:sz w:val="17"/>
                <w:szCs w:val="17"/>
                <w:color w:val="auto"/>
              </w:rPr>
              <w:t>10.4</w:t>
            </w:r>
          </w:p>
        </w:tc>
        <w:tc>
          <w:tcPr>
            <w:tcW w:w="9740" w:type="dxa"/>
            <w:vAlign w:val="bottom"/>
            <w:gridSpan w:val="2"/>
          </w:tcPr>
          <w:p>
            <w:pPr>
              <w:ind w:left="480"/>
              <w:spacing w:after="0"/>
              <w:rPr>
                <w:sz w:val="20"/>
                <w:szCs w:val="20"/>
                <w:color w:val="auto"/>
              </w:rPr>
            </w:pPr>
            <w:r>
              <w:rPr>
                <w:rFonts w:ascii="Arial" w:cs="Arial" w:eastAsia="Arial" w:hAnsi="Arial"/>
                <w:sz w:val="17"/>
                <w:szCs w:val="17"/>
                <w:color w:val="auto"/>
              </w:rPr>
              <w:t>Severance Agreement between Jeffrey A. Joerres and Manpower Inc. dated as of February 16, 2011</w:t>
            </w:r>
          </w:p>
        </w:tc>
      </w:tr>
      <w:tr>
        <w:trPr>
          <w:trHeight w:val="206"/>
        </w:trPr>
        <w:tc>
          <w:tcPr>
            <w:tcW w:w="1680" w:type="dxa"/>
            <w:vAlign w:val="bottom"/>
          </w:tcPr>
          <w:p>
            <w:pPr>
              <w:spacing w:after="0"/>
              <w:rPr>
                <w:sz w:val="20"/>
                <w:szCs w:val="20"/>
                <w:color w:val="auto"/>
              </w:rPr>
            </w:pPr>
            <w:r>
              <w:rPr>
                <w:rFonts w:ascii="Arial" w:cs="Arial" w:eastAsia="Arial" w:hAnsi="Arial"/>
                <w:sz w:val="17"/>
                <w:szCs w:val="17"/>
                <w:color w:val="auto"/>
              </w:rPr>
              <w:t>10.5</w:t>
            </w:r>
          </w:p>
        </w:tc>
        <w:tc>
          <w:tcPr>
            <w:tcW w:w="9740" w:type="dxa"/>
            <w:vAlign w:val="bottom"/>
            <w:gridSpan w:val="2"/>
          </w:tcPr>
          <w:p>
            <w:pPr>
              <w:ind w:left="480"/>
              <w:spacing w:after="0"/>
              <w:rPr>
                <w:sz w:val="20"/>
                <w:szCs w:val="20"/>
                <w:color w:val="auto"/>
              </w:rPr>
            </w:pPr>
            <w:r>
              <w:rPr>
                <w:rFonts w:ascii="Arial" w:cs="Arial" w:eastAsia="Arial" w:hAnsi="Arial"/>
                <w:sz w:val="17"/>
                <w:szCs w:val="17"/>
                <w:color w:val="auto"/>
              </w:rPr>
              <w:t>Compensation Agreement between Michael J. Van Handel and Manpower Inc. dated as of Feb 16, 2011</w:t>
            </w:r>
          </w:p>
        </w:tc>
      </w:tr>
      <w:tr>
        <w:trPr>
          <w:trHeight w:val="217"/>
        </w:trPr>
        <w:tc>
          <w:tcPr>
            <w:tcW w:w="1680" w:type="dxa"/>
            <w:vAlign w:val="bottom"/>
          </w:tcPr>
          <w:p>
            <w:pPr>
              <w:spacing w:after="0"/>
              <w:rPr>
                <w:sz w:val="20"/>
                <w:szCs w:val="20"/>
                <w:color w:val="auto"/>
              </w:rPr>
            </w:pPr>
            <w:r>
              <w:rPr>
                <w:rFonts w:ascii="Arial" w:cs="Arial" w:eastAsia="Arial" w:hAnsi="Arial"/>
                <w:sz w:val="17"/>
                <w:szCs w:val="17"/>
                <w:color w:val="auto"/>
              </w:rPr>
              <w:t>10.6</w:t>
            </w:r>
          </w:p>
        </w:tc>
        <w:tc>
          <w:tcPr>
            <w:tcW w:w="9740" w:type="dxa"/>
            <w:vAlign w:val="bottom"/>
            <w:gridSpan w:val="2"/>
          </w:tcPr>
          <w:p>
            <w:pPr>
              <w:ind w:left="480"/>
              <w:spacing w:after="0"/>
              <w:rPr>
                <w:sz w:val="20"/>
                <w:szCs w:val="20"/>
                <w:color w:val="auto"/>
              </w:rPr>
            </w:pPr>
            <w:r>
              <w:rPr>
                <w:rFonts w:ascii="Arial" w:cs="Arial" w:eastAsia="Arial" w:hAnsi="Arial"/>
                <w:sz w:val="17"/>
                <w:szCs w:val="17"/>
                <w:color w:val="auto"/>
              </w:rPr>
              <w:t>Severance Agreement between Michael J. Van Handel and Manpower Inc. dated as of February 16, 2011</w:t>
            </w:r>
          </w:p>
        </w:tc>
      </w:tr>
      <w:tr>
        <w:trPr>
          <w:trHeight w:val="721"/>
        </w:trPr>
        <w:tc>
          <w:tcPr>
            <w:tcW w:w="168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7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 w:name="page4"/>
    <w:bookmarkEnd w:id="3"/>
    <w:p>
      <w:pPr>
        <w:jc w:val="center"/>
        <w:ind w:right="-859"/>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MANPOWER INC.</w:t>
      </w:r>
    </w:p>
    <w:p>
      <w:pPr>
        <w:spacing w:after="0" w:line="218" w:lineRule="exact"/>
        <w:rPr>
          <w:sz w:val="20"/>
          <w:szCs w:val="20"/>
          <w:color w:val="auto"/>
        </w:rPr>
      </w:pPr>
    </w:p>
    <w:p>
      <w:pPr>
        <w:spacing w:after="0"/>
        <w:tabs>
          <w:tab w:leader="none" w:pos="3740" w:val="left"/>
        </w:tabs>
        <w:rPr>
          <w:sz w:val="20"/>
          <w:szCs w:val="20"/>
          <w:color w:val="auto"/>
        </w:rPr>
      </w:pPr>
      <w:r>
        <w:rPr>
          <w:rFonts w:ascii="Arial" w:cs="Arial" w:eastAsia="Arial" w:hAnsi="Arial"/>
          <w:sz w:val="17"/>
          <w:szCs w:val="17"/>
          <w:color w:val="auto"/>
        </w:rPr>
        <w:t>Dated: February 23, 2011</w:t>
      </w:r>
      <w:r>
        <w:rPr>
          <w:sz w:val="20"/>
          <w:szCs w:val="20"/>
          <w:color w:val="auto"/>
        </w:rPr>
        <w:tab/>
      </w:r>
      <w:r>
        <w:rPr>
          <w:rFonts w:ascii="Arial" w:cs="Arial" w:eastAsia="Arial" w:hAnsi="Arial"/>
          <w:sz w:val="15"/>
          <w:szCs w:val="15"/>
          <w:color w:val="auto"/>
        </w:rPr>
        <w:t>By:/s/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14605</wp:posOffset>
            </wp:positionV>
            <wp:extent cx="458089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80890" cy="16510"/>
                    </a:xfrm>
                    <a:prstGeom prst="rect">
                      <a:avLst/>
                    </a:prstGeom>
                    <a:noFill/>
                  </pic:spPr>
                </pic:pic>
              </a:graphicData>
            </a:graphic>
          </wp:anchor>
        </w:drawing>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Kenneth C. Hunt</w:t>
      </w:r>
    </w:p>
    <w:p>
      <w:pPr>
        <w:spacing w:after="0" w:line="22"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456565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560"/>
          </w:cols>
          <w:pgMar w:left="240" w:top="586" w:right="10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6"/>
        </w:trPr>
        <w:tc>
          <w:tcPr>
            <w:tcW w:w="1500" w:type="dxa"/>
            <w:vAlign w:val="bottom"/>
          </w:tcPr>
          <w:p>
            <w:pPr>
              <w:spacing w:after="0"/>
              <w:rPr>
                <w:sz w:val="17"/>
                <w:szCs w:val="17"/>
                <w:color w:val="auto"/>
              </w:rPr>
            </w:pPr>
          </w:p>
        </w:tc>
        <w:tc>
          <w:tcPr>
            <w:tcW w:w="9920" w:type="dxa"/>
            <w:vAlign w:val="bottom"/>
          </w:tcPr>
          <w:p>
            <w:pPr>
              <w:ind w:left="3700"/>
              <w:spacing w:after="0"/>
              <w:rPr>
                <w:sz w:val="20"/>
                <w:szCs w:val="20"/>
                <w:color w:val="auto"/>
              </w:rPr>
            </w:pPr>
            <w:r>
              <w:rPr>
                <w:rFonts w:ascii="Arial" w:cs="Arial" w:eastAsia="Arial" w:hAnsi="Arial"/>
                <w:sz w:val="17"/>
                <w:szCs w:val="17"/>
                <w:b w:val="1"/>
                <w:bCs w:val="1"/>
                <w:color w:val="auto"/>
              </w:rPr>
              <w:t>Exhibit Index</w:t>
            </w:r>
          </w:p>
        </w:tc>
      </w:tr>
      <w:tr>
        <w:trPr>
          <w:trHeight w:val="231"/>
        </w:trPr>
        <w:tc>
          <w:tcPr>
            <w:tcW w:w="15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Exhibit No.</w:t>
            </w:r>
          </w:p>
        </w:tc>
        <w:tc>
          <w:tcPr>
            <w:tcW w:w="9920" w:type="dxa"/>
            <w:vAlign w:val="bottom"/>
            <w:tcBorders>
              <w:bottom w:val="single" w:sz="8" w:color="auto"/>
            </w:tcBorders>
          </w:tcPr>
          <w:p>
            <w:pPr>
              <w:ind w:left="660"/>
              <w:spacing w:after="0"/>
              <w:rPr>
                <w:sz w:val="20"/>
                <w:szCs w:val="20"/>
                <w:color w:val="auto"/>
              </w:rPr>
            </w:pPr>
            <w:r>
              <w:rPr>
                <w:rFonts w:ascii="Arial" w:cs="Arial" w:eastAsia="Arial" w:hAnsi="Arial"/>
                <w:sz w:val="17"/>
                <w:szCs w:val="17"/>
                <w:b w:val="1"/>
                <w:bCs w:val="1"/>
                <w:color w:val="auto"/>
              </w:rPr>
              <w:t>Description</w:t>
            </w: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7"/>
                <w:szCs w:val="17"/>
                <w:color w:val="auto"/>
              </w:rPr>
              <w:t>10.1</w:t>
            </w:r>
          </w:p>
        </w:tc>
        <w:tc>
          <w:tcPr>
            <w:tcW w:w="9920" w:type="dxa"/>
            <w:vAlign w:val="bottom"/>
          </w:tcPr>
          <w:p>
            <w:pPr>
              <w:ind w:left="660"/>
              <w:spacing w:after="0" w:line="194" w:lineRule="exact"/>
              <w:rPr>
                <w:sz w:val="20"/>
                <w:szCs w:val="20"/>
                <w:color w:val="auto"/>
              </w:rPr>
            </w:pPr>
            <w:r>
              <w:rPr>
                <w:rFonts w:ascii="Arial" w:cs="Arial" w:eastAsia="Arial" w:hAnsi="Arial"/>
                <w:sz w:val="17"/>
                <w:szCs w:val="17"/>
                <w:color w:val="auto"/>
              </w:rPr>
              <w:t>Manpower Inc. Compensation for Non-Employee Directors (Amended and Restated February 16, 2011)</w:t>
            </w:r>
          </w:p>
        </w:tc>
      </w:tr>
      <w:tr>
        <w:trPr>
          <w:trHeight w:val="206"/>
        </w:trPr>
        <w:tc>
          <w:tcPr>
            <w:tcW w:w="1500" w:type="dxa"/>
            <w:vAlign w:val="bottom"/>
          </w:tcPr>
          <w:p>
            <w:pPr>
              <w:spacing w:after="0"/>
              <w:rPr>
                <w:sz w:val="20"/>
                <w:szCs w:val="20"/>
                <w:color w:val="auto"/>
              </w:rPr>
            </w:pPr>
            <w:r>
              <w:rPr>
                <w:rFonts w:ascii="Arial" w:cs="Arial" w:eastAsia="Arial" w:hAnsi="Arial"/>
                <w:sz w:val="17"/>
                <w:szCs w:val="17"/>
                <w:color w:val="auto"/>
              </w:rPr>
              <w:t>10.2</w:t>
            </w:r>
          </w:p>
        </w:tc>
        <w:tc>
          <w:tcPr>
            <w:tcW w:w="9920" w:type="dxa"/>
            <w:vAlign w:val="bottom"/>
          </w:tcPr>
          <w:p>
            <w:pPr>
              <w:ind w:left="660"/>
              <w:spacing w:after="0"/>
              <w:rPr>
                <w:sz w:val="20"/>
                <w:szCs w:val="20"/>
                <w:color w:val="auto"/>
              </w:rPr>
            </w:pPr>
            <w:r>
              <w:rPr>
                <w:rFonts w:ascii="Arial" w:cs="Arial" w:eastAsia="Arial" w:hAnsi="Arial"/>
                <w:sz w:val="17"/>
                <w:szCs w:val="17"/>
                <w:color w:val="auto"/>
                <w:w w:val="92"/>
              </w:rPr>
              <w:t>Terms and Conditions Regarding the Grant of Awards to Non-Employee Directors under the 2003 Equity Incentive Plan of Manpower</w:t>
            </w:r>
          </w:p>
        </w:tc>
      </w:tr>
      <w:tr>
        <w:trPr>
          <w:trHeight w:val="206"/>
        </w:trPr>
        <w:tc>
          <w:tcPr>
            <w:tcW w:w="1500" w:type="dxa"/>
            <w:vAlign w:val="bottom"/>
          </w:tcPr>
          <w:p>
            <w:pPr>
              <w:spacing w:after="0"/>
              <w:rPr>
                <w:sz w:val="17"/>
                <w:szCs w:val="17"/>
                <w:color w:val="auto"/>
              </w:rPr>
            </w:pPr>
          </w:p>
        </w:tc>
        <w:tc>
          <w:tcPr>
            <w:tcW w:w="9920" w:type="dxa"/>
            <w:vAlign w:val="bottom"/>
          </w:tcPr>
          <w:p>
            <w:pPr>
              <w:ind w:left="660"/>
              <w:spacing w:after="0"/>
              <w:rPr>
                <w:sz w:val="20"/>
                <w:szCs w:val="20"/>
                <w:color w:val="auto"/>
              </w:rPr>
            </w:pPr>
            <w:r>
              <w:rPr>
                <w:rFonts w:ascii="Arial" w:cs="Arial" w:eastAsia="Arial" w:hAnsi="Arial"/>
                <w:sz w:val="17"/>
                <w:szCs w:val="17"/>
                <w:color w:val="auto"/>
              </w:rPr>
              <w:t>Inc. (Amended and Restated Effective February 16, 2011)</w:t>
            </w:r>
          </w:p>
        </w:tc>
      </w:tr>
      <w:tr>
        <w:trPr>
          <w:trHeight w:val="206"/>
        </w:trPr>
        <w:tc>
          <w:tcPr>
            <w:tcW w:w="1500" w:type="dxa"/>
            <w:vAlign w:val="bottom"/>
          </w:tcPr>
          <w:p>
            <w:pPr>
              <w:spacing w:after="0"/>
              <w:rPr>
                <w:sz w:val="20"/>
                <w:szCs w:val="20"/>
                <w:color w:val="auto"/>
              </w:rPr>
            </w:pPr>
            <w:r>
              <w:rPr>
                <w:rFonts w:ascii="Arial" w:cs="Arial" w:eastAsia="Arial" w:hAnsi="Arial"/>
                <w:sz w:val="17"/>
                <w:szCs w:val="17"/>
                <w:color w:val="auto"/>
              </w:rPr>
              <w:t>10.3</w:t>
            </w:r>
          </w:p>
        </w:tc>
        <w:tc>
          <w:tcPr>
            <w:tcW w:w="9920" w:type="dxa"/>
            <w:vAlign w:val="bottom"/>
          </w:tcPr>
          <w:p>
            <w:pPr>
              <w:ind w:left="660"/>
              <w:spacing w:after="0"/>
              <w:rPr>
                <w:sz w:val="20"/>
                <w:szCs w:val="20"/>
                <w:color w:val="auto"/>
              </w:rPr>
            </w:pPr>
            <w:r>
              <w:rPr>
                <w:rFonts w:ascii="Arial" w:cs="Arial" w:eastAsia="Arial" w:hAnsi="Arial"/>
                <w:sz w:val="17"/>
                <w:szCs w:val="17"/>
                <w:color w:val="auto"/>
              </w:rPr>
              <w:t>Compensation Agreement between Jeffrey A. Joerres and Manpower Inc. dated as of February 16, 2011</w:t>
            </w:r>
          </w:p>
        </w:tc>
      </w:tr>
      <w:tr>
        <w:trPr>
          <w:trHeight w:val="206"/>
        </w:trPr>
        <w:tc>
          <w:tcPr>
            <w:tcW w:w="1500" w:type="dxa"/>
            <w:vAlign w:val="bottom"/>
          </w:tcPr>
          <w:p>
            <w:pPr>
              <w:spacing w:after="0"/>
              <w:rPr>
                <w:sz w:val="20"/>
                <w:szCs w:val="20"/>
                <w:color w:val="auto"/>
              </w:rPr>
            </w:pPr>
            <w:r>
              <w:rPr>
                <w:rFonts w:ascii="Arial" w:cs="Arial" w:eastAsia="Arial" w:hAnsi="Arial"/>
                <w:sz w:val="17"/>
                <w:szCs w:val="17"/>
                <w:color w:val="auto"/>
              </w:rPr>
              <w:t>10.4</w:t>
            </w:r>
          </w:p>
        </w:tc>
        <w:tc>
          <w:tcPr>
            <w:tcW w:w="9920" w:type="dxa"/>
            <w:vAlign w:val="bottom"/>
          </w:tcPr>
          <w:p>
            <w:pPr>
              <w:ind w:left="660"/>
              <w:spacing w:after="0"/>
              <w:rPr>
                <w:sz w:val="20"/>
                <w:szCs w:val="20"/>
                <w:color w:val="auto"/>
              </w:rPr>
            </w:pPr>
            <w:r>
              <w:rPr>
                <w:rFonts w:ascii="Arial" w:cs="Arial" w:eastAsia="Arial" w:hAnsi="Arial"/>
                <w:sz w:val="17"/>
                <w:szCs w:val="17"/>
                <w:color w:val="auto"/>
              </w:rPr>
              <w:t>Severance Agreement between Jeffrey A. Joerres and Manpower Inc. dated as of February 16, 2011</w:t>
            </w:r>
          </w:p>
        </w:tc>
      </w:tr>
      <w:tr>
        <w:trPr>
          <w:trHeight w:val="206"/>
        </w:trPr>
        <w:tc>
          <w:tcPr>
            <w:tcW w:w="1500" w:type="dxa"/>
            <w:vAlign w:val="bottom"/>
          </w:tcPr>
          <w:p>
            <w:pPr>
              <w:spacing w:after="0"/>
              <w:rPr>
                <w:sz w:val="20"/>
                <w:szCs w:val="20"/>
                <w:color w:val="auto"/>
              </w:rPr>
            </w:pPr>
            <w:r>
              <w:rPr>
                <w:rFonts w:ascii="Arial" w:cs="Arial" w:eastAsia="Arial" w:hAnsi="Arial"/>
                <w:sz w:val="17"/>
                <w:szCs w:val="17"/>
                <w:color w:val="auto"/>
              </w:rPr>
              <w:t>10.5</w:t>
            </w:r>
          </w:p>
        </w:tc>
        <w:tc>
          <w:tcPr>
            <w:tcW w:w="9920" w:type="dxa"/>
            <w:vAlign w:val="bottom"/>
          </w:tcPr>
          <w:p>
            <w:pPr>
              <w:ind w:left="660"/>
              <w:spacing w:after="0"/>
              <w:rPr>
                <w:sz w:val="20"/>
                <w:szCs w:val="20"/>
                <w:color w:val="auto"/>
              </w:rPr>
            </w:pPr>
            <w:r>
              <w:rPr>
                <w:rFonts w:ascii="Arial" w:cs="Arial" w:eastAsia="Arial" w:hAnsi="Arial"/>
                <w:sz w:val="17"/>
                <w:szCs w:val="17"/>
                <w:color w:val="auto"/>
              </w:rPr>
              <w:t>Compensation Agreement between Michael J. Van Handel and Manpower Inc. dated as of Feb 16, 2011</w:t>
            </w:r>
          </w:p>
        </w:tc>
      </w:tr>
      <w:tr>
        <w:trPr>
          <w:trHeight w:val="217"/>
        </w:trPr>
        <w:tc>
          <w:tcPr>
            <w:tcW w:w="1500" w:type="dxa"/>
            <w:vAlign w:val="bottom"/>
          </w:tcPr>
          <w:p>
            <w:pPr>
              <w:spacing w:after="0"/>
              <w:rPr>
                <w:sz w:val="20"/>
                <w:szCs w:val="20"/>
                <w:color w:val="auto"/>
              </w:rPr>
            </w:pPr>
            <w:r>
              <w:rPr>
                <w:rFonts w:ascii="Arial" w:cs="Arial" w:eastAsia="Arial" w:hAnsi="Arial"/>
                <w:sz w:val="17"/>
                <w:szCs w:val="17"/>
                <w:color w:val="auto"/>
              </w:rPr>
              <w:t>10.6</w:t>
            </w:r>
          </w:p>
        </w:tc>
        <w:tc>
          <w:tcPr>
            <w:tcW w:w="9920" w:type="dxa"/>
            <w:vAlign w:val="bottom"/>
          </w:tcPr>
          <w:p>
            <w:pPr>
              <w:ind w:left="660"/>
              <w:spacing w:after="0"/>
              <w:rPr>
                <w:sz w:val="20"/>
                <w:szCs w:val="20"/>
                <w:color w:val="auto"/>
              </w:rPr>
            </w:pPr>
            <w:r>
              <w:rPr>
                <w:rFonts w:ascii="Arial" w:cs="Arial" w:eastAsia="Arial" w:hAnsi="Arial"/>
                <w:sz w:val="17"/>
                <w:szCs w:val="17"/>
                <w:color w:val="auto"/>
              </w:rPr>
              <w:t>Severance Agreement between Michael J. Van Handel and Manpower Inc. dated as of February 16, 2011</w:t>
            </w:r>
          </w:p>
        </w:tc>
      </w:tr>
    </w:tbl>
    <w:p>
      <w:pPr>
        <w:sectPr>
          <w:pgSz w:w="11900" w:h="16838" w:orient="portrait"/>
          <w:cols w:equalWidth="0" w:num="1">
            <w:col w:w="11420"/>
          </w:cols>
          <w:pgMar w:left="240" w:top="586"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9"/>
          <w:szCs w:val="19"/>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MANPOWER INC.</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for Non-Employee Directors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February 16,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compensation</w:t>
      </w:r>
    </w:p>
    <w:p>
      <w:pPr>
        <w:spacing w:after="0" w:line="249" w:lineRule="exact"/>
        <w:rPr>
          <w:sz w:val="20"/>
          <w:szCs w:val="20"/>
          <w:color w:val="auto"/>
        </w:rPr>
      </w:pPr>
    </w:p>
    <w:p>
      <w:pPr>
        <w:ind w:left="620" w:hanging="126"/>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Annual cash retainer: $75,000 per year</w:t>
      </w:r>
    </w:p>
    <w:p>
      <w:pPr>
        <w:spacing w:after="0" w:line="243" w:lineRule="exact"/>
        <w:rPr>
          <w:rFonts w:ascii="Arial" w:cs="Arial" w:eastAsia="Arial" w:hAnsi="Arial"/>
          <w:sz w:val="17"/>
          <w:szCs w:val="17"/>
          <w:color w:val="auto"/>
        </w:rPr>
      </w:pPr>
    </w:p>
    <w:p>
      <w:pPr>
        <w:ind w:left="620" w:hanging="126"/>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Additional cash retainer for committee chairs:</w:t>
      </w:r>
    </w:p>
    <w:p>
      <w:pPr>
        <w:spacing w:after="0" w:line="243" w:lineRule="exact"/>
        <w:rPr>
          <w:rFonts w:ascii="Arial" w:cs="Arial" w:eastAsia="Arial" w:hAnsi="Arial"/>
          <w:sz w:val="17"/>
          <w:szCs w:val="17"/>
          <w:color w:val="auto"/>
        </w:rPr>
      </w:pPr>
    </w:p>
    <w:p>
      <w:pPr>
        <w:ind w:left="1240" w:hanging="141"/>
        <w:spacing w:after="0"/>
        <w:tabs>
          <w:tab w:leader="none" w:pos="1240" w:val="left"/>
        </w:tabs>
        <w:numPr>
          <w:ilvl w:val="1"/>
          <w:numId w:val="2"/>
        </w:numPr>
        <w:rPr>
          <w:rFonts w:ascii="Arial" w:cs="Arial" w:eastAsia="Arial" w:hAnsi="Arial"/>
          <w:sz w:val="17"/>
          <w:szCs w:val="17"/>
          <w:color w:val="auto"/>
        </w:rPr>
      </w:pPr>
      <w:r>
        <w:rPr>
          <w:rFonts w:ascii="Arial" w:cs="Arial" w:eastAsia="Arial" w:hAnsi="Arial"/>
          <w:sz w:val="17"/>
          <w:szCs w:val="17"/>
          <w:color w:val="auto"/>
        </w:rPr>
        <w:t>$15,000 per year for audit committee chair</w:t>
      </w:r>
    </w:p>
    <w:p>
      <w:pPr>
        <w:spacing w:after="0" w:line="243" w:lineRule="exact"/>
        <w:rPr>
          <w:rFonts w:ascii="Arial" w:cs="Arial" w:eastAsia="Arial" w:hAnsi="Arial"/>
          <w:sz w:val="17"/>
          <w:szCs w:val="17"/>
          <w:color w:val="auto"/>
        </w:rPr>
      </w:pPr>
    </w:p>
    <w:p>
      <w:pPr>
        <w:ind w:left="1240" w:hanging="141"/>
        <w:spacing w:after="0"/>
        <w:tabs>
          <w:tab w:leader="none" w:pos="1240" w:val="left"/>
        </w:tabs>
        <w:numPr>
          <w:ilvl w:val="1"/>
          <w:numId w:val="2"/>
        </w:numPr>
        <w:rPr>
          <w:rFonts w:ascii="Arial" w:cs="Arial" w:eastAsia="Arial" w:hAnsi="Arial"/>
          <w:sz w:val="17"/>
          <w:szCs w:val="17"/>
          <w:color w:val="auto"/>
        </w:rPr>
      </w:pPr>
      <w:r>
        <w:rPr>
          <w:rFonts w:ascii="Arial" w:cs="Arial" w:eastAsia="Arial" w:hAnsi="Arial"/>
          <w:sz w:val="17"/>
          <w:szCs w:val="17"/>
          <w:color w:val="auto"/>
        </w:rPr>
        <w:t>$15,000 per year for executive compensation and human resources committee chair</w:t>
      </w:r>
    </w:p>
    <w:p>
      <w:pPr>
        <w:spacing w:after="0" w:line="243" w:lineRule="exact"/>
        <w:rPr>
          <w:rFonts w:ascii="Arial" w:cs="Arial" w:eastAsia="Arial" w:hAnsi="Arial"/>
          <w:sz w:val="17"/>
          <w:szCs w:val="17"/>
          <w:color w:val="auto"/>
        </w:rPr>
      </w:pPr>
    </w:p>
    <w:p>
      <w:pPr>
        <w:ind w:left="1240" w:hanging="141"/>
        <w:spacing w:after="0"/>
        <w:tabs>
          <w:tab w:leader="none" w:pos="1240" w:val="left"/>
        </w:tabs>
        <w:numPr>
          <w:ilvl w:val="1"/>
          <w:numId w:val="2"/>
        </w:numPr>
        <w:rPr>
          <w:rFonts w:ascii="Arial" w:cs="Arial" w:eastAsia="Arial" w:hAnsi="Arial"/>
          <w:sz w:val="17"/>
          <w:szCs w:val="17"/>
          <w:color w:val="auto"/>
        </w:rPr>
      </w:pPr>
      <w:r>
        <w:rPr>
          <w:rFonts w:ascii="Arial" w:cs="Arial" w:eastAsia="Arial" w:hAnsi="Arial"/>
          <w:sz w:val="17"/>
          <w:szCs w:val="17"/>
          <w:color w:val="auto"/>
        </w:rPr>
        <w:t>$12,500 per year for nominating and governance committee chair</w:t>
      </w:r>
    </w:p>
    <w:p>
      <w:pPr>
        <w:spacing w:after="0" w:line="243" w:lineRule="exact"/>
        <w:rPr>
          <w:rFonts w:ascii="Arial" w:cs="Arial" w:eastAsia="Arial" w:hAnsi="Arial"/>
          <w:sz w:val="17"/>
          <w:szCs w:val="17"/>
          <w:color w:val="auto"/>
        </w:rPr>
      </w:pPr>
    </w:p>
    <w:p>
      <w:pPr>
        <w:ind w:left="620" w:hanging="126"/>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Committee fees: $2,000 per committee meeting attended in person ($1,000 per committee meeting attended telephonically)</w:t>
      </w:r>
    </w:p>
    <w:p>
      <w:pPr>
        <w:spacing w:after="0" w:line="243" w:lineRule="exact"/>
        <w:rPr>
          <w:rFonts w:ascii="Arial" w:cs="Arial" w:eastAsia="Arial" w:hAnsi="Arial"/>
          <w:sz w:val="17"/>
          <w:szCs w:val="17"/>
          <w:color w:val="auto"/>
        </w:rPr>
      </w:pPr>
    </w:p>
    <w:p>
      <w:pPr>
        <w:ind w:left="620" w:hanging="126"/>
        <w:spacing w:after="0" w:line="280"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annual cash retainer and additional cash retainer for committee chairs will be paid quarterly in arrears within two weeks following the last day of each calendar quarter, together with committee fees for each meeting held during the quarter.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Election to Receive Deferred Stock in Lieu of Cash Retainer</w:t>
      </w:r>
    </w:p>
    <w:p>
      <w:pPr>
        <w:spacing w:after="0" w:line="249" w:lineRule="exact"/>
        <w:rPr>
          <w:sz w:val="20"/>
          <w:szCs w:val="20"/>
          <w:color w:val="auto"/>
        </w:rPr>
      </w:pPr>
    </w:p>
    <w:p>
      <w:pPr>
        <w:jc w:val="both"/>
        <w:ind w:left="620" w:hanging="126"/>
        <w:spacing w:after="0" w:line="266"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lieu of the annual cash retainer and additional cash retainer for committee chairs (but not in lieu of the meeting fees), outside directors may elect to receive Deferred Stock under the Company’s 2003 Equity Incentive Plan (the “Plan”). The election may cover 50%, 75% or 100% of the annual cash retainer payable to the director for the period covered by the election.</w:t>
      </w:r>
    </w:p>
    <w:p>
      <w:pPr>
        <w:spacing w:after="0" w:line="201" w:lineRule="exact"/>
        <w:rPr>
          <w:rFonts w:ascii="Arial" w:cs="Arial" w:eastAsia="Arial" w:hAnsi="Arial"/>
          <w:sz w:val="17"/>
          <w:szCs w:val="17"/>
          <w:color w:val="auto"/>
        </w:rPr>
      </w:pPr>
    </w:p>
    <w:p>
      <w:pPr>
        <w:jc w:val="both"/>
        <w:ind w:left="620" w:hanging="126"/>
        <w:spacing w:after="0" w:line="258"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election must be made prior to the beginning of the election period to which the annual cash retainer relates. The election period begins on January 1 of each year and ends on December 31 of that year or, if a director ceases to be a member of the Board of Directors during the year, the date of such cessation. For new non-employee directors, the election period begins on the date of the director’s appointment to the Board of Directors and the election must be made within ten business days after the date of such appointment. Any such election by a new director will only apply to the portion of the retainer earned after the election is made. The grant of Deferred Stock pursuant to any such election will be effective on the first day following the end of the election period to which the elec tion applies.</w:t>
      </w:r>
    </w:p>
    <w:p>
      <w:pPr>
        <w:spacing w:after="0" w:line="210" w:lineRule="exact"/>
        <w:rPr>
          <w:rFonts w:ascii="Arial" w:cs="Arial" w:eastAsia="Arial" w:hAnsi="Arial"/>
          <w:sz w:val="17"/>
          <w:szCs w:val="17"/>
          <w:color w:val="auto"/>
        </w:rPr>
      </w:pPr>
    </w:p>
    <w:p>
      <w:pPr>
        <w:ind w:left="620" w:hanging="126"/>
        <w:spacing w:after="0" w:line="312"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shares of Deferred Stock granted to the director will be equal to the amount of the annual cash retainer to which the election applies, divided by the average of the closing prices of the stock on the last trading day of each full or partial calendar quarter included within the election period.</w:t>
      </w:r>
    </w:p>
    <w:p>
      <w:pPr>
        <w:spacing w:after="0" w:line="166" w:lineRule="exact"/>
        <w:rPr>
          <w:rFonts w:ascii="Arial" w:cs="Arial" w:eastAsia="Arial" w:hAnsi="Arial"/>
          <w:sz w:val="16"/>
          <w:szCs w:val="16"/>
          <w:color w:val="auto"/>
        </w:rPr>
      </w:pPr>
    </w:p>
    <w:p>
      <w:pPr>
        <w:jc w:val="both"/>
        <w:ind w:left="620" w:hanging="126"/>
        <w:spacing w:after="0" w:line="258"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Shares of common stock represented by such Deferred Stock held by a director will be distributed to the director on the earlier of the third anniversary of the date of grant or within 30 days after the date the director ceases to be a member of the Board of Directors. However, the director will have the right to extend the deferral period by at least five years, and thereafter to extend any previously extended deferral period by at least five more years, provided in each case this election to extend is made at least twelve months before the last day of the then current deferral period. Furthermore, in the event the shares would be distributed outside of a trading window under the Company’s securities trading policy, the Company may defer distribution of the shares until the beginning of the next trading window.</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Grant of Deferred Stock or Restricted Stock</w:t>
      </w:r>
    </w:p>
    <w:p>
      <w:pPr>
        <w:spacing w:after="0" w:line="249" w:lineRule="exact"/>
        <w:rPr>
          <w:sz w:val="20"/>
          <w:szCs w:val="20"/>
          <w:color w:val="auto"/>
        </w:rPr>
      </w:pPr>
    </w:p>
    <w:p>
      <w:pPr>
        <w:jc w:val="both"/>
        <w:ind w:left="620" w:hanging="126"/>
        <w:spacing w:after="0" w:line="262"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addition to the cash compensation (or elective Deferred Stock), non-employee directors each will receive an annual grant of Deferred Stock under the Plan. The grant will be effective on the first day of each year, and the number of shares granted will equal $105,000 divided by the closing sale price of a share of the Company’s common stock on the last business day of the preceding year. Such Deferred Stock will vest in equal quarterly installments on the last day of each calendar quarter during the year.</w:t>
      </w:r>
    </w:p>
    <w:p>
      <w:pPr>
        <w:spacing w:after="0" w:line="204" w:lineRule="exact"/>
        <w:rPr>
          <w:rFonts w:ascii="Arial" w:cs="Arial" w:eastAsia="Arial" w:hAnsi="Arial"/>
          <w:sz w:val="17"/>
          <w:szCs w:val="17"/>
          <w:color w:val="auto"/>
        </w:rPr>
      </w:pPr>
    </w:p>
    <w:p>
      <w:pPr>
        <w:jc w:val="both"/>
        <w:ind w:left="620" w:hanging="126"/>
        <w:spacing w:after="0" w:line="258"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Shares of common stock represented by vested Deferred Stock held by a director will be distributed to the director on the earlier of the third anniversary of the effective date of grant or within 30 days after the date the director ceases to be a member of the Board of Directors. However, the director will have the right to extend the year deferral period by at least five years, and thereafter to extend any previously extended deferral period by at least five more years, provided in each case this election to extend is made at least twelve months before the last day of the then current deferral period. Furthermore, in the event the shares would be distributed outside of a trading window under the Company’s securities trading policy, the Company may defer distribution of the shares until the beginning of the next trading win dow.</w:t>
      </w:r>
    </w:p>
    <w:p>
      <w:pPr>
        <w:spacing w:after="0" w:line="210" w:lineRule="exact"/>
        <w:rPr>
          <w:rFonts w:ascii="Arial" w:cs="Arial" w:eastAsia="Arial" w:hAnsi="Arial"/>
          <w:sz w:val="17"/>
          <w:szCs w:val="17"/>
          <w:color w:val="auto"/>
        </w:rPr>
      </w:pPr>
    </w:p>
    <w:p>
      <w:pPr>
        <w:jc w:val="both"/>
        <w:ind w:left="620" w:hanging="126"/>
        <w:spacing w:after="0" w:line="291"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Instead of receiving this grant of Deferred Stock, non-employee directors will have the right to elect to receive the same number of shares of Restricted Stock under the Plan.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w:t>
      </w:r>
    </w:p>
    <w:p>
      <w:pPr>
        <w:spacing w:after="0" w:line="182" w:lineRule="exact"/>
        <w:rPr>
          <w:rFonts w:ascii="Arial" w:cs="Arial" w:eastAsia="Arial" w:hAnsi="Arial"/>
          <w:sz w:val="16"/>
          <w:szCs w:val="16"/>
          <w:color w:val="auto"/>
        </w:rPr>
      </w:pPr>
    </w:p>
    <w:p>
      <w:pPr>
        <w:jc w:val="both"/>
        <w:ind w:left="620" w:hanging="126"/>
        <w:spacing w:after="0" w:line="280"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new non-employee directors will receive a grant of Deferred Stock effective the date the director is appointed to the Board. The grant will be for a number of shares of Deferred Stock equal to $105,000 prorated for the period beginning on the date of the director’s appointment and ending on December 31 of that year, divided by the closing sale price of a share of the Company’s common stock on the last trading day immediately prior to the effective date of grant. Such Deferred Stock will vest in prorated installments on the last day of each calendar quarter occurring after the date of grant. Instead of receiving this grant of Deferred Stock, the new non-employee director will have the right to elect to receive the same number of shares of</w:t>
      </w:r>
    </w:p>
    <w:p>
      <w:pPr>
        <w:sectPr>
          <w:pgSz w:w="11900" w:h="16838" w:orient="portrait"/>
          <w:cols w:equalWidth="0" w:num="1">
            <w:col w:w="11420"/>
          </w:cols>
          <w:pgMar w:left="240" w:top="349" w:right="239" w:bottom="0" w:gutter="0" w:footer="0" w:header="0"/>
        </w:sectPr>
      </w:pPr>
    </w:p>
    <w:bookmarkStart w:id="6" w:name="page7"/>
    <w:bookmarkEnd w:id="6"/>
    <w:p>
      <w:pPr>
        <w:jc w:val="both"/>
        <w:ind w:left="620"/>
        <w:spacing w:after="0" w:line="260" w:lineRule="auto"/>
        <w:rPr>
          <w:sz w:val="20"/>
          <w:szCs w:val="20"/>
          <w:color w:val="auto"/>
        </w:rPr>
      </w:pPr>
      <w:r>
        <w:rPr>
          <w:rFonts w:ascii="Arial" w:cs="Arial" w:eastAsia="Arial" w:hAnsi="Arial"/>
          <w:sz w:val="17"/>
          <w:szCs w:val="17"/>
          <w:color w:val="auto"/>
        </w:rPr>
        <w:t>Restricted Stock under the Plan, with a vesting schedule the sa me as the Deferred Stock the director would otherwise have received. Any such election will be effective only if made within ten business days after the date of such appointment and will only apply to that portion of the shares earned in the first full calendar quarter after the election is made by the director and subsequent calendar quarters during the same year. If such an election is made by a director, he or she will receive a grant of Deferred Stock for that portion of the shares earned between the date the director is appointed to the Board and the last day of the calendar quarter in which the election is made.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 on Deferred Stock</w:t>
      </w:r>
    </w:p>
    <w:p>
      <w:pPr>
        <w:spacing w:after="0" w:line="249" w:lineRule="exact"/>
        <w:rPr>
          <w:sz w:val="20"/>
          <w:szCs w:val="20"/>
          <w:color w:val="auto"/>
        </w:rPr>
      </w:pPr>
    </w:p>
    <w:p>
      <w:pPr>
        <w:jc w:val="both"/>
        <w:ind w:left="620" w:hanging="126"/>
        <w:spacing w:after="0" w:line="260"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Directors holding Deferred Stock will be granted an additional number of shares of Deferred Stock on the first day of each calendar year attributable to dividends paid by the Company during the prior year. The number of shares of Deferred Stock granted will equal (i) the amount of dividends the director would have received during the prior calendar year if Deferred Stock held by the director had been outstanding common stock, (ii) divided by the average closing prices of the stock on the last trading day of each calendar quarter during the year (or shorter period for a director whose membership on the Board ceases during the year).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Ownership Guidelines</w:t>
      </w:r>
    </w:p>
    <w:p>
      <w:pPr>
        <w:spacing w:after="0" w:line="249" w:lineRule="exact"/>
        <w:rPr>
          <w:sz w:val="20"/>
          <w:szCs w:val="20"/>
          <w:color w:val="auto"/>
        </w:rPr>
      </w:pPr>
    </w:p>
    <w:p>
      <w:pPr>
        <w:jc w:val="both"/>
        <w:ind w:left="620" w:hanging="126"/>
        <w:spacing w:after="0" w:line="283"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stock ownership guideline for non-employee directors is five times the annual retainer as in effect prior to the increase to $75,000 ($60,000, for a total of $300,000), divided by the closing price of the Company’s common stock on December 30, 2005 for directors who were members of the Board of Directors on that date or, in the case of a director who was not a member of the Board of Directors on that date, the closing price of the Company’s common stock on the last business of day of the month during which the director was or is first appointed to the Board of Directors.</w:t>
      </w:r>
    </w:p>
    <w:p>
      <w:pPr>
        <w:spacing w:after="0" w:line="190" w:lineRule="exact"/>
        <w:rPr>
          <w:rFonts w:ascii="Arial" w:cs="Arial" w:eastAsia="Arial" w:hAnsi="Arial"/>
          <w:sz w:val="16"/>
          <w:szCs w:val="16"/>
          <w:color w:val="auto"/>
        </w:rPr>
      </w:pPr>
    </w:p>
    <w:p>
      <w:pPr>
        <w:ind w:left="620" w:hanging="126"/>
        <w:spacing w:after="0" w:line="280"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Non-employee directors have three years to attain this guideline from January 1, 2006, or for new non-employee directors from the date of the director’s appointment to the Board.</w:t>
      </w:r>
    </w:p>
    <w:p>
      <w:pPr>
        <w:spacing w:after="0" w:line="189" w:lineRule="exact"/>
        <w:rPr>
          <w:rFonts w:ascii="Arial" w:cs="Arial" w:eastAsia="Arial" w:hAnsi="Arial"/>
          <w:sz w:val="17"/>
          <w:szCs w:val="17"/>
          <w:color w:val="auto"/>
        </w:rPr>
      </w:pPr>
    </w:p>
    <w:p>
      <w:pPr>
        <w:ind w:left="620" w:hanging="126"/>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this purpose, ownership includes Deferred Stock and Restricted Stock but only to the extent vested, and does not include unexercised stock options.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Proration of Incremental Amounts for 2011</w:t>
      </w:r>
    </w:p>
    <w:p>
      <w:pPr>
        <w:spacing w:after="0" w:line="249" w:lineRule="exact"/>
        <w:rPr>
          <w:sz w:val="20"/>
          <w:szCs w:val="20"/>
          <w:color w:val="auto"/>
        </w:rPr>
      </w:pPr>
    </w:p>
    <w:p>
      <w:pPr>
        <w:jc w:val="both"/>
        <w:ind w:left="620" w:hanging="126"/>
        <w:spacing w:after="0" w:line="262"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the year 2011, the incremental amounts of annual grant, cash retainer and additional cash retainer for committee chairs resulting from the amendment and restatement of the Compensation for Non-Employee Directors Program effective on February 16, 2011 shall be prorated by multiplying the incremental amounts by a fraction the numerator of which is 319 (the number of days from and including February 16, 2011 through December 31, 2011) and the denominator of which is 365.</w:t>
      </w:r>
    </w:p>
    <w:p>
      <w:pPr>
        <w:spacing w:after="0" w:line="204"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The resulting amounts for 2011 including prorated incremental amounts are:</w:t>
      </w:r>
    </w:p>
    <w:p>
      <w:pPr>
        <w:spacing w:after="0" w:line="243" w:lineRule="exact"/>
        <w:rPr>
          <w:sz w:val="20"/>
          <w:szCs w:val="20"/>
          <w:color w:val="auto"/>
        </w:rPr>
      </w:pPr>
    </w:p>
    <w:tbl>
      <w:tblPr>
        <w:tblLayout w:type="fixed"/>
        <w:tblInd w:w="1240" w:type="dxa"/>
        <w:tblCellMar>
          <w:top w:w="0" w:type="dxa"/>
          <w:left w:w="0" w:type="dxa"/>
          <w:bottom w:w="0" w:type="dxa"/>
          <w:right w:w="0" w:type="dxa"/>
        </w:tblCellMar>
      </w:tblPr>
      <w:tr>
        <w:trPr>
          <w:trHeight w:val="217"/>
        </w:trPr>
        <w:tc>
          <w:tcPr>
            <w:tcW w:w="3360" w:type="dxa"/>
            <w:vAlign w:val="bottom"/>
          </w:tcPr>
          <w:p>
            <w:pPr>
              <w:spacing w:after="0"/>
              <w:rPr>
                <w:sz w:val="20"/>
                <w:szCs w:val="20"/>
                <w:color w:val="auto"/>
              </w:rPr>
            </w:pPr>
            <w:r>
              <w:rPr>
                <w:rFonts w:ascii="Arial" w:cs="Arial" w:eastAsia="Arial" w:hAnsi="Arial"/>
                <w:sz w:val="17"/>
                <w:szCs w:val="17"/>
                <w:color w:val="auto"/>
              </w:rPr>
              <w:t>Annual Grant</w:t>
            </w:r>
          </w:p>
        </w:tc>
        <w:tc>
          <w:tcPr>
            <w:tcW w:w="980" w:type="dxa"/>
            <w:vAlign w:val="bottom"/>
          </w:tcPr>
          <w:p>
            <w:pPr>
              <w:jc w:val="right"/>
              <w:spacing w:after="0"/>
              <w:rPr>
                <w:sz w:val="20"/>
                <w:szCs w:val="20"/>
                <w:color w:val="auto"/>
              </w:rPr>
            </w:pPr>
            <w:r>
              <w:rPr>
                <w:rFonts w:ascii="Arial" w:cs="Arial" w:eastAsia="Arial" w:hAnsi="Arial"/>
                <w:sz w:val="17"/>
                <w:szCs w:val="17"/>
                <w:color w:val="auto"/>
              </w:rPr>
              <w:t>$104,370</w:t>
            </w:r>
          </w:p>
        </w:tc>
      </w:tr>
      <w:tr>
        <w:trPr>
          <w:trHeight w:val="439"/>
        </w:trPr>
        <w:tc>
          <w:tcPr>
            <w:tcW w:w="3360" w:type="dxa"/>
            <w:vAlign w:val="bottom"/>
          </w:tcPr>
          <w:p>
            <w:pPr>
              <w:spacing w:after="0"/>
              <w:rPr>
                <w:sz w:val="20"/>
                <w:szCs w:val="20"/>
                <w:color w:val="auto"/>
              </w:rPr>
            </w:pPr>
            <w:r>
              <w:rPr>
                <w:rFonts w:ascii="Arial" w:cs="Arial" w:eastAsia="Arial" w:hAnsi="Arial"/>
                <w:sz w:val="17"/>
                <w:szCs w:val="17"/>
                <w:color w:val="auto"/>
              </w:rPr>
              <w:t>Annual Cash Retainer</w:t>
            </w:r>
          </w:p>
        </w:tc>
        <w:tc>
          <w:tcPr>
            <w:tcW w:w="980" w:type="dxa"/>
            <w:vAlign w:val="bottom"/>
          </w:tcPr>
          <w:p>
            <w:pPr>
              <w:jc w:val="right"/>
              <w:ind w:right="74"/>
              <w:spacing w:after="0"/>
              <w:rPr>
                <w:sz w:val="20"/>
                <w:szCs w:val="20"/>
                <w:color w:val="auto"/>
              </w:rPr>
            </w:pPr>
            <w:r>
              <w:rPr>
                <w:rFonts w:ascii="Arial" w:cs="Arial" w:eastAsia="Arial" w:hAnsi="Arial"/>
                <w:sz w:val="17"/>
                <w:szCs w:val="17"/>
                <w:color w:val="auto"/>
              </w:rPr>
              <w:t>$73,110</w:t>
            </w:r>
          </w:p>
        </w:tc>
      </w:tr>
      <w:tr>
        <w:trPr>
          <w:trHeight w:val="439"/>
        </w:trPr>
        <w:tc>
          <w:tcPr>
            <w:tcW w:w="3360" w:type="dxa"/>
            <w:vAlign w:val="bottom"/>
          </w:tcPr>
          <w:p>
            <w:pPr>
              <w:spacing w:after="0"/>
              <w:rPr>
                <w:sz w:val="20"/>
                <w:szCs w:val="20"/>
                <w:color w:val="auto"/>
              </w:rPr>
            </w:pPr>
            <w:r>
              <w:rPr>
                <w:rFonts w:ascii="Arial" w:cs="Arial" w:eastAsia="Arial" w:hAnsi="Arial"/>
                <w:sz w:val="17"/>
                <w:szCs w:val="17"/>
                <w:color w:val="auto"/>
                <w:w w:val="96"/>
              </w:rPr>
              <w:t>Additional Cash Retainer for Committee Chair</w:t>
            </w:r>
          </w:p>
        </w:tc>
        <w:tc>
          <w:tcPr>
            <w:tcW w:w="980" w:type="dxa"/>
            <w:vAlign w:val="bottom"/>
          </w:tcPr>
          <w:p>
            <w:pPr>
              <w:spacing w:after="0"/>
              <w:rPr>
                <w:sz w:val="24"/>
                <w:szCs w:val="24"/>
                <w:color w:val="auto"/>
              </w:rPr>
            </w:pPr>
          </w:p>
        </w:tc>
      </w:tr>
      <w:tr>
        <w:trPr>
          <w:trHeight w:val="439"/>
        </w:trPr>
        <w:tc>
          <w:tcPr>
            <w:tcW w:w="3360" w:type="dxa"/>
            <w:vAlign w:val="bottom"/>
          </w:tcPr>
          <w:p>
            <w:pPr>
              <w:ind w:left="320"/>
              <w:spacing w:after="0"/>
              <w:rPr>
                <w:sz w:val="20"/>
                <w:szCs w:val="20"/>
                <w:color w:val="auto"/>
              </w:rPr>
            </w:pPr>
            <w:r>
              <w:rPr>
                <w:rFonts w:ascii="Arial" w:cs="Arial" w:eastAsia="Arial" w:hAnsi="Arial"/>
                <w:sz w:val="17"/>
                <w:szCs w:val="17"/>
                <w:color w:val="auto"/>
              </w:rPr>
              <w:t>Executive Compensation and</w:t>
            </w:r>
          </w:p>
        </w:tc>
        <w:tc>
          <w:tcPr>
            <w:tcW w:w="980" w:type="dxa"/>
            <w:vAlign w:val="bottom"/>
          </w:tcPr>
          <w:p>
            <w:pPr>
              <w:spacing w:after="0"/>
              <w:rPr>
                <w:sz w:val="24"/>
                <w:szCs w:val="24"/>
                <w:color w:val="auto"/>
              </w:rPr>
            </w:pPr>
          </w:p>
        </w:tc>
      </w:tr>
      <w:tr>
        <w:trPr>
          <w:trHeight w:val="439"/>
        </w:trPr>
        <w:tc>
          <w:tcPr>
            <w:tcW w:w="3360" w:type="dxa"/>
            <w:vAlign w:val="bottom"/>
          </w:tcPr>
          <w:p>
            <w:pPr>
              <w:ind w:left="320"/>
              <w:spacing w:after="0"/>
              <w:rPr>
                <w:sz w:val="20"/>
                <w:szCs w:val="20"/>
                <w:color w:val="auto"/>
              </w:rPr>
            </w:pPr>
            <w:r>
              <w:rPr>
                <w:rFonts w:ascii="Arial" w:cs="Arial" w:eastAsia="Arial" w:hAnsi="Arial"/>
                <w:sz w:val="17"/>
                <w:szCs w:val="17"/>
                <w:color w:val="auto"/>
              </w:rPr>
              <w:t>Human Resources Committee Chair</w:t>
            </w:r>
          </w:p>
        </w:tc>
        <w:tc>
          <w:tcPr>
            <w:tcW w:w="980" w:type="dxa"/>
            <w:vAlign w:val="bottom"/>
          </w:tcPr>
          <w:p>
            <w:pPr>
              <w:jc w:val="right"/>
              <w:ind w:right="154"/>
              <w:spacing w:after="0"/>
              <w:rPr>
                <w:sz w:val="20"/>
                <w:szCs w:val="20"/>
                <w:color w:val="auto"/>
              </w:rPr>
            </w:pPr>
            <w:r>
              <w:rPr>
                <w:rFonts w:ascii="Arial" w:cs="Arial" w:eastAsia="Arial" w:hAnsi="Arial"/>
                <w:sz w:val="17"/>
                <w:szCs w:val="17"/>
                <w:color w:val="auto"/>
              </w:rPr>
              <w:t>$ 14,370</w:t>
            </w:r>
          </w:p>
        </w:tc>
      </w:tr>
      <w:tr>
        <w:trPr>
          <w:trHeight w:val="439"/>
        </w:trPr>
        <w:tc>
          <w:tcPr>
            <w:tcW w:w="3360" w:type="dxa"/>
            <w:vAlign w:val="bottom"/>
          </w:tcPr>
          <w:p>
            <w:pPr>
              <w:ind w:left="320"/>
              <w:spacing w:after="0"/>
              <w:rPr>
                <w:sz w:val="20"/>
                <w:szCs w:val="20"/>
                <w:color w:val="auto"/>
              </w:rPr>
            </w:pPr>
            <w:r>
              <w:rPr>
                <w:rFonts w:ascii="Arial" w:cs="Arial" w:eastAsia="Arial" w:hAnsi="Arial"/>
                <w:sz w:val="17"/>
                <w:szCs w:val="17"/>
                <w:color w:val="auto"/>
              </w:rPr>
              <w:t>Nominating and Governance</w:t>
            </w:r>
          </w:p>
        </w:tc>
        <w:tc>
          <w:tcPr>
            <w:tcW w:w="980" w:type="dxa"/>
            <w:vAlign w:val="bottom"/>
          </w:tcPr>
          <w:p>
            <w:pPr>
              <w:spacing w:after="0"/>
              <w:rPr>
                <w:sz w:val="24"/>
                <w:szCs w:val="24"/>
                <w:color w:val="auto"/>
              </w:rPr>
            </w:pPr>
          </w:p>
        </w:tc>
      </w:tr>
      <w:tr>
        <w:trPr>
          <w:trHeight w:val="439"/>
        </w:trPr>
        <w:tc>
          <w:tcPr>
            <w:tcW w:w="3360" w:type="dxa"/>
            <w:vAlign w:val="bottom"/>
          </w:tcPr>
          <w:p>
            <w:pPr>
              <w:ind w:left="320"/>
              <w:spacing w:after="0"/>
              <w:rPr>
                <w:sz w:val="20"/>
                <w:szCs w:val="20"/>
                <w:color w:val="auto"/>
              </w:rPr>
            </w:pPr>
            <w:r>
              <w:rPr>
                <w:rFonts w:ascii="Arial" w:cs="Arial" w:eastAsia="Arial" w:hAnsi="Arial"/>
                <w:sz w:val="17"/>
                <w:szCs w:val="17"/>
                <w:color w:val="auto"/>
              </w:rPr>
              <w:t>Committee Chair</w:t>
            </w:r>
          </w:p>
        </w:tc>
        <w:tc>
          <w:tcPr>
            <w:tcW w:w="980" w:type="dxa"/>
            <w:vAlign w:val="bottom"/>
          </w:tcPr>
          <w:p>
            <w:pPr>
              <w:jc w:val="right"/>
              <w:spacing w:after="0"/>
              <w:rPr>
                <w:sz w:val="20"/>
                <w:szCs w:val="20"/>
                <w:color w:val="auto"/>
              </w:rPr>
            </w:pPr>
            <w:r>
              <w:rPr>
                <w:rFonts w:ascii="Arial" w:cs="Arial" w:eastAsia="Arial" w:hAnsi="Arial"/>
                <w:sz w:val="17"/>
                <w:szCs w:val="17"/>
                <w:color w:val="auto"/>
              </w:rPr>
              <w:t>$ 12,185</w:t>
            </w:r>
          </w:p>
        </w:tc>
      </w:tr>
    </w:tbl>
    <w:p>
      <w:pPr>
        <w:spacing w:after="0" w:line="222" w:lineRule="exact"/>
        <w:rPr>
          <w:sz w:val="20"/>
          <w:szCs w:val="20"/>
          <w:color w:val="auto"/>
        </w:rPr>
      </w:pPr>
    </w:p>
    <w:p>
      <w:pPr>
        <w:ind w:left="620" w:right="600"/>
        <w:spacing w:after="0" w:line="280" w:lineRule="auto"/>
        <w:rPr>
          <w:sz w:val="20"/>
          <w:szCs w:val="20"/>
          <w:color w:val="auto"/>
        </w:rPr>
      </w:pPr>
      <w:r>
        <w:rPr>
          <w:rFonts w:ascii="Arial" w:cs="Arial" w:eastAsia="Arial" w:hAnsi="Arial"/>
          <w:sz w:val="17"/>
          <w:szCs w:val="17"/>
          <w:color w:val="auto"/>
        </w:rPr>
        <w:t>The grant date shall be February 16, 2011 for Deferred Shares or Restricted Shares granted in connection with the prorated incremental annual grant amount.</w:t>
      </w:r>
    </w:p>
    <w:p>
      <w:pPr>
        <w:sectPr>
          <w:pgSz w:w="11900" w:h="16838" w:orient="portrait"/>
          <w:cols w:equalWidth="0" w:num="1">
            <w:col w:w="11420"/>
          </w:cols>
          <w:pgMar w:left="240" w:top="127"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MANPOWER INC.</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Terms and Conditions Regarding the Grant of Awards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Non-Employee Directors under the 2003 Equity Incentive Plan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(Amended and Restated Effective February 16, 2011)</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1. Definitions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Unless the context otherwise requires, the following terms shall have the meanings set forth below:</w:t>
      </w:r>
    </w:p>
    <w:p>
      <w:pPr>
        <w:spacing w:after="0" w:line="243" w:lineRule="exact"/>
        <w:rPr>
          <w:sz w:val="20"/>
          <w:szCs w:val="20"/>
          <w:color w:val="auto"/>
        </w:rPr>
      </w:pPr>
    </w:p>
    <w:p>
      <w:pPr>
        <w:ind w:left="1240" w:hanging="275"/>
        <w:spacing w:after="0" w:line="280"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“Average Trading Price” shall mean, with respect to any period, the average of the Market Prices on the last trading day of each full or partial calendar quarter included within such period.</w:t>
      </w:r>
    </w:p>
    <w:p>
      <w:pPr>
        <w:spacing w:after="0" w:line="189" w:lineRule="exact"/>
        <w:rPr>
          <w:rFonts w:ascii="Arial" w:cs="Arial" w:eastAsia="Arial" w:hAnsi="Arial"/>
          <w:sz w:val="17"/>
          <w:szCs w:val="17"/>
          <w:color w:val="auto"/>
        </w:rPr>
      </w:pPr>
    </w:p>
    <w:p>
      <w:pPr>
        <w:jc w:val="both"/>
        <w:ind w:left="1240" w:hanging="284"/>
        <w:spacing w:after="0" w:line="262"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“Election Period” shall mean a period of time (i) beginning on January 1 of any year with respect to an individual serving as a Director as of that date and, with respect to an individual becoming a Director after January 1 of any year, the date the Director first becomes a Director and thereafter January 1 of any year and (ii) ending on (but including) the earlier of the date of termination of a Director’s tenure as a Director or the next succeeding December 31.</w:t>
      </w:r>
    </w:p>
    <w:p>
      <w:pPr>
        <w:spacing w:after="0" w:line="204" w:lineRule="exact"/>
        <w:rPr>
          <w:rFonts w:ascii="Arial" w:cs="Arial" w:eastAsia="Arial" w:hAnsi="Arial"/>
          <w:sz w:val="17"/>
          <w:szCs w:val="17"/>
          <w:color w:val="auto"/>
        </w:rPr>
      </w:pPr>
    </w:p>
    <w:p>
      <w:pPr>
        <w:ind w:left="1240" w:hanging="275"/>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“Equity Plan” shall mean the 2003 Equity Incentive Plan of Manpower Inc.</w:t>
      </w:r>
    </w:p>
    <w:p>
      <w:pPr>
        <w:spacing w:after="0" w:line="243" w:lineRule="exact"/>
        <w:rPr>
          <w:rFonts w:ascii="Arial" w:cs="Arial" w:eastAsia="Arial" w:hAnsi="Arial"/>
          <w:sz w:val="17"/>
          <w:szCs w:val="17"/>
          <w:color w:val="auto"/>
        </w:rPr>
      </w:pPr>
    </w:p>
    <w:p>
      <w:pPr>
        <w:jc w:val="both"/>
        <w:ind w:left="1240" w:hanging="284"/>
        <w:spacing w:after="0" w:line="258"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“Retainer” shall mean the annual cash retainer and the additional cash retainer for committee chairs payable to a Director as established from time to time by the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“Retainer” shall not include that portion of the annual cash retainer as to which a right exists to make an election under, or for which a prior election is in effect under, the Terms and Conditions Regarding the Grant of Options in Lieu of Cash Directors Fees to Non-Employee Directors Under 2003 Equity Incentive Plan of Manpower Inc. (the “Option Terms”) or the Procedures Governing the Grant of Options to Non-Employee Directors Under the 1994 Executive Stock Option and Restricted Stock Plan of Manpower Inc. (the “Option Procedures”).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Any capitalized terms used below which are not otherwise defined above will have the meanings assigned to them in the Equity Plan.</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2. Right to Elect Deferred Stock in Lieu of Retainer.</w:t>
      </w:r>
    </w:p>
    <w:p>
      <w:pPr>
        <w:spacing w:after="0" w:line="24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At the beginning of each Election Period, a Director may elect to receive, in lieu of the Retainer to which he or she would otherwise be entitled for that Election Period, Deferred Stock granted in accordance with the following. The election shall cover 50 percent, 75 percent or 100 percent of the Retainer payable to the Director for the Election Period. To be effective, the election must be made by notice in writing received by the Secretary of the Company (i) on or before the December 31 immediately preceding the beginning of the Election Period for an individual serving as a on such date, and (ii) on or before the tenth business day after the date the Director becomes a Director for an individual becoming a Director during a calendar year. Any such election made by a Director within 10 bu siness days after becoming a Director shall only apply to that portion of the Retainer that is attributable to services performed by the Director subsequent to the date of the election. The number of shares of Deferred Stock granted shall equal (i) the elected percentage of the amount of the Retainer payable to the Director for the Election Period to which the election relates (not including any portion of the Retainer attributable to services performed prior to the date of election for an electing Director who becomes a Director during the year), divided by (ii) the Average Trading Price for that Election Period (rounded to the nearest whole share). Such Deferred Stock shall be granted, automatically and specifically without further action of the Board of Directors, on the first day immediately following the last day of such Election Period and will be fully vested on that date.</w:t>
      </w:r>
    </w:p>
    <w:p>
      <w:pPr>
        <w:spacing w:after="0" w:line="196" w:lineRule="exact"/>
        <w:rPr>
          <w:sz w:val="20"/>
          <w:szCs w:val="20"/>
          <w:color w:val="auto"/>
        </w:rPr>
      </w:pPr>
    </w:p>
    <w:p>
      <w:pPr>
        <w:ind w:left="620" w:hanging="212"/>
        <w:spacing w:after="0"/>
        <w:tabs>
          <w:tab w:leader="none" w:pos="6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Annual Grant of Deferred Stock or Restricted Stock.</w:t>
      </w:r>
    </w:p>
    <w:p>
      <w:pPr>
        <w:spacing w:after="0" w:line="249" w:lineRule="exact"/>
        <w:rPr>
          <w:rFonts w:ascii="Arial" w:cs="Arial" w:eastAsia="Arial" w:hAnsi="Arial"/>
          <w:sz w:val="17"/>
          <w:szCs w:val="17"/>
          <w:b w:val="1"/>
          <w:bCs w:val="1"/>
          <w:color w:val="auto"/>
        </w:rPr>
      </w:pPr>
    </w:p>
    <w:p>
      <w:pPr>
        <w:jc w:val="both"/>
        <w:ind w:left="1240" w:hanging="284"/>
        <w:spacing w:after="0" w:line="290" w:lineRule="auto"/>
        <w:tabs>
          <w:tab w:leader="none" w:pos="1240" w:val="left"/>
        </w:tabs>
        <w:numPr>
          <w:ilvl w:val="1"/>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Grant of Deferred Stock. </w:t>
      </w:r>
      <w:r>
        <w:rPr>
          <w:rFonts w:ascii="Arial" w:cs="Arial" w:eastAsia="Arial" w:hAnsi="Arial"/>
          <w:sz w:val="15"/>
          <w:szCs w:val="15"/>
          <w:color w:val="auto"/>
        </w:rPr>
        <w:t>Each individual serving as a Director on the first day of each calendar year shall be granted on that day, automatically and</w:t>
      </w:r>
      <w:r>
        <w:rPr>
          <w:rFonts w:ascii="Arial" w:cs="Arial" w:eastAsia="Arial" w:hAnsi="Arial"/>
          <w:sz w:val="15"/>
          <w:szCs w:val="15"/>
          <w:i w:val="1"/>
          <w:iCs w:val="1"/>
          <w:color w:val="auto"/>
        </w:rPr>
        <w:t xml:space="preserve"> </w:t>
      </w:r>
      <w:r>
        <w:rPr>
          <w:rFonts w:ascii="Arial" w:cs="Arial" w:eastAsia="Arial" w:hAnsi="Arial"/>
          <w:sz w:val="15"/>
          <w:szCs w:val="15"/>
          <w:color w:val="auto"/>
        </w:rPr>
        <w:t>specifically without further action of the Board of Directors, a number of shares of Deferred Stock equal to $105,000 divided by the Market Price on the last trading day of the immediately preceding year (rounded to the nearest whole share). Such Deferred Stock shall vest in equal installments on the last day of each calendar quarter during the year in which granted. Each individual becoming a Director during a calendar year shall be granted, automatically and specifically without further action of the Board of Directors, a number of shares of Deferred Stock equal to</w:t>
      </w:r>
    </w:p>
    <w:p>
      <w:pPr>
        <w:spacing w:after="0" w:line="1" w:lineRule="exact"/>
        <w:rPr>
          <w:rFonts w:ascii="Arial" w:cs="Arial" w:eastAsia="Arial" w:hAnsi="Arial"/>
          <w:sz w:val="15"/>
          <w:szCs w:val="15"/>
          <w:i w:val="1"/>
          <w:iCs w:val="1"/>
          <w:color w:val="auto"/>
        </w:rPr>
      </w:pPr>
    </w:p>
    <w:p>
      <w:pPr>
        <w:jc w:val="both"/>
        <w:ind w:left="1240"/>
        <w:spacing w:after="0" w:line="292" w:lineRule="auto"/>
        <w:rPr>
          <w:rFonts w:ascii="Arial" w:cs="Arial" w:eastAsia="Arial" w:hAnsi="Arial"/>
          <w:sz w:val="15"/>
          <w:szCs w:val="15"/>
          <w:i w:val="1"/>
          <w:iCs w:val="1"/>
          <w:color w:val="auto"/>
        </w:rPr>
      </w:pPr>
      <w:r>
        <w:rPr>
          <w:rFonts w:ascii="Arial" w:cs="Arial" w:eastAsia="Arial" w:hAnsi="Arial"/>
          <w:sz w:val="15"/>
          <w:szCs w:val="15"/>
          <w:color w:val="auto"/>
        </w:rPr>
        <w:t>(i) $105,000 multiplied by a fraction, the n umerator of which is the number of days after the date the Director becomes a Director through the next December 31, and the denominator of which is 365, (ii) divided by the Market Price on the last trading day prior to the date of grant (rounded to the nearest whole share). The date of grant of such Deferred Stock shall be the date the Director becomes a Director. Such Deferred Stock shall vest as follows: on the last day of the calendar quarter during which the Director becomes a Director, a number of shares of such Deferred Stock shall vest equal to the total number of shares granted multiplied by a fraction, the numerator of which is the number of days after the date the Director becomes a Director through the last day of the quarter during which the Director becomes a Director, and the denominator of which is the number of days after the date the Director becomes a Director through the next December 31, and thereafter the balance of the shares of such Defe rred Stock (if any) shall vest in equal installments on the last day of each remaining calendar quarter during the year. Shares of Deferred Stock granted under this paragraph will not vest if the Director is no longer a member of the Board of Directors on the vesting date, and any shares of Deferred Stock held by a Director which remain unvested at the time the Director ceases to be a member of the Board of Directors shall be forfeited.</w:t>
      </w:r>
    </w:p>
    <w:p>
      <w:pPr>
        <w:spacing w:after="0" w:line="187" w:lineRule="exact"/>
        <w:rPr>
          <w:rFonts w:ascii="Arial" w:cs="Arial" w:eastAsia="Arial" w:hAnsi="Arial"/>
          <w:sz w:val="15"/>
          <w:szCs w:val="15"/>
          <w:i w:val="1"/>
          <w:iCs w:val="1"/>
          <w:color w:val="auto"/>
        </w:rPr>
      </w:pPr>
    </w:p>
    <w:p>
      <w:pPr>
        <w:jc w:val="both"/>
        <w:ind w:left="1240" w:hanging="284"/>
        <w:spacing w:after="0" w:line="294" w:lineRule="auto"/>
        <w:tabs>
          <w:tab w:leader="none" w:pos="1240" w:val="left"/>
        </w:tabs>
        <w:numPr>
          <w:ilvl w:val="1"/>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Alternative Grant of Restricted Stock. </w:t>
      </w:r>
      <w:r>
        <w:rPr>
          <w:rFonts w:ascii="Arial" w:cs="Arial" w:eastAsia="Arial" w:hAnsi="Arial"/>
          <w:sz w:val="15"/>
          <w:szCs w:val="15"/>
          <w:color w:val="auto"/>
        </w:rPr>
        <w:t>Instead of receiving a grant of Deferred Stock under this paragraph 3, a Director shall have the right to elect</w:t>
      </w:r>
      <w:r>
        <w:rPr>
          <w:rFonts w:ascii="Arial" w:cs="Arial" w:eastAsia="Arial" w:hAnsi="Arial"/>
          <w:sz w:val="15"/>
          <w:szCs w:val="15"/>
          <w:i w:val="1"/>
          <w:iCs w:val="1"/>
          <w:color w:val="auto"/>
        </w:rPr>
        <w:t xml:space="preserve"> </w:t>
      </w:r>
      <w:r>
        <w:rPr>
          <w:rFonts w:ascii="Arial" w:cs="Arial" w:eastAsia="Arial" w:hAnsi="Arial"/>
          <w:sz w:val="15"/>
          <w:szCs w:val="15"/>
          <w:color w:val="auto"/>
        </w:rPr>
        <w:t>to receive a number of shares of Restricted Stock equal to the number of shares of Deferred Stock the Director would otherwise have been granted. To be effective, such election must be made by notice in writing received by the Secretary of the Company (i) on or before December 31 of the immediately preceding year for an individual serving as a Director on the first day of any calendar year, and (ii) on or before the tenth business day after the date the Director becomes a Director for an individual becoming a Director during a calendar year. Any such election to receive Restricted Stock made by a Director within 10 business days after becoming a Director during a calendar year shall only apply to that portion of the Deferred Stock the Director would otherwise have received that is attributable to services performed by the Director in and after the first full calendar quarter subsequent to the date of the election and subsequent calendar quarters during the same calendar year. The date of grant of such Restricted Stock shall be the first day of the full calendar quarter beginning subsequent to the date of the election, and such Restricted Stock shall vest on the same basis as such Deferred Stock would have vested. Where an election to receive Restricted Stock is made by a Director</w:t>
      </w:r>
    </w:p>
    <w:p>
      <w:pPr>
        <w:sectPr>
          <w:pgSz w:w="11900" w:h="16838" w:orient="portrait"/>
          <w:cols w:equalWidth="0" w:num="1">
            <w:col w:w="11420"/>
          </w:cols>
          <w:pgMar w:left="240" w:top="118" w:right="239" w:bottom="0" w:gutter="0" w:footer="0" w:header="0"/>
        </w:sectPr>
      </w:pPr>
    </w:p>
    <w:bookmarkStart w:id="8" w:name="page9"/>
    <w:bookmarkEnd w:id="8"/>
    <w:p>
      <w:pPr>
        <w:jc w:val="both"/>
        <w:ind w:left="1240"/>
        <w:spacing w:after="0" w:line="266" w:lineRule="auto"/>
        <w:rPr>
          <w:sz w:val="20"/>
          <w:szCs w:val="20"/>
          <w:color w:val="auto"/>
        </w:rPr>
      </w:pPr>
      <w:r>
        <w:rPr>
          <w:rFonts w:ascii="Arial" w:cs="Arial" w:eastAsia="Arial" w:hAnsi="Arial"/>
          <w:sz w:val="17"/>
          <w:szCs w:val="17"/>
          <w:color w:val="auto"/>
        </w:rPr>
        <w:t>within 10 business days after becoming a Director during a calendar year, the Director shall receive a grant of Deferred Stock equal to that number of shares of Deferred Stock the Director would otherwise have received attributable to services performed by the Director between the date the Director be comes a Director and the last day of the calendar quarter in which the election is made.</w:t>
      </w:r>
    </w:p>
    <w:p>
      <w:pPr>
        <w:spacing w:after="0" w:line="196" w:lineRule="exact"/>
        <w:rPr>
          <w:sz w:val="20"/>
          <w:szCs w:val="20"/>
          <w:color w:val="auto"/>
        </w:rPr>
      </w:pPr>
    </w:p>
    <w:p>
      <w:pPr>
        <w:ind w:left="620" w:hanging="212"/>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Deferred Stock: General Provisions</w:t>
      </w:r>
    </w:p>
    <w:p>
      <w:pPr>
        <w:spacing w:after="0" w:line="249" w:lineRule="exact"/>
        <w:rPr>
          <w:rFonts w:ascii="Arial" w:cs="Arial" w:eastAsia="Arial" w:hAnsi="Arial"/>
          <w:sz w:val="17"/>
          <w:szCs w:val="17"/>
          <w:b w:val="1"/>
          <w:bCs w:val="1"/>
          <w:color w:val="auto"/>
        </w:rPr>
      </w:pPr>
    </w:p>
    <w:p>
      <w:pPr>
        <w:jc w:val="both"/>
        <w:ind w:left="1240" w:hanging="284"/>
        <w:spacing w:after="0" w:line="256" w:lineRule="auto"/>
        <w:tabs>
          <w:tab w:leader="none" w:pos="1240" w:val="left"/>
        </w:tabs>
        <w:numPr>
          <w:ilvl w:val="1"/>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Distribution of Shares. </w:t>
      </w:r>
      <w:r>
        <w:rPr>
          <w:rFonts w:ascii="Arial" w:cs="Arial" w:eastAsia="Arial" w:hAnsi="Arial"/>
          <w:sz w:val="17"/>
          <w:szCs w:val="17"/>
          <w:color w:val="auto"/>
        </w:rPr>
        <w:t>The Company shall settle Deferred Stock granted under these Terms and Conditions in Shares. Shares shall be distributed</w:t>
      </w:r>
      <w:r>
        <w:rPr>
          <w:rFonts w:ascii="Arial" w:cs="Arial" w:eastAsia="Arial" w:hAnsi="Arial"/>
          <w:sz w:val="17"/>
          <w:szCs w:val="17"/>
          <w:i w:val="1"/>
          <w:iCs w:val="1"/>
          <w:color w:val="auto"/>
        </w:rPr>
        <w:t xml:space="preserve"> </w:t>
      </w:r>
      <w:r>
        <w:rPr>
          <w:rFonts w:ascii="Arial" w:cs="Arial" w:eastAsia="Arial" w:hAnsi="Arial"/>
          <w:sz w:val="17"/>
          <w:szCs w:val="17"/>
          <w:color w:val="auto"/>
        </w:rPr>
        <w:t>in respect of such Deferred Stock (but only to the extent vested, as rounded to the nearest whole Share) on the earlier of the third anniversary of the date of grant (the “Fixed Distribution Date”) or, upon a Director ceasing to be a member of the Board of Directors, within 30 days after the date of such cessation. However, a Director holding Deferred Stock granted under these Terms and Conditions shall have the right to extend the Fixed Distribution Date (any such extended date or further extended date as provided below is also referred to below as the “Fixed Distribution Date”) by a period o f five years or more for each such extension provided in each case the election to extend the Fixed Distribution Date is made by notice in writing delivered to the Secretary of the Company more than 12 months before the then existing Fixed Distribution Date. Notwithstanding the foregoing, if a distribution of Shares under this paragraph would otherwise occur outside of a “Trading Window” (as defined in the Manpower Inc. Statement of Policy on Securities Trading), then the Company may delay the distribution of such Shares until the beginning of the next Trading Window.</w:t>
      </w:r>
    </w:p>
    <w:p>
      <w:pPr>
        <w:spacing w:after="0" w:line="212" w:lineRule="exact"/>
        <w:rPr>
          <w:rFonts w:ascii="Arial" w:cs="Arial" w:eastAsia="Arial" w:hAnsi="Arial"/>
          <w:sz w:val="17"/>
          <w:szCs w:val="17"/>
          <w:i w:val="1"/>
          <w:iCs w:val="1"/>
          <w:color w:val="auto"/>
        </w:rPr>
      </w:pPr>
    </w:p>
    <w:p>
      <w:pPr>
        <w:jc w:val="both"/>
        <w:ind w:left="1240" w:hanging="284"/>
        <w:spacing w:after="0" w:line="272" w:lineRule="auto"/>
        <w:tabs>
          <w:tab w:leader="none" w:pos="1240" w:val="left"/>
        </w:tabs>
        <w:numPr>
          <w:ilvl w:val="1"/>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Dividends and Distributions</w:t>
      </w:r>
      <w:r>
        <w:rPr>
          <w:rFonts w:ascii="Arial" w:cs="Arial" w:eastAsia="Arial" w:hAnsi="Arial"/>
          <w:sz w:val="16"/>
          <w:szCs w:val="16"/>
          <w:color w:val="auto"/>
        </w:rPr>
        <w:t>. On the first day of each calendar year, each Director shall be granted, automatically and specifically without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action of the Board of Directors, a number of shares of Deferred Stock equal to (i) the aggregate amount of dividends (or other distributions) which would have been received by the Director during the immediately preceding year if the Deferred Stock held by the Director (whether or not vested) on the record date of any such dividend or distribution had been outstanding common stock of the Company on such date, (ii) divided by the Average Trading Price for the preceding calendar year (rounded to the nearest whole share). Notwithstanding the foregoing, a Director who ceases to be a member of the Board of Directors shall be granted, automatically and specifically without further action of the Board of Directors, on the day following the date of such cessation, a number of shares of Deferred Stock equal to (i) the total amount of dividends which would have been received by the Director during the year in which termination occurs if the Deferred Stock held by the Director (whether or not vested) on the record date of any such dividend had been outstanding common stock of the Company on such date, (ii) divided by the Average Trading Price for the period from January 1 of such year through the date of such cessation (rounded to the nearest whole share). In the event of any distribution other than cash, the foregoing shall be applied based on the fair market value of the property distributed. Additional shares of Deferred Stock granted under this subparagraph 4(b) shall be settled and Shares distributed in respect of such Deferred Stock at the same time as the Deferred Stock to which the dividends and distributions relate.</w:t>
      </w:r>
    </w:p>
    <w:p>
      <w:pPr>
        <w:spacing w:after="0" w:line="199" w:lineRule="exact"/>
        <w:rPr>
          <w:rFonts w:ascii="Arial" w:cs="Arial" w:eastAsia="Arial" w:hAnsi="Arial"/>
          <w:sz w:val="16"/>
          <w:szCs w:val="16"/>
          <w:i w:val="1"/>
          <w:iCs w:val="1"/>
          <w:color w:val="auto"/>
        </w:rPr>
      </w:pPr>
    </w:p>
    <w:p>
      <w:pPr>
        <w:ind w:left="620" w:hanging="212"/>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Other Provisions</w:t>
      </w:r>
    </w:p>
    <w:p>
      <w:pPr>
        <w:spacing w:after="0" w:line="249" w:lineRule="exact"/>
        <w:rPr>
          <w:sz w:val="20"/>
          <w:szCs w:val="20"/>
          <w:color w:val="auto"/>
        </w:rPr>
      </w:pPr>
    </w:p>
    <w:p>
      <w:pPr>
        <w:jc w:val="both"/>
        <w:ind w:left="620" w:hanging="203"/>
        <w:spacing w:after="0" w:line="266"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These amended and restated Terms and Conditions shall become effective on February 16, 2011, and effective on that date shall supersede and replace the amended and restated Terms and Conditions Regarding the Grant of Awards to Non-Employee Directors under the 2003 Equity Incentive Plan in effect immediately prior thereto..</w:t>
      </w:r>
    </w:p>
    <w:p>
      <w:pPr>
        <w:spacing w:after="0" w:line="201" w:lineRule="exact"/>
        <w:rPr>
          <w:rFonts w:ascii="Arial" w:cs="Arial" w:eastAsia="Arial" w:hAnsi="Arial"/>
          <w:sz w:val="17"/>
          <w:szCs w:val="17"/>
          <w:color w:val="auto"/>
        </w:rPr>
      </w:pPr>
    </w:p>
    <w:p>
      <w:pPr>
        <w:jc w:val="both"/>
        <w:ind w:left="620" w:hanging="212"/>
        <w:spacing w:after="0" w:line="262"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the year 2011, the incremental amounts of annual grant, cash retainer and additional cash retainer for committee chairs resulting from the amendment and restatement of the Compensation for Non-Employee Directors Program effective on February 16, 2011 shall be prorated by multiplying the incremental amounts by a fraction the numerator of which is 319 (the number of days from and including February 16, 2011 through December 31, 2011) and the denominator of which is 365.</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resulting amounts for 2011 including prorated incremental amounts are:</w:t>
      </w:r>
    </w:p>
    <w:p>
      <w:pPr>
        <w:spacing w:after="0" w:line="243" w:lineRule="exact"/>
        <w:rPr>
          <w:sz w:val="20"/>
          <w:szCs w:val="20"/>
          <w:color w:val="auto"/>
        </w:rPr>
      </w:pPr>
    </w:p>
    <w:tbl>
      <w:tblPr>
        <w:tblLayout w:type="fixed"/>
        <w:tblInd w:w="1240" w:type="dxa"/>
        <w:tblCellMar>
          <w:top w:w="0" w:type="dxa"/>
          <w:left w:w="0" w:type="dxa"/>
          <w:bottom w:w="0" w:type="dxa"/>
          <w:right w:w="0" w:type="dxa"/>
        </w:tblCellMar>
      </w:tblPr>
      <w:tr>
        <w:trPr>
          <w:trHeight w:val="217"/>
        </w:trPr>
        <w:tc>
          <w:tcPr>
            <w:tcW w:w="3420" w:type="dxa"/>
            <w:vAlign w:val="bottom"/>
          </w:tcPr>
          <w:p>
            <w:pPr>
              <w:spacing w:after="0"/>
              <w:rPr>
                <w:sz w:val="20"/>
                <w:szCs w:val="20"/>
                <w:color w:val="auto"/>
              </w:rPr>
            </w:pPr>
            <w:r>
              <w:rPr>
                <w:rFonts w:ascii="Arial" w:cs="Arial" w:eastAsia="Arial" w:hAnsi="Arial"/>
                <w:sz w:val="17"/>
                <w:szCs w:val="17"/>
                <w:color w:val="auto"/>
              </w:rPr>
              <w:t>Annual Grant</w:t>
            </w:r>
          </w:p>
        </w:tc>
        <w:tc>
          <w:tcPr>
            <w:tcW w:w="1040" w:type="dxa"/>
            <w:vAlign w:val="bottom"/>
          </w:tcPr>
          <w:p>
            <w:pPr>
              <w:jc w:val="right"/>
              <w:spacing w:after="0"/>
              <w:rPr>
                <w:sz w:val="20"/>
                <w:szCs w:val="20"/>
                <w:color w:val="auto"/>
              </w:rPr>
            </w:pPr>
            <w:r>
              <w:rPr>
                <w:rFonts w:ascii="Arial" w:cs="Arial" w:eastAsia="Arial" w:hAnsi="Arial"/>
                <w:sz w:val="17"/>
                <w:szCs w:val="17"/>
                <w:color w:val="auto"/>
              </w:rPr>
              <w:t>$104,370</w:t>
            </w:r>
          </w:p>
        </w:tc>
      </w:tr>
      <w:tr>
        <w:trPr>
          <w:trHeight w:val="439"/>
        </w:trPr>
        <w:tc>
          <w:tcPr>
            <w:tcW w:w="3420" w:type="dxa"/>
            <w:vAlign w:val="bottom"/>
          </w:tcPr>
          <w:p>
            <w:pPr>
              <w:spacing w:after="0"/>
              <w:rPr>
                <w:sz w:val="20"/>
                <w:szCs w:val="20"/>
                <w:color w:val="auto"/>
              </w:rPr>
            </w:pPr>
            <w:r>
              <w:rPr>
                <w:rFonts w:ascii="Arial" w:cs="Arial" w:eastAsia="Arial" w:hAnsi="Arial"/>
                <w:sz w:val="17"/>
                <w:szCs w:val="17"/>
                <w:color w:val="auto"/>
              </w:rPr>
              <w:t>Annual Cash Retainer</w:t>
            </w:r>
          </w:p>
        </w:tc>
        <w:tc>
          <w:tcPr>
            <w:tcW w:w="1040" w:type="dxa"/>
            <w:vAlign w:val="bottom"/>
          </w:tcPr>
          <w:p>
            <w:pPr>
              <w:ind w:left="340"/>
              <w:spacing w:after="0"/>
              <w:rPr>
                <w:sz w:val="20"/>
                <w:szCs w:val="20"/>
                <w:color w:val="auto"/>
              </w:rPr>
            </w:pPr>
            <w:r>
              <w:rPr>
                <w:rFonts w:ascii="Arial" w:cs="Arial" w:eastAsia="Arial" w:hAnsi="Arial"/>
                <w:sz w:val="17"/>
                <w:szCs w:val="17"/>
                <w:color w:val="auto"/>
              </w:rPr>
              <w:t>$73,110</w:t>
            </w:r>
          </w:p>
        </w:tc>
      </w:tr>
      <w:tr>
        <w:trPr>
          <w:trHeight w:val="439"/>
        </w:trPr>
        <w:tc>
          <w:tcPr>
            <w:tcW w:w="3420" w:type="dxa"/>
            <w:vAlign w:val="bottom"/>
          </w:tcPr>
          <w:p>
            <w:pPr>
              <w:spacing w:after="0"/>
              <w:rPr>
                <w:sz w:val="20"/>
                <w:szCs w:val="20"/>
                <w:color w:val="auto"/>
              </w:rPr>
            </w:pPr>
            <w:r>
              <w:rPr>
                <w:rFonts w:ascii="Arial" w:cs="Arial" w:eastAsia="Arial" w:hAnsi="Arial"/>
                <w:sz w:val="17"/>
                <w:szCs w:val="17"/>
                <w:color w:val="auto"/>
                <w:w w:val="98"/>
              </w:rPr>
              <w:t>Additional Cash Retainer for Committee Chair</w:t>
            </w:r>
          </w:p>
        </w:tc>
        <w:tc>
          <w:tcPr>
            <w:tcW w:w="1040" w:type="dxa"/>
            <w:vAlign w:val="bottom"/>
          </w:tcPr>
          <w:p>
            <w:pPr>
              <w:spacing w:after="0"/>
              <w:rPr>
                <w:sz w:val="24"/>
                <w:szCs w:val="24"/>
                <w:color w:val="auto"/>
              </w:rPr>
            </w:pPr>
          </w:p>
        </w:tc>
      </w:tr>
      <w:tr>
        <w:trPr>
          <w:trHeight w:val="439"/>
        </w:trPr>
        <w:tc>
          <w:tcPr>
            <w:tcW w:w="3420" w:type="dxa"/>
            <w:vAlign w:val="bottom"/>
          </w:tcPr>
          <w:p>
            <w:pPr>
              <w:ind w:left="320"/>
              <w:spacing w:after="0"/>
              <w:rPr>
                <w:sz w:val="20"/>
                <w:szCs w:val="20"/>
                <w:color w:val="auto"/>
              </w:rPr>
            </w:pPr>
            <w:r>
              <w:rPr>
                <w:rFonts w:ascii="Arial" w:cs="Arial" w:eastAsia="Arial" w:hAnsi="Arial"/>
                <w:sz w:val="17"/>
                <w:szCs w:val="17"/>
                <w:color w:val="auto"/>
              </w:rPr>
              <w:t>Executive Compensation and</w:t>
            </w:r>
          </w:p>
        </w:tc>
        <w:tc>
          <w:tcPr>
            <w:tcW w:w="1040" w:type="dxa"/>
            <w:vAlign w:val="bottom"/>
          </w:tcPr>
          <w:p>
            <w:pPr>
              <w:spacing w:after="0"/>
              <w:rPr>
                <w:sz w:val="24"/>
                <w:szCs w:val="24"/>
                <w:color w:val="auto"/>
              </w:rPr>
            </w:pPr>
          </w:p>
        </w:tc>
      </w:tr>
      <w:tr>
        <w:trPr>
          <w:trHeight w:val="439"/>
        </w:trPr>
        <w:tc>
          <w:tcPr>
            <w:tcW w:w="3420" w:type="dxa"/>
            <w:vAlign w:val="bottom"/>
          </w:tcPr>
          <w:p>
            <w:pPr>
              <w:ind w:left="320"/>
              <w:spacing w:after="0"/>
              <w:rPr>
                <w:sz w:val="20"/>
                <w:szCs w:val="20"/>
                <w:color w:val="auto"/>
              </w:rPr>
            </w:pPr>
            <w:r>
              <w:rPr>
                <w:rFonts w:ascii="Arial" w:cs="Arial" w:eastAsia="Arial" w:hAnsi="Arial"/>
                <w:sz w:val="17"/>
                <w:szCs w:val="17"/>
                <w:color w:val="auto"/>
              </w:rPr>
              <w:t>Human Resources Committee Chair</w:t>
            </w:r>
          </w:p>
        </w:tc>
        <w:tc>
          <w:tcPr>
            <w:tcW w:w="1040" w:type="dxa"/>
            <w:vAlign w:val="bottom"/>
          </w:tcPr>
          <w:p>
            <w:pPr>
              <w:jc w:val="right"/>
              <w:ind w:right="114"/>
              <w:spacing w:after="0"/>
              <w:rPr>
                <w:sz w:val="20"/>
                <w:szCs w:val="20"/>
                <w:color w:val="auto"/>
              </w:rPr>
            </w:pPr>
            <w:r>
              <w:rPr>
                <w:rFonts w:ascii="Arial" w:cs="Arial" w:eastAsia="Arial" w:hAnsi="Arial"/>
                <w:sz w:val="17"/>
                <w:szCs w:val="17"/>
                <w:color w:val="auto"/>
              </w:rPr>
              <w:t>$ 14,370</w:t>
            </w:r>
          </w:p>
        </w:tc>
      </w:tr>
      <w:tr>
        <w:trPr>
          <w:trHeight w:val="439"/>
        </w:trPr>
        <w:tc>
          <w:tcPr>
            <w:tcW w:w="3420" w:type="dxa"/>
            <w:vAlign w:val="bottom"/>
          </w:tcPr>
          <w:p>
            <w:pPr>
              <w:ind w:left="320"/>
              <w:spacing w:after="0"/>
              <w:rPr>
                <w:sz w:val="20"/>
                <w:szCs w:val="20"/>
                <w:color w:val="auto"/>
              </w:rPr>
            </w:pPr>
            <w:r>
              <w:rPr>
                <w:rFonts w:ascii="Arial" w:cs="Arial" w:eastAsia="Arial" w:hAnsi="Arial"/>
                <w:sz w:val="17"/>
                <w:szCs w:val="17"/>
                <w:color w:val="auto"/>
              </w:rPr>
              <w:t>Nominating and Governance</w:t>
            </w:r>
          </w:p>
        </w:tc>
        <w:tc>
          <w:tcPr>
            <w:tcW w:w="1040" w:type="dxa"/>
            <w:vAlign w:val="bottom"/>
          </w:tcPr>
          <w:p>
            <w:pPr>
              <w:spacing w:after="0"/>
              <w:rPr>
                <w:sz w:val="24"/>
                <w:szCs w:val="24"/>
                <w:color w:val="auto"/>
              </w:rPr>
            </w:pPr>
          </w:p>
        </w:tc>
      </w:tr>
      <w:tr>
        <w:trPr>
          <w:trHeight w:val="439"/>
        </w:trPr>
        <w:tc>
          <w:tcPr>
            <w:tcW w:w="3420" w:type="dxa"/>
            <w:vAlign w:val="bottom"/>
          </w:tcPr>
          <w:p>
            <w:pPr>
              <w:ind w:left="320"/>
              <w:spacing w:after="0"/>
              <w:rPr>
                <w:sz w:val="20"/>
                <w:szCs w:val="20"/>
                <w:color w:val="auto"/>
              </w:rPr>
            </w:pPr>
            <w:r>
              <w:rPr>
                <w:rFonts w:ascii="Arial" w:cs="Arial" w:eastAsia="Arial" w:hAnsi="Arial"/>
                <w:sz w:val="17"/>
                <w:szCs w:val="17"/>
                <w:color w:val="auto"/>
              </w:rPr>
              <w:t>Committee Chair</w:t>
            </w:r>
          </w:p>
        </w:tc>
        <w:tc>
          <w:tcPr>
            <w:tcW w:w="1040" w:type="dxa"/>
            <w:vAlign w:val="bottom"/>
          </w:tcPr>
          <w:p>
            <w:pPr>
              <w:ind w:left="320"/>
              <w:spacing w:after="0"/>
              <w:rPr>
                <w:sz w:val="20"/>
                <w:szCs w:val="20"/>
                <w:color w:val="auto"/>
              </w:rPr>
            </w:pPr>
            <w:r>
              <w:rPr>
                <w:rFonts w:ascii="Arial" w:cs="Arial" w:eastAsia="Arial" w:hAnsi="Arial"/>
                <w:sz w:val="17"/>
                <w:szCs w:val="17"/>
                <w:color w:val="auto"/>
              </w:rPr>
              <w:t>$ 12,185</w:t>
            </w:r>
          </w:p>
        </w:tc>
      </w:tr>
    </w:tbl>
    <w:p>
      <w:pPr>
        <w:spacing w:after="0" w:line="222" w:lineRule="exact"/>
        <w:rPr>
          <w:sz w:val="20"/>
          <w:szCs w:val="20"/>
          <w:color w:val="auto"/>
        </w:rPr>
      </w:pPr>
    </w:p>
    <w:p>
      <w:pPr>
        <w:ind w:left="620" w:right="600"/>
        <w:spacing w:after="0" w:line="280" w:lineRule="auto"/>
        <w:rPr>
          <w:sz w:val="20"/>
          <w:szCs w:val="20"/>
          <w:color w:val="auto"/>
        </w:rPr>
      </w:pPr>
      <w:r>
        <w:rPr>
          <w:rFonts w:ascii="Arial" w:cs="Arial" w:eastAsia="Arial" w:hAnsi="Arial"/>
          <w:sz w:val="17"/>
          <w:szCs w:val="17"/>
          <w:color w:val="auto"/>
        </w:rPr>
        <w:t>The grant date shall be February 16, 2011 for Deferred Shares or Restricted Shares granted in connection with the prorated incremental annual grant amount.</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6. Application of Plan.</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Except as otherwise provided in these Terms and Conditions, the Equity Plan shall apply to any Deferred Stock granted pursuant to these Terms and Conditions.</w:t>
      </w:r>
    </w:p>
    <w:p>
      <w:pPr>
        <w:sectPr>
          <w:pgSz w:w="11900" w:h="16838" w:orient="portrait"/>
          <w:cols w:equalWidth="0" w:num="1">
            <w:col w:w="11420"/>
          </w:cols>
          <w:pgMar w:left="240" w:top="127"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Manpower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 Manpower Place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Milwaukee, Wisconsin 53212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February 16,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Mr. Jeffrey A. Joerres:</w:t>
      </w:r>
    </w:p>
    <w:p>
      <w:pPr>
        <w:spacing w:after="0" w:line="243" w:lineRule="exact"/>
        <w:rPr>
          <w:sz w:val="20"/>
          <w:szCs w:val="20"/>
          <w:color w:val="auto"/>
        </w:rPr>
      </w:pPr>
    </w:p>
    <w:p>
      <w:pPr>
        <w:ind w:right="420" w:firstLine="620"/>
        <w:spacing w:after="0" w:line="280" w:lineRule="auto"/>
        <w:rPr>
          <w:sz w:val="20"/>
          <w:szCs w:val="20"/>
          <w:color w:val="auto"/>
        </w:rPr>
      </w:pPr>
      <w:r>
        <w:rPr>
          <w:rFonts w:ascii="Arial" w:cs="Arial" w:eastAsia="Arial" w:hAnsi="Arial"/>
          <w:sz w:val="17"/>
          <w:szCs w:val="17"/>
          <w:color w:val="auto"/>
        </w:rPr>
        <w:t>We have agreed as follows with respect to the compensation to be paid and the other benefits to be provided to you in connection with your continuing employment by Manpower Inc. (the “Corporation”):</w:t>
      </w:r>
    </w:p>
    <w:p>
      <w:pPr>
        <w:spacing w:after="0" w:line="189" w:lineRule="exact"/>
        <w:rPr>
          <w:sz w:val="20"/>
          <w:szCs w:val="20"/>
          <w:color w:val="auto"/>
        </w:rPr>
      </w:pPr>
    </w:p>
    <w:p>
      <w:pPr>
        <w:ind w:right="80" w:firstLine="623"/>
        <w:spacing w:after="0" w:line="283" w:lineRule="auto"/>
        <w:tabs>
          <w:tab w:leader="none" w:pos="83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will be a period beginning on the date of this letter indicated above and ending on the first to occur of the following: (a) the date two years after the occurrence of a Change of Control, as defined in the letter to you of even date regarding other rights and obligations on termination of your employment; (b) February 16, 2014, if no Change of Control occurs between the date of this letter indicated above and February 16, 2014; or (c) the Date of Termination, as defined in the letter from the Corporation to you of even date regarding other rights and obligations on termination of your employment.</w:t>
      </w:r>
    </w:p>
    <w:p>
      <w:pPr>
        <w:spacing w:after="0" w:line="190" w:lineRule="exact"/>
        <w:rPr>
          <w:rFonts w:ascii="Arial" w:cs="Arial" w:eastAsia="Arial" w:hAnsi="Arial"/>
          <w:sz w:val="16"/>
          <w:szCs w:val="16"/>
          <w:color w:val="auto"/>
        </w:rPr>
      </w:pPr>
    </w:p>
    <w:p>
      <w:pPr>
        <w:ind w:left="840" w:hanging="217"/>
        <w:spacing w:after="0"/>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Base Compensation</w:t>
      </w:r>
      <w:r>
        <w:rPr>
          <w:rFonts w:ascii="Arial" w:cs="Arial" w:eastAsia="Arial" w:hAnsi="Arial"/>
          <w:sz w:val="16"/>
          <w:szCs w:val="16"/>
          <w:color w:val="auto"/>
        </w:rPr>
        <w:t>. You will be paid a base salary for your services during the Term at the rate of One Million Two Hundred Thousand Dollars</w:t>
      </w:r>
    </w:p>
    <w:p>
      <w:pPr>
        <w:spacing w:after="0" w:line="3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($1,200,000) per year, as may be increased from time to time by the Corporation. Your base compensation will be paid in accordance with the Corporation’s regular payroll practices with respect to such compensation as in effect from time to time.</w:t>
      </w:r>
    </w:p>
    <w:p>
      <w:pPr>
        <w:spacing w:after="0" w:line="200" w:lineRule="exact"/>
        <w:rPr>
          <w:sz w:val="20"/>
          <w:szCs w:val="20"/>
          <w:color w:val="auto"/>
        </w:rPr>
      </w:pPr>
    </w:p>
    <w:p>
      <w:pPr>
        <w:ind w:right="20" w:firstLine="623"/>
        <w:spacing w:after="0" w:line="262" w:lineRule="auto"/>
        <w:tabs>
          <w:tab w:leader="none" w:pos="834"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Incentive Bonus</w:t>
      </w:r>
      <w:r>
        <w:rPr>
          <w:rFonts w:ascii="Arial" w:cs="Arial" w:eastAsia="Arial" w:hAnsi="Arial"/>
          <w:sz w:val="17"/>
          <w:szCs w:val="17"/>
          <w:color w:val="auto"/>
        </w:rPr>
        <w:t>. You also will be entitled to receive incentive compensation for your services during the Term in accordance with an incentive compensation plan approved and administered by the Executive Compensation and Human Resources Committee of the Board of Directors of the Corporation. Such plan may be amended or replaced from time to time by such Committee, but without your agreement no such action will adversely affect any rights you may have under such plan as of the time of such action.</w:t>
      </w:r>
    </w:p>
    <w:p>
      <w:pPr>
        <w:spacing w:after="0" w:line="204" w:lineRule="exact"/>
        <w:rPr>
          <w:rFonts w:ascii="Arial" w:cs="Arial" w:eastAsia="Arial" w:hAnsi="Arial"/>
          <w:sz w:val="17"/>
          <w:szCs w:val="17"/>
          <w:color w:val="auto"/>
        </w:rPr>
      </w:pPr>
    </w:p>
    <w:p>
      <w:pPr>
        <w:ind w:right="80" w:firstLine="623"/>
        <w:spacing w:after="0" w:line="280" w:lineRule="auto"/>
        <w:tabs>
          <w:tab w:leader="none" w:pos="834"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During the entire Term, the Corporation will provide you with, and you will be eligible for, all benefits of employment generally made available to the senior executives of the Corporation from time to time (collectively, the “Benefits Plans”), subject to and on a basis consistent with the terms, conditions and overall administration of such Benefit Plans. You will be considered for participation in Benefit Plans which by the terms thereof are discretionary in nature (such as stock option plans) on the same basis as other executive personnel of the Corporation of similar rank. You also will be entitled to vacations and perquisites in accordance with the Corporation’s policies as in effect from time t o time for senior executives of the Corporation.</w:t>
      </w:r>
    </w:p>
    <w:p>
      <w:pPr>
        <w:spacing w:after="0" w:line="191" w:lineRule="exact"/>
        <w:rPr>
          <w:rFonts w:ascii="Arial" w:cs="Arial" w:eastAsia="Arial" w:hAnsi="Arial"/>
          <w:sz w:val="16"/>
          <w:szCs w:val="16"/>
          <w:color w:val="auto"/>
        </w:rPr>
      </w:pPr>
    </w:p>
    <w:p>
      <w:pPr>
        <w:jc w:val="both"/>
        <w:ind w:right="260" w:firstLine="623"/>
        <w:spacing w:after="0" w:line="266" w:lineRule="auto"/>
        <w:tabs>
          <w:tab w:leader="none" w:pos="834"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Corporation will reimburse to you on a monthly basis for all traveling, hotel, entertainment and other expenses reasonably incurred by you in the proper performance of your duties during the Term, subject to your compliance with the guidelines and regulations concerning expense reimbursement issued by the Corporation.</w:t>
      </w:r>
    </w:p>
    <w:p>
      <w:pPr>
        <w:spacing w:after="0" w:line="201" w:lineRule="exact"/>
        <w:rPr>
          <w:rFonts w:ascii="Arial" w:cs="Arial" w:eastAsia="Arial" w:hAnsi="Arial"/>
          <w:sz w:val="17"/>
          <w:szCs w:val="17"/>
          <w:color w:val="auto"/>
        </w:rPr>
      </w:pPr>
    </w:p>
    <w:p>
      <w:pPr>
        <w:ind w:left="840" w:hanging="217"/>
        <w:spacing w:after="0"/>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Nondisclosure and Nonsolicitation</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ind w:left="1480" w:hanging="238"/>
        <w:spacing w:after="0"/>
        <w:tabs>
          <w:tab w:leader="none" w:pos="1480"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Nondisclosure</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ind w:left="1240" w:right="60" w:firstLine="622"/>
        <w:spacing w:after="0" w:line="271" w:lineRule="auto"/>
        <w:tabs>
          <w:tab w:leader="none" w:pos="2101" w:val="left"/>
        </w:tabs>
        <w:numPr>
          <w:ilvl w:val="2"/>
          <w:numId w:val="13"/>
        </w:numPr>
        <w:rPr>
          <w:rFonts w:ascii="Arial" w:cs="Arial" w:eastAsia="Arial" w:hAnsi="Arial"/>
          <w:sz w:val="16"/>
          <w:szCs w:val="16"/>
          <w:color w:val="auto"/>
        </w:rPr>
      </w:pPr>
      <w:r>
        <w:rPr>
          <w:rFonts w:ascii="Arial" w:cs="Arial" w:eastAsia="Arial" w:hAnsi="Arial"/>
          <w:sz w:val="16"/>
          <w:szCs w:val="16"/>
          <w:color w:val="auto"/>
        </w:rPr>
        <w:t>You will not, directly or indirectly, at any time during the term of your employment with the Corporation and its direct and indirect subsidiaries (collectively, the “Manpower Group”), or during the two-year period following your termination, for whatever reason, of employment with the Manpower Group, use or possess for yourself or others or disclose to others except in the good faith performance of your duties for the Manpower Group any Confidential Information (as defined below), whether or not conceived, developed, or perfected by you and no matter how it became known to you, unless (a) you first secure written consent of the Corporation to such disclosure, possession or use, (b) the same shall have lawfully become a matter of public knowledge other than by your act or omission, or (c) you are ordered to di sclose the same by a court of competent jurisdiction or are otherwise required to disclose the same by law, and you promptly notify the Corporation of such</w:t>
      </w:r>
    </w:p>
    <w:p>
      <w:pPr>
        <w:spacing w:after="0" w:line="1" w:lineRule="exact"/>
        <w:rPr>
          <w:rFonts w:ascii="Arial" w:cs="Arial" w:eastAsia="Arial" w:hAnsi="Arial"/>
          <w:sz w:val="16"/>
          <w:szCs w:val="16"/>
          <w:color w:val="auto"/>
        </w:rPr>
      </w:pPr>
    </w:p>
    <w:p>
      <w:pPr>
        <w:ind w:left="1240"/>
        <w:spacing w:after="0" w:line="295" w:lineRule="auto"/>
        <w:rPr>
          <w:rFonts w:ascii="Arial" w:cs="Arial" w:eastAsia="Arial" w:hAnsi="Arial"/>
          <w:sz w:val="16"/>
          <w:szCs w:val="16"/>
          <w:color w:val="auto"/>
        </w:rPr>
      </w:pPr>
      <w:r>
        <w:rPr>
          <w:rFonts w:ascii="Arial" w:cs="Arial" w:eastAsia="Arial" w:hAnsi="Arial"/>
          <w:sz w:val="15"/>
          <w:szCs w:val="15"/>
          <w:color w:val="auto"/>
        </w:rPr>
        <w:t>disclosure. “Confidential Information” shall mean all business information (whether or not in written form) which relates to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 Notwithstanding the foregoing, the rights of the Manpower Grou p to protect business information which constitutes trade secrets under applicable trade secrets law or privileged information shall extend beyond such two-year period, in accordance with applicable law.</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1240" w:right="80" w:firstLine="622"/>
        <w:spacing w:after="0" w:line="262" w:lineRule="auto"/>
        <w:tabs>
          <w:tab w:leader="none" w:pos="2156" w:val="left"/>
        </w:tabs>
        <w:numPr>
          <w:ilvl w:val="2"/>
          <w:numId w:val="13"/>
        </w:numPr>
        <w:rPr>
          <w:rFonts w:ascii="Arial" w:cs="Arial" w:eastAsia="Arial" w:hAnsi="Arial"/>
          <w:sz w:val="17"/>
          <w:szCs w:val="17"/>
          <w:color w:val="auto"/>
        </w:rPr>
      </w:pPr>
      <w:r>
        <w:rPr>
          <w:rFonts w:ascii="Arial" w:cs="Arial" w:eastAsia="Arial" w:hAnsi="Arial"/>
          <w:sz w:val="17"/>
          <w:szCs w:val="17"/>
          <w:color w:val="auto"/>
        </w:rPr>
        <w:t>Upon your termination of employment, for whatever reason, with the Manpower 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which are in your possession or under your control.</w:t>
      </w:r>
    </w:p>
    <w:p>
      <w:pPr>
        <w:spacing w:after="0" w:line="204" w:lineRule="exact"/>
        <w:rPr>
          <w:rFonts w:ascii="Arial" w:cs="Arial" w:eastAsia="Arial" w:hAnsi="Arial"/>
          <w:sz w:val="17"/>
          <w:szCs w:val="17"/>
          <w:color w:val="auto"/>
        </w:rPr>
      </w:pPr>
    </w:p>
    <w:p>
      <w:pPr>
        <w:ind w:left="620" w:right="60" w:firstLine="622"/>
        <w:spacing w:after="0" w:line="278" w:lineRule="auto"/>
        <w:tabs>
          <w:tab w:leader="none" w:pos="1526"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You agree that you will not, at any time during the term of your employment with the Manpower Group or during the one-year period following your termination, for whatever reason, of employment with the Manpower Group, either on your own account or in conjunction with or on behalf of any other person, company, business entity, or other organization whatsoever, directly or indirectly induce, solicit, entice or procure any person who is a managerial employee of any company in the Manpower Group (but in the event of your termination, any such managerial employee that you have had contact with in the two years prior to your termination) to terminate his or her employment with the Manpower Group so as to accept employment e lsewhere or to diminish or curtail the services such person provides to the Manpower Group</w:t>
      </w:r>
    </w:p>
    <w:p>
      <w:pPr>
        <w:sectPr>
          <w:pgSz w:w="11900" w:h="16838" w:orient="portrait"/>
          <w:cols w:equalWidth="0" w:num="1">
            <w:col w:w="11420"/>
          </w:cols>
          <w:pgMar w:left="240" w:top="118" w:right="239" w:bottom="39" w:gutter="0" w:footer="0" w:header="0"/>
        </w:sectPr>
      </w:pPr>
    </w:p>
    <w:bookmarkStart w:id="10" w:name="page11"/>
    <w:bookmarkEnd w:id="10"/>
    <w:p>
      <w:pPr>
        <w:ind w:left="620" w:right="60" w:firstLine="622"/>
        <w:spacing w:after="0" w:line="258" w:lineRule="auto"/>
        <w:tabs>
          <w:tab w:leader="none" w:pos="1516" w:val="left"/>
        </w:tabs>
        <w:numPr>
          <w:ilvl w:val="3"/>
          <w:numId w:val="14"/>
        </w:numPr>
        <w:rPr>
          <w:rFonts w:ascii="Arial" w:cs="Arial" w:eastAsia="Arial" w:hAnsi="Arial"/>
          <w:sz w:val="17"/>
          <w:szCs w:val="17"/>
          <w:color w:val="auto"/>
        </w:rPr>
      </w:pPr>
      <w:r>
        <w:rPr>
          <w:rFonts w:ascii="Arial" w:cs="Arial" w:eastAsia="Arial" w:hAnsi="Arial"/>
          <w:sz w:val="17"/>
          <w:szCs w:val="17"/>
          <w:u w:val="single" w:color="auto"/>
          <w:color w:val="auto"/>
        </w:rPr>
        <w:t>Injunction</w:t>
      </w:r>
      <w:r>
        <w:rPr>
          <w:rFonts w:ascii="Arial" w:cs="Arial" w:eastAsia="Arial" w:hAnsi="Arial"/>
          <w:sz w:val="17"/>
          <w:szCs w:val="17"/>
          <w:color w:val="auto"/>
        </w:rPr>
        <w:t>. You recognize that irreparable and incalculable injury will result to the Manpower Group and its businesses and properties in the event of your breach of any of the restrictions imposed by Sections 6(a) - (b), above. You therefore agree that, in the event of any such actual, impending or threatened breach, the Corporation will be entitled, in addition to any other remedies and damages available to, including, but not limited to, provisional or interim measures, including temporary and permanent injunctive relief, without the necessity of posting a bond or other security, from a court of competent jurisdiction restraining the violation, or further violation, of such restrictions by you and by any other person or entity for wh om you may be acting or who is acting for you or in concert with you..</w:t>
      </w:r>
    </w:p>
    <w:p>
      <w:pPr>
        <w:spacing w:after="0" w:line="210" w:lineRule="exact"/>
        <w:rPr>
          <w:rFonts w:ascii="Arial" w:cs="Arial" w:eastAsia="Arial" w:hAnsi="Arial"/>
          <w:sz w:val="17"/>
          <w:szCs w:val="17"/>
          <w:color w:val="auto"/>
        </w:rPr>
      </w:pPr>
    </w:p>
    <w:p>
      <w:pPr>
        <w:ind w:right="460" w:firstLine="623"/>
        <w:spacing w:after="0" w:line="280" w:lineRule="auto"/>
        <w:tabs>
          <w:tab w:leader="none" w:pos="834"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This letter agreement will be binding on the Corporation and its successors and will inure to the benefit of and be enforceable by your personal or legal representatives, heirs and successors.</w:t>
      </w:r>
    </w:p>
    <w:p>
      <w:pPr>
        <w:spacing w:after="0" w:line="189" w:lineRule="exact"/>
        <w:rPr>
          <w:rFonts w:ascii="Arial" w:cs="Arial" w:eastAsia="Arial" w:hAnsi="Arial"/>
          <w:sz w:val="17"/>
          <w:szCs w:val="17"/>
          <w:color w:val="auto"/>
        </w:rPr>
      </w:pPr>
    </w:p>
    <w:p>
      <w:pPr>
        <w:ind w:right="40" w:firstLine="623"/>
        <w:spacing w:after="0" w:line="266" w:lineRule="auto"/>
        <w:tabs>
          <w:tab w:leader="none" w:pos="834"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1" w:lineRule="exact"/>
        <w:rPr>
          <w:rFonts w:ascii="Arial" w:cs="Arial" w:eastAsia="Arial" w:hAnsi="Arial"/>
          <w:sz w:val="17"/>
          <w:szCs w:val="17"/>
          <w:color w:val="auto"/>
        </w:rPr>
      </w:pPr>
    </w:p>
    <w:p>
      <w:pPr>
        <w:ind w:right="140" w:firstLine="623"/>
        <w:spacing w:after="0" w:line="266" w:lineRule="auto"/>
        <w:tabs>
          <w:tab w:leader="none" w:pos="834"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No Right to Remain Employed</w:t>
      </w:r>
      <w:r>
        <w:rPr>
          <w:rFonts w:ascii="Arial" w:cs="Arial" w:eastAsia="Arial" w:hAnsi="Arial"/>
          <w:sz w:val="17"/>
          <w:szCs w:val="17"/>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subject to the obligations of the Corporation and the Manpower Group as set forth herein.</w:t>
      </w:r>
    </w:p>
    <w:p>
      <w:pPr>
        <w:spacing w:after="0" w:line="201" w:lineRule="exact"/>
        <w:rPr>
          <w:rFonts w:ascii="Arial" w:cs="Arial" w:eastAsia="Arial" w:hAnsi="Arial"/>
          <w:sz w:val="17"/>
          <w:szCs w:val="17"/>
          <w:color w:val="auto"/>
        </w:rPr>
      </w:pPr>
    </w:p>
    <w:p>
      <w:pPr>
        <w:ind w:right="200" w:firstLine="623"/>
        <w:spacing w:after="0" w:line="280" w:lineRule="auto"/>
        <w:tabs>
          <w:tab w:leader="none" w:pos="920"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No provision of this letter may be modified, waived or discharged unless such waiver, modification or discharge is agreed to in writing by you and the Corporation.</w:t>
      </w:r>
    </w:p>
    <w:p>
      <w:pPr>
        <w:spacing w:after="0" w:line="189" w:lineRule="exact"/>
        <w:rPr>
          <w:rFonts w:ascii="Arial" w:cs="Arial" w:eastAsia="Arial" w:hAnsi="Arial"/>
          <w:sz w:val="17"/>
          <w:szCs w:val="17"/>
          <w:color w:val="auto"/>
        </w:rPr>
      </w:pPr>
    </w:p>
    <w:p>
      <w:pPr>
        <w:ind w:right="200" w:firstLine="623"/>
        <w:spacing w:after="0" w:line="280" w:lineRule="auto"/>
        <w:tabs>
          <w:tab w:leader="none" w:pos="914"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89" w:lineRule="exact"/>
        <w:rPr>
          <w:rFonts w:ascii="Arial" w:cs="Arial" w:eastAsia="Arial" w:hAnsi="Arial"/>
          <w:sz w:val="17"/>
          <w:szCs w:val="17"/>
          <w:color w:val="auto"/>
        </w:rPr>
      </w:pPr>
    </w:p>
    <w:p>
      <w:pPr>
        <w:ind w:right="20" w:firstLine="623"/>
        <w:spacing w:after="0" w:line="280" w:lineRule="auto"/>
        <w:tabs>
          <w:tab w:leader="none" w:pos="920"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shall be governed by and interpreted in accordance with the laws of the State of New York, United States of America, without regard to its conflict of law provisions.</w:t>
      </w:r>
    </w:p>
    <w:p>
      <w:pPr>
        <w:spacing w:after="0" w:line="189" w:lineRule="exact"/>
        <w:rPr>
          <w:rFonts w:ascii="Arial" w:cs="Arial" w:eastAsia="Arial" w:hAnsi="Arial"/>
          <w:sz w:val="17"/>
          <w:szCs w:val="17"/>
          <w:color w:val="auto"/>
        </w:rPr>
      </w:pPr>
    </w:p>
    <w:p>
      <w:pPr>
        <w:ind w:right="200" w:firstLine="623"/>
        <w:spacing w:after="0" w:line="266" w:lineRule="auto"/>
        <w:tabs>
          <w:tab w:leader="none" w:pos="920"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Previous Agreement</w:t>
      </w:r>
      <w:r>
        <w:rPr>
          <w:rFonts w:ascii="Arial" w:cs="Arial" w:eastAsia="Arial" w:hAnsi="Arial"/>
          <w:sz w:val="17"/>
          <w:szCs w:val="17"/>
          <w:color w:val="auto"/>
        </w:rPr>
        <w:t>. This letter, upon acceptance by you, expressly supersedes that certain letter agreement between you and the Corporation dated February 20, 2008, which primarily concerns your compensation and benefits, and such agreement shall, as of the date of your acceptance, have no further force or effect.</w:t>
      </w:r>
    </w:p>
    <w:p>
      <w:pPr>
        <w:spacing w:after="0" w:line="201" w:lineRule="exact"/>
        <w:rPr>
          <w:rFonts w:ascii="Arial" w:cs="Arial" w:eastAsia="Arial" w:hAnsi="Arial"/>
          <w:sz w:val="17"/>
          <w:szCs w:val="17"/>
          <w:color w:val="auto"/>
        </w:rPr>
      </w:pPr>
    </w:p>
    <w:p>
      <w:pPr>
        <w:ind w:right="40" w:firstLine="623"/>
        <w:spacing w:after="0" w:line="283" w:lineRule="auto"/>
        <w:tabs>
          <w:tab w:leader="none" w:pos="920"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Subsection 6(c)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14, the party initiating arbitration shall be denominated the “Claimant” and the other party shall be denominated the “Respondent.”</w:t>
      </w:r>
    </w:p>
    <w:p>
      <w:pPr>
        <w:spacing w:after="0" w:line="190" w:lineRule="exact"/>
        <w:rPr>
          <w:rFonts w:ascii="Arial" w:cs="Arial" w:eastAsia="Arial" w:hAnsi="Arial"/>
          <w:sz w:val="16"/>
          <w:szCs w:val="16"/>
          <w:color w:val="auto"/>
        </w:rPr>
      </w:pPr>
    </w:p>
    <w:p>
      <w:pPr>
        <w:ind w:left="820" w:right="120" w:hanging="223"/>
        <w:spacing w:after="0" w:line="271" w:lineRule="auto"/>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 rica. The arbitration shall be conducted in the English language. Judgment upon the award rendered by the arbitrator may be entered by any court having jurisdiction</w:t>
      </w:r>
    </w:p>
    <w:p>
      <w:pPr>
        <w:spacing w:after="0" w:line="1" w:lineRule="exact"/>
        <w:rPr>
          <w:rFonts w:ascii="Arial" w:cs="Arial" w:eastAsia="Arial" w:hAnsi="Arial"/>
          <w:sz w:val="16"/>
          <w:szCs w:val="16"/>
          <w:color w:val="auto"/>
        </w:rPr>
      </w:pPr>
    </w:p>
    <w:p>
      <w:pPr>
        <w:ind w:left="820" w:right="40"/>
        <w:spacing w:after="0" w:line="279" w:lineRule="auto"/>
        <w:rPr>
          <w:rFonts w:ascii="Arial" w:cs="Arial" w:eastAsia="Arial" w:hAnsi="Arial"/>
          <w:sz w:val="16"/>
          <w:szCs w:val="16"/>
          <w:color w:val="auto"/>
        </w:rPr>
      </w:pPr>
      <w:r>
        <w:rPr>
          <w:rFonts w:ascii="Arial" w:cs="Arial" w:eastAsia="Arial" w:hAnsi="Arial"/>
          <w:sz w:val="16"/>
          <w:szCs w:val="16"/>
          <w:color w:val="auto"/>
        </w:rPr>
        <w:t>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91" w:lineRule="exact"/>
        <w:rPr>
          <w:rFonts w:ascii="Arial" w:cs="Arial" w:eastAsia="Arial" w:hAnsi="Arial"/>
          <w:sz w:val="16"/>
          <w:szCs w:val="16"/>
          <w:color w:val="auto"/>
        </w:rPr>
      </w:pPr>
    </w:p>
    <w:p>
      <w:pPr>
        <w:jc w:val="both"/>
        <w:ind w:left="1240" w:hanging="284"/>
        <w:spacing w:after="0" w:line="273" w:lineRule="auto"/>
        <w:tabs>
          <w:tab w:leader="none" w:pos="1240" w:val="left"/>
        </w:tabs>
        <w:numPr>
          <w:ilvl w:val="2"/>
          <w:numId w:val="16"/>
        </w:numPr>
        <w:rPr>
          <w:rFonts w:ascii="Arial" w:cs="Arial" w:eastAsia="Arial" w:hAnsi="Arial"/>
          <w:sz w:val="16"/>
          <w:szCs w:val="16"/>
          <w:color w:val="auto"/>
        </w:rPr>
      </w:pPr>
      <w:r>
        <w:rPr>
          <w:rFonts w:ascii="Arial" w:cs="Arial" w:eastAsia="Arial" w:hAnsi="Arial"/>
          <w:sz w:val="16"/>
          <w:szCs w:val="16"/>
          <w:color w:val="auto"/>
        </w:rPr>
        <w:t xml:space="preserve">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1" w:lineRule="exact"/>
        <w:rPr>
          <w:rFonts w:ascii="Arial" w:cs="Arial" w:eastAsia="Arial" w:hAnsi="Arial"/>
          <w:sz w:val="16"/>
          <w:szCs w:val="16"/>
          <w:color w:val="auto"/>
        </w:rPr>
      </w:pPr>
    </w:p>
    <w:p>
      <w:pPr>
        <w:ind w:right="20" w:firstLine="623"/>
        <w:spacing w:after="0" w:line="280" w:lineRule="auto"/>
        <w:tabs>
          <w:tab w:leader="none" w:pos="920"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obligations imposed by Paragraph 6, above, of this agreement are severable and should be construed independently of each other. The invalidity of one such provision shall not affect the validity of any other such provision.</w:t>
      </w:r>
    </w:p>
    <w:p>
      <w:pPr>
        <w:spacing w:after="0" w:line="189" w:lineRule="exact"/>
        <w:rPr>
          <w:sz w:val="20"/>
          <w:szCs w:val="20"/>
          <w:color w:val="auto"/>
        </w:rPr>
      </w:pPr>
    </w:p>
    <w:p>
      <w:pPr>
        <w:ind w:right="380" w:firstLine="620"/>
        <w:spacing w:after="0" w:line="280" w:lineRule="auto"/>
        <w:rPr>
          <w:sz w:val="20"/>
          <w:szCs w:val="20"/>
          <w:color w:val="auto"/>
        </w:rPr>
      </w:pPr>
      <w:r>
        <w:rPr>
          <w:rFonts w:ascii="Arial" w:cs="Arial" w:eastAsia="Arial" w:hAnsi="Arial"/>
          <w:sz w:val="17"/>
          <w:szCs w:val="17"/>
          <w:color w:val="auto"/>
        </w:rPr>
        <w:t>If you are in agreement with the foregoing, please sign and return one copy of this letter which will constitute our agreement with respect to the subject matter of this letter.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-8890</wp:posOffset>
            </wp:positionV>
            <wp:extent cx="2190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011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Michael J. Van Handel, Executive Vice President</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and Chief Financial Officer</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Agreed as of the 16th day of February, 2011.</w:t>
      </w:r>
    </w:p>
    <w:p>
      <w:pPr>
        <w:sectPr>
          <w:pgSz w:w="11900" w:h="16838" w:orient="portrait"/>
          <w:cols w:equalWidth="0" w:num="1">
            <w:col w:w="11420"/>
          </w:cols>
          <w:pgMar w:left="240" w:top="127"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/s/ Jeffrey A. Joerres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Jeffrey A. Joerres</w:t>
      </w:r>
    </w:p>
    <w:p>
      <w:pPr>
        <w:sectPr>
          <w:pgSz w:w="11900" w:h="16838" w:orient="portrait"/>
          <w:cols w:equalWidth="0" w:num="1">
            <w:col w:w="10219"/>
          </w:cols>
          <w:pgMar w:left="240" w:top="815" w:right="1440" w:bottom="1440" w:gutter="0" w:footer="0" w:header="0"/>
        </w:sectPr>
      </w:pPr>
    </w:p>
    <w:bookmarkStart w:id="12" w:name="page13"/>
    <w:bookmarkEnd w:id="12"/>
    <w:p>
      <w:pPr>
        <w:ind w:left="10440"/>
        <w:spacing w:after="0"/>
        <w:rPr>
          <w:sz w:val="20"/>
          <w:szCs w:val="20"/>
          <w:color w:val="auto"/>
        </w:rPr>
      </w:pPr>
      <w:r>
        <w:rPr>
          <w:rFonts w:ascii="Arial" w:cs="Arial" w:eastAsia="Arial" w:hAnsi="Arial"/>
          <w:sz w:val="17"/>
          <w:szCs w:val="17"/>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Manpower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 Manpower Place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Milwaukee, Wisconsin 53212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February 16, 2011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Mr. Jeffrey A. Joerres:</w:t>
      </w:r>
    </w:p>
    <w:p>
      <w:pPr>
        <w:spacing w:after="0" w:line="243" w:lineRule="exact"/>
        <w:rPr>
          <w:sz w:val="20"/>
          <w:szCs w:val="20"/>
          <w:color w:val="auto"/>
        </w:rPr>
      </w:pPr>
    </w:p>
    <w:p>
      <w:pPr>
        <w:ind w:right="220" w:firstLine="620"/>
        <w:spacing w:after="0" w:line="266" w:lineRule="auto"/>
        <w:rPr>
          <w:sz w:val="20"/>
          <w:szCs w:val="20"/>
          <w:color w:val="auto"/>
        </w:rPr>
      </w:pPr>
      <w:r>
        <w:rPr>
          <w:rFonts w:ascii="Arial" w:cs="Arial" w:eastAsia="Arial" w:hAnsi="Arial"/>
          <w:sz w:val="17"/>
          <w:szCs w:val="17"/>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have agreed as follows:</w:t>
      </w:r>
    </w:p>
    <w:p>
      <w:pPr>
        <w:spacing w:after="0" w:line="202" w:lineRule="exact"/>
        <w:rPr>
          <w:sz w:val="20"/>
          <w:szCs w:val="20"/>
          <w:color w:val="auto"/>
        </w:rPr>
      </w:pPr>
    </w:p>
    <w:p>
      <w:pPr>
        <w:ind w:left="620" w:hanging="21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letter:</w:t>
      </w:r>
    </w:p>
    <w:p>
      <w:pPr>
        <w:spacing w:after="0" w:line="243" w:lineRule="exact"/>
        <w:rPr>
          <w:rFonts w:ascii="Arial" w:cs="Arial" w:eastAsia="Arial" w:hAnsi="Arial"/>
          <w:sz w:val="17"/>
          <w:szCs w:val="17"/>
          <w:color w:val="auto"/>
        </w:rPr>
      </w:pPr>
    </w:p>
    <w:p>
      <w:pPr>
        <w:jc w:val="both"/>
        <w:ind w:left="1240" w:hanging="275"/>
        <w:spacing w:after="0" w:line="273" w:lineRule="auto"/>
        <w:tabs>
          <w:tab w:leader="none" w:pos="1240"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Termination by the Manpower Group of your employment with the Manpower Group for “Cause” will mean termination upon (i) your repeated failure to perform your duties with the Manpower Group in a competent, diligent and satisfactory manner as determined by the Executive Compensation and Human Resources Committee of the Board of Directors, (ii) failure or refusal to follow the reasonable instructions or direction of the Board of Directors, which failure or refusal remains uncured, if subject to cure, to the reasonable satisfaction of the Board of Directors for five (5) business days after receiving notice thereof from the Executive Compensation and Human Resources Committee, or repeated failure or refusal to follow the reasonable instructions or direc tions of the Board of Directors, (iii) any act by you of fraud, material dishonesty or material disloyalty involving the Manpower Group, (iv) any violation by you of a Manpower Group policy of material import, (v) any act by you of moral turpitude which is likely to result in discredit to or loss of business, reputation or goodwill of the Manpower Group, (vi) your chronic absence from work other than by reason of a serious health condition, (vii) your commission of a crime the circumstances of which substantially relate to your employment duties with the Manpower Group, or (viii) the willful engaging by you in conduct which is demonstrably and materially injurious to the Manpower Group. For purposes of this Subsection 1(a), no act, or failure to act, on your part will be deemed “willful” unless done, or omitted to be done, by you not in good faith.</w:t>
      </w:r>
    </w:p>
    <w:p>
      <w:pPr>
        <w:spacing w:after="0" w:line="198" w:lineRule="exact"/>
        <w:rPr>
          <w:rFonts w:ascii="Arial" w:cs="Arial" w:eastAsia="Arial" w:hAnsi="Arial"/>
          <w:sz w:val="16"/>
          <w:szCs w:val="16"/>
          <w:color w:val="auto"/>
        </w:rPr>
      </w:pPr>
    </w:p>
    <w:p>
      <w:pPr>
        <w:ind w:left="1240" w:hanging="284"/>
        <w:spacing w:after="0"/>
        <w:tabs>
          <w:tab w:leader="none" w:pos="1240"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A “Change of Control” shall mean the first to occur of any of the following:</w:t>
      </w:r>
    </w:p>
    <w:p>
      <w:pPr>
        <w:spacing w:after="0" w:line="243" w:lineRule="exact"/>
        <w:rPr>
          <w:rFonts w:ascii="Arial" w:cs="Arial" w:eastAsia="Arial" w:hAnsi="Arial"/>
          <w:sz w:val="17"/>
          <w:szCs w:val="17"/>
          <w:color w:val="auto"/>
        </w:rPr>
      </w:pPr>
    </w:p>
    <w:p>
      <w:pPr>
        <w:jc w:val="both"/>
        <w:ind w:left="1860" w:hanging="247"/>
        <w:spacing w:after="0" w:line="292" w:lineRule="auto"/>
        <w:tabs>
          <w:tab w:leader="none" w:pos="1860" w:val="left"/>
        </w:tabs>
        <w:numPr>
          <w:ilvl w:val="2"/>
          <w:numId w:val="17"/>
        </w:numPr>
        <w:rPr>
          <w:rFonts w:ascii="Arial" w:cs="Arial" w:eastAsia="Arial" w:hAnsi="Arial"/>
          <w:sz w:val="15"/>
          <w:szCs w:val="15"/>
          <w:color w:val="auto"/>
        </w:rPr>
      </w:pPr>
      <w:r>
        <w:rPr>
          <w:rFonts w:ascii="Arial" w:cs="Arial" w:eastAsia="Arial" w:hAnsi="Arial"/>
          <w:sz w:val="15"/>
          <w:szCs w:val="15"/>
          <w:color w:val="auto"/>
        </w:rPr>
        <w:t xml:space="preserve">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no Change of Control shall be deemed to have occurred as a result of an acquisition of shares of common stock or voting securities of the Corpo 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91" w:lineRule="exact"/>
        <w:rPr>
          <w:rFonts w:ascii="Arial" w:cs="Arial" w:eastAsia="Arial" w:hAnsi="Arial"/>
          <w:sz w:val="15"/>
          <w:szCs w:val="15"/>
          <w:color w:val="auto"/>
        </w:rPr>
      </w:pPr>
    </w:p>
    <w:p>
      <w:pPr>
        <w:jc w:val="both"/>
        <w:ind w:left="1860" w:hanging="294"/>
        <w:spacing w:after="0" w:line="299" w:lineRule="auto"/>
        <w:tabs>
          <w:tab w:leader="none" w:pos="1860" w:val="left"/>
        </w:tabs>
        <w:numPr>
          <w:ilvl w:val="2"/>
          <w:numId w:val="17"/>
        </w:numPr>
        <w:rPr>
          <w:rFonts w:ascii="Arial" w:cs="Arial" w:eastAsia="Arial" w:hAnsi="Arial"/>
          <w:sz w:val="15"/>
          <w:szCs w:val="15"/>
          <w:color w:val="auto"/>
        </w:rPr>
      </w:pPr>
      <w:r>
        <w:rPr>
          <w:rFonts w:ascii="Arial" w:cs="Arial" w:eastAsia="Arial" w:hAnsi="Arial"/>
          <w:sz w:val="15"/>
          <w:szCs w:val="15"/>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81" w:lineRule="exact"/>
        <w:rPr>
          <w:rFonts w:ascii="Arial" w:cs="Arial" w:eastAsia="Arial" w:hAnsi="Arial"/>
          <w:sz w:val="15"/>
          <w:szCs w:val="15"/>
          <w:color w:val="auto"/>
        </w:rPr>
      </w:pPr>
    </w:p>
    <w:p>
      <w:pPr>
        <w:ind w:left="1860" w:hanging="342"/>
        <w:spacing w:after="0" w:line="280" w:lineRule="auto"/>
        <w:tabs>
          <w:tab w:leader="none" w:pos="1860" w:val="left"/>
        </w:tabs>
        <w:numPr>
          <w:ilvl w:val="2"/>
          <w:numId w:val="17"/>
        </w:numPr>
        <w:rPr>
          <w:rFonts w:ascii="Arial" w:cs="Arial" w:eastAsia="Arial" w:hAnsi="Arial"/>
          <w:sz w:val="17"/>
          <w:szCs w:val="17"/>
          <w:color w:val="auto"/>
        </w:rPr>
      </w:pPr>
      <w:r>
        <w:rPr>
          <w:rFonts w:ascii="Arial" w:cs="Arial" w:eastAsia="Arial" w:hAnsi="Arial"/>
          <w:sz w:val="17"/>
          <w:szCs w:val="17"/>
          <w:color w:val="auto"/>
        </w:rPr>
        <w:t>the consummation of any liquidation or dissolution of the Corporation or a sale or other disposition of all or substantially all of the assets of the Corporation; or</w:t>
      </w:r>
    </w:p>
    <w:p>
      <w:pPr>
        <w:spacing w:after="0" w:line="189" w:lineRule="exact"/>
        <w:rPr>
          <w:rFonts w:ascii="Arial" w:cs="Arial" w:eastAsia="Arial" w:hAnsi="Arial"/>
          <w:sz w:val="17"/>
          <w:szCs w:val="17"/>
          <w:color w:val="auto"/>
        </w:rPr>
      </w:pPr>
    </w:p>
    <w:p>
      <w:pPr>
        <w:jc w:val="both"/>
        <w:ind w:left="1860" w:hanging="333"/>
        <w:spacing w:after="0" w:line="257" w:lineRule="auto"/>
        <w:tabs>
          <w:tab w:leader="none" w:pos="1860" w:val="left"/>
        </w:tabs>
        <w:numPr>
          <w:ilvl w:val="2"/>
          <w:numId w:val="17"/>
        </w:numPr>
        <w:rPr>
          <w:rFonts w:ascii="Arial" w:cs="Arial" w:eastAsia="Arial" w:hAnsi="Arial"/>
          <w:sz w:val="17"/>
          <w:szCs w:val="17"/>
          <w:color w:val="auto"/>
        </w:rPr>
      </w:pPr>
      <w:r>
        <w:rPr>
          <w:rFonts w:ascii="Arial" w:cs="Arial" w:eastAsia="Arial" w:hAnsi="Arial"/>
          <w:sz w:val="17"/>
          <w:szCs w:val="17"/>
          <w:color w:val="auto"/>
        </w:rPr>
        <w:t xml:space="preserve">individuals who, as of the date of this letter, constitute the Board of Directors of the Corporation (as of such date, the “Incumbent Board”) cease for any reason to constitute at least a majority of such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person becoming a director subsequent to the date of this letter whose election, or nomination for election by the shareholders of the Corporation, was approved by a vote of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 reatened election contest which was (or, if threatened, would have been) subject to Exchange Act Rule 14a-12(c); or</w:t>
      </w:r>
    </w:p>
    <w:p>
      <w:pPr>
        <w:spacing w:after="0" w:line="212" w:lineRule="exact"/>
        <w:rPr>
          <w:rFonts w:ascii="Arial" w:cs="Arial" w:eastAsia="Arial" w:hAnsi="Arial"/>
          <w:sz w:val="17"/>
          <w:szCs w:val="17"/>
          <w:color w:val="auto"/>
        </w:rPr>
      </w:pPr>
    </w:p>
    <w:p>
      <w:pPr>
        <w:jc w:val="both"/>
        <w:ind w:left="1860" w:hanging="285"/>
        <w:spacing w:after="0" w:line="318" w:lineRule="auto"/>
        <w:tabs>
          <w:tab w:leader="none" w:pos="1860" w:val="left"/>
        </w:tabs>
        <w:numPr>
          <w:ilvl w:val="2"/>
          <w:numId w:val="17"/>
        </w:numPr>
        <w:rPr>
          <w:rFonts w:ascii="Arial" w:cs="Arial" w:eastAsia="Arial" w:hAnsi="Arial"/>
          <w:sz w:val="15"/>
          <w:szCs w:val="15"/>
          <w:color w:val="auto"/>
        </w:rPr>
      </w:pPr>
      <w:r>
        <w:rPr>
          <w:rFonts w:ascii="Arial" w:cs="Arial" w:eastAsia="Arial" w:hAnsi="Arial"/>
          <w:sz w:val="15"/>
          <w:szCs w:val="15"/>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66"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ectPr>
          <w:pgSz w:w="11900" w:h="16838" w:orient="portrait"/>
          <w:cols w:equalWidth="0" w:num="1">
            <w:col w:w="11420"/>
          </w:cols>
          <w:pgMar w:left="240" w:top="118" w:right="239" w:bottom="0" w:gutter="0" w:footer="0" w:header="0"/>
        </w:sectPr>
      </w:pPr>
    </w:p>
    <w:bookmarkStart w:id="13" w:name="page14"/>
    <w:bookmarkEnd w:id="13"/>
    <w:p>
      <w:pPr>
        <w:ind w:left="832" w:hanging="275"/>
        <w:spacing w:after="0"/>
        <w:tabs>
          <w:tab w:leader="none" w:pos="832"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43" w:lineRule="exact"/>
        <w:rPr>
          <w:rFonts w:ascii="Arial" w:cs="Arial" w:eastAsia="Arial" w:hAnsi="Arial"/>
          <w:sz w:val="17"/>
          <w:szCs w:val="17"/>
          <w:color w:val="auto"/>
        </w:rPr>
      </w:pPr>
    </w:p>
    <w:p>
      <w:pPr>
        <w:ind w:left="1472" w:hanging="638"/>
        <w:spacing w:after="0"/>
        <w:tabs>
          <w:tab w:leader="none" w:pos="1472" w:val="left"/>
        </w:tabs>
        <w:numPr>
          <w:ilvl w:val="1"/>
          <w:numId w:val="18"/>
        </w:numPr>
        <w:rPr>
          <w:rFonts w:ascii="Arial" w:cs="Arial" w:eastAsia="Arial" w:hAnsi="Arial"/>
          <w:sz w:val="17"/>
          <w:szCs w:val="17"/>
          <w:color w:val="auto"/>
        </w:rPr>
      </w:pPr>
      <w:r>
        <w:rPr>
          <w:rFonts w:ascii="Arial" w:cs="Arial" w:eastAsia="Arial" w:hAnsi="Arial"/>
          <w:sz w:val="17"/>
          <w:szCs w:val="17"/>
          <w:color w:val="auto"/>
        </w:rPr>
        <w:t>a material diminution in your authority, duties or responsibilities;</w:t>
      </w:r>
    </w:p>
    <w:p>
      <w:pPr>
        <w:spacing w:after="0" w:line="243" w:lineRule="exact"/>
        <w:rPr>
          <w:rFonts w:ascii="Arial" w:cs="Arial" w:eastAsia="Arial" w:hAnsi="Arial"/>
          <w:sz w:val="17"/>
          <w:szCs w:val="17"/>
          <w:color w:val="auto"/>
        </w:rPr>
      </w:pPr>
    </w:p>
    <w:p>
      <w:pPr>
        <w:ind w:left="1452" w:right="320" w:hanging="618"/>
        <w:spacing w:after="0" w:line="280" w:lineRule="auto"/>
        <w:tabs>
          <w:tab w:leader="none" w:pos="1452"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material breach of this agreement by the Corporation or of any material obligation of any member of the Manpower Group for the payment or provision of compensation or other benefits to you;</w:t>
      </w:r>
    </w:p>
    <w:p>
      <w:pPr>
        <w:spacing w:after="0" w:line="189" w:lineRule="exact"/>
        <w:rPr>
          <w:rFonts w:ascii="Arial" w:cs="Arial" w:eastAsia="Arial" w:hAnsi="Arial"/>
          <w:sz w:val="17"/>
          <w:szCs w:val="17"/>
          <w:color w:val="auto"/>
        </w:rPr>
      </w:pPr>
    </w:p>
    <w:p>
      <w:pPr>
        <w:ind w:left="1452" w:right="80" w:hanging="618"/>
        <w:spacing w:after="0" w:line="280" w:lineRule="auto"/>
        <w:tabs>
          <w:tab w:leader="none" w:pos="1452" w:val="left"/>
        </w:tabs>
        <w:numPr>
          <w:ilvl w:val="1"/>
          <w:numId w:val="18"/>
        </w:numPr>
        <w:rPr>
          <w:rFonts w:ascii="Arial" w:cs="Arial" w:eastAsia="Arial" w:hAnsi="Arial"/>
          <w:sz w:val="17"/>
          <w:szCs w:val="17"/>
          <w:color w:val="auto"/>
        </w:rPr>
      </w:pPr>
      <w:r>
        <w:rPr>
          <w:rFonts w:ascii="Arial" w:cs="Arial" w:eastAsia="Arial" w:hAnsi="Arial"/>
          <w:sz w:val="17"/>
          <w:szCs w:val="17"/>
          <w:color w:val="auto"/>
        </w:rPr>
        <w:t>a material diminution in your base salary or a failure by the Manpower Group to provide an arrangement for you for any fiscal year of the Manpower Group giving you the opportunity to earn an incentive bonus for such year;</w:t>
      </w:r>
    </w:p>
    <w:p>
      <w:pPr>
        <w:spacing w:after="0" w:line="189" w:lineRule="exact"/>
        <w:rPr>
          <w:rFonts w:ascii="Arial" w:cs="Arial" w:eastAsia="Arial" w:hAnsi="Arial"/>
          <w:sz w:val="17"/>
          <w:szCs w:val="17"/>
          <w:color w:val="auto"/>
        </w:rPr>
      </w:pPr>
    </w:p>
    <w:p>
      <w:pPr>
        <w:ind w:left="1452" w:right="300" w:hanging="618"/>
        <w:spacing w:after="0" w:line="280" w:lineRule="auto"/>
        <w:tabs>
          <w:tab w:leader="none" w:pos="1452" w:val="left"/>
        </w:tabs>
        <w:numPr>
          <w:ilvl w:val="1"/>
          <w:numId w:val="18"/>
        </w:numPr>
        <w:rPr>
          <w:rFonts w:ascii="Arial" w:cs="Arial" w:eastAsia="Arial" w:hAnsi="Arial"/>
          <w:sz w:val="17"/>
          <w:szCs w:val="17"/>
          <w:color w:val="auto"/>
        </w:rPr>
      </w:pPr>
      <w:r>
        <w:rPr>
          <w:rFonts w:ascii="Arial" w:cs="Arial" w:eastAsia="Arial" w:hAnsi="Arial"/>
          <w:sz w:val="17"/>
          <w:szCs w:val="17"/>
          <w:color w:val="auto"/>
        </w:rPr>
        <w:t>your being required by the Corporation to materially change the location of your principal office; provided such new location is one in excess of fifty miles from the location of your principal office before such change; or</w:t>
      </w:r>
    </w:p>
    <w:p>
      <w:pPr>
        <w:spacing w:after="0" w:line="189" w:lineRule="exact"/>
        <w:rPr>
          <w:rFonts w:ascii="Arial" w:cs="Arial" w:eastAsia="Arial" w:hAnsi="Arial"/>
          <w:sz w:val="17"/>
          <w:szCs w:val="17"/>
          <w:color w:val="auto"/>
        </w:rPr>
      </w:pPr>
    </w:p>
    <w:p>
      <w:pPr>
        <w:ind w:left="1452" w:right="20" w:hanging="618"/>
        <w:spacing w:after="0" w:line="266" w:lineRule="auto"/>
        <w:tabs>
          <w:tab w:leader="none" w:pos="1452" w:val="left"/>
        </w:tabs>
        <w:numPr>
          <w:ilvl w:val="1"/>
          <w:numId w:val="18"/>
        </w:numPr>
        <w:rPr>
          <w:rFonts w:ascii="Arial" w:cs="Arial" w:eastAsia="Arial" w:hAnsi="Arial"/>
          <w:sz w:val="17"/>
          <w:szCs w:val="17"/>
          <w:color w:val="auto"/>
        </w:rPr>
      </w:pPr>
      <w:r>
        <w:rPr>
          <w:rFonts w:ascii="Arial" w:cs="Arial" w:eastAsia="Arial" w:hAnsi="Arial"/>
          <w:sz w:val="17"/>
          <w:szCs w:val="17"/>
          <w:color w:val="auto"/>
        </w:rPr>
        <w:t>a material diminution in your annual target bonus opportunity for a given fiscal year within two years after the occurrence of a Change of Control, as compared to the annual target bonus opportunity for the fiscal year immediately preceding the fiscal year in which a Change of Control occurred.</w:t>
      </w:r>
    </w:p>
    <w:p>
      <w:pPr>
        <w:spacing w:after="0" w:line="202" w:lineRule="exact"/>
        <w:rPr>
          <w:sz w:val="20"/>
          <w:szCs w:val="20"/>
          <w:color w:val="auto"/>
        </w:rPr>
      </w:pPr>
    </w:p>
    <w:p>
      <w:pPr>
        <w:ind w:left="832" w:right="20"/>
        <w:spacing w:after="0" w:line="262" w:lineRule="auto"/>
        <w:rPr>
          <w:sz w:val="20"/>
          <w:szCs w:val="20"/>
          <w:color w:val="auto"/>
        </w:rPr>
      </w:pPr>
      <w:r>
        <w:rPr>
          <w:rFonts w:ascii="Arial" w:cs="Arial" w:eastAsia="Arial" w:hAnsi="Arial"/>
          <w:sz w:val="17"/>
          <w:szCs w:val="17"/>
          <w:color w:val="auto"/>
        </w:rPr>
        <w:t>Notwithstanding Subsections 1(c)(i) – (v)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Manpower Group is terminated by you within ninety (90) days after such diminution or breach occurs.</w:t>
      </w:r>
    </w:p>
    <w:p>
      <w:pPr>
        <w:spacing w:after="0" w:line="205" w:lineRule="exact"/>
        <w:rPr>
          <w:sz w:val="20"/>
          <w:szCs w:val="20"/>
          <w:color w:val="auto"/>
        </w:rPr>
      </w:pPr>
    </w:p>
    <w:p>
      <w:pPr>
        <w:jc w:val="both"/>
        <w:ind w:left="832" w:hanging="284"/>
        <w:spacing w:after="0" w:line="260" w:lineRule="auto"/>
        <w:tabs>
          <w:tab w:leader="none" w:pos="832"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205" w:lineRule="exact"/>
        <w:rPr>
          <w:rFonts w:ascii="Arial" w:cs="Arial" w:eastAsia="Arial" w:hAnsi="Arial"/>
          <w:sz w:val="17"/>
          <w:szCs w:val="17"/>
          <w:color w:val="auto"/>
        </w:rPr>
      </w:pPr>
    </w:p>
    <w:p>
      <w:pPr>
        <w:ind w:left="832" w:hanging="275"/>
        <w:spacing w:after="0" w:line="312" w:lineRule="auto"/>
        <w:tabs>
          <w:tab w:leader="none" w:pos="83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66" w:lineRule="exact"/>
        <w:rPr>
          <w:rFonts w:ascii="Arial" w:cs="Arial" w:eastAsia="Arial" w:hAnsi="Arial"/>
          <w:sz w:val="16"/>
          <w:szCs w:val="16"/>
          <w:color w:val="auto"/>
        </w:rPr>
      </w:pPr>
    </w:p>
    <w:p>
      <w:pPr>
        <w:jc w:val="both"/>
        <w:ind w:left="832" w:hanging="256"/>
        <w:spacing w:after="0" w:line="266" w:lineRule="auto"/>
        <w:tabs>
          <w:tab w:leader="none" w:pos="832"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will be a period beginning on the date of this letter indicated above and ending on the first to occur of the following: (a) the date two years after the occurrence of a Change of Control; (b) February 16, 2014, if no Change of Control occurs between the date of this letter indicated above and February 16, 2014; and (c) the Date of Termination.</w:t>
      </w:r>
    </w:p>
    <w:p>
      <w:pPr>
        <w:spacing w:after="0" w:line="201" w:lineRule="exact"/>
        <w:rPr>
          <w:rFonts w:ascii="Arial" w:cs="Arial" w:eastAsia="Arial" w:hAnsi="Arial"/>
          <w:sz w:val="17"/>
          <w:szCs w:val="17"/>
          <w:color w:val="auto"/>
        </w:rPr>
      </w:pPr>
    </w:p>
    <w:p>
      <w:pPr>
        <w:ind w:left="832" w:hanging="284"/>
        <w:spacing w:after="0"/>
        <w:tabs>
          <w:tab w:leader="none" w:pos="83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Benefit Plans</w:t>
      </w:r>
      <w:r>
        <w:rPr>
          <w:rFonts w:ascii="Arial" w:cs="Arial" w:eastAsia="Arial" w:hAnsi="Arial"/>
          <w:sz w:val="16"/>
          <w:szCs w:val="16"/>
          <w:color w:val="auto"/>
        </w:rPr>
        <w:t>. “Benefit Plans” means all benefits of employment generally made available to the executives of the Corporation from time to time.</w:t>
      </w:r>
    </w:p>
    <w:p>
      <w:pPr>
        <w:spacing w:after="0" w:line="254" w:lineRule="exact"/>
        <w:rPr>
          <w:rFonts w:ascii="Arial" w:cs="Arial" w:eastAsia="Arial" w:hAnsi="Arial"/>
          <w:sz w:val="16"/>
          <w:szCs w:val="16"/>
          <w:color w:val="auto"/>
        </w:rPr>
      </w:pPr>
    </w:p>
    <w:p>
      <w:pPr>
        <w:ind w:left="832" w:hanging="284"/>
        <w:spacing w:after="0" w:line="280" w:lineRule="auto"/>
        <w:tabs>
          <w:tab w:leader="none" w:pos="832"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Compensation Agreement</w:t>
      </w:r>
      <w:r>
        <w:rPr>
          <w:rFonts w:ascii="Arial" w:cs="Arial" w:eastAsia="Arial" w:hAnsi="Arial"/>
          <w:sz w:val="17"/>
          <w:szCs w:val="17"/>
          <w:color w:val="auto"/>
        </w:rPr>
        <w:t>. The “Compensation Agreement” means the letter of even date from the Corporation to you, as accepted by you, regarding your compensation and benefits.</w:t>
      </w:r>
    </w:p>
    <w:p>
      <w:pPr>
        <w:spacing w:after="0" w:line="189" w:lineRule="exact"/>
        <w:rPr>
          <w:rFonts w:ascii="Arial" w:cs="Arial" w:eastAsia="Arial" w:hAnsi="Arial"/>
          <w:sz w:val="17"/>
          <w:szCs w:val="17"/>
          <w:color w:val="auto"/>
        </w:rPr>
      </w:pPr>
    </w:p>
    <w:p>
      <w:pPr>
        <w:ind w:left="832" w:hanging="246"/>
        <w:spacing w:after="0"/>
        <w:tabs>
          <w:tab w:leader="none" w:pos="832"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Protected Period</w:t>
      </w:r>
      <w:r>
        <w:rPr>
          <w:rFonts w:ascii="Arial" w:cs="Arial" w:eastAsia="Arial" w:hAnsi="Arial"/>
          <w:sz w:val="17"/>
          <w:szCs w:val="17"/>
          <w:color w:val="auto"/>
        </w:rPr>
        <w:t>. The “Protected Period” shall be a period of time determined in accordance with the following:</w:t>
      </w:r>
    </w:p>
    <w:p>
      <w:pPr>
        <w:spacing w:after="0" w:line="243" w:lineRule="exact"/>
        <w:rPr>
          <w:rFonts w:ascii="Arial" w:cs="Arial" w:eastAsia="Arial" w:hAnsi="Arial"/>
          <w:sz w:val="17"/>
          <w:szCs w:val="17"/>
          <w:color w:val="auto"/>
        </w:rPr>
      </w:pPr>
    </w:p>
    <w:p>
      <w:pPr>
        <w:jc w:val="both"/>
        <w:ind w:left="1452" w:hanging="247"/>
        <w:spacing w:after="0" w:line="318" w:lineRule="auto"/>
        <w:tabs>
          <w:tab w:leader="none" w:pos="1452" w:val="left"/>
        </w:tabs>
        <w:numPr>
          <w:ilvl w:val="3"/>
          <w:numId w:val="19"/>
        </w:numPr>
        <w:rPr>
          <w:rFonts w:ascii="Arial" w:cs="Arial" w:eastAsia="Arial" w:hAnsi="Arial"/>
          <w:sz w:val="15"/>
          <w:szCs w:val="15"/>
          <w:color w:val="auto"/>
        </w:rPr>
      </w:pPr>
      <w:r>
        <w:rPr>
          <w:rFonts w:ascii="Arial" w:cs="Arial" w:eastAsia="Arial" w:hAnsi="Arial"/>
          <w:sz w:val="15"/>
          <w:szCs w:val="15"/>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66" w:lineRule="exact"/>
        <w:rPr>
          <w:rFonts w:ascii="Arial" w:cs="Arial" w:eastAsia="Arial" w:hAnsi="Arial"/>
          <w:sz w:val="15"/>
          <w:szCs w:val="15"/>
          <w:color w:val="auto"/>
        </w:rPr>
      </w:pPr>
    </w:p>
    <w:p>
      <w:pPr>
        <w:jc w:val="both"/>
        <w:ind w:left="1452" w:hanging="294"/>
        <w:spacing w:after="0" w:line="262" w:lineRule="auto"/>
        <w:tabs>
          <w:tab w:leader="none" w:pos="1452" w:val="left"/>
        </w:tabs>
        <w:numPr>
          <w:ilvl w:val="3"/>
          <w:numId w:val="19"/>
        </w:numPr>
        <w:rPr>
          <w:rFonts w:ascii="Arial" w:cs="Arial" w:eastAsia="Arial" w:hAnsi="Arial"/>
          <w:sz w:val="17"/>
          <w:szCs w:val="17"/>
          <w:color w:val="auto"/>
        </w:rPr>
      </w:pPr>
      <w:r>
        <w:rPr>
          <w:rFonts w:ascii="Arial" w:cs="Arial" w:eastAsia="Arial" w:hAnsi="Arial"/>
          <w:sz w:val="17"/>
          <w:szCs w:val="17"/>
          <w:color w:val="auto"/>
        </w:rPr>
        <w:t>if a Change of Control is triggered by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204" w:lineRule="exact"/>
        <w:rPr>
          <w:rFonts w:ascii="Arial" w:cs="Arial" w:eastAsia="Arial" w:hAnsi="Arial"/>
          <w:sz w:val="17"/>
          <w:szCs w:val="17"/>
          <w:color w:val="auto"/>
        </w:rPr>
      </w:pPr>
    </w:p>
    <w:p>
      <w:pPr>
        <w:ind w:left="1452" w:hanging="342"/>
        <w:spacing w:after="0" w:line="312" w:lineRule="auto"/>
        <w:tabs>
          <w:tab w:leader="none" w:pos="1452" w:val="left"/>
        </w:tabs>
        <w:numPr>
          <w:ilvl w:val="3"/>
          <w:numId w:val="19"/>
        </w:numPr>
        <w:rPr>
          <w:rFonts w:ascii="Arial" w:cs="Arial" w:eastAsia="Arial" w:hAnsi="Arial"/>
          <w:sz w:val="16"/>
          <w:szCs w:val="16"/>
          <w:color w:val="auto"/>
        </w:rPr>
      </w:pPr>
      <w:r>
        <w:rPr>
          <w:rFonts w:ascii="Arial" w:cs="Arial" w:eastAsia="Arial" w:hAnsi="Arial"/>
          <w:sz w:val="16"/>
          <w:szCs w:val="16"/>
          <w:color w:val="auto"/>
        </w:rPr>
        <w:t xml:space="preserve">in the case of any Change of Control not described in clauses (i) or (ii), </w:t>
      </w:r>
      <w:r>
        <w:rPr>
          <w:rFonts w:ascii="Arial" w:cs="Arial" w:eastAsia="Arial" w:hAnsi="Arial"/>
          <w:sz w:val="16"/>
          <w:szCs w:val="16"/>
          <w:u w:val="single" w:color="auto"/>
          <w:color w:val="auto"/>
        </w:rPr>
        <w:t>above</w:t>
      </w:r>
      <w:r>
        <w:rPr>
          <w:rFonts w:ascii="Arial" w:cs="Arial" w:eastAsia="Arial" w:hAnsi="Arial"/>
          <w:sz w:val="16"/>
          <w:szCs w:val="16"/>
          <w:color w:val="auto"/>
        </w:rPr>
        <w:t>, the Protected Period shall commence on the date that is six months prior to the Change of Control and shall continue through and including the date of the Change of Control.</w:t>
      </w:r>
    </w:p>
    <w:p>
      <w:pPr>
        <w:spacing w:after="0" w:line="166" w:lineRule="exact"/>
        <w:rPr>
          <w:rFonts w:ascii="Arial" w:cs="Arial" w:eastAsia="Arial" w:hAnsi="Arial"/>
          <w:sz w:val="16"/>
          <w:szCs w:val="16"/>
          <w:color w:val="auto"/>
        </w:rPr>
      </w:pPr>
    </w:p>
    <w:p>
      <w:pPr>
        <w:ind w:left="212" w:hanging="212"/>
        <w:spacing w:after="0"/>
        <w:tabs>
          <w:tab w:leader="none" w:pos="212"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Compensation and Benefits on Termination</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jc w:val="both"/>
        <w:ind w:left="832" w:hanging="275"/>
        <w:spacing w:after="0" w:line="258" w:lineRule="auto"/>
        <w:tabs>
          <w:tab w:leader="none" w:pos="832"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Termination by the Corporation for Cause or by You Other Than for Good Reason</w:t>
      </w:r>
      <w:r>
        <w:rPr>
          <w:rFonts w:ascii="Arial" w:cs="Arial" w:eastAsia="Arial" w:hAnsi="Arial"/>
          <w:sz w:val="17"/>
          <w:szCs w:val="17"/>
          <w:color w:val="auto"/>
        </w:rPr>
        <w:t>. If your employment with the Manpower Group is terminated by the Corporation for Cause or by you other than for Good Reason, the Corporation will pay you or provide you with (i) your full base salary as then in effect through the Date of Termination, (ii) your unpaid bonus, if any, attributable to any complete fiscal year of the Manpower Group ended before the Date of Termination (but no incentive bonus will be payable for the fiscal year in which termination occurs) and (iii) all benefits to which you are entitled under any Benefit Plans in accordance with the terms of such plans. The Manpower Group will have no further obligations to you.</w:t>
      </w:r>
    </w:p>
    <w:p>
      <w:pPr>
        <w:spacing w:after="0" w:line="210" w:lineRule="exact"/>
        <w:rPr>
          <w:rFonts w:ascii="Arial" w:cs="Arial" w:eastAsia="Arial" w:hAnsi="Arial"/>
          <w:sz w:val="17"/>
          <w:szCs w:val="17"/>
          <w:color w:val="auto"/>
        </w:rPr>
      </w:pPr>
    </w:p>
    <w:p>
      <w:pPr>
        <w:jc w:val="both"/>
        <w:ind w:left="832" w:hanging="284"/>
        <w:spacing w:after="0" w:line="276" w:lineRule="auto"/>
        <w:tabs>
          <w:tab w:leader="none" w:pos="832"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Termination of Reason of Disability or Death</w:t>
      </w:r>
      <w:r>
        <w:rPr>
          <w:rFonts w:ascii="Arial" w:cs="Arial" w:eastAsia="Arial" w:hAnsi="Arial"/>
          <w:sz w:val="16"/>
          <w:szCs w:val="16"/>
          <w:color w:val="auto"/>
        </w:rPr>
        <w:t>. If your employment with the Manpower Group terminates during the Term by reason of your disability or death, the Corporation will pay you or provide you with (i) your full base salary as then in effect through the Date of Termination,</w:t>
      </w:r>
    </w:p>
    <w:p>
      <w:pPr>
        <w:jc w:val="both"/>
        <w:ind w:left="832" w:firstLine="2"/>
        <w:spacing w:after="0" w:line="293" w:lineRule="auto"/>
        <w:tabs>
          <w:tab w:leader="none" w:pos="1090" w:val="left"/>
        </w:tabs>
        <w:numPr>
          <w:ilvl w:val="2"/>
          <w:numId w:val="20"/>
        </w:numPr>
        <w:rPr>
          <w:rFonts w:ascii="Arial" w:cs="Arial" w:eastAsia="Arial" w:hAnsi="Arial"/>
          <w:sz w:val="15"/>
          <w:szCs w:val="15"/>
          <w:color w:val="auto"/>
        </w:rPr>
      </w:pPr>
      <w:r>
        <w:rPr>
          <w:rFonts w:ascii="Arial" w:cs="Arial" w:eastAsia="Arial" w:hAnsi="Arial"/>
          <w:sz w:val="15"/>
          <w:szCs w:val="15"/>
          <w:color w:val="auto"/>
        </w:rPr>
        <w:t>your unpaid bonus, if any, attributable to any complete fiscal year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 Pla 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 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Manpower Group. The Manpower Group will have no further obligations to you.</w:t>
      </w:r>
    </w:p>
    <w:p>
      <w:pPr>
        <w:spacing w:after="0" w:line="184" w:lineRule="exact"/>
        <w:rPr>
          <w:rFonts w:ascii="Arial" w:cs="Arial" w:eastAsia="Arial" w:hAnsi="Arial"/>
          <w:sz w:val="15"/>
          <w:szCs w:val="15"/>
          <w:color w:val="auto"/>
        </w:rPr>
      </w:pPr>
    </w:p>
    <w:p>
      <w:pPr>
        <w:ind w:left="832" w:hanging="275"/>
        <w:spacing w:after="0"/>
        <w:tabs>
          <w:tab w:leader="none" w:pos="832"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Termination for Any Other Reason</w:t>
      </w:r>
      <w:r>
        <w:rPr>
          <w:rFonts w:ascii="Arial" w:cs="Arial" w:eastAsia="Arial" w:hAnsi="Arial"/>
          <w:sz w:val="17"/>
          <w:szCs w:val="17"/>
          <w:color w:val="auto"/>
        </w:rPr>
        <w:t>.</w:t>
      </w:r>
    </w:p>
    <w:p>
      <w:pPr>
        <w:sectPr>
          <w:pgSz w:w="11900" w:h="16838" w:orient="portrait"/>
          <w:cols w:equalWidth="0" w:num="1">
            <w:col w:w="11012"/>
          </w:cols>
          <w:pgMar w:left="648" w:top="127" w:right="239" w:bottom="0" w:gutter="0" w:footer="0" w:header="0"/>
        </w:sectPr>
      </w:pPr>
    </w:p>
    <w:bookmarkStart w:id="14" w:name="page15"/>
    <w:bookmarkEnd w:id="14"/>
    <w:p>
      <w:pPr>
        <w:jc w:val="both"/>
        <w:ind w:left="660" w:hanging="247"/>
        <w:spacing w:after="0" w:line="266" w:lineRule="auto"/>
        <w:tabs>
          <w:tab w:leader="none" w:pos="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201" w:lineRule="exact"/>
        <w:rPr>
          <w:rFonts w:ascii="Arial" w:cs="Arial" w:eastAsia="Arial" w:hAnsi="Arial"/>
          <w:sz w:val="17"/>
          <w:szCs w:val="17"/>
          <w:color w:val="auto"/>
        </w:rPr>
      </w:pPr>
    </w:p>
    <w:p>
      <w:pPr>
        <w:ind w:left="1280" w:hanging="324"/>
        <w:spacing w:after="0" w:line="280" w:lineRule="auto"/>
        <w:tabs>
          <w:tab w:leader="none" w:pos="1280" w:val="left"/>
        </w:tabs>
        <w:numPr>
          <w:ilvl w:val="2"/>
          <w:numId w:val="21"/>
        </w:numPr>
        <w:rPr>
          <w:rFonts w:ascii="Arial" w:cs="Arial" w:eastAsia="Arial" w:hAnsi="Arial"/>
          <w:sz w:val="17"/>
          <w:szCs w:val="17"/>
          <w:color w:val="auto"/>
        </w:rPr>
      </w:pPr>
      <w:r>
        <w:rPr>
          <w:rFonts w:ascii="Arial" w:cs="Arial" w:eastAsia="Arial" w:hAnsi="Arial"/>
          <w:sz w:val="17"/>
          <w:szCs w:val="17"/>
          <w:color w:val="auto"/>
        </w:rPr>
        <w:t>the Corporation will pay you your full base salary through the Date of Termination at the rate in effect at the time Notice of Termination is given;</w:t>
      </w:r>
    </w:p>
    <w:p>
      <w:pPr>
        <w:spacing w:after="0" w:line="189" w:lineRule="exact"/>
        <w:rPr>
          <w:rFonts w:ascii="Arial" w:cs="Arial" w:eastAsia="Arial" w:hAnsi="Arial"/>
          <w:sz w:val="17"/>
          <w:szCs w:val="17"/>
          <w:color w:val="auto"/>
        </w:rPr>
      </w:pPr>
    </w:p>
    <w:p>
      <w:pPr>
        <w:ind w:left="1280" w:hanging="314"/>
        <w:spacing w:after="0" w:line="280" w:lineRule="auto"/>
        <w:tabs>
          <w:tab w:leader="none" w:pos="1280" w:val="left"/>
        </w:tabs>
        <w:numPr>
          <w:ilvl w:val="2"/>
          <w:numId w:val="21"/>
        </w:numPr>
        <w:rPr>
          <w:rFonts w:ascii="Arial" w:cs="Arial" w:eastAsia="Arial" w:hAnsi="Arial"/>
          <w:sz w:val="17"/>
          <w:szCs w:val="17"/>
          <w:color w:val="auto"/>
        </w:rPr>
      </w:pPr>
      <w:r>
        <w:rPr>
          <w:rFonts w:ascii="Arial" w:cs="Arial" w:eastAsia="Arial" w:hAnsi="Arial"/>
          <w:sz w:val="17"/>
          <w:szCs w:val="17"/>
          <w:color w:val="auto"/>
        </w:rPr>
        <w:t>the Corporation will pay you your unpaid bonus, if any, attributable to any complete fiscal year of the Manpower Group ended before the Date of Termination;</w:t>
      </w:r>
    </w:p>
    <w:p>
      <w:pPr>
        <w:spacing w:after="0" w:line="189" w:lineRule="exact"/>
        <w:rPr>
          <w:rFonts w:ascii="Arial" w:cs="Arial" w:eastAsia="Arial" w:hAnsi="Arial"/>
          <w:sz w:val="17"/>
          <w:szCs w:val="17"/>
          <w:color w:val="auto"/>
        </w:rPr>
      </w:pPr>
    </w:p>
    <w:p>
      <w:pPr>
        <w:jc w:val="both"/>
        <w:ind w:left="1280" w:hanging="314"/>
        <w:spacing w:after="0" w:line="257" w:lineRule="auto"/>
        <w:tabs>
          <w:tab w:leader="none" w:pos="1280" w:val="left"/>
        </w:tabs>
        <w:numPr>
          <w:ilvl w:val="2"/>
          <w:numId w:val="21"/>
        </w:numPr>
        <w:rPr>
          <w:rFonts w:ascii="Arial" w:cs="Arial" w:eastAsia="Arial" w:hAnsi="Arial"/>
          <w:sz w:val="17"/>
          <w:szCs w:val="17"/>
          <w:color w:val="auto"/>
        </w:rPr>
      </w:pPr>
      <w:r>
        <w:rPr>
          <w:rFonts w:ascii="Arial" w:cs="Arial" w:eastAsia="Arial" w:hAnsi="Arial"/>
          <w:sz w:val="17"/>
          <w:szCs w:val="17"/>
          <w:color w:val="auto"/>
        </w:rPr>
        <w:t>the Corporation will pay you, a bonus for the fiscal year during which the Date of Termination occurs equal in amount to your target annual bonus for the fiscal year in which the Change of Control occurs; provided, however, that if the Change of Control occurs prior to the date on which the Executive Compensation and Human Resources Committee of the Board approves a bona fide target annual bonus for the fiscal year in which the Change of Control occurs, the bonus paid hereunder shall be equal in amount to your target annual bonus for the fiscal year prior to the fiscal year in which the Change of Control occurs; and further provided, however, that the bonus payable hereunder will be prorated for the actual number of days you were employed during the fiscal year during which the Date of Termination occurs;</w:t>
      </w:r>
    </w:p>
    <w:p>
      <w:pPr>
        <w:spacing w:after="0" w:line="212" w:lineRule="exact"/>
        <w:rPr>
          <w:rFonts w:ascii="Arial" w:cs="Arial" w:eastAsia="Arial" w:hAnsi="Arial"/>
          <w:sz w:val="17"/>
          <w:szCs w:val="17"/>
          <w:color w:val="auto"/>
        </w:rPr>
      </w:pPr>
    </w:p>
    <w:p>
      <w:pPr>
        <w:jc w:val="both"/>
        <w:ind w:left="1280" w:hanging="324"/>
        <w:spacing w:after="0" w:line="302" w:lineRule="auto"/>
        <w:tabs>
          <w:tab w:leader="none" w:pos="1280" w:val="left"/>
        </w:tabs>
        <w:numPr>
          <w:ilvl w:val="2"/>
          <w:numId w:val="21"/>
        </w:numPr>
        <w:rPr>
          <w:rFonts w:ascii="Arial" w:cs="Arial" w:eastAsia="Arial" w:hAnsi="Arial"/>
          <w:sz w:val="15"/>
          <w:szCs w:val="15"/>
          <w:color w:val="auto"/>
        </w:rPr>
      </w:pPr>
      <w:r>
        <w:rPr>
          <w:rFonts w:ascii="Arial" w:cs="Arial" w:eastAsia="Arial" w:hAnsi="Arial"/>
          <w:sz w:val="15"/>
          <w:szCs w:val="15"/>
          <w:color w:val="auto"/>
        </w:rPr>
        <w:t>the Corporation will pay as a severance benefit to you a lump-sum payment equal to three times the sum of (i) your annual base salary at the highest rate in effect during the Term and (ii) your target annual bonus for the fiscal year in which the Change of Control occurs (or, to the extent the Change of Control occurs prior to the date on which the Executive Compensation and Human Resources Committee of the Board approves a bona fide target annual bonus for the fiscal year in which the Change of Control occurs, your target annual bonus for the fiscal year prior to the fiscal year in which the Change of Control occurs); and</w:t>
      </w:r>
    </w:p>
    <w:p>
      <w:pPr>
        <w:spacing w:after="0" w:line="179" w:lineRule="exact"/>
        <w:rPr>
          <w:rFonts w:ascii="Arial" w:cs="Arial" w:eastAsia="Arial" w:hAnsi="Arial"/>
          <w:sz w:val="15"/>
          <w:szCs w:val="15"/>
          <w:color w:val="auto"/>
        </w:rPr>
      </w:pPr>
    </w:p>
    <w:p>
      <w:pPr>
        <w:ind w:left="400" w:right="40" w:hanging="280"/>
        <w:spacing w:after="0" w:line="276" w:lineRule="auto"/>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up to an eighteen-month period after the Date of Termination, the Corporation will arrange to provide you and your eligible dependents, at the Corporation’s expense, with Health Insurance Continuation (defined below) or other substantially similar coverage, in which you were participating on the Date of Termination; provided, however, that benefits otherwise receivable by you pursuant to this Subsection 2(c)(i)(E)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97" w:lineRule="exact"/>
        <w:rPr>
          <w:sz w:val="20"/>
          <w:szCs w:val="20"/>
          <w:color w:val="auto"/>
        </w:rPr>
      </w:pPr>
    </w:p>
    <w:p>
      <w:pPr>
        <w:ind w:left="1280" w:right="60"/>
        <w:spacing w:after="0" w:line="291" w:lineRule="auto"/>
        <w:rPr>
          <w:sz w:val="20"/>
          <w:szCs w:val="20"/>
          <w:color w:val="auto"/>
        </w:rPr>
      </w:pPr>
      <w:r>
        <w:rPr>
          <w:rFonts w:ascii="Arial" w:cs="Arial" w:eastAsia="Arial" w:hAnsi="Arial"/>
          <w:sz w:val="15"/>
          <w:szCs w:val="15"/>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2(c)(i)(E) are taxable, the payments will be grossed-up so that the net amount received by you, after subtraction of all taxes applicable to the payments plus the gross-up amount, will equal th e cost of such COBRA coverage</w:t>
      </w:r>
    </w:p>
    <w:p>
      <w:pPr>
        <w:spacing w:after="0" w:line="193" w:lineRule="exact"/>
        <w:rPr>
          <w:sz w:val="20"/>
          <w:szCs w:val="20"/>
          <w:color w:val="auto"/>
        </w:rPr>
      </w:pPr>
    </w:p>
    <w:p>
      <w:pPr>
        <w:ind w:left="660" w:hanging="294"/>
        <w:spacing w:after="0" w:line="280"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If your employment with the Manpower Group is terminated during the Term for any reason not specified in Subsections 2(a) or (b), above, and Subsection 2(c)(i), above, does not apply to the termination, you will be entitled to the following:</w:t>
      </w:r>
    </w:p>
    <w:p>
      <w:pPr>
        <w:spacing w:after="0" w:line="189" w:lineRule="exact"/>
        <w:rPr>
          <w:rFonts w:ascii="Arial" w:cs="Arial" w:eastAsia="Arial" w:hAnsi="Arial"/>
          <w:sz w:val="17"/>
          <w:szCs w:val="17"/>
          <w:color w:val="auto"/>
        </w:rPr>
      </w:pPr>
    </w:p>
    <w:p>
      <w:pPr>
        <w:ind w:left="1280" w:hanging="324"/>
        <w:spacing w:after="0" w:line="280" w:lineRule="auto"/>
        <w:tabs>
          <w:tab w:leader="none" w:pos="1280" w:val="left"/>
        </w:tabs>
        <w:numPr>
          <w:ilvl w:val="2"/>
          <w:numId w:val="23"/>
        </w:numPr>
        <w:rPr>
          <w:rFonts w:ascii="Arial" w:cs="Arial" w:eastAsia="Arial" w:hAnsi="Arial"/>
          <w:sz w:val="17"/>
          <w:szCs w:val="17"/>
          <w:color w:val="auto"/>
        </w:rPr>
      </w:pPr>
      <w:r>
        <w:rPr>
          <w:rFonts w:ascii="Arial" w:cs="Arial" w:eastAsia="Arial" w:hAnsi="Arial"/>
          <w:sz w:val="17"/>
          <w:szCs w:val="17"/>
          <w:color w:val="auto"/>
        </w:rPr>
        <w:t>the Corporation will pay you your full base salary through the Date of Termination at the rate in effect at the time Notice of Termination is given;</w:t>
      </w:r>
    </w:p>
    <w:p>
      <w:pPr>
        <w:spacing w:after="0" w:line="189" w:lineRule="exact"/>
        <w:rPr>
          <w:rFonts w:ascii="Arial" w:cs="Arial" w:eastAsia="Arial" w:hAnsi="Arial"/>
          <w:sz w:val="17"/>
          <w:szCs w:val="17"/>
          <w:color w:val="auto"/>
        </w:rPr>
      </w:pPr>
    </w:p>
    <w:p>
      <w:pPr>
        <w:ind w:left="1280" w:hanging="314"/>
        <w:spacing w:after="0" w:line="280" w:lineRule="auto"/>
        <w:tabs>
          <w:tab w:leader="none" w:pos="1280" w:val="left"/>
        </w:tabs>
        <w:numPr>
          <w:ilvl w:val="2"/>
          <w:numId w:val="23"/>
        </w:numPr>
        <w:rPr>
          <w:rFonts w:ascii="Arial" w:cs="Arial" w:eastAsia="Arial" w:hAnsi="Arial"/>
          <w:sz w:val="17"/>
          <w:szCs w:val="17"/>
          <w:color w:val="auto"/>
        </w:rPr>
      </w:pPr>
      <w:r>
        <w:rPr>
          <w:rFonts w:ascii="Arial" w:cs="Arial" w:eastAsia="Arial" w:hAnsi="Arial"/>
          <w:sz w:val="17"/>
          <w:szCs w:val="17"/>
          <w:color w:val="auto"/>
        </w:rPr>
        <w:t>the Corporation will pay you your unpaid bonus, if any, attributable to any complete fiscal year of the Manpower Group ended before the Date of Termination;</w:t>
      </w:r>
    </w:p>
    <w:p>
      <w:pPr>
        <w:spacing w:after="0" w:line="189" w:lineRule="exact"/>
        <w:rPr>
          <w:rFonts w:ascii="Arial" w:cs="Arial" w:eastAsia="Arial" w:hAnsi="Arial"/>
          <w:sz w:val="17"/>
          <w:szCs w:val="17"/>
          <w:color w:val="auto"/>
        </w:rPr>
      </w:pPr>
    </w:p>
    <w:p>
      <w:pPr>
        <w:jc w:val="both"/>
        <w:ind w:left="1280" w:hanging="314"/>
        <w:spacing w:after="0" w:line="260" w:lineRule="auto"/>
        <w:tabs>
          <w:tab w:leader="none" w:pos="1280" w:val="left"/>
        </w:tabs>
        <w:numPr>
          <w:ilvl w:val="2"/>
          <w:numId w:val="23"/>
        </w:numPr>
        <w:rPr>
          <w:rFonts w:ascii="Arial" w:cs="Arial" w:eastAsia="Arial" w:hAnsi="Arial"/>
          <w:sz w:val="17"/>
          <w:szCs w:val="17"/>
          <w:color w:val="auto"/>
        </w:rPr>
      </w:pPr>
      <w:r>
        <w:rPr>
          <w:rFonts w:ascii="Arial" w:cs="Arial" w:eastAsia="Arial" w:hAnsi="Arial"/>
          <w:sz w:val="17"/>
          <w:szCs w:val="17"/>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205" w:lineRule="exact"/>
        <w:rPr>
          <w:rFonts w:ascii="Arial" w:cs="Arial" w:eastAsia="Arial" w:hAnsi="Arial"/>
          <w:sz w:val="17"/>
          <w:szCs w:val="17"/>
          <w:color w:val="auto"/>
        </w:rPr>
      </w:pPr>
    </w:p>
    <w:p>
      <w:pPr>
        <w:jc w:val="both"/>
        <w:ind w:left="1280" w:hanging="324"/>
        <w:spacing w:after="0" w:line="257" w:lineRule="auto"/>
        <w:tabs>
          <w:tab w:leader="none" w:pos="1280" w:val="left"/>
        </w:tabs>
        <w:numPr>
          <w:ilvl w:val="2"/>
          <w:numId w:val="23"/>
        </w:numPr>
        <w:rPr>
          <w:rFonts w:ascii="Arial" w:cs="Arial" w:eastAsia="Arial" w:hAnsi="Arial"/>
          <w:sz w:val="17"/>
          <w:szCs w:val="17"/>
          <w:color w:val="auto"/>
        </w:rPr>
      </w:pPr>
      <w:r>
        <w:rPr>
          <w:rFonts w:ascii="Arial" w:cs="Arial" w:eastAsia="Arial" w:hAnsi="Arial"/>
          <w:sz w:val="17"/>
          <w:szCs w:val="17"/>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(or, to the extent the Date of Termination occurs prior to the date on which the Executive Compensation and Human Resources Committee of the Board approves a bona fide target annual bonus for you for the fiscal year in which the Date of Termination occurs, your target annual bonus for the fiscal year prior to the fiscal year in which the Date of Termination occurs), provided, however, that such payment will not exceed two and one-half times the amount of your base salary as then in effect; and</w:t>
      </w:r>
    </w:p>
    <w:p>
      <w:pPr>
        <w:spacing w:after="0" w:line="212" w:lineRule="exact"/>
        <w:rPr>
          <w:rFonts w:ascii="Arial" w:cs="Arial" w:eastAsia="Arial" w:hAnsi="Arial"/>
          <w:sz w:val="17"/>
          <w:szCs w:val="17"/>
          <w:color w:val="auto"/>
        </w:rPr>
      </w:pPr>
    </w:p>
    <w:p>
      <w:pPr>
        <w:ind w:left="400" w:right="40" w:hanging="267"/>
        <w:spacing w:after="0" w:line="258" w:lineRule="auto"/>
        <w:tabs>
          <w:tab w:leader="none" w:pos="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up to a twelve - month period after the Date of Termination, the Corporation will arrange to provide you and your eligible dependents with Health Insurance Continuation (defined below); provided, however, that benefits otherwise receivable by you pursuant to this Subsection 2(c) (ii)(E)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ectPr>
          <w:pgSz w:w="11900" w:h="16838" w:orient="portrait"/>
          <w:cols w:equalWidth="0" w:num="1">
            <w:col w:w="10220"/>
          </w:cols>
          <w:pgMar w:left="1440" w:top="127" w:right="239" w:bottom="0" w:gutter="0" w:footer="0" w:header="0"/>
        </w:sectPr>
      </w:pPr>
    </w:p>
    <w:bookmarkStart w:id="15" w:name="page16"/>
    <w:bookmarkEnd w:id="15"/>
    <w:p>
      <w:pPr>
        <w:spacing w:after="0" w:line="35" w:lineRule="exact"/>
        <w:rPr>
          <w:sz w:val="20"/>
          <w:szCs w:val="20"/>
          <w:color w:val="auto"/>
        </w:rPr>
      </w:pPr>
    </w:p>
    <w:p>
      <w:pPr>
        <w:ind w:left="2072" w:right="80"/>
        <w:spacing w:after="0" w:line="288" w:lineRule="auto"/>
        <w:rPr>
          <w:sz w:val="20"/>
          <w:szCs w:val="20"/>
          <w:color w:val="auto"/>
        </w:rPr>
      </w:pPr>
      <w:r>
        <w:rPr>
          <w:rFonts w:ascii="Arial" w:cs="Arial" w:eastAsia="Arial" w:hAnsi="Arial"/>
          <w:sz w:val="15"/>
          <w:szCs w:val="15"/>
          <w:color w:val="auto"/>
        </w:rPr>
        <w:t>For purposes of this Subsection 2(c)(ii)(E),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normal monthly employer’s cost of coverage under the Corporation’s group medical and dental insurance plans toward such COBRA coverage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During this period of Corporation-subsidized COBRA coverage, you will be responsible for paying the balance of any costs not paid for by the Manpower Group under this Subsection 2(c)(ii)(E) which are associated with your participation in the Corporation’s medical and dental insurance plans and your failure to pay such costs may result in the termination of your participation in such</w:t>
      </w:r>
    </w:p>
    <w:p>
      <w:pPr>
        <w:spacing w:after="0" w:line="5" w:lineRule="exact"/>
        <w:rPr>
          <w:sz w:val="20"/>
          <w:szCs w:val="20"/>
          <w:color w:val="auto"/>
        </w:rPr>
      </w:pPr>
    </w:p>
    <w:p>
      <w:pPr>
        <w:ind w:left="2072" w:right="240"/>
        <w:spacing w:after="0" w:line="273" w:lineRule="auto"/>
        <w:rPr>
          <w:sz w:val="20"/>
          <w:szCs w:val="20"/>
          <w:color w:val="auto"/>
        </w:rPr>
      </w:pPr>
      <w:r>
        <w:rPr>
          <w:rFonts w:ascii="Arial" w:cs="Arial" w:eastAsia="Arial" w:hAnsi="Arial"/>
          <w:sz w:val="16"/>
          <w:szCs w:val="16"/>
          <w:color w:val="auto"/>
        </w:rPr>
        <w:t>plans. The Corporation may deduct from any amounts payable to you under this Subsection 2(c)(ii) any amounts that you are responsible to pay for Health Insurance Continuation under this Subsection 2(c)(ii)(E). Immediately following this period of Corporation-subsidized COBRA coverage, you and/or your eligible depe 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2(c)(ii)(E) are taxable, the payments will be grossed-up so that the net amount received by you, after subtraction of all taxes applicable to the payments plus the gross-up amount, will equal the cost of such COBRA coverage.</w:t>
      </w:r>
    </w:p>
    <w:p>
      <w:pPr>
        <w:spacing w:after="0" w:line="196" w:lineRule="exact"/>
        <w:rPr>
          <w:sz w:val="20"/>
          <w:szCs w:val="20"/>
          <w:color w:val="auto"/>
        </w:rPr>
      </w:pPr>
    </w:p>
    <w:p>
      <w:pPr>
        <w:ind w:left="212"/>
        <w:spacing w:after="0" w:line="280" w:lineRule="auto"/>
        <w:rPr>
          <w:sz w:val="20"/>
          <w:szCs w:val="20"/>
          <w:color w:val="auto"/>
        </w:rPr>
      </w:pPr>
      <w:r>
        <w:rPr>
          <w:rFonts w:ascii="Arial" w:cs="Arial" w:eastAsia="Arial" w:hAnsi="Arial"/>
          <w:sz w:val="17"/>
          <w:szCs w:val="17"/>
          <w:color w:val="auto"/>
        </w:rPr>
        <w:t>The amounts paid to you pursuant to Subsections 2(c)(i)(D) or 2(c)(ii)(D) will not be included as compensation for purposes of any qualified or nonqualified pension or welfare benefit plan of the Manpower Group.</w:t>
      </w:r>
    </w:p>
    <w:p>
      <w:pPr>
        <w:spacing w:after="0" w:line="189" w:lineRule="exact"/>
        <w:rPr>
          <w:sz w:val="20"/>
          <w:szCs w:val="20"/>
          <w:color w:val="auto"/>
        </w:rPr>
      </w:pPr>
    </w:p>
    <w:p>
      <w:pPr>
        <w:jc w:val="both"/>
        <w:ind w:left="832" w:hanging="284"/>
        <w:spacing w:after="0" w:line="273" w:lineRule="auto"/>
        <w:tabs>
          <w:tab w:leader="none" w:pos="832"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Golden Parachute Tax</w:t>
      </w:r>
      <w:r>
        <w:rPr>
          <w:rFonts w:ascii="Arial" w:cs="Arial" w:eastAsia="Arial" w:hAnsi="Arial"/>
          <w:sz w:val="16"/>
          <w:szCs w:val="16"/>
          <w:color w:val="auto"/>
        </w:rPr>
        <w:t>.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 x imposed by Section 4999 of the Code, as if (i) amount to be paid to you pursuant to Subsection 2(c)(i)(D) were reduced, but not below zero, such that the total parachute payments payable to you would not exceed three (3) times the “base amount” as defined in Section 280G of the Code, less One Dollar ($1.00), or (ii) the full amount to be paid to you pursuant to Subsection 2(c)(i)(D) were not reduced. If reducing the amount otherwise payable to you pursuant to Subsection 2(c)(i)(D) hereof would result in a greater after-tax amount to you, such reduced amount shall be paid to you and the remainder shall be forfeited by you as of the Date of Termination. If not reducing the amount otherwise payable to you pursuant to Subsection 2(c)(i)(D) would result in a greater after-tax amount to you, the amount payable to you pursuant to Subsection 2(c)(i)(D) shall not be reduced.</w:t>
      </w:r>
    </w:p>
    <w:p>
      <w:pPr>
        <w:spacing w:after="0" w:line="198" w:lineRule="exact"/>
        <w:rPr>
          <w:rFonts w:ascii="Arial" w:cs="Arial" w:eastAsia="Arial" w:hAnsi="Arial"/>
          <w:sz w:val="16"/>
          <w:szCs w:val="16"/>
          <w:color w:val="auto"/>
        </w:rPr>
      </w:pPr>
    </w:p>
    <w:p>
      <w:pPr>
        <w:jc w:val="both"/>
        <w:ind w:left="832" w:hanging="275"/>
        <w:spacing w:after="0" w:line="272" w:lineRule="auto"/>
        <w:tabs>
          <w:tab w:leader="none" w:pos="832"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will be paid on the thirtieth (30th) day after the Date of Termination. The bonus payment provided for in Subsection 2(c)(ii)(C) will between January 1 and March 15 of the calendar year following the Date of Termination. The severance benefit provided for in Subsection 2(c)(i)(D) or 2(c)(ii)(D) will be paid in one lump sum on the thirtieth (30th) day after the Date of Termination. While the par 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Midwest edition (or, if not so reported, as reported in such other similar source(s) as the Corporation shall select).</w:t>
      </w:r>
    </w:p>
    <w:p>
      <w:pPr>
        <w:spacing w:after="0" w:line="203" w:lineRule="exact"/>
        <w:rPr>
          <w:rFonts w:ascii="Arial" w:cs="Arial" w:eastAsia="Arial" w:hAnsi="Arial"/>
          <w:sz w:val="16"/>
          <w:szCs w:val="16"/>
          <w:color w:val="auto"/>
        </w:rPr>
      </w:pPr>
    </w:p>
    <w:p>
      <w:pPr>
        <w:ind w:left="832" w:hanging="256"/>
        <w:spacing w:after="0"/>
        <w:tabs>
          <w:tab w:leader="none" w:pos="832"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Notwithstanding the foregoing, you shall have no right to receive any payment or benefit described in Subsections 2(c)(i)(C)-</w:t>
      </w:r>
    </w:p>
    <w:p>
      <w:pPr>
        <w:spacing w:after="0" w:line="33" w:lineRule="exact"/>
        <w:rPr>
          <w:rFonts w:ascii="Arial" w:cs="Arial" w:eastAsia="Arial" w:hAnsi="Arial"/>
          <w:sz w:val="16"/>
          <w:szCs w:val="16"/>
          <w:color w:val="auto"/>
        </w:rPr>
      </w:pPr>
    </w:p>
    <w:p>
      <w:pPr>
        <w:jc w:val="both"/>
        <w:ind w:left="832" w:firstLine="2"/>
        <w:spacing w:after="0" w:line="273" w:lineRule="auto"/>
        <w:tabs>
          <w:tab w:leader="none" w:pos="1099" w:val="left"/>
        </w:tabs>
        <w:numPr>
          <w:ilvl w:val="2"/>
          <w:numId w:val="25"/>
        </w:numPr>
        <w:rPr>
          <w:rFonts w:ascii="Arial" w:cs="Arial" w:eastAsia="Arial" w:hAnsi="Arial"/>
          <w:sz w:val="16"/>
          <w:szCs w:val="16"/>
          <w:color w:val="auto"/>
        </w:rPr>
      </w:pPr>
      <w:r>
        <w:rPr>
          <w:rFonts w:ascii="Arial" w:cs="Arial" w:eastAsia="Arial" w:hAnsi="Arial"/>
          <w:sz w:val="16"/>
          <w:szCs w:val="16"/>
          <w:color w:val="auto"/>
        </w:rPr>
        <w:t>or 2(c)(ii)(C)-(E),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(30th) day after the Date of Termination.</w:t>
      </w:r>
    </w:p>
    <w:p>
      <w:pPr>
        <w:spacing w:after="0" w:line="199" w:lineRule="exact"/>
        <w:rPr>
          <w:rFonts w:ascii="Arial" w:cs="Arial" w:eastAsia="Arial" w:hAnsi="Arial"/>
          <w:sz w:val="16"/>
          <w:szCs w:val="16"/>
          <w:color w:val="auto"/>
        </w:rPr>
      </w:pPr>
    </w:p>
    <w:p>
      <w:pPr>
        <w:jc w:val="both"/>
        <w:ind w:left="832" w:hanging="284"/>
        <w:spacing w:after="0" w:line="262" w:lineRule="auto"/>
        <w:tabs>
          <w:tab w:leader="none" w:pos="832"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Notwithstanding the foregoing, your right to receive the payments and benefits to be provided to you under this Section 2 beyond those described in Subsection 2(a), above, is conditioned upon your performance of the obligations stated in Section 3, below, and in Section 6 of the Compensation Agreement, and upon your breach of any such obligations, you will immediately return to the Corporation the amount of such payments and benefits and you will no longer have any right to receive any such payments or benefits.</w:t>
      </w:r>
    </w:p>
    <w:p>
      <w:pPr>
        <w:spacing w:after="0" w:line="204" w:lineRule="exact"/>
        <w:rPr>
          <w:rFonts w:ascii="Arial" w:cs="Arial" w:eastAsia="Arial" w:hAnsi="Arial"/>
          <w:sz w:val="17"/>
          <w:szCs w:val="17"/>
          <w:color w:val="auto"/>
        </w:rPr>
      </w:pPr>
    </w:p>
    <w:p>
      <w:pPr>
        <w:ind w:left="212" w:hanging="212"/>
        <w:spacing w:after="0"/>
        <w:tabs>
          <w:tab w:leader="none" w:pos="212"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Noncompetition Agreement</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jc w:val="both"/>
        <w:ind w:left="832" w:hanging="275"/>
        <w:spacing w:after="0" w:line="266" w:lineRule="auto"/>
        <w:tabs>
          <w:tab w:leader="none" w:pos="832"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During the term of your employment with the Manpower Group, you will not assist any competitor of any company in the Manpower Group in any capacity. During the one-year period which immediately follows the termination, for whatever reason, of your employment with the Manpower Group:</w:t>
      </w:r>
    </w:p>
    <w:p>
      <w:pPr>
        <w:spacing w:after="0" w:line="201" w:lineRule="exact"/>
        <w:rPr>
          <w:rFonts w:ascii="Arial" w:cs="Arial" w:eastAsia="Arial" w:hAnsi="Arial"/>
          <w:sz w:val="17"/>
          <w:szCs w:val="17"/>
          <w:color w:val="auto"/>
        </w:rPr>
      </w:pPr>
    </w:p>
    <w:p>
      <w:pPr>
        <w:jc w:val="both"/>
        <w:ind w:left="1452" w:hanging="247"/>
        <w:spacing w:after="0" w:line="260" w:lineRule="auto"/>
        <w:tabs>
          <w:tab w:leader="none" w:pos="1452" w:val="left"/>
        </w:tabs>
        <w:numPr>
          <w:ilvl w:val="3"/>
          <w:numId w:val="26"/>
        </w:numPr>
        <w:rPr>
          <w:rFonts w:ascii="Arial" w:cs="Arial" w:eastAsia="Arial" w:hAnsi="Arial"/>
          <w:sz w:val="17"/>
          <w:szCs w:val="17"/>
          <w:color w:val="auto"/>
        </w:rPr>
      </w:pPr>
      <w:r>
        <w:rPr>
          <w:rFonts w:ascii="Arial" w:cs="Arial" w:eastAsia="Arial" w:hAnsi="Arial"/>
          <w:sz w:val="17"/>
          <w:szCs w:val="17"/>
          <w:color w:val="auto"/>
        </w:rPr>
        <w:t>You will not, directly or indirectly, contact any customer of the Manpower Group with whom you have had contact on behalf of the Manpower Group during the two-year period preceding the Date of Termination or any customer about whom you obtained confidential information in connection with your employment by the Manpower Group during such two-year period so as to cause or attempt to cause such customer of the Manpower Group not to do business or to reduce such customer’s business with the Manpower Group or divert any business from the Manpower Group.</w:t>
      </w:r>
    </w:p>
    <w:p>
      <w:pPr>
        <w:sectPr>
          <w:pgSz w:w="11900" w:h="16873" w:orient="portrait"/>
          <w:cols w:equalWidth="0" w:num="1">
            <w:col w:w="11012"/>
          </w:cols>
          <w:pgMar w:left="648" w:top="127" w:right="239" w:bottom="0" w:gutter="0" w:footer="0" w:header="0"/>
        </w:sectPr>
      </w:pPr>
    </w:p>
    <w:bookmarkStart w:id="16" w:name="page17"/>
    <w:bookmarkEnd w:id="16"/>
    <w:p>
      <w:pPr>
        <w:spacing w:after="0" w:line="33" w:lineRule="exact"/>
        <w:rPr>
          <w:sz w:val="20"/>
          <w:szCs w:val="20"/>
          <w:color w:val="auto"/>
        </w:rPr>
      </w:pPr>
    </w:p>
    <w:p>
      <w:pPr>
        <w:ind w:left="898" w:hanging="262"/>
        <w:spacing w:after="0" w:line="274" w:lineRule="auto"/>
        <w:tabs>
          <w:tab w:leader="none" w:pos="898" w:val="left"/>
        </w:tabs>
        <w:numPr>
          <w:ilvl w:val="4"/>
          <w:numId w:val="27"/>
        </w:numPr>
        <w:rPr>
          <w:rFonts w:ascii="Arial" w:cs="Arial" w:eastAsia="Arial" w:hAnsi="Arial"/>
          <w:sz w:val="16"/>
          <w:szCs w:val="16"/>
          <w:color w:val="auto"/>
        </w:rPr>
      </w:pPr>
      <w:r>
        <w:rPr>
          <w:rFonts w:ascii="Arial" w:cs="Arial" w:eastAsia="Arial" w:hAnsi="Arial"/>
          <w:sz w:val="16"/>
          <w:szCs w:val="16"/>
          <w:color w:val="auto"/>
        </w:rPr>
        <w:t>You will not, directly or indirectly, provide services or assistance of a nature similar to the services you provided to the Manpower Group during the two-year period immediately preceding the Date of Termination to any entity (i)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$500,000,000 or (ii) engaged in the business of providing permanent placement, professional staffing, outplacement, or human resource services (including consulting, task-based services, recruitment or other talent solutions) anywhere in the United States or any other country in which the Manpower Group conducts business as of the Date of Termination which has, together with its affiliated entities, annu 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196" w:lineRule="exact"/>
        <w:rPr>
          <w:rFonts w:ascii="Arial" w:cs="Arial" w:eastAsia="Arial" w:hAnsi="Arial"/>
          <w:sz w:val="16"/>
          <w:szCs w:val="16"/>
          <w:color w:val="auto"/>
        </w:rPr>
      </w:pPr>
    </w:p>
    <w:p>
      <w:pPr>
        <w:jc w:val="both"/>
        <w:ind w:left="918" w:hanging="284"/>
        <w:spacing w:after="0" w:line="257" w:lineRule="auto"/>
        <w:tabs>
          <w:tab w:leader="none" w:pos="918" w:val="left"/>
        </w:tabs>
        <w:numPr>
          <w:ilvl w:val="4"/>
          <w:numId w:val="28"/>
        </w:numPr>
        <w:rPr>
          <w:rFonts w:ascii="Arial" w:cs="Arial" w:eastAsia="Arial" w:hAnsi="Arial"/>
          <w:sz w:val="17"/>
          <w:szCs w:val="17"/>
          <w:color w:val="auto"/>
        </w:rPr>
      </w:pPr>
      <w:r>
        <w:rPr>
          <w:rFonts w:ascii="Arial" w:cs="Arial" w:eastAsia="Arial" w:hAnsi="Arial"/>
          <w:sz w:val="17"/>
          <w:szCs w:val="17"/>
          <w:u w:val="single" w:color="auto"/>
          <w:color w:val="auto"/>
        </w:rPr>
        <w:t>Injunction</w:t>
      </w:r>
      <w:r>
        <w:rPr>
          <w:rFonts w:ascii="Arial" w:cs="Arial" w:eastAsia="Arial" w:hAnsi="Arial"/>
          <w:sz w:val="17"/>
          <w:szCs w:val="17"/>
          <w:color w:val="auto"/>
        </w:rPr>
        <w:t>. You recognize that irreparable and incalculable injury will result to the Manpower Group and its businesses and properties in the event of your breach of any of the restrictions imposed by Subsection 3(a), above. You therefore agree that, in the event of any such actual, impending or threatened breach, the Corporation will be entitled, in addition to the remedies set forth in Subsection 2(g),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 iolation, or further violation, of such restrictions by you and by any other person or entity for whom you may be acting or who is acting for you or in concert with you.</w:t>
      </w:r>
    </w:p>
    <w:p>
      <w:pPr>
        <w:spacing w:after="0" w:line="212" w:lineRule="exact"/>
        <w:rPr>
          <w:rFonts w:ascii="Arial" w:cs="Arial" w:eastAsia="Arial" w:hAnsi="Arial"/>
          <w:sz w:val="17"/>
          <w:szCs w:val="17"/>
          <w:color w:val="auto"/>
        </w:rPr>
      </w:pPr>
    </w:p>
    <w:p>
      <w:pPr>
        <w:ind w:left="918" w:hanging="275"/>
        <w:spacing w:after="0" w:line="280" w:lineRule="auto"/>
        <w:tabs>
          <w:tab w:leader="none" w:pos="918" w:val="left"/>
        </w:tabs>
        <w:numPr>
          <w:ilvl w:val="4"/>
          <w:numId w:val="28"/>
        </w:numPr>
        <w:rPr>
          <w:rFonts w:ascii="Arial" w:cs="Arial" w:eastAsia="Arial" w:hAnsi="Arial"/>
          <w:sz w:val="17"/>
          <w:szCs w:val="17"/>
          <w:color w:val="auto"/>
        </w:rPr>
      </w:pPr>
      <w:r>
        <w:rPr>
          <w:rFonts w:ascii="Arial" w:cs="Arial" w:eastAsia="Arial" w:hAnsi="Arial"/>
          <w:sz w:val="17"/>
          <w:szCs w:val="17"/>
          <w:u w:val="single" w:color="auto"/>
          <w:color w:val="auto"/>
        </w:rPr>
        <w:t>Equitable Extension</w:t>
      </w:r>
      <w:r>
        <w:rPr>
          <w:rFonts w:ascii="Arial" w:cs="Arial" w:eastAsia="Arial" w:hAnsi="Arial"/>
          <w:sz w:val="17"/>
          <w:szCs w:val="17"/>
          <w:color w:val="auto"/>
        </w:rPr>
        <w:t>. The duration of any restriction in Section 3(a) above will be extended by any period during which such restriction is violated by you.</w:t>
      </w:r>
    </w:p>
    <w:p>
      <w:pPr>
        <w:spacing w:after="0" w:line="189" w:lineRule="exact"/>
        <w:rPr>
          <w:rFonts w:ascii="Arial" w:cs="Arial" w:eastAsia="Arial" w:hAnsi="Arial"/>
          <w:sz w:val="17"/>
          <w:szCs w:val="17"/>
          <w:color w:val="auto"/>
        </w:rPr>
      </w:pPr>
    </w:p>
    <w:p>
      <w:pPr>
        <w:jc w:val="both"/>
        <w:ind w:left="298" w:hanging="212"/>
        <w:spacing w:after="0" w:line="262" w:lineRule="auto"/>
        <w:tabs>
          <w:tab w:leader="none" w:pos="298"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Unemployment Compensation</w:t>
      </w:r>
      <w:r>
        <w:rPr>
          <w:rFonts w:ascii="Arial" w:cs="Arial" w:eastAsia="Arial" w:hAnsi="Arial"/>
          <w:sz w:val="17"/>
          <w:szCs w:val="17"/>
          <w:color w:val="auto"/>
        </w:rPr>
        <w:t>. The severance benefits provided for in Subsection 2(c)(i)(D) will be assigned for unemployment compensation benefit purposes to the three-year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204" w:lineRule="exact"/>
        <w:rPr>
          <w:rFonts w:ascii="Arial" w:cs="Arial" w:eastAsia="Arial" w:hAnsi="Arial"/>
          <w:sz w:val="17"/>
          <w:szCs w:val="17"/>
          <w:color w:val="auto"/>
        </w:rPr>
      </w:pPr>
    </w:p>
    <w:p>
      <w:pPr>
        <w:jc w:val="both"/>
        <w:ind w:left="298" w:hanging="212"/>
        <w:spacing w:after="0" w:line="257" w:lineRule="auto"/>
        <w:tabs>
          <w:tab w:leader="none" w:pos="298"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Upon your termination, for whatever reason, of employment with the Corporation, the Corporation agrees that its directors and officers, during their employment by or service to the Manpower Group, will refrain from making any statements that disparage or otherwise impair your reputation or commercial interests. Upon your termination, for whatever reason, of employment with the Manpower Group, you agree to refrain from making any statements that disparage or otherwise impair the reputation, goodwill, or commercial interests of the Manpower Group, or its officers, directors, or employees. However, the foregoing will not preclude the Corporation from providing truthful information about you concerning your employment or termination of emplo yment with the Manpower 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209" w:lineRule="exact"/>
        <w:rPr>
          <w:rFonts w:ascii="Arial" w:cs="Arial" w:eastAsia="Arial" w:hAnsi="Arial"/>
          <w:sz w:val="17"/>
          <w:szCs w:val="17"/>
          <w:color w:val="auto"/>
        </w:rPr>
      </w:pPr>
    </w:p>
    <w:p>
      <w:pPr>
        <w:ind w:left="298" w:hanging="212"/>
        <w:spacing w:after="0" w:line="280" w:lineRule="auto"/>
        <w:tabs>
          <w:tab w:leader="none" w:pos="298"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This letter agreement will be binding on the Corporation and its successors and will inure to the benefit of and be enforceable by your personal or legal representatives, heirs and successors.</w:t>
      </w:r>
    </w:p>
    <w:p>
      <w:pPr>
        <w:spacing w:after="0" w:line="189" w:lineRule="exact"/>
        <w:rPr>
          <w:rFonts w:ascii="Arial" w:cs="Arial" w:eastAsia="Arial" w:hAnsi="Arial"/>
          <w:sz w:val="17"/>
          <w:szCs w:val="17"/>
          <w:color w:val="auto"/>
        </w:rPr>
      </w:pPr>
    </w:p>
    <w:p>
      <w:pPr>
        <w:jc w:val="both"/>
        <w:ind w:left="298" w:hanging="212"/>
        <w:spacing w:after="0" w:line="266" w:lineRule="auto"/>
        <w:tabs>
          <w:tab w:leader="none" w:pos="298"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1" w:lineRule="exact"/>
        <w:rPr>
          <w:rFonts w:ascii="Arial" w:cs="Arial" w:eastAsia="Arial" w:hAnsi="Arial"/>
          <w:sz w:val="17"/>
          <w:szCs w:val="17"/>
          <w:color w:val="auto"/>
        </w:rPr>
      </w:pPr>
    </w:p>
    <w:p>
      <w:pPr>
        <w:jc w:val="both"/>
        <w:ind w:left="298" w:hanging="212"/>
        <w:spacing w:after="0" w:line="291" w:lineRule="auto"/>
        <w:tabs>
          <w:tab w:leader="none" w:pos="298"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with or without cause, subject to the obligations of the Corporation and the Manpower Group as set forth herein.</w:t>
      </w:r>
    </w:p>
    <w:p>
      <w:pPr>
        <w:spacing w:after="0" w:line="182" w:lineRule="exact"/>
        <w:rPr>
          <w:rFonts w:ascii="Arial" w:cs="Arial" w:eastAsia="Arial" w:hAnsi="Arial"/>
          <w:sz w:val="16"/>
          <w:szCs w:val="16"/>
          <w:color w:val="auto"/>
        </w:rPr>
      </w:pPr>
    </w:p>
    <w:p>
      <w:pPr>
        <w:ind w:left="298" w:hanging="212"/>
        <w:spacing w:after="0" w:line="280" w:lineRule="auto"/>
        <w:tabs>
          <w:tab w:leader="none" w:pos="298"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No provision of this letter may be modified, waived or discharged unless such waiver, modification or discharge is agreed to in writing by you and the Corporation.</w:t>
      </w:r>
    </w:p>
    <w:p>
      <w:pPr>
        <w:spacing w:after="0" w:line="189" w:lineRule="exact"/>
        <w:rPr>
          <w:rFonts w:ascii="Arial" w:cs="Arial" w:eastAsia="Arial" w:hAnsi="Arial"/>
          <w:sz w:val="17"/>
          <w:szCs w:val="17"/>
          <w:color w:val="auto"/>
        </w:rPr>
      </w:pPr>
    </w:p>
    <w:p>
      <w:pPr>
        <w:ind w:left="298" w:hanging="298"/>
        <w:spacing w:after="0" w:line="280" w:lineRule="auto"/>
        <w:tabs>
          <w:tab w:leader="none" w:pos="298"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89" w:lineRule="exact"/>
        <w:rPr>
          <w:rFonts w:ascii="Arial" w:cs="Arial" w:eastAsia="Arial" w:hAnsi="Arial"/>
          <w:sz w:val="17"/>
          <w:szCs w:val="17"/>
          <w:color w:val="auto"/>
        </w:rPr>
      </w:pPr>
    </w:p>
    <w:p>
      <w:pPr>
        <w:ind w:left="298" w:right="320" w:hanging="230"/>
        <w:spacing w:after="0" w:line="312" w:lineRule="auto"/>
        <w:tabs>
          <w:tab w:leader="none" w:pos="298" w:val="left"/>
        </w:tabs>
        <w:numPr>
          <w:ilvl w:val="2"/>
          <w:numId w:val="29"/>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shall be governed by and interpreted in accordance with the laws of the State of New York, United States of America, without regard to its conflict of law provisions.</w:t>
      </w:r>
    </w:p>
    <w:p>
      <w:pPr>
        <w:spacing w:after="0" w:line="166" w:lineRule="exact"/>
        <w:rPr>
          <w:rFonts w:ascii="Arial" w:cs="Arial" w:eastAsia="Arial" w:hAnsi="Arial"/>
          <w:sz w:val="16"/>
          <w:szCs w:val="16"/>
          <w:color w:val="auto"/>
        </w:rPr>
      </w:pPr>
    </w:p>
    <w:p>
      <w:pPr>
        <w:ind w:left="298" w:right="340" w:hanging="230"/>
        <w:spacing w:after="0" w:line="280" w:lineRule="auto"/>
        <w:tabs>
          <w:tab w:leader="none" w:pos="298" w:val="left"/>
        </w:tabs>
        <w:numPr>
          <w:ilvl w:val="2"/>
          <w:numId w:val="29"/>
        </w:numPr>
        <w:rPr>
          <w:rFonts w:ascii="Arial" w:cs="Arial" w:eastAsia="Arial" w:hAnsi="Arial"/>
          <w:sz w:val="16"/>
          <w:szCs w:val="16"/>
          <w:color w:val="auto"/>
        </w:rPr>
      </w:pPr>
      <w:r>
        <w:rPr>
          <w:rFonts w:ascii="Arial" w:cs="Arial" w:eastAsia="Arial" w:hAnsi="Arial"/>
          <w:sz w:val="16"/>
          <w:szCs w:val="16"/>
          <w:u w:val="single" w:color="auto"/>
          <w:color w:val="auto"/>
        </w:rPr>
        <w:t>Reduction of Amounts Due Under Law</w:t>
      </w:r>
      <w:r>
        <w:rPr>
          <w:rFonts w:ascii="Arial" w:cs="Arial" w:eastAsia="Arial" w:hAnsi="Arial"/>
          <w:sz w:val="16"/>
          <w:szCs w:val="16"/>
          <w:color w:val="auto"/>
        </w:rPr>
        <w:t>. You agree that any severance payment (</w:t>
      </w:r>
      <w:r>
        <w:rPr>
          <w:rFonts w:ascii="Arial" w:cs="Arial" w:eastAsia="Arial" w:hAnsi="Arial"/>
          <w:sz w:val="16"/>
          <w:szCs w:val="16"/>
          <w:i w:val="1"/>
          <w:iCs w:val="1"/>
          <w:color w:val="auto"/>
        </w:rPr>
        <w:t>i.e</w:t>
      </w:r>
      <w:r>
        <w:rPr>
          <w:rFonts w:ascii="Arial" w:cs="Arial" w:eastAsia="Arial" w:hAnsi="Arial"/>
          <w:sz w:val="16"/>
          <w:szCs w:val="16"/>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1" w:lineRule="exact"/>
        <w:rPr>
          <w:rFonts w:ascii="Arial" w:cs="Arial" w:eastAsia="Arial" w:hAnsi="Arial"/>
          <w:sz w:val="16"/>
          <w:szCs w:val="16"/>
          <w:color w:val="auto"/>
        </w:rPr>
      </w:pPr>
    </w:p>
    <w:p>
      <w:pPr>
        <w:ind w:left="298" w:right="120" w:hanging="230"/>
        <w:spacing w:after="0" w:line="291" w:lineRule="auto"/>
        <w:tabs>
          <w:tab w:leader="none" w:pos="298" w:val="left"/>
        </w:tabs>
        <w:numPr>
          <w:ilvl w:val="2"/>
          <w:numId w:val="29"/>
        </w:numPr>
        <w:rPr>
          <w:rFonts w:ascii="Arial" w:cs="Arial" w:eastAsia="Arial" w:hAnsi="Arial"/>
          <w:sz w:val="16"/>
          <w:szCs w:val="16"/>
          <w:color w:val="auto"/>
        </w:rPr>
      </w:pPr>
      <w:r>
        <w:rPr>
          <w:rFonts w:ascii="Arial" w:cs="Arial" w:eastAsia="Arial" w:hAnsi="Arial"/>
          <w:sz w:val="16"/>
          <w:szCs w:val="16"/>
          <w:u w:val="single" w:color="auto"/>
          <w:color w:val="auto"/>
        </w:rPr>
        <w:t>Previous Agreement</w:t>
      </w:r>
      <w:r>
        <w:rPr>
          <w:rFonts w:ascii="Arial" w:cs="Arial" w:eastAsia="Arial" w:hAnsi="Arial"/>
          <w:sz w:val="16"/>
          <w:szCs w:val="16"/>
          <w:color w:val="auto"/>
        </w:rPr>
        <w:t>. This letter, upon acceptance by you, expressly supersedes that certain letter agreement between you and the Corporation dated February 20, 2008, which primarily concerns rights and obligations upon your termination of employment, and such agreement shall, as of the date of your acceptance, have no further force or effect.</w:t>
      </w:r>
    </w:p>
    <w:p>
      <w:pPr>
        <w:spacing w:after="0" w:line="182" w:lineRule="exact"/>
        <w:rPr>
          <w:rFonts w:ascii="Arial" w:cs="Arial" w:eastAsia="Arial" w:hAnsi="Arial"/>
          <w:sz w:val="16"/>
          <w:szCs w:val="16"/>
          <w:color w:val="auto"/>
        </w:rPr>
      </w:pPr>
    </w:p>
    <w:p>
      <w:pPr>
        <w:ind w:left="298" w:right="80" w:hanging="273"/>
        <w:spacing w:after="0" w:line="308" w:lineRule="auto"/>
        <w:tabs>
          <w:tab w:leader="none" w:pos="298" w:val="left"/>
        </w:tabs>
        <w:numPr>
          <w:ilvl w:val="1"/>
          <w:numId w:val="29"/>
        </w:numPr>
        <w:rPr>
          <w:rFonts w:ascii="Arial" w:cs="Arial" w:eastAsia="Arial" w:hAnsi="Arial"/>
          <w:sz w:val="15"/>
          <w:szCs w:val="15"/>
          <w:color w:val="auto"/>
        </w:rPr>
      </w:pPr>
      <w:r>
        <w:rPr>
          <w:rFonts w:ascii="Arial" w:cs="Arial" w:eastAsia="Arial" w:hAnsi="Arial"/>
          <w:sz w:val="15"/>
          <w:szCs w:val="15"/>
          <w:u w:val="single" w:color="auto"/>
          <w:color w:val="auto"/>
        </w:rPr>
        <w:t>Dispute Resolution</w:t>
      </w:r>
      <w:r>
        <w:rPr>
          <w:rFonts w:ascii="Arial" w:cs="Arial" w:eastAsia="Arial" w:hAnsi="Arial"/>
          <w:sz w:val="15"/>
          <w:szCs w:val="15"/>
          <w:color w:val="auto"/>
        </w:rPr>
        <w:t>. Subsection 3(b)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14, the party initiating arbitration shall be denominated the “Claimant” and the other party shall be denominated the “Respondent.”</w:t>
      </w:r>
    </w:p>
    <w:p>
      <w:pPr>
        <w:spacing w:after="0" w:line="172" w:lineRule="exact"/>
        <w:rPr>
          <w:rFonts w:ascii="Arial" w:cs="Arial" w:eastAsia="Arial" w:hAnsi="Arial"/>
          <w:sz w:val="15"/>
          <w:szCs w:val="15"/>
          <w:color w:val="auto"/>
        </w:rPr>
      </w:pPr>
    </w:p>
    <w:p>
      <w:pPr>
        <w:ind w:left="498" w:right="120" w:hanging="236"/>
        <w:spacing w:after="0" w:line="299" w:lineRule="auto"/>
        <w:tabs>
          <w:tab w:leader="none" w:pos="498" w:val="left"/>
        </w:tabs>
        <w:numPr>
          <w:ilvl w:val="3"/>
          <w:numId w:val="29"/>
        </w:numPr>
        <w:rPr>
          <w:rFonts w:ascii="Arial" w:cs="Arial" w:eastAsia="Arial" w:hAnsi="Arial"/>
          <w:sz w:val="15"/>
          <w:szCs w:val="15"/>
          <w:color w:val="auto"/>
        </w:rPr>
      </w:pPr>
      <w:r>
        <w:rPr>
          <w:rFonts w:ascii="Arial" w:cs="Arial" w:eastAsia="Arial" w:hAnsi="Arial"/>
          <w:sz w:val="15"/>
          <w:szCs w:val="15"/>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 rica. The arbitration shall be</w:t>
      </w:r>
    </w:p>
    <w:p>
      <w:pPr>
        <w:sectPr>
          <w:pgSz w:w="11900" w:h="16871" w:orient="portrait"/>
          <w:cols w:equalWidth="0" w:num="1">
            <w:col w:w="11098"/>
          </w:cols>
          <w:pgMar w:left="562" w:top="359" w:right="239" w:bottom="0" w:gutter="0" w:footer="0" w:header="0"/>
        </w:sectPr>
      </w:pPr>
    </w:p>
    <w:bookmarkStart w:id="17" w:name="page18"/>
    <w:bookmarkEnd w:id="17"/>
    <w:p>
      <w:pPr>
        <w:ind w:left="473"/>
        <w:spacing w:after="0"/>
        <w:rPr>
          <w:sz w:val="20"/>
          <w:szCs w:val="20"/>
          <w:color w:val="auto"/>
        </w:rPr>
      </w:pPr>
      <w:r>
        <w:rPr>
          <w:rFonts w:ascii="Arial" w:cs="Arial" w:eastAsia="Arial" w:hAnsi="Arial"/>
          <w:sz w:val="17"/>
          <w:szCs w:val="17"/>
          <w:color w:val="auto"/>
        </w:rPr>
        <w:t>conducted in the English language. Judgment upon the award rendered by the arbitrator may be entered by any court having jurisdiction</w:t>
      </w:r>
    </w:p>
    <w:p>
      <w:pPr>
        <w:spacing w:after="0" w:line="22" w:lineRule="exact"/>
        <w:rPr>
          <w:sz w:val="20"/>
          <w:szCs w:val="20"/>
          <w:color w:val="auto"/>
        </w:rPr>
      </w:pPr>
    </w:p>
    <w:p>
      <w:pPr>
        <w:jc w:val="both"/>
        <w:ind w:left="473" w:right="40"/>
        <w:spacing w:after="0" w:line="279" w:lineRule="auto"/>
        <w:rPr>
          <w:sz w:val="20"/>
          <w:szCs w:val="20"/>
          <w:color w:val="auto"/>
        </w:rPr>
      </w:pPr>
      <w:r>
        <w:rPr>
          <w:rFonts w:ascii="Arial" w:cs="Arial" w:eastAsia="Arial" w:hAnsi="Arial"/>
          <w:sz w:val="16"/>
          <w:szCs w:val="16"/>
          <w:color w:val="auto"/>
        </w:rPr>
        <w:t>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0" w:lineRule="exact"/>
        <w:rPr>
          <w:sz w:val="20"/>
          <w:szCs w:val="20"/>
          <w:color w:val="auto"/>
        </w:rPr>
      </w:pPr>
    </w:p>
    <w:p>
      <w:pPr>
        <w:spacing w:after="0" w:line="224" w:lineRule="exact"/>
        <w:rPr>
          <w:sz w:val="20"/>
          <w:szCs w:val="20"/>
          <w:color w:val="auto"/>
        </w:rPr>
      </w:pPr>
    </w:p>
    <w:p>
      <w:pPr>
        <w:jc w:val="both"/>
        <w:ind w:left="893" w:hanging="284"/>
        <w:spacing w:after="0" w:line="273" w:lineRule="auto"/>
        <w:tabs>
          <w:tab w:leader="none" w:pos="893"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1" w:lineRule="exact"/>
        <w:rPr>
          <w:rFonts w:ascii="Arial" w:cs="Arial" w:eastAsia="Arial" w:hAnsi="Arial"/>
          <w:sz w:val="16"/>
          <w:szCs w:val="16"/>
          <w:color w:val="auto"/>
        </w:rPr>
      </w:pPr>
    </w:p>
    <w:p>
      <w:pPr>
        <w:ind w:left="273" w:right="180" w:hanging="273"/>
        <w:spacing w:after="0" w:line="280" w:lineRule="auto"/>
        <w:tabs>
          <w:tab w:leader="none" w:pos="273"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obligations imposed by Paragraph 3(a) above, of this agreement are severable and should be construed independently of each other. The invalidity of one such provision shall not affect the validity of any other such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371475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73"/>
          </w:cols>
          <w:pgMar w:left="587" w:top="127" w:right="239" w:bottom="1440" w:gutter="0" w:footer="0" w:header="0"/>
        </w:sectPr>
      </w:pPr>
    </w:p>
    <w:bookmarkStart w:id="18" w:name="page19"/>
    <w:bookmarkEnd w:id="18"/>
    <w:p>
      <w:pPr>
        <w:spacing w:after="0" w:line="280" w:lineRule="auto"/>
        <w:rPr>
          <w:sz w:val="20"/>
          <w:szCs w:val="20"/>
          <w:color w:val="auto"/>
        </w:rPr>
      </w:pPr>
      <w:r>
        <w:rPr>
          <w:rFonts w:ascii="Arial" w:cs="Arial" w:eastAsia="Arial" w:hAnsi="Arial"/>
          <w:sz w:val="17"/>
          <w:szCs w:val="17"/>
          <w:color w:val="auto"/>
        </w:rPr>
        <w:t>If you are in agreement with the foregoing, please sign and return one copy of this letter which will constitute our agreement with respect to the subject matter of this letter.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MANPOWER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-8890</wp:posOffset>
            </wp:positionV>
            <wp:extent cx="3555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2"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Michael J. Van Handel, Executive Vice President and Chief Financial Officer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Agreed as of the 16th day of February, 2011.</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Jeffrey A. Joerres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Jeffrey A. Joerres</w:t>
      </w:r>
    </w:p>
    <w:p>
      <w:pPr>
        <w:sectPr>
          <w:pgSz w:w="11900" w:h="16838" w:orient="portrait"/>
          <w:cols w:equalWidth="0" w:num="1">
            <w:col w:w="11380"/>
          </w:cols>
          <w:pgMar w:left="240" w:top="734" w:right="279" w:bottom="1440" w:gutter="0" w:footer="0" w:header="0"/>
        </w:sectPr>
      </w:pPr>
    </w:p>
    <w:bookmarkStart w:id="19" w:name="page20"/>
    <w:bookmarkEnd w:id="19"/>
    <w:p>
      <w:pPr>
        <w:spacing w:after="0" w:line="58"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10.5</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Manpower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 Manpower Place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Milwaukee, Wisconsin 53212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February 16,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Mr. Michael Van Handel:</w:t>
      </w:r>
    </w:p>
    <w:p>
      <w:pPr>
        <w:spacing w:after="0" w:line="243" w:lineRule="exact"/>
        <w:rPr>
          <w:sz w:val="20"/>
          <w:szCs w:val="20"/>
          <w:color w:val="auto"/>
        </w:rPr>
      </w:pPr>
    </w:p>
    <w:p>
      <w:pPr>
        <w:ind w:right="420" w:firstLine="620"/>
        <w:spacing w:after="0" w:line="280" w:lineRule="auto"/>
        <w:rPr>
          <w:sz w:val="20"/>
          <w:szCs w:val="20"/>
          <w:color w:val="auto"/>
        </w:rPr>
      </w:pPr>
      <w:r>
        <w:rPr>
          <w:rFonts w:ascii="Arial" w:cs="Arial" w:eastAsia="Arial" w:hAnsi="Arial"/>
          <w:sz w:val="17"/>
          <w:szCs w:val="17"/>
          <w:color w:val="auto"/>
        </w:rPr>
        <w:t>We have agreed as follows with respect to the compensation to be paid and the other benefits to be provided to you in connection with your continuing employment by Manpower Inc. (the “Corporation”):</w:t>
      </w:r>
    </w:p>
    <w:p>
      <w:pPr>
        <w:spacing w:after="0" w:line="189" w:lineRule="exact"/>
        <w:rPr>
          <w:sz w:val="20"/>
          <w:szCs w:val="20"/>
          <w:color w:val="auto"/>
        </w:rPr>
      </w:pPr>
    </w:p>
    <w:p>
      <w:pPr>
        <w:ind w:right="80" w:firstLine="623"/>
        <w:spacing w:after="0" w:line="283" w:lineRule="auto"/>
        <w:tabs>
          <w:tab w:leader="none" w:pos="834"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will be a period beginning on the date of this letter indicated above and ending on the first to occur of the following: (a) the date two years after the occurrence of a Change of Control, as defined in the letter to you of even date regarding other rights and obligations on termination of your employment; (b) February 16, 2014, if no Change of Control occurs between the date of this letter indicated above and February 16, 2014; or (c) the Date of Termination, as defined in the letter from the Corporation to you of even date regarding other rights and obligations on termination of your employment.</w:t>
      </w:r>
    </w:p>
    <w:p>
      <w:pPr>
        <w:spacing w:after="0" w:line="190" w:lineRule="exact"/>
        <w:rPr>
          <w:rFonts w:ascii="Arial" w:cs="Arial" w:eastAsia="Arial" w:hAnsi="Arial"/>
          <w:sz w:val="16"/>
          <w:szCs w:val="16"/>
          <w:color w:val="auto"/>
        </w:rPr>
      </w:pPr>
    </w:p>
    <w:p>
      <w:pPr>
        <w:jc w:val="both"/>
        <w:ind w:right="140" w:firstLine="623"/>
        <w:spacing w:after="0" w:line="266" w:lineRule="auto"/>
        <w:tabs>
          <w:tab w:leader="none" w:pos="834"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Base Compensation</w:t>
      </w:r>
      <w:r>
        <w:rPr>
          <w:rFonts w:ascii="Arial" w:cs="Arial" w:eastAsia="Arial" w:hAnsi="Arial"/>
          <w:sz w:val="17"/>
          <w:szCs w:val="17"/>
          <w:color w:val="auto"/>
        </w:rPr>
        <w:t>. You will be paid a base salary for your services during the Term at the rate of Six Hundred Thousand Dollars ($600,000) per year, as may be increased from time to time by the Corporation. Your base compensation will be paid in accordance with the Corporation’s regular payroll practices with respect to such compensation as in effect from time to time.</w:t>
      </w:r>
    </w:p>
    <w:p>
      <w:pPr>
        <w:spacing w:after="0" w:line="201" w:lineRule="exact"/>
        <w:rPr>
          <w:rFonts w:ascii="Arial" w:cs="Arial" w:eastAsia="Arial" w:hAnsi="Arial"/>
          <w:sz w:val="17"/>
          <w:szCs w:val="17"/>
          <w:color w:val="auto"/>
        </w:rPr>
      </w:pPr>
    </w:p>
    <w:p>
      <w:pPr>
        <w:ind w:right="20" w:firstLine="623"/>
        <w:spacing w:after="0" w:line="262" w:lineRule="auto"/>
        <w:tabs>
          <w:tab w:leader="none" w:pos="834"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Incentive Bonus</w:t>
      </w:r>
      <w:r>
        <w:rPr>
          <w:rFonts w:ascii="Arial" w:cs="Arial" w:eastAsia="Arial" w:hAnsi="Arial"/>
          <w:sz w:val="17"/>
          <w:szCs w:val="17"/>
          <w:color w:val="auto"/>
        </w:rPr>
        <w:t>. You also will be entitled to receive incentive compensation for your services during the Term in accordance with an incentive compensation plan approved and administered by the Executive Compensation and Human Resources Committee of the Board of Directors of the Corporation. Such plan may be amended or replaced from time to time by such Committee, but without your agreement no such action will adversely affect any rights you may have under such plan as of the time of such action.</w:t>
      </w:r>
    </w:p>
    <w:p>
      <w:pPr>
        <w:spacing w:after="0" w:line="204" w:lineRule="exact"/>
        <w:rPr>
          <w:rFonts w:ascii="Arial" w:cs="Arial" w:eastAsia="Arial" w:hAnsi="Arial"/>
          <w:sz w:val="17"/>
          <w:szCs w:val="17"/>
          <w:color w:val="auto"/>
        </w:rPr>
      </w:pPr>
    </w:p>
    <w:p>
      <w:pPr>
        <w:ind w:right="140" w:firstLine="623"/>
        <w:spacing w:after="0" w:line="280" w:lineRule="auto"/>
        <w:tabs>
          <w:tab w:leader="none" w:pos="834"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During the entire Term, the Corporation will provide you with, and you will be eligible for, all benefits of employment generally made available to the executives of the Corporation from time to time (collectively, the “Benefits Plans”), subject to and on a basis consistent with the terms, conditions and overall administration of such Benefit Plans. You will be considered for participation in Benefit Plans which by the terms thereof are discretionary in nature (such as stock option plans) on the same basis as other executive personnel of the Corporation of similar rank. You also will be entitled to vacations and perquisites in accordance with the Corporation’s policies as in effect from time to time for executives of the Corporation.</w:t>
      </w:r>
    </w:p>
    <w:p>
      <w:pPr>
        <w:spacing w:after="0" w:line="191" w:lineRule="exact"/>
        <w:rPr>
          <w:rFonts w:ascii="Arial" w:cs="Arial" w:eastAsia="Arial" w:hAnsi="Arial"/>
          <w:sz w:val="16"/>
          <w:szCs w:val="16"/>
          <w:color w:val="auto"/>
        </w:rPr>
      </w:pPr>
    </w:p>
    <w:p>
      <w:pPr>
        <w:jc w:val="both"/>
        <w:ind w:right="260" w:firstLine="623"/>
        <w:spacing w:after="0" w:line="266" w:lineRule="auto"/>
        <w:tabs>
          <w:tab w:leader="none" w:pos="834"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Corporation will reimburse to you on a monthly basis for all traveling, hotel, entertainment and other expenses reasonably incurred by you in the proper performance of your duties during the Term, subject to your compliance with the guidelines and regulations concerning expense reimbursement issued by the Corporation.</w:t>
      </w:r>
    </w:p>
    <w:p>
      <w:pPr>
        <w:spacing w:after="0" w:line="201" w:lineRule="exact"/>
        <w:rPr>
          <w:rFonts w:ascii="Arial" w:cs="Arial" w:eastAsia="Arial" w:hAnsi="Arial"/>
          <w:sz w:val="17"/>
          <w:szCs w:val="17"/>
          <w:color w:val="auto"/>
        </w:rPr>
      </w:pPr>
    </w:p>
    <w:p>
      <w:pPr>
        <w:ind w:left="840" w:hanging="217"/>
        <w:spacing w:after="0"/>
        <w:tabs>
          <w:tab w:leader="none" w:pos="84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Nondisclosure and Nonsolicitation</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ind w:left="1480" w:hanging="238"/>
        <w:spacing w:after="0"/>
        <w:tabs>
          <w:tab w:leader="none" w:pos="1480"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Nondisclosure</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ind w:left="1240" w:right="60" w:firstLine="622"/>
        <w:spacing w:after="0" w:line="271" w:lineRule="auto"/>
        <w:tabs>
          <w:tab w:leader="none" w:pos="2101" w:val="left"/>
        </w:tabs>
        <w:numPr>
          <w:ilvl w:val="2"/>
          <w:numId w:val="32"/>
        </w:numPr>
        <w:rPr>
          <w:rFonts w:ascii="Arial" w:cs="Arial" w:eastAsia="Arial" w:hAnsi="Arial"/>
          <w:sz w:val="16"/>
          <w:szCs w:val="16"/>
          <w:color w:val="auto"/>
        </w:rPr>
      </w:pPr>
      <w:r>
        <w:rPr>
          <w:rFonts w:ascii="Arial" w:cs="Arial" w:eastAsia="Arial" w:hAnsi="Arial"/>
          <w:sz w:val="16"/>
          <w:szCs w:val="16"/>
          <w:color w:val="auto"/>
        </w:rPr>
        <w:t>You will not, directly or indirectly, at any time during the term of your employment with the Corporation and its direct and indirect subsidiaries (collectively, the “Manpower Group”), or during the two-year period following your termination, for whatever reason, of employment with the Manpower Group, use or possess for yourself or others or disclose to others except in the good faith performance of your duties for the Manpower Group any Confidential Information (as defined below), whether or not conceived, developed, or perfected by you and no matter how it became known to you, unless (a) you first secure written consent of the Corporation to such disclosure, possession or use, (b) the same shall have lawfully become a matter of public knowledge other than by your act or omission, or (c) you are ordered to di sclose the same by a court of competent jurisdiction or are otherwise required to disclose the same by law, and you promptly notify the Corporation of such</w:t>
      </w:r>
    </w:p>
    <w:p>
      <w:pPr>
        <w:spacing w:after="0" w:line="1" w:lineRule="exact"/>
        <w:rPr>
          <w:rFonts w:ascii="Arial" w:cs="Arial" w:eastAsia="Arial" w:hAnsi="Arial"/>
          <w:sz w:val="16"/>
          <w:szCs w:val="16"/>
          <w:color w:val="auto"/>
        </w:rPr>
      </w:pPr>
    </w:p>
    <w:p>
      <w:pPr>
        <w:ind w:left="1240"/>
        <w:spacing w:after="0" w:line="295" w:lineRule="auto"/>
        <w:rPr>
          <w:rFonts w:ascii="Arial" w:cs="Arial" w:eastAsia="Arial" w:hAnsi="Arial"/>
          <w:sz w:val="16"/>
          <w:szCs w:val="16"/>
          <w:color w:val="auto"/>
        </w:rPr>
      </w:pPr>
      <w:r>
        <w:rPr>
          <w:rFonts w:ascii="Arial" w:cs="Arial" w:eastAsia="Arial" w:hAnsi="Arial"/>
          <w:sz w:val="15"/>
          <w:szCs w:val="15"/>
          <w:color w:val="auto"/>
        </w:rPr>
        <w:t>disclosure. “Confidential Information” shall mean all business information (whether or not in written form) which relates to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 Notwithstanding the foregoing, the rights of the Manpower Grou p to protect business information which constitutes trade secrets under applicable trade secrets law or privileged information shall extend beyond such two-year period, in accordance with applicable law.</w:t>
      </w:r>
    </w:p>
    <w:p>
      <w:pPr>
        <w:spacing w:after="0" w:line="182" w:lineRule="exact"/>
        <w:rPr>
          <w:rFonts w:ascii="Arial" w:cs="Arial" w:eastAsia="Arial" w:hAnsi="Arial"/>
          <w:sz w:val="16"/>
          <w:szCs w:val="16"/>
          <w:color w:val="auto"/>
        </w:rPr>
      </w:pPr>
    </w:p>
    <w:p>
      <w:pPr>
        <w:ind w:left="1240" w:right="80" w:firstLine="622"/>
        <w:spacing w:after="0" w:line="262" w:lineRule="auto"/>
        <w:tabs>
          <w:tab w:leader="none" w:pos="2156" w:val="left"/>
        </w:tabs>
        <w:numPr>
          <w:ilvl w:val="2"/>
          <w:numId w:val="32"/>
        </w:numPr>
        <w:rPr>
          <w:rFonts w:ascii="Arial" w:cs="Arial" w:eastAsia="Arial" w:hAnsi="Arial"/>
          <w:sz w:val="17"/>
          <w:szCs w:val="17"/>
          <w:color w:val="auto"/>
        </w:rPr>
      </w:pPr>
      <w:r>
        <w:rPr>
          <w:rFonts w:ascii="Arial" w:cs="Arial" w:eastAsia="Arial" w:hAnsi="Arial"/>
          <w:sz w:val="17"/>
          <w:szCs w:val="17"/>
          <w:color w:val="auto"/>
        </w:rPr>
        <w:t>Upon your termination of employment, for whatever reason, with the Manpower 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which are in your possession or under your control.</w:t>
      </w:r>
    </w:p>
    <w:p>
      <w:pPr>
        <w:spacing w:after="0" w:line="204" w:lineRule="exact"/>
        <w:rPr>
          <w:rFonts w:ascii="Arial" w:cs="Arial" w:eastAsia="Arial" w:hAnsi="Arial"/>
          <w:sz w:val="17"/>
          <w:szCs w:val="17"/>
          <w:color w:val="auto"/>
        </w:rPr>
      </w:pPr>
    </w:p>
    <w:p>
      <w:pPr>
        <w:ind w:left="620" w:right="60" w:firstLine="622"/>
        <w:spacing w:after="0" w:line="278" w:lineRule="auto"/>
        <w:tabs>
          <w:tab w:leader="none" w:pos="1526"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You agree that you will not, at any time during the term of your employment with the Manpower Group or during the one-year period following your termination, for whatever reason, of employment with the Manpower Group, either on your own account or in conjunction with or on behalf of any other person, company, business entity, or other organization whatsoever, directly or indirectly induce, solicit, entice or procure any person who is a managerial employee of any company in the Manpower Group (but in the event of your termination, any such managerial employee that you have had contact with in the two years prior to your termination) to terminate his or her employment with the Manpower Group so as to accept employment e lsewhere or to diminish or curtail the services such person provides to the Manpower Group</w:t>
      </w:r>
    </w:p>
    <w:p>
      <w:pPr>
        <w:spacing w:after="0" w:line="192" w:lineRule="exact"/>
        <w:rPr>
          <w:rFonts w:ascii="Arial" w:cs="Arial" w:eastAsia="Arial" w:hAnsi="Arial"/>
          <w:sz w:val="16"/>
          <w:szCs w:val="16"/>
          <w:color w:val="auto"/>
        </w:rPr>
      </w:pPr>
    </w:p>
    <w:p>
      <w:pPr>
        <w:ind w:left="620" w:right="60" w:firstLine="622"/>
        <w:spacing w:after="0" w:line="349" w:lineRule="auto"/>
        <w:tabs>
          <w:tab w:leader="none" w:pos="1516" w:val="left"/>
        </w:tabs>
        <w:numPr>
          <w:ilvl w:val="1"/>
          <w:numId w:val="32"/>
        </w:numPr>
        <w:rPr>
          <w:rFonts w:ascii="Arial" w:cs="Arial" w:eastAsia="Arial" w:hAnsi="Arial"/>
          <w:sz w:val="15"/>
          <w:szCs w:val="15"/>
          <w:color w:val="auto"/>
        </w:rPr>
      </w:pPr>
      <w:r>
        <w:rPr>
          <w:rFonts w:ascii="Arial" w:cs="Arial" w:eastAsia="Arial" w:hAnsi="Arial"/>
          <w:sz w:val="15"/>
          <w:szCs w:val="15"/>
          <w:u w:val="single" w:color="auto"/>
          <w:color w:val="auto"/>
        </w:rPr>
        <w:t>Injunction</w:t>
      </w:r>
      <w:r>
        <w:rPr>
          <w:rFonts w:ascii="Arial" w:cs="Arial" w:eastAsia="Arial" w:hAnsi="Arial"/>
          <w:sz w:val="15"/>
          <w:szCs w:val="15"/>
          <w:color w:val="auto"/>
        </w:rPr>
        <w:t>. You recognize that irreparable and incalculable injury will result to the Manpower Group and its businesses and properties in the event of your breach of any of the restrictions imposed by Sections 6(a) - (b), above. You therefore agree that, in the event of any such actual, impending or</w:t>
      </w:r>
    </w:p>
    <w:p>
      <w:pPr>
        <w:sectPr>
          <w:pgSz w:w="11900" w:h="16897" w:orient="portrait"/>
          <w:cols w:equalWidth="0" w:num="1">
            <w:col w:w="11420"/>
          </w:cols>
          <w:pgMar w:left="240" w:top="118" w:right="239" w:bottom="0" w:gutter="0" w:footer="0" w:header="0"/>
        </w:sectPr>
      </w:pPr>
    </w:p>
    <w:bookmarkStart w:id="20" w:name="page21"/>
    <w:bookmarkEnd w:id="20"/>
    <w:p>
      <w:pPr>
        <w:jc w:val="both"/>
        <w:ind w:left="620" w:right="120"/>
        <w:spacing w:after="0" w:line="262" w:lineRule="auto"/>
        <w:rPr>
          <w:sz w:val="20"/>
          <w:szCs w:val="20"/>
          <w:color w:val="auto"/>
        </w:rPr>
      </w:pPr>
      <w:r>
        <w:rPr>
          <w:rFonts w:ascii="Arial" w:cs="Arial" w:eastAsia="Arial" w:hAnsi="Arial"/>
          <w:sz w:val="17"/>
          <w:szCs w:val="17"/>
          <w:color w:val="auto"/>
        </w:rPr>
        <w:t>threatened breach, the Corporation will be entitled, in addition to any other remedies and damages available to, including, but not limited to, provisional or interim measures, including temporary and permanent injunctive relief, without the necessity of posting a bond or other security, from a court of competent jurisdiction restraining the violation, or further violation, of such restrictions by you and by any other person or entity for wh om you may be acting or who is acting for you or in concert with you..</w:t>
      </w:r>
    </w:p>
    <w:p>
      <w:pPr>
        <w:spacing w:after="0" w:line="205" w:lineRule="exact"/>
        <w:rPr>
          <w:sz w:val="20"/>
          <w:szCs w:val="20"/>
          <w:color w:val="auto"/>
        </w:rPr>
      </w:pPr>
    </w:p>
    <w:p>
      <w:pPr>
        <w:ind w:right="460" w:firstLine="623"/>
        <w:spacing w:after="0" w:line="280" w:lineRule="auto"/>
        <w:tabs>
          <w:tab w:leader="none" w:pos="834"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This letter agreement will be binding on the Corporation and its successors and will inure to the benefit of and be enforceable by your personal or legal representatives, heirs and successors.</w:t>
      </w:r>
    </w:p>
    <w:p>
      <w:pPr>
        <w:spacing w:after="0" w:line="189" w:lineRule="exact"/>
        <w:rPr>
          <w:rFonts w:ascii="Arial" w:cs="Arial" w:eastAsia="Arial" w:hAnsi="Arial"/>
          <w:sz w:val="17"/>
          <w:szCs w:val="17"/>
          <w:color w:val="auto"/>
        </w:rPr>
      </w:pPr>
    </w:p>
    <w:p>
      <w:pPr>
        <w:ind w:right="40" w:firstLine="623"/>
        <w:spacing w:after="0" w:line="266" w:lineRule="auto"/>
        <w:tabs>
          <w:tab w:leader="none" w:pos="834"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1" w:lineRule="exact"/>
        <w:rPr>
          <w:rFonts w:ascii="Arial" w:cs="Arial" w:eastAsia="Arial" w:hAnsi="Arial"/>
          <w:sz w:val="17"/>
          <w:szCs w:val="17"/>
          <w:color w:val="auto"/>
        </w:rPr>
      </w:pPr>
    </w:p>
    <w:p>
      <w:pPr>
        <w:ind w:right="140" w:firstLine="623"/>
        <w:spacing w:after="0" w:line="266" w:lineRule="auto"/>
        <w:tabs>
          <w:tab w:leader="none" w:pos="834"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No Right to Remain Employed</w:t>
      </w:r>
      <w:r>
        <w:rPr>
          <w:rFonts w:ascii="Arial" w:cs="Arial" w:eastAsia="Arial" w:hAnsi="Arial"/>
          <w:sz w:val="17"/>
          <w:szCs w:val="17"/>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subject to the obligations of the Corporation and the Manpower Group as set forth herein.</w:t>
      </w:r>
    </w:p>
    <w:p>
      <w:pPr>
        <w:spacing w:after="0" w:line="201" w:lineRule="exact"/>
        <w:rPr>
          <w:rFonts w:ascii="Arial" w:cs="Arial" w:eastAsia="Arial" w:hAnsi="Arial"/>
          <w:sz w:val="17"/>
          <w:szCs w:val="17"/>
          <w:color w:val="auto"/>
        </w:rPr>
      </w:pPr>
    </w:p>
    <w:p>
      <w:pPr>
        <w:ind w:right="200" w:firstLine="623"/>
        <w:spacing w:after="0" w:line="280" w:lineRule="auto"/>
        <w:tabs>
          <w:tab w:leader="none" w:pos="92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No provision of this letter may be modified, waived or discharged unless such waiver, modification or discharge is agreed to in writing by you and the Corporation.</w:t>
      </w:r>
    </w:p>
    <w:p>
      <w:pPr>
        <w:spacing w:after="0" w:line="189" w:lineRule="exact"/>
        <w:rPr>
          <w:rFonts w:ascii="Arial" w:cs="Arial" w:eastAsia="Arial" w:hAnsi="Arial"/>
          <w:sz w:val="17"/>
          <w:szCs w:val="17"/>
          <w:color w:val="auto"/>
        </w:rPr>
      </w:pPr>
    </w:p>
    <w:p>
      <w:pPr>
        <w:ind w:right="200" w:firstLine="623"/>
        <w:spacing w:after="0" w:line="280" w:lineRule="auto"/>
        <w:tabs>
          <w:tab w:leader="none" w:pos="914"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89" w:lineRule="exact"/>
        <w:rPr>
          <w:rFonts w:ascii="Arial" w:cs="Arial" w:eastAsia="Arial" w:hAnsi="Arial"/>
          <w:sz w:val="17"/>
          <w:szCs w:val="17"/>
          <w:color w:val="auto"/>
        </w:rPr>
      </w:pPr>
    </w:p>
    <w:p>
      <w:pPr>
        <w:ind w:right="20" w:firstLine="623"/>
        <w:spacing w:after="0" w:line="280" w:lineRule="auto"/>
        <w:tabs>
          <w:tab w:leader="none" w:pos="92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shall be governed by and interpreted in accordance with the laws of the State of New York, United States of America, without regard to its conflict of law provisions.</w:t>
      </w:r>
    </w:p>
    <w:p>
      <w:pPr>
        <w:spacing w:after="0" w:line="189" w:lineRule="exact"/>
        <w:rPr>
          <w:rFonts w:ascii="Arial" w:cs="Arial" w:eastAsia="Arial" w:hAnsi="Arial"/>
          <w:sz w:val="17"/>
          <w:szCs w:val="17"/>
          <w:color w:val="auto"/>
        </w:rPr>
      </w:pPr>
    </w:p>
    <w:p>
      <w:pPr>
        <w:ind w:right="200" w:firstLine="623"/>
        <w:spacing w:after="0" w:line="266" w:lineRule="auto"/>
        <w:tabs>
          <w:tab w:leader="none" w:pos="92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Previous Agreement</w:t>
      </w:r>
      <w:r>
        <w:rPr>
          <w:rFonts w:ascii="Arial" w:cs="Arial" w:eastAsia="Arial" w:hAnsi="Arial"/>
          <w:sz w:val="17"/>
          <w:szCs w:val="17"/>
          <w:color w:val="auto"/>
        </w:rPr>
        <w:t>. This letter, upon acceptance by you, expressly supersedes that certain letter agreement between you and the Corporation dated February 20, 2008, which primarily concerns your compensation and benefits, and such agreement shall, as of the date of your acceptance, have no further force or effect.</w:t>
      </w:r>
    </w:p>
    <w:p>
      <w:pPr>
        <w:spacing w:after="0" w:line="201" w:lineRule="exact"/>
        <w:rPr>
          <w:rFonts w:ascii="Arial" w:cs="Arial" w:eastAsia="Arial" w:hAnsi="Arial"/>
          <w:sz w:val="17"/>
          <w:szCs w:val="17"/>
          <w:color w:val="auto"/>
        </w:rPr>
      </w:pPr>
    </w:p>
    <w:p>
      <w:pPr>
        <w:ind w:right="40" w:firstLine="623"/>
        <w:spacing w:after="0" w:line="283" w:lineRule="auto"/>
        <w:tabs>
          <w:tab w:leader="none" w:pos="920"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Subsection 6(c)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14, the party initiating arbitration shall be denominated the “Claimant” and the other party shall be denominated the “Respondent.”</w:t>
      </w:r>
    </w:p>
    <w:p>
      <w:pPr>
        <w:spacing w:after="0" w:line="190" w:lineRule="exact"/>
        <w:rPr>
          <w:rFonts w:ascii="Arial" w:cs="Arial" w:eastAsia="Arial" w:hAnsi="Arial"/>
          <w:sz w:val="16"/>
          <w:szCs w:val="16"/>
          <w:color w:val="auto"/>
        </w:rPr>
      </w:pPr>
    </w:p>
    <w:p>
      <w:pPr>
        <w:ind w:left="820" w:right="120" w:hanging="236"/>
        <w:spacing w:after="0" w:line="271" w:lineRule="auto"/>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 rica. The arbitration shall be conducted in the English language. Judgment upon the award rendered by the arbitrator may be entered by any court having jurisdiction</w:t>
      </w:r>
    </w:p>
    <w:p>
      <w:pPr>
        <w:spacing w:after="0" w:line="1" w:lineRule="exact"/>
        <w:rPr>
          <w:rFonts w:ascii="Arial" w:cs="Arial" w:eastAsia="Arial" w:hAnsi="Arial"/>
          <w:sz w:val="16"/>
          <w:szCs w:val="16"/>
          <w:color w:val="auto"/>
        </w:rPr>
      </w:pPr>
    </w:p>
    <w:p>
      <w:pPr>
        <w:ind w:left="820" w:right="40"/>
        <w:spacing w:after="0" w:line="279" w:lineRule="auto"/>
        <w:rPr>
          <w:rFonts w:ascii="Arial" w:cs="Arial" w:eastAsia="Arial" w:hAnsi="Arial"/>
          <w:sz w:val="16"/>
          <w:szCs w:val="16"/>
          <w:color w:val="auto"/>
        </w:rPr>
      </w:pPr>
      <w:r>
        <w:rPr>
          <w:rFonts w:ascii="Arial" w:cs="Arial" w:eastAsia="Arial" w:hAnsi="Arial"/>
          <w:sz w:val="16"/>
          <w:szCs w:val="16"/>
          <w:color w:val="auto"/>
        </w:rPr>
        <w:t>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91" w:lineRule="exact"/>
        <w:rPr>
          <w:rFonts w:ascii="Arial" w:cs="Arial" w:eastAsia="Arial" w:hAnsi="Arial"/>
          <w:sz w:val="16"/>
          <w:szCs w:val="16"/>
          <w:color w:val="auto"/>
        </w:rPr>
      </w:pPr>
    </w:p>
    <w:p>
      <w:pPr>
        <w:jc w:val="both"/>
        <w:ind w:left="1240" w:hanging="284"/>
        <w:spacing w:after="0" w:line="273" w:lineRule="auto"/>
        <w:tabs>
          <w:tab w:leader="none" w:pos="1240" w:val="left"/>
        </w:tabs>
        <w:numPr>
          <w:ilvl w:val="2"/>
          <w:numId w:val="34"/>
        </w:numPr>
        <w:rPr>
          <w:rFonts w:ascii="Arial" w:cs="Arial" w:eastAsia="Arial" w:hAnsi="Arial"/>
          <w:sz w:val="16"/>
          <w:szCs w:val="16"/>
          <w:color w:val="auto"/>
        </w:rPr>
      </w:pPr>
      <w:r>
        <w:rPr>
          <w:rFonts w:ascii="Arial" w:cs="Arial" w:eastAsia="Arial" w:hAnsi="Arial"/>
          <w:sz w:val="16"/>
          <w:szCs w:val="16"/>
          <w:color w:val="auto"/>
        </w:rPr>
        <w:t xml:space="preserve">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1" w:lineRule="exact"/>
        <w:rPr>
          <w:rFonts w:ascii="Arial" w:cs="Arial" w:eastAsia="Arial" w:hAnsi="Arial"/>
          <w:sz w:val="16"/>
          <w:szCs w:val="16"/>
          <w:color w:val="auto"/>
        </w:rPr>
      </w:pPr>
    </w:p>
    <w:p>
      <w:pPr>
        <w:ind w:right="20" w:firstLine="623"/>
        <w:spacing w:after="0" w:line="280" w:lineRule="auto"/>
        <w:tabs>
          <w:tab w:leader="none" w:pos="920"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obligations imposed by Paragraph 6, above, of this agreement are severable and should be construed independently of each other. The invalidity of one such provision shall not affect the validity of any other such provision.</w:t>
      </w:r>
    </w:p>
    <w:p>
      <w:pPr>
        <w:spacing w:after="0" w:line="189" w:lineRule="exact"/>
        <w:rPr>
          <w:sz w:val="20"/>
          <w:szCs w:val="20"/>
          <w:color w:val="auto"/>
        </w:rPr>
      </w:pPr>
    </w:p>
    <w:p>
      <w:pPr>
        <w:ind w:right="380" w:firstLine="620"/>
        <w:spacing w:after="0" w:line="280" w:lineRule="auto"/>
        <w:rPr>
          <w:sz w:val="20"/>
          <w:szCs w:val="20"/>
          <w:color w:val="auto"/>
        </w:rPr>
      </w:pPr>
      <w:r>
        <w:rPr>
          <w:rFonts w:ascii="Arial" w:cs="Arial" w:eastAsia="Arial" w:hAnsi="Arial"/>
          <w:sz w:val="17"/>
          <w:szCs w:val="17"/>
          <w:color w:val="auto"/>
        </w:rPr>
        <w:t>If you are in agreement with the foregoing, please sign and return one copy of this letter which will constitute our agreement with respect to the subject matter of this letter.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-8890</wp:posOffset>
            </wp:positionV>
            <wp:extent cx="133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Jeffrey A. Joerres, President</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and Chief Executive Officer</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Agreed as of the 16th day of February, 2011.</w:t>
      </w:r>
    </w:p>
    <w:p>
      <w:pPr>
        <w:sectPr>
          <w:pgSz w:w="11900" w:h="16838" w:orient="portrait"/>
          <w:cols w:equalWidth="0" w:num="1">
            <w:col w:w="11420"/>
          </w:cols>
          <w:pgMar w:left="240" w:top="127" w:right="239" w:bottom="206"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/s/ Michael J. Van Handel</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Michael J. Van Handel</w:t>
      </w:r>
    </w:p>
    <w:p>
      <w:pPr>
        <w:sectPr>
          <w:pgSz w:w="11900" w:h="16838" w:orient="portrait"/>
          <w:cols w:equalWidth="0" w:num="1">
            <w:col w:w="10219"/>
          </w:cols>
          <w:pgMar w:left="240" w:top="350" w:right="1440" w:bottom="1440" w:gutter="0" w:footer="0" w:header="0"/>
        </w:sectPr>
      </w:pPr>
    </w:p>
    <w:bookmarkStart w:id="22" w:name="page23"/>
    <w:bookmarkEnd w:id="22"/>
    <w:p>
      <w:pPr>
        <w:ind w:left="10440"/>
        <w:spacing w:after="0"/>
        <w:rPr>
          <w:sz w:val="20"/>
          <w:szCs w:val="20"/>
          <w:color w:val="auto"/>
        </w:rPr>
      </w:pPr>
      <w:r>
        <w:rPr>
          <w:rFonts w:ascii="Arial" w:cs="Arial" w:eastAsia="Arial" w:hAnsi="Arial"/>
          <w:sz w:val="17"/>
          <w:szCs w:val="17"/>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Manpower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 Manpower Place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Milwaukee, Wisconsin 53212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February 16, 2011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Mr. Michael J. Van Handel:</w:t>
      </w:r>
    </w:p>
    <w:p>
      <w:pPr>
        <w:spacing w:after="0" w:line="243" w:lineRule="exact"/>
        <w:rPr>
          <w:sz w:val="20"/>
          <w:szCs w:val="20"/>
          <w:color w:val="auto"/>
        </w:rPr>
      </w:pPr>
    </w:p>
    <w:p>
      <w:pPr>
        <w:ind w:right="220" w:firstLine="620"/>
        <w:spacing w:after="0" w:line="266" w:lineRule="auto"/>
        <w:rPr>
          <w:sz w:val="20"/>
          <w:szCs w:val="20"/>
          <w:color w:val="auto"/>
        </w:rPr>
      </w:pPr>
      <w:r>
        <w:rPr>
          <w:rFonts w:ascii="Arial" w:cs="Arial" w:eastAsia="Arial" w:hAnsi="Arial"/>
          <w:sz w:val="17"/>
          <w:szCs w:val="17"/>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have agreed as follows:</w:t>
      </w:r>
    </w:p>
    <w:p>
      <w:pPr>
        <w:spacing w:after="0" w:line="202" w:lineRule="exact"/>
        <w:rPr>
          <w:sz w:val="20"/>
          <w:szCs w:val="20"/>
          <w:color w:val="auto"/>
        </w:rPr>
      </w:pPr>
    </w:p>
    <w:p>
      <w:pPr>
        <w:ind w:left="620" w:hanging="212"/>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letter:</w:t>
      </w:r>
    </w:p>
    <w:p>
      <w:pPr>
        <w:spacing w:after="0" w:line="243" w:lineRule="exact"/>
        <w:rPr>
          <w:rFonts w:ascii="Arial" w:cs="Arial" w:eastAsia="Arial" w:hAnsi="Arial"/>
          <w:sz w:val="17"/>
          <w:szCs w:val="17"/>
          <w:color w:val="auto"/>
        </w:rPr>
      </w:pPr>
    </w:p>
    <w:p>
      <w:pPr>
        <w:jc w:val="both"/>
        <w:ind w:left="1240" w:hanging="275"/>
        <w:spacing w:after="0" w:line="273" w:lineRule="auto"/>
        <w:tabs>
          <w:tab w:leader="none" w:pos="1240"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Termination by the Manpower Group of your employment with the Manpower Group for “Cause” will mean termination upon (i) your repeated failure to perform your duties with the Manpower 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Manpower Group, (iv) any violation by you of a Manpower Group policy of material import, (v) any act by you of moral turpitude which is likely to result in discredit to or loss of business, reputation or goodwill of the Manpower Group, (vi) your chronic absence from work other than by reason of a serious health condition, (vii) your commission of a crime the circumstances of which substantially relate to your employment duties with the Manpower Group, or (viii) the willful engaging by you in conduct which is demonstrably and materially injurious to the Manpower Group. For purposes of this Subsection 1(a), no act, or failure to act, on your part will be deemed “willful” unless done, or omitted to be done, by you not in good faith.</w:t>
      </w:r>
    </w:p>
    <w:p>
      <w:pPr>
        <w:spacing w:after="0" w:line="198" w:lineRule="exact"/>
        <w:rPr>
          <w:rFonts w:ascii="Arial" w:cs="Arial" w:eastAsia="Arial" w:hAnsi="Arial"/>
          <w:sz w:val="16"/>
          <w:szCs w:val="16"/>
          <w:color w:val="auto"/>
        </w:rPr>
      </w:pPr>
    </w:p>
    <w:p>
      <w:pPr>
        <w:ind w:left="1240" w:hanging="284"/>
        <w:spacing w:after="0"/>
        <w:tabs>
          <w:tab w:leader="none" w:pos="1240"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A “Change of Control” shall mean the first to occur of any of the following:</w:t>
      </w:r>
    </w:p>
    <w:p>
      <w:pPr>
        <w:spacing w:after="0" w:line="243" w:lineRule="exact"/>
        <w:rPr>
          <w:rFonts w:ascii="Arial" w:cs="Arial" w:eastAsia="Arial" w:hAnsi="Arial"/>
          <w:sz w:val="17"/>
          <w:szCs w:val="17"/>
          <w:color w:val="auto"/>
        </w:rPr>
      </w:pPr>
    </w:p>
    <w:p>
      <w:pPr>
        <w:jc w:val="both"/>
        <w:ind w:left="1860" w:hanging="247"/>
        <w:spacing w:after="0" w:line="292" w:lineRule="auto"/>
        <w:tabs>
          <w:tab w:leader="none" w:pos="1860" w:val="left"/>
        </w:tabs>
        <w:numPr>
          <w:ilvl w:val="2"/>
          <w:numId w:val="35"/>
        </w:numPr>
        <w:rPr>
          <w:rFonts w:ascii="Arial" w:cs="Arial" w:eastAsia="Arial" w:hAnsi="Arial"/>
          <w:sz w:val="15"/>
          <w:szCs w:val="15"/>
          <w:color w:val="auto"/>
        </w:rPr>
      </w:pPr>
      <w:r>
        <w:rPr>
          <w:rFonts w:ascii="Arial" w:cs="Arial" w:eastAsia="Arial" w:hAnsi="Arial"/>
          <w:sz w:val="15"/>
          <w:szCs w:val="15"/>
          <w:color w:val="auto"/>
        </w:rPr>
        <w:t xml:space="preserve">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no Change of Control shall be deemed to have occurred as a result of an acquisition of shares of common stock or voting securities of the Corpo 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91" w:lineRule="exact"/>
        <w:rPr>
          <w:rFonts w:ascii="Arial" w:cs="Arial" w:eastAsia="Arial" w:hAnsi="Arial"/>
          <w:sz w:val="15"/>
          <w:szCs w:val="15"/>
          <w:color w:val="auto"/>
        </w:rPr>
      </w:pPr>
    </w:p>
    <w:p>
      <w:pPr>
        <w:jc w:val="both"/>
        <w:ind w:left="1860" w:hanging="294"/>
        <w:spacing w:after="0" w:line="299" w:lineRule="auto"/>
        <w:tabs>
          <w:tab w:leader="none" w:pos="1860" w:val="left"/>
        </w:tabs>
        <w:numPr>
          <w:ilvl w:val="2"/>
          <w:numId w:val="35"/>
        </w:numPr>
        <w:rPr>
          <w:rFonts w:ascii="Arial" w:cs="Arial" w:eastAsia="Arial" w:hAnsi="Arial"/>
          <w:sz w:val="15"/>
          <w:szCs w:val="15"/>
          <w:color w:val="auto"/>
        </w:rPr>
      </w:pPr>
      <w:r>
        <w:rPr>
          <w:rFonts w:ascii="Arial" w:cs="Arial" w:eastAsia="Arial" w:hAnsi="Arial"/>
          <w:sz w:val="15"/>
          <w:szCs w:val="15"/>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81" w:lineRule="exact"/>
        <w:rPr>
          <w:rFonts w:ascii="Arial" w:cs="Arial" w:eastAsia="Arial" w:hAnsi="Arial"/>
          <w:sz w:val="15"/>
          <w:szCs w:val="15"/>
          <w:color w:val="auto"/>
        </w:rPr>
      </w:pPr>
    </w:p>
    <w:p>
      <w:pPr>
        <w:ind w:left="1860" w:hanging="342"/>
        <w:spacing w:after="0" w:line="280" w:lineRule="auto"/>
        <w:tabs>
          <w:tab w:leader="none" w:pos="1860" w:val="left"/>
        </w:tabs>
        <w:numPr>
          <w:ilvl w:val="2"/>
          <w:numId w:val="35"/>
        </w:numPr>
        <w:rPr>
          <w:rFonts w:ascii="Arial" w:cs="Arial" w:eastAsia="Arial" w:hAnsi="Arial"/>
          <w:sz w:val="17"/>
          <w:szCs w:val="17"/>
          <w:color w:val="auto"/>
        </w:rPr>
      </w:pPr>
      <w:r>
        <w:rPr>
          <w:rFonts w:ascii="Arial" w:cs="Arial" w:eastAsia="Arial" w:hAnsi="Arial"/>
          <w:sz w:val="17"/>
          <w:szCs w:val="17"/>
          <w:color w:val="auto"/>
        </w:rPr>
        <w:t>the consummation of any liquidation or dissolution of the Corporation or a sale or other disposition of all or substantially all of the assets of the Corporation; or</w:t>
      </w:r>
    </w:p>
    <w:p>
      <w:pPr>
        <w:spacing w:after="0" w:line="189" w:lineRule="exact"/>
        <w:rPr>
          <w:rFonts w:ascii="Arial" w:cs="Arial" w:eastAsia="Arial" w:hAnsi="Arial"/>
          <w:sz w:val="17"/>
          <w:szCs w:val="17"/>
          <w:color w:val="auto"/>
        </w:rPr>
      </w:pPr>
    </w:p>
    <w:p>
      <w:pPr>
        <w:jc w:val="both"/>
        <w:ind w:left="1860" w:hanging="333"/>
        <w:spacing w:after="0" w:line="257" w:lineRule="auto"/>
        <w:tabs>
          <w:tab w:leader="none" w:pos="1860" w:val="left"/>
        </w:tabs>
        <w:numPr>
          <w:ilvl w:val="2"/>
          <w:numId w:val="35"/>
        </w:numPr>
        <w:rPr>
          <w:rFonts w:ascii="Arial" w:cs="Arial" w:eastAsia="Arial" w:hAnsi="Arial"/>
          <w:sz w:val="17"/>
          <w:szCs w:val="17"/>
          <w:color w:val="auto"/>
        </w:rPr>
      </w:pPr>
      <w:r>
        <w:rPr>
          <w:rFonts w:ascii="Arial" w:cs="Arial" w:eastAsia="Arial" w:hAnsi="Arial"/>
          <w:sz w:val="17"/>
          <w:szCs w:val="17"/>
          <w:color w:val="auto"/>
        </w:rPr>
        <w:t xml:space="preserve">individuals who, as of the date of this letter, constitute the Board of Directors of the Corporation (as of such date, the “Incumbent Board”) cease for any reason to constitute at least a majority of such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person becoming a director subsequent to the date of this letter whose election, or nomination for election by the shareholders of the Corporation, was approved by a vote of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 reatened election contest which was (or, if threatened, would have been) subject to Exchange Act Rule 14a-12(c); or</w:t>
      </w:r>
    </w:p>
    <w:p>
      <w:pPr>
        <w:spacing w:after="0" w:line="212" w:lineRule="exact"/>
        <w:rPr>
          <w:rFonts w:ascii="Arial" w:cs="Arial" w:eastAsia="Arial" w:hAnsi="Arial"/>
          <w:sz w:val="17"/>
          <w:szCs w:val="17"/>
          <w:color w:val="auto"/>
        </w:rPr>
      </w:pPr>
    </w:p>
    <w:p>
      <w:pPr>
        <w:jc w:val="both"/>
        <w:ind w:left="1860" w:hanging="285"/>
        <w:spacing w:after="0" w:line="318" w:lineRule="auto"/>
        <w:tabs>
          <w:tab w:leader="none" w:pos="1860" w:val="left"/>
        </w:tabs>
        <w:numPr>
          <w:ilvl w:val="2"/>
          <w:numId w:val="35"/>
        </w:numPr>
        <w:rPr>
          <w:rFonts w:ascii="Arial" w:cs="Arial" w:eastAsia="Arial" w:hAnsi="Arial"/>
          <w:sz w:val="15"/>
          <w:szCs w:val="15"/>
          <w:color w:val="auto"/>
        </w:rPr>
      </w:pPr>
      <w:r>
        <w:rPr>
          <w:rFonts w:ascii="Arial" w:cs="Arial" w:eastAsia="Arial" w:hAnsi="Arial"/>
          <w:sz w:val="15"/>
          <w:szCs w:val="15"/>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66"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ectPr>
          <w:pgSz w:w="11900" w:h="16838" w:orient="portrait"/>
          <w:cols w:equalWidth="0" w:num="1">
            <w:col w:w="11420"/>
          </w:cols>
          <w:pgMar w:left="240" w:top="118" w:right="239" w:bottom="0" w:gutter="0" w:footer="0" w:header="0"/>
        </w:sectPr>
      </w:pPr>
    </w:p>
    <w:bookmarkStart w:id="23" w:name="page24"/>
    <w:bookmarkEnd w:id="23"/>
    <w:p>
      <w:pPr>
        <w:ind w:left="832" w:hanging="275"/>
        <w:spacing w:after="0"/>
        <w:tabs>
          <w:tab w:leader="none" w:pos="832"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43" w:lineRule="exact"/>
        <w:rPr>
          <w:rFonts w:ascii="Arial" w:cs="Arial" w:eastAsia="Arial" w:hAnsi="Arial"/>
          <w:sz w:val="17"/>
          <w:szCs w:val="17"/>
          <w:color w:val="auto"/>
        </w:rPr>
      </w:pPr>
    </w:p>
    <w:p>
      <w:pPr>
        <w:ind w:left="1472" w:hanging="638"/>
        <w:spacing w:after="0"/>
        <w:tabs>
          <w:tab w:leader="none" w:pos="1472" w:val="left"/>
        </w:tabs>
        <w:numPr>
          <w:ilvl w:val="1"/>
          <w:numId w:val="36"/>
        </w:numPr>
        <w:rPr>
          <w:rFonts w:ascii="Arial" w:cs="Arial" w:eastAsia="Arial" w:hAnsi="Arial"/>
          <w:sz w:val="17"/>
          <w:szCs w:val="17"/>
          <w:color w:val="auto"/>
        </w:rPr>
      </w:pPr>
      <w:r>
        <w:rPr>
          <w:rFonts w:ascii="Arial" w:cs="Arial" w:eastAsia="Arial" w:hAnsi="Arial"/>
          <w:sz w:val="17"/>
          <w:szCs w:val="17"/>
          <w:color w:val="auto"/>
        </w:rPr>
        <w:t>a material diminution in your authority, duties or responsibilities;</w:t>
      </w:r>
    </w:p>
    <w:p>
      <w:pPr>
        <w:spacing w:after="0" w:line="243" w:lineRule="exact"/>
        <w:rPr>
          <w:rFonts w:ascii="Arial" w:cs="Arial" w:eastAsia="Arial" w:hAnsi="Arial"/>
          <w:sz w:val="17"/>
          <w:szCs w:val="17"/>
          <w:color w:val="auto"/>
        </w:rPr>
      </w:pPr>
    </w:p>
    <w:p>
      <w:pPr>
        <w:ind w:left="1452" w:right="320" w:hanging="618"/>
        <w:spacing w:after="0" w:line="280" w:lineRule="auto"/>
        <w:tabs>
          <w:tab w:leader="none" w:pos="1452"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any material breach of this agreement by the Corporation or of any material obligation of any member of the Manpower Group for the payment or provision of compensation or other benefits to you;</w:t>
      </w:r>
    </w:p>
    <w:p>
      <w:pPr>
        <w:spacing w:after="0" w:line="189" w:lineRule="exact"/>
        <w:rPr>
          <w:rFonts w:ascii="Arial" w:cs="Arial" w:eastAsia="Arial" w:hAnsi="Arial"/>
          <w:sz w:val="17"/>
          <w:szCs w:val="17"/>
          <w:color w:val="auto"/>
        </w:rPr>
      </w:pPr>
    </w:p>
    <w:p>
      <w:pPr>
        <w:ind w:left="1452" w:right="80" w:hanging="618"/>
        <w:spacing w:after="0" w:line="280" w:lineRule="auto"/>
        <w:tabs>
          <w:tab w:leader="none" w:pos="1452" w:val="left"/>
        </w:tabs>
        <w:numPr>
          <w:ilvl w:val="1"/>
          <w:numId w:val="36"/>
        </w:numPr>
        <w:rPr>
          <w:rFonts w:ascii="Arial" w:cs="Arial" w:eastAsia="Arial" w:hAnsi="Arial"/>
          <w:sz w:val="17"/>
          <w:szCs w:val="17"/>
          <w:color w:val="auto"/>
        </w:rPr>
      </w:pPr>
      <w:r>
        <w:rPr>
          <w:rFonts w:ascii="Arial" w:cs="Arial" w:eastAsia="Arial" w:hAnsi="Arial"/>
          <w:sz w:val="17"/>
          <w:szCs w:val="17"/>
          <w:color w:val="auto"/>
        </w:rPr>
        <w:t>a material diminution in your base salary or a failure by the Manpower Group to provide an arrangement for you for any fiscal year of the Manpower Group giving you the opportunity to earn an incentive bonus for such year;</w:t>
      </w:r>
    </w:p>
    <w:p>
      <w:pPr>
        <w:spacing w:after="0" w:line="189" w:lineRule="exact"/>
        <w:rPr>
          <w:rFonts w:ascii="Arial" w:cs="Arial" w:eastAsia="Arial" w:hAnsi="Arial"/>
          <w:sz w:val="17"/>
          <w:szCs w:val="17"/>
          <w:color w:val="auto"/>
        </w:rPr>
      </w:pPr>
    </w:p>
    <w:p>
      <w:pPr>
        <w:ind w:left="1452" w:right="300" w:hanging="618"/>
        <w:spacing w:after="0" w:line="280" w:lineRule="auto"/>
        <w:tabs>
          <w:tab w:leader="none" w:pos="1452" w:val="left"/>
        </w:tabs>
        <w:numPr>
          <w:ilvl w:val="1"/>
          <w:numId w:val="36"/>
        </w:numPr>
        <w:rPr>
          <w:rFonts w:ascii="Arial" w:cs="Arial" w:eastAsia="Arial" w:hAnsi="Arial"/>
          <w:sz w:val="17"/>
          <w:szCs w:val="17"/>
          <w:color w:val="auto"/>
        </w:rPr>
      </w:pPr>
      <w:r>
        <w:rPr>
          <w:rFonts w:ascii="Arial" w:cs="Arial" w:eastAsia="Arial" w:hAnsi="Arial"/>
          <w:sz w:val="17"/>
          <w:szCs w:val="17"/>
          <w:color w:val="auto"/>
        </w:rPr>
        <w:t>your being required by the Corporation to materially change the location of your principal office; provided such new location is one in excess of fifty miles from the location of your principal office before such change; or</w:t>
      </w:r>
    </w:p>
    <w:p>
      <w:pPr>
        <w:spacing w:after="0" w:line="189" w:lineRule="exact"/>
        <w:rPr>
          <w:rFonts w:ascii="Arial" w:cs="Arial" w:eastAsia="Arial" w:hAnsi="Arial"/>
          <w:sz w:val="17"/>
          <w:szCs w:val="17"/>
          <w:color w:val="auto"/>
        </w:rPr>
      </w:pPr>
    </w:p>
    <w:p>
      <w:pPr>
        <w:ind w:left="1452" w:right="20" w:hanging="618"/>
        <w:spacing w:after="0" w:line="266" w:lineRule="auto"/>
        <w:tabs>
          <w:tab w:leader="none" w:pos="1452" w:val="left"/>
        </w:tabs>
        <w:numPr>
          <w:ilvl w:val="1"/>
          <w:numId w:val="36"/>
        </w:numPr>
        <w:rPr>
          <w:rFonts w:ascii="Arial" w:cs="Arial" w:eastAsia="Arial" w:hAnsi="Arial"/>
          <w:sz w:val="17"/>
          <w:szCs w:val="17"/>
          <w:color w:val="auto"/>
        </w:rPr>
      </w:pPr>
      <w:r>
        <w:rPr>
          <w:rFonts w:ascii="Arial" w:cs="Arial" w:eastAsia="Arial" w:hAnsi="Arial"/>
          <w:sz w:val="17"/>
          <w:szCs w:val="17"/>
          <w:color w:val="auto"/>
        </w:rPr>
        <w:t>a material diminution in your annual target bonus opportunity for a given fiscal year within two years after the occurrence of a Change of Control, as compared to the annual target bonus opportunity for the fiscal year immediately preceding the fiscal year in which a Change of Control occurred.</w:t>
      </w:r>
    </w:p>
    <w:p>
      <w:pPr>
        <w:spacing w:after="0" w:line="202" w:lineRule="exact"/>
        <w:rPr>
          <w:sz w:val="20"/>
          <w:szCs w:val="20"/>
          <w:color w:val="auto"/>
        </w:rPr>
      </w:pPr>
    </w:p>
    <w:p>
      <w:pPr>
        <w:ind w:left="832" w:right="20"/>
        <w:spacing w:after="0" w:line="262" w:lineRule="auto"/>
        <w:rPr>
          <w:sz w:val="20"/>
          <w:szCs w:val="20"/>
          <w:color w:val="auto"/>
        </w:rPr>
      </w:pPr>
      <w:r>
        <w:rPr>
          <w:rFonts w:ascii="Arial" w:cs="Arial" w:eastAsia="Arial" w:hAnsi="Arial"/>
          <w:sz w:val="17"/>
          <w:szCs w:val="17"/>
          <w:color w:val="auto"/>
        </w:rPr>
        <w:t>Notwithstanding Subsections 1(c)(i) – (v)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Manpower Group is terminated by you within ninety (90) days after such diminution or breach occurs.</w:t>
      </w:r>
    </w:p>
    <w:p>
      <w:pPr>
        <w:spacing w:after="0" w:line="205" w:lineRule="exact"/>
        <w:rPr>
          <w:sz w:val="20"/>
          <w:szCs w:val="20"/>
          <w:color w:val="auto"/>
        </w:rPr>
      </w:pPr>
    </w:p>
    <w:p>
      <w:pPr>
        <w:jc w:val="both"/>
        <w:ind w:left="832" w:hanging="284"/>
        <w:spacing w:after="0" w:line="260" w:lineRule="auto"/>
        <w:tabs>
          <w:tab w:leader="none" w:pos="832"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205" w:lineRule="exact"/>
        <w:rPr>
          <w:rFonts w:ascii="Arial" w:cs="Arial" w:eastAsia="Arial" w:hAnsi="Arial"/>
          <w:sz w:val="17"/>
          <w:szCs w:val="17"/>
          <w:color w:val="auto"/>
        </w:rPr>
      </w:pPr>
    </w:p>
    <w:p>
      <w:pPr>
        <w:ind w:left="832" w:hanging="275"/>
        <w:spacing w:after="0" w:line="312" w:lineRule="auto"/>
        <w:tabs>
          <w:tab w:leader="none" w:pos="832"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66" w:lineRule="exact"/>
        <w:rPr>
          <w:rFonts w:ascii="Arial" w:cs="Arial" w:eastAsia="Arial" w:hAnsi="Arial"/>
          <w:sz w:val="16"/>
          <w:szCs w:val="16"/>
          <w:color w:val="auto"/>
        </w:rPr>
      </w:pPr>
    </w:p>
    <w:p>
      <w:pPr>
        <w:jc w:val="both"/>
        <w:ind w:left="832" w:hanging="256"/>
        <w:spacing w:after="0" w:line="266" w:lineRule="auto"/>
        <w:tabs>
          <w:tab w:leader="none" w:pos="832"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will be a period beginning on the date of this letter indicated above and ending on the first to occur of the following: (a) the date two years after the occurrence of a Change of Control; (b) February 16, 2014, if no Change of Control occurs between the date of this letter indicated above and February 16, 2014; and (c) the Date of Termination.</w:t>
      </w:r>
    </w:p>
    <w:p>
      <w:pPr>
        <w:spacing w:after="0" w:line="201" w:lineRule="exact"/>
        <w:rPr>
          <w:rFonts w:ascii="Arial" w:cs="Arial" w:eastAsia="Arial" w:hAnsi="Arial"/>
          <w:sz w:val="17"/>
          <w:szCs w:val="17"/>
          <w:color w:val="auto"/>
        </w:rPr>
      </w:pPr>
    </w:p>
    <w:p>
      <w:pPr>
        <w:ind w:left="832" w:hanging="284"/>
        <w:spacing w:after="0"/>
        <w:tabs>
          <w:tab w:leader="none" w:pos="832"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Benefit Plans</w:t>
      </w:r>
      <w:r>
        <w:rPr>
          <w:rFonts w:ascii="Arial" w:cs="Arial" w:eastAsia="Arial" w:hAnsi="Arial"/>
          <w:sz w:val="16"/>
          <w:szCs w:val="16"/>
          <w:color w:val="auto"/>
        </w:rPr>
        <w:t>. “Benefit Plans” means all benefits of employment generally made available to the executives of the Corporation from time to time.</w:t>
      </w:r>
    </w:p>
    <w:p>
      <w:pPr>
        <w:spacing w:after="0" w:line="254" w:lineRule="exact"/>
        <w:rPr>
          <w:rFonts w:ascii="Arial" w:cs="Arial" w:eastAsia="Arial" w:hAnsi="Arial"/>
          <w:sz w:val="16"/>
          <w:szCs w:val="16"/>
          <w:color w:val="auto"/>
        </w:rPr>
      </w:pPr>
    </w:p>
    <w:p>
      <w:pPr>
        <w:ind w:left="832" w:hanging="284"/>
        <w:spacing w:after="0" w:line="280" w:lineRule="auto"/>
        <w:tabs>
          <w:tab w:leader="none" w:pos="832"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Compensation Agreement</w:t>
      </w:r>
      <w:r>
        <w:rPr>
          <w:rFonts w:ascii="Arial" w:cs="Arial" w:eastAsia="Arial" w:hAnsi="Arial"/>
          <w:sz w:val="17"/>
          <w:szCs w:val="17"/>
          <w:color w:val="auto"/>
        </w:rPr>
        <w:t>. The “Compensation Agreement” means the letter of even date from the Corporation to you, as accepted by you, regarding your compensation and benefits.</w:t>
      </w:r>
    </w:p>
    <w:p>
      <w:pPr>
        <w:spacing w:after="0" w:line="189" w:lineRule="exact"/>
        <w:rPr>
          <w:rFonts w:ascii="Arial" w:cs="Arial" w:eastAsia="Arial" w:hAnsi="Arial"/>
          <w:sz w:val="17"/>
          <w:szCs w:val="17"/>
          <w:color w:val="auto"/>
        </w:rPr>
      </w:pPr>
    </w:p>
    <w:p>
      <w:pPr>
        <w:ind w:left="832" w:hanging="246"/>
        <w:spacing w:after="0"/>
        <w:tabs>
          <w:tab w:leader="none" w:pos="832"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Protected Period</w:t>
      </w:r>
      <w:r>
        <w:rPr>
          <w:rFonts w:ascii="Arial" w:cs="Arial" w:eastAsia="Arial" w:hAnsi="Arial"/>
          <w:sz w:val="17"/>
          <w:szCs w:val="17"/>
          <w:color w:val="auto"/>
        </w:rPr>
        <w:t>. The “Protected Period” shall be a period of time determined in accordance with the following:</w:t>
      </w:r>
    </w:p>
    <w:p>
      <w:pPr>
        <w:spacing w:after="0" w:line="243" w:lineRule="exact"/>
        <w:rPr>
          <w:rFonts w:ascii="Arial" w:cs="Arial" w:eastAsia="Arial" w:hAnsi="Arial"/>
          <w:sz w:val="17"/>
          <w:szCs w:val="17"/>
          <w:color w:val="auto"/>
        </w:rPr>
      </w:pPr>
    </w:p>
    <w:p>
      <w:pPr>
        <w:jc w:val="both"/>
        <w:ind w:left="1452" w:hanging="247"/>
        <w:spacing w:after="0" w:line="318" w:lineRule="auto"/>
        <w:tabs>
          <w:tab w:leader="none" w:pos="1452" w:val="left"/>
        </w:tabs>
        <w:numPr>
          <w:ilvl w:val="3"/>
          <w:numId w:val="37"/>
        </w:numPr>
        <w:rPr>
          <w:rFonts w:ascii="Arial" w:cs="Arial" w:eastAsia="Arial" w:hAnsi="Arial"/>
          <w:sz w:val="15"/>
          <w:szCs w:val="15"/>
          <w:color w:val="auto"/>
        </w:rPr>
      </w:pPr>
      <w:r>
        <w:rPr>
          <w:rFonts w:ascii="Arial" w:cs="Arial" w:eastAsia="Arial" w:hAnsi="Arial"/>
          <w:sz w:val="15"/>
          <w:szCs w:val="15"/>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66" w:lineRule="exact"/>
        <w:rPr>
          <w:rFonts w:ascii="Arial" w:cs="Arial" w:eastAsia="Arial" w:hAnsi="Arial"/>
          <w:sz w:val="15"/>
          <w:szCs w:val="15"/>
          <w:color w:val="auto"/>
        </w:rPr>
      </w:pPr>
    </w:p>
    <w:p>
      <w:pPr>
        <w:jc w:val="both"/>
        <w:ind w:left="1452" w:hanging="294"/>
        <w:spacing w:after="0" w:line="262" w:lineRule="auto"/>
        <w:tabs>
          <w:tab w:leader="none" w:pos="1452" w:val="left"/>
        </w:tabs>
        <w:numPr>
          <w:ilvl w:val="3"/>
          <w:numId w:val="37"/>
        </w:numPr>
        <w:rPr>
          <w:rFonts w:ascii="Arial" w:cs="Arial" w:eastAsia="Arial" w:hAnsi="Arial"/>
          <w:sz w:val="17"/>
          <w:szCs w:val="17"/>
          <w:color w:val="auto"/>
        </w:rPr>
      </w:pPr>
      <w:r>
        <w:rPr>
          <w:rFonts w:ascii="Arial" w:cs="Arial" w:eastAsia="Arial" w:hAnsi="Arial"/>
          <w:sz w:val="17"/>
          <w:szCs w:val="17"/>
          <w:color w:val="auto"/>
        </w:rPr>
        <w:t>if a Change of Control is triggered by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204" w:lineRule="exact"/>
        <w:rPr>
          <w:rFonts w:ascii="Arial" w:cs="Arial" w:eastAsia="Arial" w:hAnsi="Arial"/>
          <w:sz w:val="17"/>
          <w:szCs w:val="17"/>
          <w:color w:val="auto"/>
        </w:rPr>
      </w:pPr>
    </w:p>
    <w:p>
      <w:pPr>
        <w:ind w:left="1452" w:hanging="342"/>
        <w:spacing w:after="0" w:line="312" w:lineRule="auto"/>
        <w:tabs>
          <w:tab w:leader="none" w:pos="1452" w:val="left"/>
        </w:tabs>
        <w:numPr>
          <w:ilvl w:val="3"/>
          <w:numId w:val="37"/>
        </w:numPr>
        <w:rPr>
          <w:rFonts w:ascii="Arial" w:cs="Arial" w:eastAsia="Arial" w:hAnsi="Arial"/>
          <w:sz w:val="16"/>
          <w:szCs w:val="16"/>
          <w:color w:val="auto"/>
        </w:rPr>
      </w:pPr>
      <w:r>
        <w:rPr>
          <w:rFonts w:ascii="Arial" w:cs="Arial" w:eastAsia="Arial" w:hAnsi="Arial"/>
          <w:sz w:val="16"/>
          <w:szCs w:val="16"/>
          <w:color w:val="auto"/>
        </w:rPr>
        <w:t xml:space="preserve">in the case of any Change of Control not described in clauses (i) or (ii), </w:t>
      </w:r>
      <w:r>
        <w:rPr>
          <w:rFonts w:ascii="Arial" w:cs="Arial" w:eastAsia="Arial" w:hAnsi="Arial"/>
          <w:sz w:val="16"/>
          <w:szCs w:val="16"/>
          <w:u w:val="single" w:color="auto"/>
          <w:color w:val="auto"/>
        </w:rPr>
        <w:t>above</w:t>
      </w:r>
      <w:r>
        <w:rPr>
          <w:rFonts w:ascii="Arial" w:cs="Arial" w:eastAsia="Arial" w:hAnsi="Arial"/>
          <w:sz w:val="16"/>
          <w:szCs w:val="16"/>
          <w:color w:val="auto"/>
        </w:rPr>
        <w:t>, the Protected Period shall commence on the date that is six months prior to the Change of Control and shall continue through and including the date of the Change of Control.</w:t>
      </w:r>
    </w:p>
    <w:p>
      <w:pPr>
        <w:spacing w:after="0" w:line="166" w:lineRule="exact"/>
        <w:rPr>
          <w:rFonts w:ascii="Arial" w:cs="Arial" w:eastAsia="Arial" w:hAnsi="Arial"/>
          <w:sz w:val="16"/>
          <w:szCs w:val="16"/>
          <w:color w:val="auto"/>
        </w:rPr>
      </w:pPr>
    </w:p>
    <w:p>
      <w:pPr>
        <w:ind w:left="212" w:hanging="212"/>
        <w:spacing w:after="0"/>
        <w:tabs>
          <w:tab w:leader="none" w:pos="212"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Compensation and Benefits on Termination</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jc w:val="both"/>
        <w:ind w:left="832" w:hanging="275"/>
        <w:spacing w:after="0" w:line="258" w:lineRule="auto"/>
        <w:tabs>
          <w:tab w:leader="none" w:pos="832"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Termination by the Corporation for Cause or by You Other Than for Good Reason</w:t>
      </w:r>
      <w:r>
        <w:rPr>
          <w:rFonts w:ascii="Arial" w:cs="Arial" w:eastAsia="Arial" w:hAnsi="Arial"/>
          <w:sz w:val="17"/>
          <w:szCs w:val="17"/>
          <w:color w:val="auto"/>
        </w:rPr>
        <w:t>. If your employment with the Manpower Group is terminated by the Corporation for Cause or by you other than for Good Reason, the Corporation will pay you or provide you with (i) your full base salary as then in effect through the Date of Termination, (ii) your unpaid bonus, if any, attributable to any complete fiscal year of the Manpower Group ended before the Date of Termination (but no incentive bonus will be payable for the fiscal year in which termination occurs) and (iii) all benefits to which you are entitled under any Benefit Plans in accordance with the terms of such plans. The Manpower Group will have no further obligations to you.</w:t>
      </w:r>
    </w:p>
    <w:p>
      <w:pPr>
        <w:spacing w:after="0" w:line="210" w:lineRule="exact"/>
        <w:rPr>
          <w:rFonts w:ascii="Arial" w:cs="Arial" w:eastAsia="Arial" w:hAnsi="Arial"/>
          <w:sz w:val="17"/>
          <w:szCs w:val="17"/>
          <w:color w:val="auto"/>
        </w:rPr>
      </w:pPr>
    </w:p>
    <w:p>
      <w:pPr>
        <w:jc w:val="both"/>
        <w:ind w:left="832" w:hanging="284"/>
        <w:spacing w:after="0" w:line="276" w:lineRule="auto"/>
        <w:tabs>
          <w:tab w:leader="none" w:pos="832"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Termination of Reason of Disability or Death</w:t>
      </w:r>
      <w:r>
        <w:rPr>
          <w:rFonts w:ascii="Arial" w:cs="Arial" w:eastAsia="Arial" w:hAnsi="Arial"/>
          <w:sz w:val="16"/>
          <w:szCs w:val="16"/>
          <w:color w:val="auto"/>
        </w:rPr>
        <w:t>. If your employment with the Manpower Group terminates during the Term by reason of your disability or death, the Corporation will pay you or provide you with (i) your full base salary as then in effect through the Date of Termination,</w:t>
      </w:r>
    </w:p>
    <w:p>
      <w:pPr>
        <w:jc w:val="both"/>
        <w:ind w:left="832" w:firstLine="2"/>
        <w:spacing w:after="0" w:line="293" w:lineRule="auto"/>
        <w:tabs>
          <w:tab w:leader="none" w:pos="1090" w:val="left"/>
        </w:tabs>
        <w:numPr>
          <w:ilvl w:val="2"/>
          <w:numId w:val="38"/>
        </w:numPr>
        <w:rPr>
          <w:rFonts w:ascii="Arial" w:cs="Arial" w:eastAsia="Arial" w:hAnsi="Arial"/>
          <w:sz w:val="15"/>
          <w:szCs w:val="15"/>
          <w:color w:val="auto"/>
        </w:rPr>
      </w:pPr>
      <w:r>
        <w:rPr>
          <w:rFonts w:ascii="Arial" w:cs="Arial" w:eastAsia="Arial" w:hAnsi="Arial"/>
          <w:sz w:val="15"/>
          <w:szCs w:val="15"/>
          <w:color w:val="auto"/>
        </w:rPr>
        <w:t>your unpaid bonus, if any, attributable to any complete fiscal year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 Pla 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 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Manpower Group. The Manpower Group will have no further obligations to you.</w:t>
      </w:r>
    </w:p>
    <w:p>
      <w:pPr>
        <w:spacing w:after="0" w:line="184" w:lineRule="exact"/>
        <w:rPr>
          <w:rFonts w:ascii="Arial" w:cs="Arial" w:eastAsia="Arial" w:hAnsi="Arial"/>
          <w:sz w:val="15"/>
          <w:szCs w:val="15"/>
          <w:color w:val="auto"/>
        </w:rPr>
      </w:pPr>
    </w:p>
    <w:p>
      <w:pPr>
        <w:ind w:left="832" w:hanging="275"/>
        <w:spacing w:after="0"/>
        <w:tabs>
          <w:tab w:leader="none" w:pos="832"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Termination for Any Other Reason</w:t>
      </w:r>
      <w:r>
        <w:rPr>
          <w:rFonts w:ascii="Arial" w:cs="Arial" w:eastAsia="Arial" w:hAnsi="Arial"/>
          <w:sz w:val="17"/>
          <w:szCs w:val="17"/>
          <w:color w:val="auto"/>
        </w:rPr>
        <w:t>.</w:t>
      </w:r>
    </w:p>
    <w:p>
      <w:pPr>
        <w:sectPr>
          <w:pgSz w:w="11900" w:h="16838" w:orient="portrait"/>
          <w:cols w:equalWidth="0" w:num="1">
            <w:col w:w="11012"/>
          </w:cols>
          <w:pgMar w:left="648" w:top="127" w:right="239" w:bottom="0" w:gutter="0" w:footer="0" w:header="0"/>
        </w:sectPr>
      </w:pPr>
    </w:p>
    <w:bookmarkStart w:id="24" w:name="page25"/>
    <w:bookmarkEnd w:id="24"/>
    <w:p>
      <w:pPr>
        <w:jc w:val="both"/>
        <w:ind w:left="660" w:hanging="247"/>
        <w:spacing w:after="0" w:line="266" w:lineRule="auto"/>
        <w:tabs>
          <w:tab w:leader="none" w:pos="6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201" w:lineRule="exact"/>
        <w:rPr>
          <w:rFonts w:ascii="Arial" w:cs="Arial" w:eastAsia="Arial" w:hAnsi="Arial"/>
          <w:sz w:val="17"/>
          <w:szCs w:val="17"/>
          <w:color w:val="auto"/>
        </w:rPr>
      </w:pPr>
    </w:p>
    <w:p>
      <w:pPr>
        <w:ind w:left="1280" w:hanging="324"/>
        <w:spacing w:after="0" w:line="280" w:lineRule="auto"/>
        <w:tabs>
          <w:tab w:leader="none" w:pos="1280" w:val="left"/>
        </w:tabs>
        <w:numPr>
          <w:ilvl w:val="2"/>
          <w:numId w:val="39"/>
        </w:numPr>
        <w:rPr>
          <w:rFonts w:ascii="Arial" w:cs="Arial" w:eastAsia="Arial" w:hAnsi="Arial"/>
          <w:sz w:val="17"/>
          <w:szCs w:val="17"/>
          <w:color w:val="auto"/>
        </w:rPr>
      </w:pPr>
      <w:r>
        <w:rPr>
          <w:rFonts w:ascii="Arial" w:cs="Arial" w:eastAsia="Arial" w:hAnsi="Arial"/>
          <w:sz w:val="17"/>
          <w:szCs w:val="17"/>
          <w:color w:val="auto"/>
        </w:rPr>
        <w:t>the Corporation will pay you your full base salary through the Date of Termination at the rate in effect at the time Notice of Termination is given;</w:t>
      </w:r>
    </w:p>
    <w:p>
      <w:pPr>
        <w:spacing w:after="0" w:line="189" w:lineRule="exact"/>
        <w:rPr>
          <w:rFonts w:ascii="Arial" w:cs="Arial" w:eastAsia="Arial" w:hAnsi="Arial"/>
          <w:sz w:val="17"/>
          <w:szCs w:val="17"/>
          <w:color w:val="auto"/>
        </w:rPr>
      </w:pPr>
    </w:p>
    <w:p>
      <w:pPr>
        <w:ind w:left="1280" w:hanging="314"/>
        <w:spacing w:after="0" w:line="280" w:lineRule="auto"/>
        <w:tabs>
          <w:tab w:leader="none" w:pos="1280" w:val="left"/>
        </w:tabs>
        <w:numPr>
          <w:ilvl w:val="2"/>
          <w:numId w:val="39"/>
        </w:numPr>
        <w:rPr>
          <w:rFonts w:ascii="Arial" w:cs="Arial" w:eastAsia="Arial" w:hAnsi="Arial"/>
          <w:sz w:val="17"/>
          <w:szCs w:val="17"/>
          <w:color w:val="auto"/>
        </w:rPr>
      </w:pPr>
      <w:r>
        <w:rPr>
          <w:rFonts w:ascii="Arial" w:cs="Arial" w:eastAsia="Arial" w:hAnsi="Arial"/>
          <w:sz w:val="17"/>
          <w:szCs w:val="17"/>
          <w:color w:val="auto"/>
        </w:rPr>
        <w:t>the Corporation will pay you your unpaid bonus, if any, attributable to any complete fiscal year of the Manpower Group ended before the Date of Termination;</w:t>
      </w:r>
    </w:p>
    <w:p>
      <w:pPr>
        <w:spacing w:after="0" w:line="189" w:lineRule="exact"/>
        <w:rPr>
          <w:rFonts w:ascii="Arial" w:cs="Arial" w:eastAsia="Arial" w:hAnsi="Arial"/>
          <w:sz w:val="17"/>
          <w:szCs w:val="17"/>
          <w:color w:val="auto"/>
        </w:rPr>
      </w:pPr>
    </w:p>
    <w:p>
      <w:pPr>
        <w:jc w:val="both"/>
        <w:ind w:left="1280" w:hanging="314"/>
        <w:spacing w:after="0" w:line="257" w:lineRule="auto"/>
        <w:tabs>
          <w:tab w:leader="none" w:pos="1280" w:val="left"/>
        </w:tabs>
        <w:numPr>
          <w:ilvl w:val="2"/>
          <w:numId w:val="39"/>
        </w:numPr>
        <w:rPr>
          <w:rFonts w:ascii="Arial" w:cs="Arial" w:eastAsia="Arial" w:hAnsi="Arial"/>
          <w:sz w:val="17"/>
          <w:szCs w:val="17"/>
          <w:color w:val="auto"/>
        </w:rPr>
      </w:pPr>
      <w:r>
        <w:rPr>
          <w:rFonts w:ascii="Arial" w:cs="Arial" w:eastAsia="Arial" w:hAnsi="Arial"/>
          <w:sz w:val="17"/>
          <w:szCs w:val="17"/>
          <w:color w:val="auto"/>
        </w:rPr>
        <w:t>the Corporation will pay you, a bonus for the fiscal year during which the Date of Termination occurs equal in amount to your target annual bonus for the fiscal year in which the Change of Control occurs; provided, however, that if the Change of Control occurs prior to the date on which the Executive Compensation and Human Resources Committee of the Board approves a bona fide target annual bonus for the fiscal year in which the Change of Control occurs, the bonus paid hereunder shall be equal in amount to your target annual bonus for the fiscal year prior to the fiscal year in which the Change of Control occurs; and further provided, however, that the bonus payable hereunder will be prorated for the actual number of days you were employed during the fiscal year during which the Date of Termination occurs;</w:t>
      </w:r>
    </w:p>
    <w:p>
      <w:pPr>
        <w:spacing w:after="0" w:line="212" w:lineRule="exact"/>
        <w:rPr>
          <w:rFonts w:ascii="Arial" w:cs="Arial" w:eastAsia="Arial" w:hAnsi="Arial"/>
          <w:sz w:val="17"/>
          <w:szCs w:val="17"/>
          <w:color w:val="auto"/>
        </w:rPr>
      </w:pPr>
    </w:p>
    <w:p>
      <w:pPr>
        <w:jc w:val="both"/>
        <w:ind w:left="1280" w:hanging="324"/>
        <w:spacing w:after="0" w:line="302" w:lineRule="auto"/>
        <w:tabs>
          <w:tab w:leader="none" w:pos="1280" w:val="left"/>
        </w:tabs>
        <w:numPr>
          <w:ilvl w:val="2"/>
          <w:numId w:val="39"/>
        </w:numPr>
        <w:rPr>
          <w:rFonts w:ascii="Arial" w:cs="Arial" w:eastAsia="Arial" w:hAnsi="Arial"/>
          <w:sz w:val="15"/>
          <w:szCs w:val="15"/>
          <w:color w:val="auto"/>
        </w:rPr>
      </w:pPr>
      <w:r>
        <w:rPr>
          <w:rFonts w:ascii="Arial" w:cs="Arial" w:eastAsia="Arial" w:hAnsi="Arial"/>
          <w:sz w:val="15"/>
          <w:szCs w:val="15"/>
          <w:color w:val="auto"/>
        </w:rPr>
        <w:t>the Corporation will pay as a severance benefit to you a lump-sum payment equal to three times the sum of (i) your annual base salary at the highest rate in effect during the Term and (ii) your target annual bonus for the fiscal year in which the Change of Control occurs (or, to the extent the Change of Control occurs prior to the date on which the Executive Compensation and Human Resources Committee of the Board approves a bona fide target annual bonus for the fiscal year in which the Change of Control occurs, your target annual bonus for the fiscal year prior to the fiscal year in which the Change of Control occurs); and</w:t>
      </w:r>
    </w:p>
    <w:p>
      <w:pPr>
        <w:spacing w:after="0" w:line="179" w:lineRule="exact"/>
        <w:rPr>
          <w:rFonts w:ascii="Arial" w:cs="Arial" w:eastAsia="Arial" w:hAnsi="Arial"/>
          <w:sz w:val="15"/>
          <w:szCs w:val="15"/>
          <w:color w:val="auto"/>
        </w:rPr>
      </w:pPr>
    </w:p>
    <w:p>
      <w:pPr>
        <w:ind w:left="400" w:right="40" w:hanging="267"/>
        <w:spacing w:after="0" w:line="276" w:lineRule="auto"/>
        <w:tabs>
          <w:tab w:leader="none" w:pos="4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 up to an eighteen-month period after the Date of Termination, the Corporation will arrange to provide you and your eligible dependents, at the Corporation’s expense, with Health Insurance Continuation (defined below) or other substantially similar coverage, in which you were participating on the Date of Termination; provided, however, that benefits otherwise receivable by you pursuant to this Subsection 2(c)(i)(E)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97" w:lineRule="exact"/>
        <w:rPr>
          <w:sz w:val="20"/>
          <w:szCs w:val="20"/>
          <w:color w:val="auto"/>
        </w:rPr>
      </w:pPr>
    </w:p>
    <w:p>
      <w:pPr>
        <w:ind w:left="1280" w:right="60"/>
        <w:spacing w:after="0" w:line="291" w:lineRule="auto"/>
        <w:rPr>
          <w:sz w:val="20"/>
          <w:szCs w:val="20"/>
          <w:color w:val="auto"/>
        </w:rPr>
      </w:pPr>
      <w:r>
        <w:rPr>
          <w:rFonts w:ascii="Arial" w:cs="Arial" w:eastAsia="Arial" w:hAnsi="Arial"/>
          <w:sz w:val="15"/>
          <w:szCs w:val="15"/>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2(c)(i)(E) are taxable, the payments will be grossed-up so that the net amount received by you, after subtraction of all taxes applicable to the payments plus the gross-up amount, will equal th e cost of such COBRA coverage</w:t>
      </w:r>
    </w:p>
    <w:p>
      <w:pPr>
        <w:spacing w:after="0" w:line="193" w:lineRule="exact"/>
        <w:rPr>
          <w:sz w:val="20"/>
          <w:szCs w:val="20"/>
          <w:color w:val="auto"/>
        </w:rPr>
      </w:pPr>
    </w:p>
    <w:p>
      <w:pPr>
        <w:ind w:left="660" w:hanging="294"/>
        <w:spacing w:after="0" w:line="280" w:lineRule="auto"/>
        <w:tabs>
          <w:tab w:leader="none" w:pos="6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If your employment with the Manpower Group is terminated during the Term for any reason not specified in Subsections 2(a) or (b), above, and Subsection 2(c)(i), above, does not apply to the termination, you will be entitled to the following:</w:t>
      </w:r>
    </w:p>
    <w:p>
      <w:pPr>
        <w:spacing w:after="0" w:line="189" w:lineRule="exact"/>
        <w:rPr>
          <w:rFonts w:ascii="Arial" w:cs="Arial" w:eastAsia="Arial" w:hAnsi="Arial"/>
          <w:sz w:val="17"/>
          <w:szCs w:val="17"/>
          <w:color w:val="auto"/>
        </w:rPr>
      </w:pPr>
    </w:p>
    <w:p>
      <w:pPr>
        <w:ind w:left="1280" w:hanging="324"/>
        <w:spacing w:after="0" w:line="280" w:lineRule="auto"/>
        <w:tabs>
          <w:tab w:leader="none" w:pos="1280" w:val="left"/>
        </w:tabs>
        <w:numPr>
          <w:ilvl w:val="2"/>
          <w:numId w:val="41"/>
        </w:numPr>
        <w:rPr>
          <w:rFonts w:ascii="Arial" w:cs="Arial" w:eastAsia="Arial" w:hAnsi="Arial"/>
          <w:sz w:val="17"/>
          <w:szCs w:val="17"/>
          <w:color w:val="auto"/>
        </w:rPr>
      </w:pPr>
      <w:r>
        <w:rPr>
          <w:rFonts w:ascii="Arial" w:cs="Arial" w:eastAsia="Arial" w:hAnsi="Arial"/>
          <w:sz w:val="17"/>
          <w:szCs w:val="17"/>
          <w:color w:val="auto"/>
        </w:rPr>
        <w:t>the Corporation will pay you your full base salary through the Date of Termination at the rate in effect at the time Notice of Termination is given;</w:t>
      </w:r>
    </w:p>
    <w:p>
      <w:pPr>
        <w:spacing w:after="0" w:line="189" w:lineRule="exact"/>
        <w:rPr>
          <w:rFonts w:ascii="Arial" w:cs="Arial" w:eastAsia="Arial" w:hAnsi="Arial"/>
          <w:sz w:val="17"/>
          <w:szCs w:val="17"/>
          <w:color w:val="auto"/>
        </w:rPr>
      </w:pPr>
    </w:p>
    <w:p>
      <w:pPr>
        <w:ind w:left="1280" w:hanging="314"/>
        <w:spacing w:after="0" w:line="280" w:lineRule="auto"/>
        <w:tabs>
          <w:tab w:leader="none" w:pos="1280" w:val="left"/>
        </w:tabs>
        <w:numPr>
          <w:ilvl w:val="2"/>
          <w:numId w:val="41"/>
        </w:numPr>
        <w:rPr>
          <w:rFonts w:ascii="Arial" w:cs="Arial" w:eastAsia="Arial" w:hAnsi="Arial"/>
          <w:sz w:val="17"/>
          <w:szCs w:val="17"/>
          <w:color w:val="auto"/>
        </w:rPr>
      </w:pPr>
      <w:r>
        <w:rPr>
          <w:rFonts w:ascii="Arial" w:cs="Arial" w:eastAsia="Arial" w:hAnsi="Arial"/>
          <w:sz w:val="17"/>
          <w:szCs w:val="17"/>
          <w:color w:val="auto"/>
        </w:rPr>
        <w:t>the Corporation will pay you your unpaid bonus, if any, attributable to any complete fiscal year of the Manpower Group ended before the Date of Termination;</w:t>
      </w:r>
    </w:p>
    <w:p>
      <w:pPr>
        <w:spacing w:after="0" w:line="189" w:lineRule="exact"/>
        <w:rPr>
          <w:rFonts w:ascii="Arial" w:cs="Arial" w:eastAsia="Arial" w:hAnsi="Arial"/>
          <w:sz w:val="17"/>
          <w:szCs w:val="17"/>
          <w:color w:val="auto"/>
        </w:rPr>
      </w:pPr>
    </w:p>
    <w:p>
      <w:pPr>
        <w:jc w:val="both"/>
        <w:ind w:left="1280" w:hanging="314"/>
        <w:spacing w:after="0" w:line="260" w:lineRule="auto"/>
        <w:tabs>
          <w:tab w:leader="none" w:pos="1280" w:val="left"/>
        </w:tabs>
        <w:numPr>
          <w:ilvl w:val="2"/>
          <w:numId w:val="41"/>
        </w:numPr>
        <w:rPr>
          <w:rFonts w:ascii="Arial" w:cs="Arial" w:eastAsia="Arial" w:hAnsi="Arial"/>
          <w:sz w:val="17"/>
          <w:szCs w:val="17"/>
          <w:color w:val="auto"/>
        </w:rPr>
      </w:pPr>
      <w:r>
        <w:rPr>
          <w:rFonts w:ascii="Arial" w:cs="Arial" w:eastAsia="Arial" w:hAnsi="Arial"/>
          <w:sz w:val="17"/>
          <w:szCs w:val="17"/>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205" w:lineRule="exact"/>
        <w:rPr>
          <w:rFonts w:ascii="Arial" w:cs="Arial" w:eastAsia="Arial" w:hAnsi="Arial"/>
          <w:sz w:val="17"/>
          <w:szCs w:val="17"/>
          <w:color w:val="auto"/>
        </w:rPr>
      </w:pPr>
    </w:p>
    <w:p>
      <w:pPr>
        <w:jc w:val="both"/>
        <w:ind w:left="1280" w:hanging="324"/>
        <w:spacing w:after="0" w:line="299" w:lineRule="auto"/>
        <w:tabs>
          <w:tab w:leader="none" w:pos="1280" w:val="left"/>
        </w:tabs>
        <w:numPr>
          <w:ilvl w:val="2"/>
          <w:numId w:val="41"/>
        </w:numPr>
        <w:rPr>
          <w:rFonts w:ascii="Arial" w:cs="Arial" w:eastAsia="Arial" w:hAnsi="Arial"/>
          <w:sz w:val="15"/>
          <w:szCs w:val="15"/>
          <w:color w:val="auto"/>
        </w:rPr>
      </w:pPr>
      <w:r>
        <w:rPr>
          <w:rFonts w:ascii="Arial" w:cs="Arial" w:eastAsia="Arial" w:hAnsi="Arial"/>
          <w:sz w:val="15"/>
          <w:szCs w:val="15"/>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(or, to the extent the Date of Termination occurs prior to the date on which the Executive Compensation and Human Resources Committee of the Board approves a bona fide target annual bonus for you for the fiscal year in which the Date of Termination occurs, your target annual bonus for the fiscal year prior to the fiscal year in which the Date of Termination occurs), provided, however, that such payment will not exceed two times the amount of your base salary as then in effect; and</w:t>
      </w:r>
    </w:p>
    <w:p>
      <w:pPr>
        <w:spacing w:after="0" w:line="181" w:lineRule="exact"/>
        <w:rPr>
          <w:rFonts w:ascii="Arial" w:cs="Arial" w:eastAsia="Arial" w:hAnsi="Arial"/>
          <w:sz w:val="15"/>
          <w:szCs w:val="15"/>
          <w:color w:val="auto"/>
        </w:rPr>
      </w:pPr>
    </w:p>
    <w:p>
      <w:pPr>
        <w:ind w:left="400" w:right="40" w:hanging="267"/>
        <w:spacing w:after="0" w:line="258" w:lineRule="auto"/>
        <w:tabs>
          <w:tab w:leader="none" w:pos="4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 up to a twelve - month period after the Date of Termination, the Corporation will arrange to provide you and your eligible dependents with Health Insurance Continuation (defined below); provided, however, that benefits otherwise receivable by you pursuant to this Subsection 2(c) (ii)(E)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ectPr>
          <w:pgSz w:w="11900" w:h="16838" w:orient="portrait"/>
          <w:cols w:equalWidth="0" w:num="1">
            <w:col w:w="10220"/>
          </w:cols>
          <w:pgMar w:left="1440" w:top="127" w:right="239" w:bottom="121" w:gutter="0" w:footer="0" w:header="0"/>
        </w:sectPr>
      </w:pPr>
    </w:p>
    <w:bookmarkStart w:id="25" w:name="page26"/>
    <w:bookmarkEnd w:id="25"/>
    <w:p>
      <w:pPr>
        <w:spacing w:after="0" w:line="35" w:lineRule="exact"/>
        <w:rPr>
          <w:sz w:val="20"/>
          <w:szCs w:val="20"/>
          <w:color w:val="auto"/>
        </w:rPr>
      </w:pPr>
    </w:p>
    <w:p>
      <w:pPr>
        <w:ind w:left="2072" w:right="80"/>
        <w:spacing w:after="0" w:line="288" w:lineRule="auto"/>
        <w:rPr>
          <w:sz w:val="20"/>
          <w:szCs w:val="20"/>
          <w:color w:val="auto"/>
        </w:rPr>
      </w:pPr>
      <w:r>
        <w:rPr>
          <w:rFonts w:ascii="Arial" w:cs="Arial" w:eastAsia="Arial" w:hAnsi="Arial"/>
          <w:sz w:val="15"/>
          <w:szCs w:val="15"/>
          <w:color w:val="auto"/>
        </w:rPr>
        <w:t>For purposes of this Subsection 2(c)(ii)(E),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normal monthly employer’s cost of coverage under the Corporation’s group medical and dental insurance plans toward such COBRA coverage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During this period of Corporation-subsidized COBRA coverage, you will be responsible for paying the balance of any costs not paid for by the Manpower Group under this Subsection 2(c)(ii)(E) which are associated with your participation in the Corporation’s medical and dental insurance plans and your failure to pay such costs may result in the termination of your participation in such</w:t>
      </w:r>
    </w:p>
    <w:p>
      <w:pPr>
        <w:spacing w:after="0" w:line="5" w:lineRule="exact"/>
        <w:rPr>
          <w:sz w:val="20"/>
          <w:szCs w:val="20"/>
          <w:color w:val="auto"/>
        </w:rPr>
      </w:pPr>
    </w:p>
    <w:p>
      <w:pPr>
        <w:ind w:left="2072" w:right="240"/>
        <w:spacing w:after="0" w:line="273" w:lineRule="auto"/>
        <w:rPr>
          <w:sz w:val="20"/>
          <w:szCs w:val="20"/>
          <w:color w:val="auto"/>
        </w:rPr>
      </w:pPr>
      <w:r>
        <w:rPr>
          <w:rFonts w:ascii="Arial" w:cs="Arial" w:eastAsia="Arial" w:hAnsi="Arial"/>
          <w:sz w:val="16"/>
          <w:szCs w:val="16"/>
          <w:color w:val="auto"/>
        </w:rPr>
        <w:t>plans. The Corporation may deduct from any amounts payable to you under this Subsection 2(c)(ii) any amounts that you are responsible to pay for Health Insurance Continuation under this Subsection 2(c)(ii)(E). Immediately following this period of Corporation-subsidized COBRA coverage, you and/or your eligible depe 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2(c)(ii)(E) are taxable, the payments will be grossed-up so that the net amount received by you, after subtraction of all taxes applicable to the payments plus the gross-up amount, will equal the cost of such COBRA coverage.</w:t>
      </w:r>
    </w:p>
    <w:p>
      <w:pPr>
        <w:spacing w:after="0" w:line="196" w:lineRule="exact"/>
        <w:rPr>
          <w:sz w:val="20"/>
          <w:szCs w:val="20"/>
          <w:color w:val="auto"/>
        </w:rPr>
      </w:pPr>
    </w:p>
    <w:p>
      <w:pPr>
        <w:ind w:left="212"/>
        <w:spacing w:after="0" w:line="280" w:lineRule="auto"/>
        <w:rPr>
          <w:sz w:val="20"/>
          <w:szCs w:val="20"/>
          <w:color w:val="auto"/>
        </w:rPr>
      </w:pPr>
      <w:r>
        <w:rPr>
          <w:rFonts w:ascii="Arial" w:cs="Arial" w:eastAsia="Arial" w:hAnsi="Arial"/>
          <w:sz w:val="17"/>
          <w:szCs w:val="17"/>
          <w:color w:val="auto"/>
        </w:rPr>
        <w:t>The amounts paid to you pursuant to Subsections 2(c)(i)(D) or 2(c)(ii)(D) will not be included as compensation for purposes of any qualified or nonqualified pension or welfare benefit plan of the Manpower Group.</w:t>
      </w:r>
    </w:p>
    <w:p>
      <w:pPr>
        <w:spacing w:after="0" w:line="189" w:lineRule="exact"/>
        <w:rPr>
          <w:sz w:val="20"/>
          <w:szCs w:val="20"/>
          <w:color w:val="auto"/>
        </w:rPr>
      </w:pPr>
    </w:p>
    <w:p>
      <w:pPr>
        <w:jc w:val="both"/>
        <w:ind w:left="832" w:hanging="284"/>
        <w:spacing w:after="0" w:line="273" w:lineRule="auto"/>
        <w:tabs>
          <w:tab w:leader="none" w:pos="832"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Golden Parachute Tax</w:t>
      </w:r>
      <w:r>
        <w:rPr>
          <w:rFonts w:ascii="Arial" w:cs="Arial" w:eastAsia="Arial" w:hAnsi="Arial"/>
          <w:sz w:val="16"/>
          <w:szCs w:val="16"/>
          <w:color w:val="auto"/>
        </w:rPr>
        <w:t>.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 x imposed by Section 4999 of the Code, as if (i) amount to be paid to you pursuant to Subsection 2(c)(i)(D) were reduced, but not below zero, such that the total parachute payments payable to you would not exceed three (3) times the “base amount” as defined in Section 280G of the Code, less One Dollar ($1.00), or (ii) the full amount to be paid to you pursuant to Subsection 2(c)(i)(D) were not reduced. If reducing the amount otherwise payable to you pursuant to Subsection 2(c)(i)(D) hereof would result in a greater after-tax amount to you, such reduced amount shall be paid to you and the remainder shall be forfeited by you as of the Date of Termination. If not reducing the amount otherwise payable to you pursuant to Subsection 2(c)(i)(D) would result in a greater after-tax amount to you, the amount payable to you pursuant to Subsection 2(c)(i)(D) shall not be reduced.</w:t>
      </w:r>
    </w:p>
    <w:p>
      <w:pPr>
        <w:spacing w:after="0" w:line="198" w:lineRule="exact"/>
        <w:rPr>
          <w:rFonts w:ascii="Arial" w:cs="Arial" w:eastAsia="Arial" w:hAnsi="Arial"/>
          <w:sz w:val="16"/>
          <w:szCs w:val="16"/>
          <w:color w:val="auto"/>
        </w:rPr>
      </w:pPr>
    </w:p>
    <w:p>
      <w:pPr>
        <w:jc w:val="both"/>
        <w:ind w:left="832" w:hanging="275"/>
        <w:spacing w:after="0" w:line="272" w:lineRule="auto"/>
        <w:tabs>
          <w:tab w:leader="none" w:pos="832"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will be paid on the thirtieth (30th) day after the Date of Termination. The bonus payment provided for in Subsection 2(c)(ii)(C) will between January 1 and March 15 of the calendar year following the Date of Termination. The severance benefit provided for in Subsection 2(c)(i)(D) or 2(c)(ii)(D) will be paid in one lump sum on the thirtieth (30th) day after the Date of Termination. While the par 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Midwest edition (or, if not so reported, as reported in such other similar source(s) as the Corporation shall select).</w:t>
      </w:r>
    </w:p>
    <w:p>
      <w:pPr>
        <w:spacing w:after="0" w:line="203" w:lineRule="exact"/>
        <w:rPr>
          <w:rFonts w:ascii="Arial" w:cs="Arial" w:eastAsia="Arial" w:hAnsi="Arial"/>
          <w:sz w:val="16"/>
          <w:szCs w:val="16"/>
          <w:color w:val="auto"/>
        </w:rPr>
      </w:pPr>
    </w:p>
    <w:p>
      <w:pPr>
        <w:ind w:left="832" w:hanging="256"/>
        <w:spacing w:after="0"/>
        <w:tabs>
          <w:tab w:leader="none" w:pos="832"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Notwithstanding the foregoing, you shall have no right to receive any payment or benefit described in Subsections 2(c)(i)(C)-</w:t>
      </w:r>
    </w:p>
    <w:p>
      <w:pPr>
        <w:spacing w:after="0" w:line="33" w:lineRule="exact"/>
        <w:rPr>
          <w:rFonts w:ascii="Arial" w:cs="Arial" w:eastAsia="Arial" w:hAnsi="Arial"/>
          <w:sz w:val="16"/>
          <w:szCs w:val="16"/>
          <w:color w:val="auto"/>
        </w:rPr>
      </w:pPr>
    </w:p>
    <w:p>
      <w:pPr>
        <w:jc w:val="both"/>
        <w:ind w:left="832" w:firstLine="2"/>
        <w:spacing w:after="0" w:line="273" w:lineRule="auto"/>
        <w:tabs>
          <w:tab w:leader="none" w:pos="1099" w:val="left"/>
        </w:tabs>
        <w:numPr>
          <w:ilvl w:val="2"/>
          <w:numId w:val="43"/>
        </w:numPr>
        <w:rPr>
          <w:rFonts w:ascii="Arial" w:cs="Arial" w:eastAsia="Arial" w:hAnsi="Arial"/>
          <w:sz w:val="16"/>
          <w:szCs w:val="16"/>
          <w:color w:val="auto"/>
        </w:rPr>
      </w:pPr>
      <w:r>
        <w:rPr>
          <w:rFonts w:ascii="Arial" w:cs="Arial" w:eastAsia="Arial" w:hAnsi="Arial"/>
          <w:sz w:val="16"/>
          <w:szCs w:val="16"/>
          <w:color w:val="auto"/>
        </w:rPr>
        <w:t>or 2(c)(ii)(C)-(E),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(30th) day after the Date of Termination.</w:t>
      </w:r>
    </w:p>
    <w:p>
      <w:pPr>
        <w:spacing w:after="0" w:line="199" w:lineRule="exact"/>
        <w:rPr>
          <w:rFonts w:ascii="Arial" w:cs="Arial" w:eastAsia="Arial" w:hAnsi="Arial"/>
          <w:sz w:val="16"/>
          <w:szCs w:val="16"/>
          <w:color w:val="auto"/>
        </w:rPr>
      </w:pPr>
    </w:p>
    <w:p>
      <w:pPr>
        <w:jc w:val="both"/>
        <w:ind w:left="832" w:hanging="284"/>
        <w:spacing w:after="0" w:line="262" w:lineRule="auto"/>
        <w:tabs>
          <w:tab w:leader="none" w:pos="832"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Notwithstanding the foregoing, your right to receive the payments and benefits to be provided to you under this Section 2 beyond those described in Subsection 2(a), above, is conditioned upon your performance of the obligations stated in Section 3, below, and in Section 6 of the Compensation Agreement, and upon your breach of any such obligations, you will immediately return to the Corporation the amount of such payments and benefits and you will no longer have any right to receive any such payments or benefits.</w:t>
      </w:r>
    </w:p>
    <w:p>
      <w:pPr>
        <w:spacing w:after="0" w:line="204" w:lineRule="exact"/>
        <w:rPr>
          <w:rFonts w:ascii="Arial" w:cs="Arial" w:eastAsia="Arial" w:hAnsi="Arial"/>
          <w:sz w:val="17"/>
          <w:szCs w:val="17"/>
          <w:color w:val="auto"/>
        </w:rPr>
      </w:pPr>
    </w:p>
    <w:p>
      <w:pPr>
        <w:ind w:left="212" w:hanging="212"/>
        <w:spacing w:after="0"/>
        <w:tabs>
          <w:tab w:leader="none" w:pos="212"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Noncompetition Agreement</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jc w:val="both"/>
        <w:ind w:left="832" w:hanging="275"/>
        <w:spacing w:after="0" w:line="266" w:lineRule="auto"/>
        <w:tabs>
          <w:tab w:leader="none" w:pos="832"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During the term of your employment with the Manpower Group, you will not assist any competitor of any company in the Manpower Group in any capacity. During the one-year period which immediately follows the termination, for whatever reason, of your employment with the Manpower Group:</w:t>
      </w:r>
    </w:p>
    <w:p>
      <w:pPr>
        <w:spacing w:after="0" w:line="201" w:lineRule="exact"/>
        <w:rPr>
          <w:rFonts w:ascii="Arial" w:cs="Arial" w:eastAsia="Arial" w:hAnsi="Arial"/>
          <w:sz w:val="17"/>
          <w:szCs w:val="17"/>
          <w:color w:val="auto"/>
        </w:rPr>
      </w:pPr>
    </w:p>
    <w:p>
      <w:pPr>
        <w:jc w:val="both"/>
        <w:ind w:left="1452" w:hanging="247"/>
        <w:spacing w:after="0" w:line="260" w:lineRule="auto"/>
        <w:tabs>
          <w:tab w:leader="none" w:pos="1452" w:val="left"/>
        </w:tabs>
        <w:numPr>
          <w:ilvl w:val="3"/>
          <w:numId w:val="44"/>
        </w:numPr>
        <w:rPr>
          <w:rFonts w:ascii="Arial" w:cs="Arial" w:eastAsia="Arial" w:hAnsi="Arial"/>
          <w:sz w:val="17"/>
          <w:szCs w:val="17"/>
          <w:color w:val="auto"/>
        </w:rPr>
      </w:pPr>
      <w:r>
        <w:rPr>
          <w:rFonts w:ascii="Arial" w:cs="Arial" w:eastAsia="Arial" w:hAnsi="Arial"/>
          <w:sz w:val="17"/>
          <w:szCs w:val="17"/>
          <w:color w:val="auto"/>
        </w:rPr>
        <w:t>You will not, directly or indirectly, contact any customer of the Manpower Group with whom you have had contact on behalf of the Manpower Group during the two-year period preceding the Date of Termination or any customer about whom you obtained confidential information in connection with your employment by the Manpower Group during such two-year period so as to cause or attempt to cause such customer of the Manpower Group not to do business or to reduce such customer’s business with the Manpower Group or divert any business from the Manpower Group.</w:t>
      </w:r>
    </w:p>
    <w:p>
      <w:pPr>
        <w:sectPr>
          <w:pgSz w:w="11900" w:h="16873" w:orient="portrait"/>
          <w:cols w:equalWidth="0" w:num="1">
            <w:col w:w="11012"/>
          </w:cols>
          <w:pgMar w:left="648" w:top="127" w:right="239" w:bottom="0" w:gutter="0" w:footer="0" w:header="0"/>
        </w:sectPr>
      </w:pPr>
    </w:p>
    <w:bookmarkStart w:id="26" w:name="page27"/>
    <w:bookmarkEnd w:id="26"/>
    <w:p>
      <w:pPr>
        <w:spacing w:after="0" w:line="61" w:lineRule="exact"/>
        <w:rPr>
          <w:sz w:val="20"/>
          <w:szCs w:val="20"/>
          <w:color w:val="auto"/>
        </w:rPr>
      </w:pPr>
    </w:p>
    <w:p>
      <w:pPr>
        <w:ind w:left="898" w:hanging="249"/>
        <w:spacing w:after="0" w:line="274" w:lineRule="auto"/>
        <w:tabs>
          <w:tab w:leader="none" w:pos="898" w:val="left"/>
        </w:tabs>
        <w:numPr>
          <w:ilvl w:val="5"/>
          <w:numId w:val="45"/>
        </w:numPr>
        <w:rPr>
          <w:rFonts w:ascii="Arial" w:cs="Arial" w:eastAsia="Arial" w:hAnsi="Arial"/>
          <w:sz w:val="16"/>
          <w:szCs w:val="16"/>
          <w:color w:val="auto"/>
        </w:rPr>
      </w:pPr>
      <w:r>
        <w:rPr>
          <w:rFonts w:ascii="Arial" w:cs="Arial" w:eastAsia="Arial" w:hAnsi="Arial"/>
          <w:sz w:val="16"/>
          <w:szCs w:val="16"/>
          <w:color w:val="auto"/>
        </w:rPr>
        <w:t>You will not, directly or indirectly, provide services or assistance of a nature similar to the services you provided to the Manpower Group during the two-year period immediately preceding the Date of Termination to any entity (i)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$500,000,000 or (ii) engaged in the business of providing permanent placement, professional staffing, outplacement, or human resource services (including consulting, task-based services, recruitment or other talent solutions) anywhere in the United States or any other country in which the Manpower Group conducts business as of the Date of Termination which has, together with its affiliated entities, annu 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196" w:lineRule="exact"/>
        <w:rPr>
          <w:rFonts w:ascii="Arial" w:cs="Arial" w:eastAsia="Arial" w:hAnsi="Arial"/>
          <w:sz w:val="16"/>
          <w:szCs w:val="16"/>
          <w:color w:val="auto"/>
        </w:rPr>
      </w:pPr>
    </w:p>
    <w:p>
      <w:pPr>
        <w:jc w:val="both"/>
        <w:ind w:left="918" w:hanging="284"/>
        <w:spacing w:after="0" w:line="257" w:lineRule="auto"/>
        <w:tabs>
          <w:tab w:leader="none" w:pos="918" w:val="left"/>
        </w:tabs>
        <w:numPr>
          <w:ilvl w:val="4"/>
          <w:numId w:val="46"/>
        </w:numPr>
        <w:rPr>
          <w:rFonts w:ascii="Arial" w:cs="Arial" w:eastAsia="Arial" w:hAnsi="Arial"/>
          <w:sz w:val="17"/>
          <w:szCs w:val="17"/>
          <w:color w:val="auto"/>
        </w:rPr>
      </w:pPr>
      <w:r>
        <w:rPr>
          <w:rFonts w:ascii="Arial" w:cs="Arial" w:eastAsia="Arial" w:hAnsi="Arial"/>
          <w:sz w:val="17"/>
          <w:szCs w:val="17"/>
          <w:u w:val="single" w:color="auto"/>
          <w:color w:val="auto"/>
        </w:rPr>
        <w:t>Injunction</w:t>
      </w:r>
      <w:r>
        <w:rPr>
          <w:rFonts w:ascii="Arial" w:cs="Arial" w:eastAsia="Arial" w:hAnsi="Arial"/>
          <w:sz w:val="17"/>
          <w:szCs w:val="17"/>
          <w:color w:val="auto"/>
        </w:rPr>
        <w:t>. You recognize that irreparable and incalculable injury will result to the Manpower Group and its businesses and properties in the event of your breach of any of the restrictions imposed by Subsection 3(a), above. You therefore agree that, in the event of any such actual, impending or threatened breach, the Corporation will be entitled, in addition to the remedies set forth in Subsection 2(g),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 iolation, or further violation, of such restrictions by you and by any other person or entity for whom you may be acting or who is acting for you or in concert with you.</w:t>
      </w:r>
    </w:p>
    <w:p>
      <w:pPr>
        <w:spacing w:after="0" w:line="212" w:lineRule="exact"/>
        <w:rPr>
          <w:rFonts w:ascii="Arial" w:cs="Arial" w:eastAsia="Arial" w:hAnsi="Arial"/>
          <w:sz w:val="17"/>
          <w:szCs w:val="17"/>
          <w:color w:val="auto"/>
        </w:rPr>
      </w:pPr>
    </w:p>
    <w:p>
      <w:pPr>
        <w:ind w:left="918" w:hanging="275"/>
        <w:spacing w:after="0" w:line="280" w:lineRule="auto"/>
        <w:tabs>
          <w:tab w:leader="none" w:pos="918" w:val="left"/>
        </w:tabs>
        <w:numPr>
          <w:ilvl w:val="4"/>
          <w:numId w:val="46"/>
        </w:numPr>
        <w:rPr>
          <w:rFonts w:ascii="Arial" w:cs="Arial" w:eastAsia="Arial" w:hAnsi="Arial"/>
          <w:sz w:val="17"/>
          <w:szCs w:val="17"/>
          <w:color w:val="auto"/>
        </w:rPr>
      </w:pPr>
      <w:r>
        <w:rPr>
          <w:rFonts w:ascii="Arial" w:cs="Arial" w:eastAsia="Arial" w:hAnsi="Arial"/>
          <w:sz w:val="17"/>
          <w:szCs w:val="17"/>
          <w:u w:val="single" w:color="auto"/>
          <w:color w:val="auto"/>
        </w:rPr>
        <w:t>Equitable Extension</w:t>
      </w:r>
      <w:r>
        <w:rPr>
          <w:rFonts w:ascii="Arial" w:cs="Arial" w:eastAsia="Arial" w:hAnsi="Arial"/>
          <w:sz w:val="17"/>
          <w:szCs w:val="17"/>
          <w:color w:val="auto"/>
        </w:rPr>
        <w:t>. The duration of any restriction in Section 3(a) above will be extended by any period during which such restriction is violated by you.</w:t>
      </w:r>
    </w:p>
    <w:p>
      <w:pPr>
        <w:spacing w:after="0" w:line="200" w:lineRule="exact"/>
        <w:rPr>
          <w:rFonts w:ascii="Arial" w:cs="Arial" w:eastAsia="Arial" w:hAnsi="Arial"/>
          <w:sz w:val="17"/>
          <w:szCs w:val="17"/>
          <w:color w:val="auto"/>
        </w:rPr>
      </w:pPr>
    </w:p>
    <w:p>
      <w:pPr>
        <w:spacing w:after="0" w:line="221" w:lineRule="exact"/>
        <w:rPr>
          <w:rFonts w:ascii="Arial" w:cs="Arial" w:eastAsia="Arial" w:hAnsi="Arial"/>
          <w:sz w:val="17"/>
          <w:szCs w:val="17"/>
          <w:color w:val="auto"/>
        </w:rPr>
      </w:pPr>
    </w:p>
    <w:p>
      <w:pPr>
        <w:jc w:val="both"/>
        <w:ind w:left="298" w:hanging="212"/>
        <w:spacing w:after="0" w:line="262" w:lineRule="auto"/>
        <w:tabs>
          <w:tab w:leader="none" w:pos="298"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Unemployment Compensation</w:t>
      </w:r>
      <w:r>
        <w:rPr>
          <w:rFonts w:ascii="Arial" w:cs="Arial" w:eastAsia="Arial" w:hAnsi="Arial"/>
          <w:sz w:val="17"/>
          <w:szCs w:val="17"/>
          <w:color w:val="auto"/>
        </w:rPr>
        <w:t>. The severance benefits provided for in Subsection 2(c)(i)(D) will be assigned for unemployment compensation benefit purposes to the three-year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204" w:lineRule="exact"/>
        <w:rPr>
          <w:rFonts w:ascii="Arial" w:cs="Arial" w:eastAsia="Arial" w:hAnsi="Arial"/>
          <w:sz w:val="17"/>
          <w:szCs w:val="17"/>
          <w:color w:val="auto"/>
        </w:rPr>
      </w:pPr>
    </w:p>
    <w:p>
      <w:pPr>
        <w:jc w:val="both"/>
        <w:ind w:left="298" w:hanging="212"/>
        <w:spacing w:after="0" w:line="257" w:lineRule="auto"/>
        <w:tabs>
          <w:tab w:leader="none" w:pos="298"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Upon your termination, for whatever reason, of employment with the Corporation, the Corporation agrees that its directors and officers, during their employment by or service to the Manpower Group, will refrain from making any statements that disparage or otherwise impair your reputation or commercial interests. Upon your termination, for whatever reason, of employment with the Manpower Group, you agree to refrain from making any statements that disparage or otherwise impair the reputation, goodwill, or commercial interests of the Manpower Group, or its officers, directors, or employees. However, the foregoing will not preclude the Corporation from providing truthful information about you concerning your employment or termination of emplo yment with the Manpower 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209" w:lineRule="exact"/>
        <w:rPr>
          <w:rFonts w:ascii="Arial" w:cs="Arial" w:eastAsia="Arial" w:hAnsi="Arial"/>
          <w:sz w:val="17"/>
          <w:szCs w:val="17"/>
          <w:color w:val="auto"/>
        </w:rPr>
      </w:pPr>
    </w:p>
    <w:p>
      <w:pPr>
        <w:ind w:left="298" w:hanging="212"/>
        <w:spacing w:after="0" w:line="280" w:lineRule="auto"/>
        <w:tabs>
          <w:tab w:leader="none" w:pos="298"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This letter agreement will be binding on the Corporation and its successors and will inure to the benefit of and be enforceable by your personal or legal representatives, heirs and successors.</w:t>
      </w:r>
    </w:p>
    <w:p>
      <w:pPr>
        <w:spacing w:after="0" w:line="189" w:lineRule="exact"/>
        <w:rPr>
          <w:rFonts w:ascii="Arial" w:cs="Arial" w:eastAsia="Arial" w:hAnsi="Arial"/>
          <w:sz w:val="17"/>
          <w:szCs w:val="17"/>
          <w:color w:val="auto"/>
        </w:rPr>
      </w:pPr>
    </w:p>
    <w:p>
      <w:pPr>
        <w:jc w:val="both"/>
        <w:ind w:left="298" w:hanging="212"/>
        <w:spacing w:after="0" w:line="266" w:lineRule="auto"/>
        <w:tabs>
          <w:tab w:leader="none" w:pos="298"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1" w:lineRule="exact"/>
        <w:rPr>
          <w:rFonts w:ascii="Arial" w:cs="Arial" w:eastAsia="Arial" w:hAnsi="Arial"/>
          <w:sz w:val="17"/>
          <w:szCs w:val="17"/>
          <w:color w:val="auto"/>
        </w:rPr>
      </w:pPr>
    </w:p>
    <w:p>
      <w:pPr>
        <w:jc w:val="both"/>
        <w:ind w:left="298" w:hanging="212"/>
        <w:spacing w:after="0" w:line="291" w:lineRule="auto"/>
        <w:tabs>
          <w:tab w:leader="none" w:pos="298"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with or without cause, subject to the obligations of the Corporation and the Manpower Group as set forth herein.</w:t>
      </w:r>
    </w:p>
    <w:p>
      <w:pPr>
        <w:spacing w:after="0" w:line="182" w:lineRule="exact"/>
        <w:rPr>
          <w:rFonts w:ascii="Arial" w:cs="Arial" w:eastAsia="Arial" w:hAnsi="Arial"/>
          <w:sz w:val="16"/>
          <w:szCs w:val="16"/>
          <w:color w:val="auto"/>
        </w:rPr>
      </w:pPr>
    </w:p>
    <w:p>
      <w:pPr>
        <w:ind w:left="298" w:hanging="212"/>
        <w:spacing w:after="0" w:line="280" w:lineRule="auto"/>
        <w:tabs>
          <w:tab w:leader="none" w:pos="298"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No provision of this letter may be modified, waived or discharged unless such waiver, modification or discharge is agreed to in writing by you and the Corporation.</w:t>
      </w:r>
    </w:p>
    <w:p>
      <w:pPr>
        <w:spacing w:after="0" w:line="189" w:lineRule="exact"/>
        <w:rPr>
          <w:rFonts w:ascii="Arial" w:cs="Arial" w:eastAsia="Arial" w:hAnsi="Arial"/>
          <w:sz w:val="17"/>
          <w:szCs w:val="17"/>
          <w:color w:val="auto"/>
        </w:rPr>
      </w:pPr>
    </w:p>
    <w:p>
      <w:pPr>
        <w:ind w:left="298" w:hanging="298"/>
        <w:spacing w:after="0" w:line="280" w:lineRule="auto"/>
        <w:tabs>
          <w:tab w:leader="none" w:pos="298"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89" w:lineRule="exact"/>
        <w:rPr>
          <w:rFonts w:ascii="Arial" w:cs="Arial" w:eastAsia="Arial" w:hAnsi="Arial"/>
          <w:sz w:val="17"/>
          <w:szCs w:val="17"/>
          <w:color w:val="auto"/>
        </w:rPr>
      </w:pPr>
    </w:p>
    <w:p>
      <w:pPr>
        <w:ind w:left="298" w:right="320" w:hanging="230"/>
        <w:spacing w:after="0" w:line="312" w:lineRule="auto"/>
        <w:tabs>
          <w:tab w:leader="none" w:pos="298" w:val="left"/>
        </w:tabs>
        <w:numPr>
          <w:ilvl w:val="2"/>
          <w:numId w:val="47"/>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shall be governed by and interpreted in accordance with the laws of the State of New York, United States of America, without regard to its conflict of law provisions.</w:t>
      </w:r>
    </w:p>
    <w:p>
      <w:pPr>
        <w:spacing w:after="0" w:line="166" w:lineRule="exact"/>
        <w:rPr>
          <w:rFonts w:ascii="Arial" w:cs="Arial" w:eastAsia="Arial" w:hAnsi="Arial"/>
          <w:sz w:val="16"/>
          <w:szCs w:val="16"/>
          <w:color w:val="auto"/>
        </w:rPr>
      </w:pPr>
    </w:p>
    <w:p>
      <w:pPr>
        <w:ind w:left="298" w:right="340" w:hanging="230"/>
        <w:spacing w:after="0" w:line="280" w:lineRule="auto"/>
        <w:tabs>
          <w:tab w:leader="none" w:pos="298" w:val="left"/>
        </w:tabs>
        <w:numPr>
          <w:ilvl w:val="2"/>
          <w:numId w:val="47"/>
        </w:numPr>
        <w:rPr>
          <w:rFonts w:ascii="Arial" w:cs="Arial" w:eastAsia="Arial" w:hAnsi="Arial"/>
          <w:sz w:val="16"/>
          <w:szCs w:val="16"/>
          <w:color w:val="auto"/>
        </w:rPr>
      </w:pPr>
      <w:r>
        <w:rPr>
          <w:rFonts w:ascii="Arial" w:cs="Arial" w:eastAsia="Arial" w:hAnsi="Arial"/>
          <w:sz w:val="16"/>
          <w:szCs w:val="16"/>
          <w:u w:val="single" w:color="auto"/>
          <w:color w:val="auto"/>
        </w:rPr>
        <w:t>Reduction of Amounts Due Under Law</w:t>
      </w:r>
      <w:r>
        <w:rPr>
          <w:rFonts w:ascii="Arial" w:cs="Arial" w:eastAsia="Arial" w:hAnsi="Arial"/>
          <w:sz w:val="16"/>
          <w:szCs w:val="16"/>
          <w:color w:val="auto"/>
        </w:rPr>
        <w:t>. You agree that any severance payment (</w:t>
      </w:r>
      <w:r>
        <w:rPr>
          <w:rFonts w:ascii="Arial" w:cs="Arial" w:eastAsia="Arial" w:hAnsi="Arial"/>
          <w:sz w:val="16"/>
          <w:szCs w:val="16"/>
          <w:i w:val="1"/>
          <w:iCs w:val="1"/>
          <w:color w:val="auto"/>
        </w:rPr>
        <w:t>i.e</w:t>
      </w:r>
      <w:r>
        <w:rPr>
          <w:rFonts w:ascii="Arial" w:cs="Arial" w:eastAsia="Arial" w:hAnsi="Arial"/>
          <w:sz w:val="16"/>
          <w:szCs w:val="16"/>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1" w:lineRule="exact"/>
        <w:rPr>
          <w:rFonts w:ascii="Arial" w:cs="Arial" w:eastAsia="Arial" w:hAnsi="Arial"/>
          <w:sz w:val="16"/>
          <w:szCs w:val="16"/>
          <w:color w:val="auto"/>
        </w:rPr>
      </w:pPr>
    </w:p>
    <w:p>
      <w:pPr>
        <w:ind w:left="298" w:right="120" w:hanging="230"/>
        <w:spacing w:after="0" w:line="291" w:lineRule="auto"/>
        <w:tabs>
          <w:tab w:leader="none" w:pos="298" w:val="left"/>
        </w:tabs>
        <w:numPr>
          <w:ilvl w:val="2"/>
          <w:numId w:val="47"/>
        </w:numPr>
        <w:rPr>
          <w:rFonts w:ascii="Arial" w:cs="Arial" w:eastAsia="Arial" w:hAnsi="Arial"/>
          <w:sz w:val="16"/>
          <w:szCs w:val="16"/>
          <w:color w:val="auto"/>
        </w:rPr>
      </w:pPr>
      <w:r>
        <w:rPr>
          <w:rFonts w:ascii="Arial" w:cs="Arial" w:eastAsia="Arial" w:hAnsi="Arial"/>
          <w:sz w:val="16"/>
          <w:szCs w:val="16"/>
          <w:u w:val="single" w:color="auto"/>
          <w:color w:val="auto"/>
        </w:rPr>
        <w:t>Previous Agreement</w:t>
      </w:r>
      <w:r>
        <w:rPr>
          <w:rFonts w:ascii="Arial" w:cs="Arial" w:eastAsia="Arial" w:hAnsi="Arial"/>
          <w:sz w:val="16"/>
          <w:szCs w:val="16"/>
          <w:color w:val="auto"/>
        </w:rPr>
        <w:t>. This letter, upon acceptance by you, expressly supersedes that certain letter agreement between you and the Corporation dated February 20, 2008, which primarily concerns rights and obligations upon your termination of employment, and such agreement shall, as of the date of your acceptance, have no further force or effect.</w:t>
      </w:r>
    </w:p>
    <w:p>
      <w:pPr>
        <w:spacing w:after="0" w:line="182" w:lineRule="exact"/>
        <w:rPr>
          <w:rFonts w:ascii="Arial" w:cs="Arial" w:eastAsia="Arial" w:hAnsi="Arial"/>
          <w:sz w:val="16"/>
          <w:szCs w:val="16"/>
          <w:color w:val="auto"/>
        </w:rPr>
      </w:pPr>
    </w:p>
    <w:p>
      <w:pPr>
        <w:ind w:left="298" w:right="80" w:hanging="273"/>
        <w:spacing w:after="0" w:line="308" w:lineRule="auto"/>
        <w:tabs>
          <w:tab w:leader="none" w:pos="298" w:val="left"/>
        </w:tabs>
        <w:numPr>
          <w:ilvl w:val="1"/>
          <w:numId w:val="47"/>
        </w:numPr>
        <w:rPr>
          <w:rFonts w:ascii="Arial" w:cs="Arial" w:eastAsia="Arial" w:hAnsi="Arial"/>
          <w:sz w:val="15"/>
          <w:szCs w:val="15"/>
          <w:color w:val="auto"/>
        </w:rPr>
      </w:pPr>
      <w:r>
        <w:rPr>
          <w:rFonts w:ascii="Arial" w:cs="Arial" w:eastAsia="Arial" w:hAnsi="Arial"/>
          <w:sz w:val="15"/>
          <w:szCs w:val="15"/>
          <w:u w:val="single" w:color="auto"/>
          <w:color w:val="auto"/>
        </w:rPr>
        <w:t>Dispute Resolution</w:t>
      </w:r>
      <w:r>
        <w:rPr>
          <w:rFonts w:ascii="Arial" w:cs="Arial" w:eastAsia="Arial" w:hAnsi="Arial"/>
          <w:sz w:val="15"/>
          <w:szCs w:val="15"/>
          <w:color w:val="auto"/>
        </w:rPr>
        <w:t>. Subsection 3(b)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14, the party initiating arbitration shall be denominated the “Claimant” and the other party shall be denominated the “Respondent.”</w:t>
      </w:r>
    </w:p>
    <w:p>
      <w:pPr>
        <w:spacing w:after="0" w:line="172" w:lineRule="exact"/>
        <w:rPr>
          <w:rFonts w:ascii="Arial" w:cs="Arial" w:eastAsia="Arial" w:hAnsi="Arial"/>
          <w:sz w:val="15"/>
          <w:szCs w:val="15"/>
          <w:color w:val="auto"/>
        </w:rPr>
      </w:pPr>
    </w:p>
    <w:p>
      <w:pPr>
        <w:ind w:left="498" w:right="120" w:hanging="236"/>
        <w:spacing w:after="0" w:line="302" w:lineRule="auto"/>
        <w:tabs>
          <w:tab w:leader="none" w:pos="498" w:val="left"/>
        </w:tabs>
        <w:numPr>
          <w:ilvl w:val="3"/>
          <w:numId w:val="47"/>
        </w:numPr>
        <w:rPr>
          <w:rFonts w:ascii="Arial" w:cs="Arial" w:eastAsia="Arial" w:hAnsi="Arial"/>
          <w:sz w:val="15"/>
          <w:szCs w:val="15"/>
          <w:color w:val="auto"/>
        </w:rPr>
      </w:pPr>
      <w:r>
        <w:rPr>
          <w:rFonts w:ascii="Arial" w:cs="Arial" w:eastAsia="Arial" w:hAnsi="Arial"/>
          <w:sz w:val="15"/>
          <w:szCs w:val="15"/>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w:t>
      </w:r>
    </w:p>
    <w:p>
      <w:pPr>
        <w:sectPr>
          <w:pgSz w:w="11900" w:h="16900" w:orient="portrait"/>
          <w:cols w:equalWidth="0" w:num="1">
            <w:col w:w="11098"/>
          </w:cols>
          <w:pgMar w:left="562" w:top="359" w:right="239" w:bottom="0" w:gutter="0" w:footer="0" w:header="0"/>
        </w:sectPr>
      </w:pPr>
    </w:p>
    <w:bookmarkStart w:id="27" w:name="page28"/>
    <w:bookmarkEnd w:id="27"/>
    <w:p>
      <w:pPr>
        <w:ind w:left="473" w:right="440"/>
        <w:spacing w:after="0" w:line="276" w:lineRule="auto"/>
        <w:rPr>
          <w:sz w:val="20"/>
          <w:szCs w:val="20"/>
          <w:color w:val="auto"/>
        </w:rPr>
      </w:pPr>
      <w:r>
        <w:rPr>
          <w:rFonts w:ascii="Arial" w:cs="Arial" w:eastAsia="Arial" w:hAnsi="Arial"/>
          <w:sz w:val="16"/>
          <w:szCs w:val="16"/>
          <w:color w:val="auto"/>
        </w:rPr>
        <w:t>of the arbitration shall be the Borough of Manhattan in the City, County and State of New York, United States of Ame rica. The arbitration shall be conducted in the English language. Judgment upon the award rendered by the arbitrator may be entered by any court having jurisdiction</w:t>
      </w:r>
    </w:p>
    <w:p>
      <w:pPr>
        <w:spacing w:after="0" w:line="1" w:lineRule="exact"/>
        <w:rPr>
          <w:sz w:val="20"/>
          <w:szCs w:val="20"/>
          <w:color w:val="auto"/>
        </w:rPr>
      </w:pPr>
    </w:p>
    <w:p>
      <w:pPr>
        <w:jc w:val="both"/>
        <w:ind w:left="473" w:right="40"/>
        <w:spacing w:after="0" w:line="279" w:lineRule="auto"/>
        <w:rPr>
          <w:sz w:val="20"/>
          <w:szCs w:val="20"/>
          <w:color w:val="auto"/>
        </w:rPr>
      </w:pPr>
      <w:r>
        <w:rPr>
          <w:rFonts w:ascii="Arial" w:cs="Arial" w:eastAsia="Arial" w:hAnsi="Arial"/>
          <w:sz w:val="16"/>
          <w:szCs w:val="16"/>
          <w:color w:val="auto"/>
        </w:rPr>
        <w:t>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0" w:lineRule="exact"/>
        <w:rPr>
          <w:sz w:val="20"/>
          <w:szCs w:val="20"/>
          <w:color w:val="auto"/>
        </w:rPr>
      </w:pPr>
    </w:p>
    <w:p>
      <w:pPr>
        <w:spacing w:after="0" w:line="224" w:lineRule="exact"/>
        <w:rPr>
          <w:sz w:val="20"/>
          <w:szCs w:val="20"/>
          <w:color w:val="auto"/>
        </w:rPr>
      </w:pPr>
    </w:p>
    <w:p>
      <w:pPr>
        <w:jc w:val="both"/>
        <w:ind w:left="893" w:hanging="284"/>
        <w:spacing w:after="0" w:line="273" w:lineRule="auto"/>
        <w:tabs>
          <w:tab w:leader="none" w:pos="893"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1" w:lineRule="exact"/>
        <w:rPr>
          <w:rFonts w:ascii="Arial" w:cs="Arial" w:eastAsia="Arial" w:hAnsi="Arial"/>
          <w:sz w:val="16"/>
          <w:szCs w:val="16"/>
          <w:color w:val="auto"/>
        </w:rPr>
      </w:pPr>
    </w:p>
    <w:p>
      <w:pPr>
        <w:ind w:left="273" w:right="180" w:hanging="273"/>
        <w:spacing w:after="0" w:line="280" w:lineRule="auto"/>
        <w:tabs>
          <w:tab w:leader="none" w:pos="273"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obligations imposed by Paragraph 3(a) above, of this agreement are severable and should be construed independently of each other. The invalidity of one such provision shall not affect the validity of any other such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371475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73"/>
          </w:cols>
          <w:pgMar w:left="587" w:top="127" w:right="239" w:bottom="1440" w:gutter="0" w:footer="0" w:header="0"/>
        </w:sectPr>
      </w:pPr>
    </w:p>
    <w:bookmarkStart w:id="28" w:name="page29"/>
    <w:bookmarkEnd w:id="28"/>
    <w:p>
      <w:pPr>
        <w:spacing w:after="0" w:line="280" w:lineRule="auto"/>
        <w:rPr>
          <w:sz w:val="20"/>
          <w:szCs w:val="20"/>
          <w:color w:val="auto"/>
        </w:rPr>
      </w:pPr>
      <w:r>
        <w:rPr>
          <w:rFonts w:ascii="Arial" w:cs="Arial" w:eastAsia="Arial" w:hAnsi="Arial"/>
          <w:sz w:val="17"/>
          <w:szCs w:val="17"/>
          <w:color w:val="auto"/>
        </w:rPr>
        <w:t>If you are in agreement with the foregoing, please sign and return one copy of this letter which will constitute our agreement with respect to the subject matter of this letter.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MANPOWER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-8890</wp:posOffset>
            </wp:positionV>
            <wp:extent cx="1475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Jeffrey A. Joerres, President and</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7"/>
          <w:szCs w:val="17"/>
          <w:color w:val="auto"/>
        </w:rPr>
        <w:t>Chief Executive Officer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Agreed as of the 16th day of February, 2011.</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Michael J. Van Handel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Michael J. Van Handel</w:t>
      </w:r>
    </w:p>
    <w:sectPr>
      <w:pgSz w:w="11900" w:h="16838" w:orient="portrait"/>
      <w:cols w:equalWidth="0" w:num="1">
        <w:col w:w="11380"/>
      </w:cols>
      <w:pgMar w:left="240" w:top="73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o"/>
      <w:numFmt w:val="bullet"/>
      <w:start w:val="1"/>
    </w:lvl>
  </w:abstractNum>
  <w:abstractNum w:abstractNumId="1">
    <w:nsid w:val="4353D0CD"/>
    <w:multiLevelType w:val="hybridMultilevel"/>
    <w:lvl w:ilvl="0">
      <w:lvlJc w:val="left"/>
      <w:lvlText w:val="·"/>
      <w:numFmt w:val="bullet"/>
      <w:start w:val="1"/>
    </w:lvl>
    <w:lvl w:ilvl="1">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decimal"/>
      <w:start w:val="3"/>
    </w:lvl>
    <w:lvl w:ilvl="1">
      <w:lvlJc w:val="left"/>
      <w:lvlText w:val="(%2)"/>
      <w:numFmt w:val="lowerLetter"/>
      <w:start w:val="1"/>
    </w:lvl>
  </w:abstractNum>
  <w:abstractNum w:abstractNumId="9">
    <w:nsid w:val="3A95F874"/>
    <w:multiLevelType w:val="hybridMultilevel"/>
    <w:lvl w:ilvl="0">
      <w:lvlJc w:val="left"/>
      <w:lvlText w:val="%1."/>
      <w:numFmt w:val="decimal"/>
      <w:start w:val="4"/>
    </w:lvl>
    <w:lvl w:ilvl="1">
      <w:lvlJc w:val="left"/>
      <w:lvlText w:val="(%2)"/>
      <w:numFmt w:val="lowerLetter"/>
      <w:start w:val="1"/>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
    <w:nsid w:val="737B8DD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
    </w:lvl>
  </w:abstractNum>
  <w:abstractNum w:abstractNumId="14">
    <w:nsid w:val="6CEAF087"/>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4"/>
      <w:numFmt w:val="lowerLetter"/>
      <w:start w:val="1"/>
    </w:lvl>
  </w:abstractNum>
  <w:abstractNum w:abstractNumId="15">
    <w:nsid w:val="22221A70"/>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2"/>
    </w:lvl>
    <w:lvl w:ilvl="3">
      <w:lvlJc w:val="left"/>
      <w:lvlText w:val="%4"/>
      <w:numFmt w:val="lowerLetter"/>
      <w:start w:val="1"/>
    </w:lvl>
  </w:abstractNum>
  <w:abstractNum w:abstractNumId="16">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
    <w:nsid w:val="3006C83E"/>
    <w:multiLevelType w:val="hybridMultilevel"/>
    <w:lvl w:ilvl="0">
      <w:lvlJc w:val="left"/>
      <w:lvlText w:val="(%1)"/>
      <w:numFmt w:val="lowerLetter"/>
      <w:start w:val="3"/>
    </w:lvl>
    <w:lvl w:ilvl="1">
      <w:lvlJc w:val="left"/>
      <w:lvlText w:val="(%2)"/>
      <w:numFmt w:val="lowerRoman"/>
      <w:start w:val="1"/>
    </w:lvl>
  </w:abstractNum>
  <w:abstractNum w:abstractNumId="18">
    <w:nsid w:val="614FD4A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lowerRoman"/>
      <w:start w:val="1"/>
    </w:lvl>
  </w:abstractNum>
  <w:abstractNum w:abstractNumId="19">
    <w:nsid w:val="419AC24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20">
    <w:nsid w:val="5577F8E1"/>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21">
    <w:nsid w:val="440BADFC"/>
    <w:multiLevelType w:val="hybridMultilevel"/>
    <w:lvl w:ilvl="0">
      <w:lvlJc w:val="left"/>
      <w:lvlText w:val="(%1)"/>
      <w:numFmt w:val="upperLetter"/>
      <w:start w:val="5"/>
    </w:lvl>
    <w:lvl w:ilvl="1">
      <w:lvlJc w:val="left"/>
      <w:lvlText w:val="%2"/>
      <w:numFmt w:val="lowerRoman"/>
      <w:start w:val="1"/>
    </w:lvl>
    <w:lvl w:ilvl="2">
      <w:lvlJc w:val="left"/>
      <w:lvlText w:val="%3"/>
      <w:numFmt w:val="upperLetter"/>
      <w:start w:val="1"/>
    </w:lvl>
  </w:abstractNum>
  <w:abstractNum w:abstractNumId="22">
    <w:nsid w:val="5072367"/>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3">
    <w:nsid w:val="3804823E"/>
    <w:multiLevelType w:val="hybridMultilevel"/>
    <w:lvl w:ilvl="0">
      <w:lvlJc w:val="left"/>
      <w:lvlText w:val="(%1)"/>
      <w:numFmt w:val="upperLetter"/>
      <w:start w:val="5"/>
    </w:lvl>
    <w:lvl w:ilvl="1">
      <w:lvlJc w:val="left"/>
      <w:lvlText w:val="%2"/>
      <w:numFmt w:val="lowerRoman"/>
      <w:start w:val="1"/>
    </w:lvl>
    <w:lvl w:ilvl="2">
      <w:lvlJc w:val="left"/>
      <w:lvlText w:val="%3"/>
      <w:numFmt w:val="upperLetter"/>
      <w:start w:val="1"/>
    </w:lvl>
  </w:abstractNum>
  <w:abstractNum w:abstractNumId="24">
    <w:nsid w:val="77465F01"/>
    <w:multiLevelType w:val="hybridMultilevel"/>
    <w:lvl w:ilvl="0">
      <w:lvlJc w:val="left"/>
      <w:lvlText w:val="%1"/>
      <w:numFmt w:val="decimal"/>
      <w:start w:val="1"/>
    </w:lvl>
    <w:lvl w:ilvl="1">
      <w:lvlJc w:val="left"/>
      <w:lvlText w:val="(%2)"/>
      <w:numFmt w:val="lowerLetter"/>
      <w:start w:val="4"/>
    </w:lvl>
    <w:lvl w:ilvl="2">
      <w:lvlJc w:val="left"/>
      <w:lvlText w:val="(%3)"/>
      <w:numFmt w:val="upperLetter"/>
      <w:start w:val="5"/>
    </w:lvl>
    <w:lvl w:ilvl="3">
      <w:lvlJc w:val="left"/>
      <w:lvlText w:val="%4"/>
      <w:numFmt w:val="lowerRoman"/>
      <w:start w:val="1"/>
    </w:lvl>
  </w:abstractNum>
  <w:abstractNum w:abstractNumId="25">
    <w:nsid w:val="7724C67E"/>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1"/>
    </w:lvl>
    <w:lvl w:ilvl="3">
      <w:lvlJc w:val="left"/>
      <w:lvlText w:val="(%4)"/>
      <w:numFmt w:val="lowerLetter"/>
      <w:start w:val="9"/>
    </w:lvl>
  </w:abstractNum>
  <w:abstractNum w:abstractNumId="26">
    <w:nsid w:val="5C482A9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35"/>
    </w:lvl>
    <w:lvl w:ilvl="5">
      <w:lvlJc w:val="left"/>
      <w:lvlText w:val="%6"/>
      <w:numFmt w:val="lowerLetter"/>
      <w:start w:val="1"/>
    </w:lvl>
  </w:abstractNum>
  <w:abstractNum w:abstractNumId="27">
    <w:nsid w:val="2463B9E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2"/>
    </w:lvl>
    <w:lvl w:ilvl="5">
      <w:lvlJc w:val="left"/>
      <w:lvlText w:val="%6"/>
      <w:numFmt w:val="lowerLetter"/>
      <w:start w:val="1"/>
    </w:lvl>
  </w:abstractNum>
  <w:abstractNum w:abstractNumId="28">
    <w:nsid w:val="5E884ADC"/>
    <w:multiLevelType w:val="hybridMultilevel"/>
    <w:lvl w:ilvl="0">
      <w:lvlJc w:val="left"/>
      <w:lvlText w:val="%1."/>
      <w:numFmt w:val="decimal"/>
      <w:start w:val="4"/>
    </w:lvl>
    <w:lvl w:ilvl="1">
      <w:lvlJc w:val="left"/>
      <w:lvlText w:val="%2."/>
      <w:numFmt w:val="decimal"/>
      <w:start w:val="13"/>
    </w:lvl>
    <w:lvl w:ilvl="2">
      <w:lvlJc w:val="left"/>
      <w:lvlText w:val="%3."/>
      <w:numFmt w:val="decimal"/>
      <w:start w:val="1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29">
    <w:nsid w:val="51EAD36B"/>
    <w:multiLevelType w:val="hybridMultilevel"/>
    <w:lvl w:ilvl="0">
      <w:lvlJc w:val="left"/>
      <w:lvlText w:val="%1"/>
      <w:numFmt w:val="decimal"/>
      <w:start w:val="1"/>
    </w:lvl>
    <w:lvl w:ilvl="1">
      <w:lvlJc w:val="left"/>
      <w:lvlText w:val="(%2)"/>
      <w:numFmt w:val="lowerLetter"/>
      <w:start w:val="2"/>
    </w:lvl>
  </w:abstractNum>
  <w:abstractNum w:abstractNumId="30">
    <w:nsid w:val="2D517796"/>
    <w:multiLevelType w:val="hybridMultilevel"/>
    <w:lvl w:ilvl="0">
      <w:lvlJc w:val="left"/>
      <w:lvlText w:val="%1."/>
      <w:numFmt w:val="decimal"/>
      <w:start w:val="15"/>
    </w:lvl>
    <w:lvl w:ilvl="1">
      <w:lvlJc w:val="left"/>
      <w:lvlText w:val="%2"/>
      <w:numFmt w:val="lowerLetter"/>
      <w:start w:val="1"/>
    </w:lvl>
  </w:abstractNum>
  <w:abstractNum w:abstractNumId="31">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
    <w:nsid w:val="153EA438"/>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33">
    <w:nsid w:val="3855585C"/>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2"/>
    </w:lvl>
  </w:abstractNum>
  <w:abstractNum w:abstractNumId="34">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5">
    <w:nsid w:val="6A2342EC"/>
    <w:multiLevelType w:val="hybridMultilevel"/>
    <w:lvl w:ilvl="0">
      <w:lvlJc w:val="left"/>
      <w:lvlText w:val="(%1)"/>
      <w:numFmt w:val="lowerLetter"/>
      <w:start w:val="3"/>
    </w:lvl>
    <w:lvl w:ilvl="1">
      <w:lvlJc w:val="left"/>
      <w:lvlText w:val="(%2)"/>
      <w:numFmt w:val="lowerRoman"/>
      <w:start w:val="1"/>
    </w:lvl>
  </w:abstractNum>
  <w:abstractNum w:abstractNumId="36">
    <w:nsid w:val="2A487CB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lowerRoman"/>
      <w:start w:val="1"/>
    </w:lvl>
  </w:abstractNum>
  <w:abstractNum w:abstractNumId="37">
    <w:nsid w:val="1D4ED43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38">
    <w:nsid w:val="725A06FB"/>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39">
    <w:nsid w:val="2CD89A32"/>
    <w:multiLevelType w:val="hybridMultilevel"/>
    <w:lvl w:ilvl="0">
      <w:lvlJc w:val="left"/>
      <w:lvlText w:val="(%1)"/>
      <w:numFmt w:val="upperLetter"/>
      <w:start w:val="5"/>
    </w:lvl>
    <w:lvl w:ilvl="1">
      <w:lvlJc w:val="left"/>
      <w:lvlText w:val="%2"/>
      <w:numFmt w:val="lowerRoman"/>
      <w:start w:val="1"/>
    </w:lvl>
    <w:lvl w:ilvl="2">
      <w:lvlJc w:val="left"/>
      <w:lvlText w:val="%3"/>
      <w:numFmt w:val="upperLetter"/>
      <w:start w:val="1"/>
    </w:lvl>
  </w:abstractNum>
  <w:abstractNum w:abstractNumId="40">
    <w:nsid w:val="57E4CCAF"/>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41">
    <w:nsid w:val="7A6D8D3C"/>
    <w:multiLevelType w:val="hybridMultilevel"/>
    <w:lvl w:ilvl="0">
      <w:lvlJc w:val="left"/>
      <w:lvlText w:val="(%1)"/>
      <w:numFmt w:val="upperLetter"/>
      <w:start w:val="5"/>
    </w:lvl>
    <w:lvl w:ilvl="1">
      <w:lvlJc w:val="left"/>
      <w:lvlText w:val="%2"/>
      <w:numFmt w:val="lowerRoman"/>
      <w:start w:val="1"/>
    </w:lvl>
    <w:lvl w:ilvl="2">
      <w:lvlJc w:val="left"/>
      <w:lvlText w:val="%3"/>
      <w:numFmt w:val="upperLetter"/>
      <w:start w:val="1"/>
    </w:lvl>
  </w:abstractNum>
  <w:abstractNum w:abstractNumId="42">
    <w:nsid w:val="4B588F54"/>
    <w:multiLevelType w:val="hybridMultilevel"/>
    <w:lvl w:ilvl="0">
      <w:lvlJc w:val="left"/>
      <w:lvlText w:val="%1"/>
      <w:numFmt w:val="decimal"/>
      <w:start w:val="1"/>
    </w:lvl>
    <w:lvl w:ilvl="1">
      <w:lvlJc w:val="left"/>
      <w:lvlText w:val="(%2)"/>
      <w:numFmt w:val="lowerLetter"/>
      <w:start w:val="4"/>
    </w:lvl>
    <w:lvl w:ilvl="2">
      <w:lvlJc w:val="left"/>
      <w:lvlText w:val="(%3)"/>
      <w:numFmt w:val="upperLetter"/>
      <w:start w:val="5"/>
    </w:lvl>
    <w:lvl w:ilvl="3">
      <w:lvlJc w:val="left"/>
      <w:lvlText w:val="%4"/>
      <w:numFmt w:val="lowerRoman"/>
      <w:start w:val="1"/>
    </w:lvl>
  </w:abstractNum>
  <w:abstractNum w:abstractNumId="43">
    <w:nsid w:val="542289EC"/>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1"/>
    </w:lvl>
    <w:lvl w:ilvl="3">
      <w:lvlJc w:val="left"/>
      <w:lvlText w:val="(%4)"/>
      <w:numFmt w:val="lowerLetter"/>
      <w:start w:val="9"/>
    </w:lvl>
  </w:abstractNum>
  <w:abstractNum w:abstractNumId="44">
    <w:nsid w:val="6DE91B1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lowerLetter"/>
      <w:start w:val="35"/>
    </w:lvl>
  </w:abstractNum>
  <w:abstractNum w:abstractNumId="45">
    <w:nsid w:val="38437FD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2"/>
    </w:lvl>
    <w:lvl w:ilvl="5">
      <w:lvlJc w:val="left"/>
      <w:lvlText w:val="%6"/>
      <w:numFmt w:val="lowerLetter"/>
      <w:start w:val="1"/>
    </w:lvl>
  </w:abstractNum>
  <w:abstractNum w:abstractNumId="46">
    <w:nsid w:val="7644A45C"/>
    <w:multiLevelType w:val="hybridMultilevel"/>
    <w:lvl w:ilvl="0">
      <w:lvlJc w:val="left"/>
      <w:lvlText w:val="%1."/>
      <w:numFmt w:val="decimal"/>
      <w:start w:val="4"/>
    </w:lvl>
    <w:lvl w:ilvl="1">
      <w:lvlJc w:val="left"/>
      <w:lvlText w:val="%2."/>
      <w:numFmt w:val="decimal"/>
      <w:start w:val="13"/>
    </w:lvl>
    <w:lvl w:ilvl="2">
      <w:lvlJc w:val="left"/>
      <w:lvlText w:val="%3."/>
      <w:numFmt w:val="decimal"/>
      <w:start w:val="1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2"/>
    </w:lvl>
  </w:abstractNum>
  <w:abstractNum w:abstractNumId="48">
    <w:nsid w:val="684A481A"/>
    <w:multiLevelType w:val="hybridMultilevel"/>
    <w:lvl w:ilvl="0">
      <w:lvlJc w:val="left"/>
      <w:lvlText w:val="%1."/>
      <w:numFmt w:val="decimal"/>
      <w:start w:val="1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2019-12-10T10:41:28Z</dcterms:created>
  <dcterms:modified xsi:type="dcterms:W3CDTF">2019-12-10T10:41:28Z</dcterms:modified>
</cp:coreProperties>
</file>