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April 16, 2026</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5"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On April 16, 2026, we issued a press release announcing our results of operations for the three months ended March 31, 2026 and 2025.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tcBorders>
              <w:top w:val="single" w:sz="8" w:color="auto"/>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April 16, 2026</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April 16, 2026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40" w:type="dxa"/>
            <w:vAlign w:val="bottom"/>
            <w:tcBorders>
              <w:right w:val="single" w:sz="8" w:color="0000EE"/>
            </w:tcBorders>
            <w:gridSpan w:val="2"/>
            <w:shd w:val="clear" w:color="auto" w:fill="0000F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Dated:April 16, 2026</w:t>
            </w: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6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Title:</w:t>
            </w: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
        <w:spacing w:after="0"/>
        <w:tabs>
          <w:tab w:leader="none" w:pos="674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94"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6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65"/>
        <w:spacing w:after="0"/>
        <w:rPr>
          <w:sz w:val="20"/>
          <w:szCs w:val="20"/>
          <w:color w:val="auto"/>
        </w:rPr>
      </w:pPr>
      <w:r>
        <w:rPr>
          <w:rFonts w:ascii="Arial" w:cs="Arial" w:eastAsia="Arial" w:hAnsi="Arial"/>
          <w:sz w:val="15"/>
          <w:szCs w:val="15"/>
          <w:u w:val="single" w:color="auto"/>
          <w:color w:val="0000FF"/>
        </w:rPr>
        <w:t>haley.jones@manpowergroup.com</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2026 Results</w:t>
      </w:r>
    </w:p>
    <w:p>
      <w:pPr>
        <w:ind w:left="565" w:hanging="371"/>
        <w:spacing w:after="0"/>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Launched expanded global strategic transformation program, now expected to deliver $200 million in permanent cost savings in 2028</w:t>
      </w:r>
    </w:p>
    <w:p>
      <w:pPr>
        <w:spacing w:after="0" w:line="4" w:lineRule="exact"/>
        <w:rPr>
          <w:rFonts w:ascii="Times New Roman" w:cs="Times New Roman" w:eastAsia="Times New Roman" w:hAnsi="Times New Roman"/>
          <w:sz w:val="17"/>
          <w:szCs w:val="17"/>
          <w:color w:val="auto"/>
        </w:rPr>
      </w:pPr>
    </w:p>
    <w:p>
      <w:pPr>
        <w:ind w:left="565" w:hanging="371"/>
        <w:spacing w:after="0"/>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$4.5 billion (10% as reported, 3% constant currency)</w:t>
      </w:r>
    </w:p>
    <w:p>
      <w:pPr>
        <w:spacing w:after="0" w:line="4" w:lineRule="exact"/>
        <w:rPr>
          <w:rFonts w:ascii="Times New Roman" w:cs="Times New Roman" w:eastAsia="Times New Roman" w:hAnsi="Times New Roman"/>
          <w:sz w:val="17"/>
          <w:szCs w:val="17"/>
          <w:color w:val="auto"/>
        </w:rPr>
      </w:pPr>
    </w:p>
    <w:p>
      <w:pPr>
        <w:ind w:left="565" w:right="20" w:hanging="371"/>
        <w:spacing w:after="0" w:line="231"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demand in Asia Pacific and Latin America and in select European countries. France continued sequential improvement to achieve a flat revenue trend year over year</w:t>
      </w:r>
    </w:p>
    <w:p>
      <w:pPr>
        <w:spacing w:after="0" w:line="1" w:lineRule="exact"/>
        <w:rPr>
          <w:rFonts w:ascii="Times New Roman" w:cs="Times New Roman" w:eastAsia="Times New Roman" w:hAnsi="Times New Roman"/>
          <w:sz w:val="17"/>
          <w:szCs w:val="17"/>
          <w:color w:val="auto"/>
        </w:rPr>
      </w:pPr>
    </w:p>
    <w:p>
      <w:pPr>
        <w:ind w:left="565" w:right="20" w:hanging="371"/>
        <w:spacing w:after="0" w:line="231" w:lineRule="auto"/>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Manpower had strong growth in the quarter. Experis impacted by soft professional demand, with stable underlying activity. Talent Solutions headwinds continue, driven by tempered permanent hiring, with rate of decline narrowing over last two quarters</w:t>
      </w:r>
    </w:p>
    <w:p>
      <w:pPr>
        <w:spacing w:after="0" w:line="1" w:lineRule="exact"/>
        <w:rPr>
          <w:rFonts w:ascii="Times New Roman" w:cs="Times New Roman" w:eastAsia="Times New Roman" w:hAnsi="Times New Roman"/>
          <w:sz w:val="17"/>
          <w:szCs w:val="17"/>
          <w:color w:val="auto"/>
        </w:rPr>
      </w:pPr>
    </w:p>
    <w:p>
      <w:pPr>
        <w:ind w:left="565" w:hanging="371"/>
        <w:spacing w:after="0"/>
        <w:tabs>
          <w:tab w:leader="none" w:pos="56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down year over year in constant currency reflecting strong cost management</w:t>
      </w:r>
    </w:p>
    <w:p>
      <w:pPr>
        <w:spacing w:after="0" w:line="176" w:lineRule="exact"/>
        <w:rPr>
          <w:sz w:val="20"/>
          <w:szCs w:val="20"/>
          <w:color w:val="auto"/>
        </w:rPr>
      </w:pPr>
    </w:p>
    <w:p>
      <w:pPr>
        <w:jc w:val="both"/>
        <w:ind w:left="5"/>
        <w:spacing w:after="0" w:line="239" w:lineRule="auto"/>
        <w:rPr>
          <w:sz w:val="20"/>
          <w:szCs w:val="20"/>
          <w:color w:val="auto"/>
        </w:rPr>
      </w:pPr>
      <w:r>
        <w:rPr>
          <w:rFonts w:ascii="Arial" w:cs="Arial" w:eastAsia="Arial" w:hAnsi="Arial"/>
          <w:sz w:val="17"/>
          <w:szCs w:val="17"/>
          <w:b w:val="1"/>
          <w:bCs w:val="1"/>
          <w:color w:val="auto"/>
        </w:rPr>
        <w:t xml:space="preserve">MILWAUKEE, April 16, 2026 – </w:t>
      </w:r>
      <w:r>
        <w:rPr>
          <w:rFonts w:ascii="Arial" w:cs="Arial" w:eastAsia="Arial" w:hAnsi="Arial"/>
          <w:sz w:val="17"/>
          <w:szCs w:val="17"/>
          <w:color w:val="auto"/>
        </w:rPr>
        <w:t>ManpowerGroup (NYSE: MAN) today reported net earnings of $0.05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2026 compared to net earnings of $0.12 per diluted share in the prior year period. Net earnings in the quarter were $2.5 million compared to net earnings of $5.6 million a year earlier. Revenues for the first quarter were $4.5 billion, a 10% increase from the prior year period.</w:t>
      </w:r>
    </w:p>
    <w:p>
      <w:pPr>
        <w:spacing w:after="0" w:line="2" w:lineRule="exact"/>
        <w:rPr>
          <w:sz w:val="20"/>
          <w:szCs w:val="20"/>
          <w:color w:val="auto"/>
        </w:rPr>
      </w:pPr>
    </w:p>
    <w:p>
      <w:pPr>
        <w:jc w:val="both"/>
        <w:ind w:left="5" w:firstLine="751"/>
        <w:spacing w:after="0" w:line="212" w:lineRule="auto"/>
        <w:rPr>
          <w:sz w:val="20"/>
          <w:szCs w:val="20"/>
          <w:color w:val="auto"/>
        </w:rPr>
      </w:pPr>
      <w:r>
        <w:rPr>
          <w:rFonts w:ascii="Arial" w:cs="Arial" w:eastAsia="Arial" w:hAnsi="Arial"/>
          <w:sz w:val="17"/>
          <w:szCs w:val="17"/>
          <w:color w:val="auto"/>
        </w:rPr>
        <w:t>The current year quarter included restructuring costs and strategic transformation program costs which reduced earnings per share by $0.46 in the first quarter. Excluding these charges, earnings per share was $0.51 per diluted share in the quarter representing an increase of 3% in constant currency which incorporates a higher tax rate in the first quarter of 2026.</w:t>
      </w:r>
      <w:r>
        <w:rPr>
          <w:rFonts w:ascii="Arial" w:cs="Arial" w:eastAsia="Arial" w:hAnsi="Arial"/>
          <w:sz w:val="23"/>
          <w:szCs w:val="23"/>
          <w:color w:val="auto"/>
          <w:vertAlign w:val="superscript"/>
        </w:rPr>
        <w:t>1</w:t>
      </w:r>
    </w:p>
    <w:p>
      <w:pPr>
        <w:spacing w:after="0" w:line="1" w:lineRule="exact"/>
        <w:rPr>
          <w:sz w:val="20"/>
          <w:szCs w:val="20"/>
          <w:color w:val="auto"/>
        </w:rPr>
      </w:pPr>
    </w:p>
    <w:p>
      <w:pPr>
        <w:jc w:val="both"/>
        <w:ind w:left="5" w:right="20" w:firstLine="751"/>
        <w:spacing w:after="0" w:line="232"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 On a constant currency basis, revenues increased 3% compared to the prior year period.</w:t>
      </w:r>
    </w:p>
    <w:p>
      <w:pPr>
        <w:spacing w:after="0" w:line="1" w:lineRule="exact"/>
        <w:rPr>
          <w:sz w:val="20"/>
          <w:szCs w:val="20"/>
          <w:color w:val="auto"/>
        </w:rPr>
      </w:pPr>
    </w:p>
    <w:p>
      <w:pPr>
        <w:jc w:val="both"/>
        <w:ind w:left="5" w:right="20" w:firstLine="751"/>
        <w:spacing w:after="0" w:line="243" w:lineRule="auto"/>
        <w:rPr>
          <w:sz w:val="20"/>
          <w:szCs w:val="20"/>
          <w:color w:val="auto"/>
        </w:rPr>
      </w:pPr>
      <w:r>
        <w:rPr>
          <w:rFonts w:ascii="Arial" w:cs="Arial" w:eastAsia="Arial" w:hAnsi="Arial"/>
          <w:sz w:val="17"/>
          <w:szCs w:val="17"/>
          <w:color w:val="auto"/>
        </w:rPr>
        <w:t>Jonas Prising, ManpowerGroup Chair &amp; CEO, said, “We delivered solid performance in the quarter driven by disciplined execution and stabilization in demand trends across key markets. This marks five consecutive quarters of year over year revenue trend improvement. We grew our pipeline, saw continued momentum across the portfolio within our Manpower brand, and enhanced operating leverage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1482090" cy="47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090" cy="47625"/>
                    </a:xfrm>
                    <a:prstGeom prst="rect">
                      <a:avLst/>
                    </a:prstGeom>
                    <a:noFill/>
                  </pic:spPr>
                </pic:pic>
              </a:graphicData>
            </a:graphic>
          </wp:anchor>
        </w:drawing>
      </w:r>
    </w:p>
    <w:p>
      <w:pPr>
        <w:spacing w:after="0" w:line="179" w:lineRule="exact"/>
        <w:rPr>
          <w:sz w:val="20"/>
          <w:szCs w:val="20"/>
          <w:color w:val="auto"/>
        </w:rPr>
      </w:pPr>
    </w:p>
    <w:p>
      <w:pPr>
        <w:ind w:left="5" w:right="20" w:hanging="5"/>
        <w:spacing w:after="0" w:line="223" w:lineRule="auto"/>
        <w:tabs>
          <w:tab w:leader="none" w:pos="97" w:val="left"/>
        </w:tabs>
        <w:numPr>
          <w:ilvl w:val="0"/>
          <w:numId w:val="3"/>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The prior year period included various adjustments which reduced earnings per share by $0.32 in the first quarter which are also excluded when determining the year over year adjusted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519430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93" w:right="31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7"/>
          <w:szCs w:val="17"/>
          <w:color w:val="auto"/>
        </w:rPr>
        <w:t>reductions in SG&amp;A. Building on this progress and our ongoing transformational efforts, we are taking proactive steps to ensure we are positioned to succeed in any operating environment. This includes launching a strategic transformation program that is intended to not only improve our cost and margin profile, yet also enable ManpowerGroup to gain market share and deliver best-in-class client service. Further, we continue to make significant progress in advancing our AI strategy, including improving the candidate and client experience and bringing new products to market to enhance our competitive position and drive long-term value creation.”</w:t>
      </w:r>
    </w:p>
    <w:p>
      <w:pPr>
        <w:spacing w:after="0" w:line="1" w:lineRule="exact"/>
        <w:rPr>
          <w:sz w:val="20"/>
          <w:szCs w:val="20"/>
          <w:color w:val="auto"/>
        </w:rPr>
      </w:pPr>
    </w:p>
    <w:p>
      <w:pPr>
        <w:jc w:val="both"/>
        <w:ind w:right="20" w:firstLine="751"/>
        <w:spacing w:after="0" w:line="232" w:lineRule="auto"/>
        <w:rPr>
          <w:sz w:val="20"/>
          <w:szCs w:val="20"/>
          <w:color w:val="auto"/>
        </w:rPr>
      </w:pPr>
      <w:r>
        <w:rPr>
          <w:rFonts w:ascii="Arial" w:cs="Arial" w:eastAsia="Arial" w:hAnsi="Arial"/>
          <w:sz w:val="17"/>
          <w:szCs w:val="17"/>
          <w:color w:val="auto"/>
        </w:rPr>
        <w:t>We anticipate diluted earnings per share in the second quarter will be between $0.91 and $1.01, which includes an estimated favorable currency impact of 5 cents and a 43% effective tax rate."</w:t>
      </w:r>
    </w:p>
    <w:p>
      <w:pPr>
        <w:spacing w:after="0" w:line="1" w:lineRule="exact"/>
        <w:rPr>
          <w:sz w:val="20"/>
          <w:szCs w:val="20"/>
          <w:color w:val="auto"/>
        </w:rPr>
      </w:pPr>
    </w:p>
    <w:p>
      <w:pPr>
        <w:jc w:val="both"/>
        <w:ind w:firstLine="738"/>
        <w:spacing w:after="0" w:line="232" w:lineRule="auto"/>
        <w:rPr>
          <w:sz w:val="20"/>
          <w:szCs w:val="20"/>
          <w:color w:val="auto"/>
        </w:rPr>
      </w:pPr>
      <w:r>
        <w:rPr>
          <w:rFonts w:ascii="Arial" w:cs="Arial" w:eastAsia="Arial" w:hAnsi="Arial"/>
          <w:sz w:val="17"/>
          <w:szCs w:val="17"/>
          <w:color w:val="auto"/>
        </w:rPr>
        <w:t>In conjunction with its first quarter earnings release, ManpowerGroup will broadcast its conference call live over the Internet on April 16, 2026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for our diversity – as a best place to work for Women, Inclusion, Equality, and Disability, and in 2026 ManpowerGroup was named one of the World's Most Ethical Companies for the 17th time – all confirming our position as the brand of choice for in-demand talent. For more information, visit www.manpowergroup.com.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Exchange Act of 1934, as amended, including statements regarding trends in labor demand and the future strengthening of such demand, the Company’s financial outlook, and the Company’s strategic initiatives and technology investments, including our ability to increase market share and the acceleration of transformation initiatives to remove structural costs from the organization to drive efficiencies, which are subject to risks and uncertainties.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2025, which information is incorporated herein by reference.</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caution that any forward-looking statement reflects only our belief at the time the statement is made. 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478790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01"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jc w:val="center"/>
        <w:ind w:right="20"/>
        <w:spacing w:after="0"/>
        <w:rPr>
          <w:sz w:val="20"/>
          <w:szCs w:val="20"/>
          <w:color w:val="auto"/>
        </w:rPr>
      </w:pPr>
      <w:r>
        <w:rPr>
          <w:rFonts w:ascii="Arial" w:cs="Arial" w:eastAsia="Arial" w:hAnsi="Arial"/>
          <w:sz w:val="16"/>
          <w:szCs w:val="16"/>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w w:val="98"/>
              </w:rPr>
              <w:t>Three Months Ended March 31</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ind w:left="780"/>
              <w:spacing w:after="0"/>
              <w:rPr>
                <w:sz w:val="20"/>
                <w:szCs w:val="20"/>
                <w:color w:val="auto"/>
              </w:rPr>
            </w:pPr>
            <w:r>
              <w:rPr>
                <w:rFonts w:ascii="Arial" w:cs="Arial" w:eastAsia="Arial" w:hAnsi="Arial"/>
                <w:sz w:val="13"/>
                <w:szCs w:val="13"/>
                <w:color w:val="auto"/>
              </w:rPr>
              <w:t>(Unaudited)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shd w:val="clear" w:color="auto" w:fill="DEEBF7"/>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1860" w:type="dxa"/>
            <w:vAlign w:val="bottom"/>
            <w:gridSpan w:val="2"/>
            <w:shd w:val="clear" w:color="auto" w:fill="DEEBF7"/>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4,510.4</w:t>
            </w:r>
          </w:p>
        </w:tc>
        <w:tc>
          <w:tcPr>
            <w:tcW w:w="520" w:type="dxa"/>
            <w:vAlign w:val="bottom"/>
            <w:gridSpan w:val="3"/>
            <w:shd w:val="clear" w:color="auto" w:fill="DEEBF7"/>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4,090.3</w:t>
            </w: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50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10.3%</w:t>
            </w:r>
          </w:p>
        </w:tc>
        <w:tc>
          <w:tcPr>
            <w:tcW w:w="400" w:type="dxa"/>
            <w:vAlign w:val="bottom"/>
            <w:shd w:val="clear" w:color="auto" w:fill="DEEBF7"/>
          </w:tcPr>
          <w:p>
            <w:pPr>
              <w:spacing w:after="0"/>
              <w:rPr>
                <w:sz w:val="14"/>
                <w:szCs w:val="14"/>
                <w:color w:val="auto"/>
              </w:rPr>
            </w:pPr>
          </w:p>
        </w:tc>
        <w:tc>
          <w:tcPr>
            <w:tcW w:w="114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Cost of services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11.7%</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DEEBF7"/>
          </w:tcPr>
          <w:p>
            <w:pPr>
              <w:ind w:left="60"/>
              <w:spacing w:after="0" w:line="157"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DEEBF7"/>
          </w:tcPr>
          <w:p>
            <w:pPr>
              <w:spacing w:after="0"/>
              <w:rPr>
                <w:sz w:val="13"/>
                <w:szCs w:val="13"/>
                <w:color w:val="auto"/>
              </w:rPr>
            </w:pPr>
          </w:p>
        </w:tc>
        <w:tc>
          <w:tcPr>
            <w:tcW w:w="280" w:type="dxa"/>
            <w:vAlign w:val="bottom"/>
            <w:shd w:val="clear" w:color="auto" w:fill="DEEBF7"/>
          </w:tcPr>
          <w:p>
            <w:pPr>
              <w:spacing w:after="0"/>
              <w:rPr>
                <w:sz w:val="13"/>
                <w:szCs w:val="13"/>
                <w:color w:val="auto"/>
              </w:rPr>
            </w:pPr>
          </w:p>
        </w:tc>
        <w:tc>
          <w:tcPr>
            <w:tcW w:w="94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723.0</w:t>
            </w: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9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698.3</w:t>
            </w: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50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3.5%</w:t>
            </w:r>
          </w:p>
        </w:tc>
        <w:tc>
          <w:tcPr>
            <w:tcW w:w="400" w:type="dxa"/>
            <w:vAlign w:val="bottom"/>
            <w:shd w:val="clear" w:color="auto" w:fill="DEEBF7"/>
          </w:tcPr>
          <w:p>
            <w:pPr>
              <w:spacing w:after="0"/>
              <w:rPr>
                <w:sz w:val="13"/>
                <w:szCs w:val="13"/>
                <w:color w:val="auto"/>
              </w:rPr>
            </w:pPr>
          </w:p>
        </w:tc>
        <w:tc>
          <w:tcPr>
            <w:tcW w:w="114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DEEBF7"/>
          </w:tcPr>
          <w:p>
            <w:pPr>
              <w:ind w:left="60"/>
              <w:spacing w:after="0" w:line="157" w:lineRule="exact"/>
              <w:rPr>
                <w:sz w:val="20"/>
                <w:szCs w:val="20"/>
                <w:color w:val="auto"/>
              </w:rPr>
            </w:pPr>
            <w:r>
              <w:rPr>
                <w:rFonts w:ascii="Arial" w:cs="Arial" w:eastAsia="Arial" w:hAnsi="Arial"/>
                <w:sz w:val="14"/>
                <w:szCs w:val="14"/>
                <w:color w:val="auto"/>
              </w:rPr>
              <w:t>Operating profit</w:t>
            </w:r>
          </w:p>
        </w:tc>
        <w:tc>
          <w:tcPr>
            <w:tcW w:w="1580" w:type="dxa"/>
            <w:vAlign w:val="bottom"/>
            <w:shd w:val="clear" w:color="auto" w:fill="DEEBF7"/>
          </w:tcPr>
          <w:p>
            <w:pPr>
              <w:spacing w:after="0"/>
              <w:rPr>
                <w:sz w:val="13"/>
                <w:szCs w:val="13"/>
                <w:color w:val="auto"/>
              </w:rPr>
            </w:pPr>
          </w:p>
        </w:tc>
        <w:tc>
          <w:tcPr>
            <w:tcW w:w="280" w:type="dxa"/>
            <w:vAlign w:val="bottom"/>
            <w:shd w:val="clear" w:color="auto" w:fill="DEEBF7"/>
          </w:tcPr>
          <w:p>
            <w:pPr>
              <w:spacing w:after="0"/>
              <w:rPr>
                <w:sz w:val="13"/>
                <w:szCs w:val="13"/>
                <w:color w:val="auto"/>
              </w:rPr>
            </w:pPr>
          </w:p>
        </w:tc>
        <w:tc>
          <w:tcPr>
            <w:tcW w:w="94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28.3</w:t>
            </w: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9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28.2</w:t>
            </w: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50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0.5%</w:t>
            </w:r>
          </w:p>
        </w:tc>
        <w:tc>
          <w:tcPr>
            <w:tcW w:w="400" w:type="dxa"/>
            <w:vAlign w:val="bottom"/>
            <w:shd w:val="clear" w:color="auto" w:fill="DEEBF7"/>
          </w:tcPr>
          <w:p>
            <w:pPr>
              <w:spacing w:after="0"/>
              <w:rPr>
                <w:sz w:val="13"/>
                <w:szCs w:val="13"/>
                <w:color w:val="auto"/>
              </w:rPr>
            </w:pPr>
          </w:p>
        </w:tc>
        <w:tc>
          <w:tcPr>
            <w:tcW w:w="114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13.3%</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00" w:type="dxa"/>
            <w:vAlign w:val="bottom"/>
            <w:shd w:val="clear" w:color="auto" w:fill="DEEBF7"/>
          </w:tcPr>
          <w:p>
            <w:pPr>
              <w:ind w:left="60"/>
              <w:spacing w:after="0" w:line="157" w:lineRule="exact"/>
              <w:rPr>
                <w:sz w:val="20"/>
                <w:szCs w:val="20"/>
                <w:color w:val="auto"/>
              </w:rPr>
            </w:pPr>
            <w:r>
              <w:rPr>
                <w:rFonts w:ascii="Arial" w:cs="Arial" w:eastAsia="Arial" w:hAnsi="Arial"/>
                <w:sz w:val="14"/>
                <w:szCs w:val="14"/>
                <w:color w:val="auto"/>
              </w:rPr>
              <w:t>Earnings before income taxes</w:t>
            </w:r>
          </w:p>
        </w:tc>
        <w:tc>
          <w:tcPr>
            <w:tcW w:w="1580" w:type="dxa"/>
            <w:vAlign w:val="bottom"/>
            <w:shd w:val="clear" w:color="auto" w:fill="DEEBF7"/>
          </w:tcPr>
          <w:p>
            <w:pPr>
              <w:spacing w:after="0"/>
              <w:rPr>
                <w:sz w:val="13"/>
                <w:szCs w:val="13"/>
                <w:color w:val="auto"/>
              </w:rPr>
            </w:pPr>
          </w:p>
        </w:tc>
        <w:tc>
          <w:tcPr>
            <w:tcW w:w="280" w:type="dxa"/>
            <w:vAlign w:val="bottom"/>
            <w:shd w:val="clear" w:color="auto" w:fill="DEEBF7"/>
          </w:tcPr>
          <w:p>
            <w:pPr>
              <w:spacing w:after="0"/>
              <w:rPr>
                <w:sz w:val="13"/>
                <w:szCs w:val="13"/>
                <w:color w:val="auto"/>
              </w:rPr>
            </w:pPr>
          </w:p>
        </w:tc>
        <w:tc>
          <w:tcPr>
            <w:tcW w:w="94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15.4</w:t>
            </w: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9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16.7</w:t>
            </w: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50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-8.3%</w:t>
            </w:r>
          </w:p>
        </w:tc>
        <w:tc>
          <w:tcPr>
            <w:tcW w:w="400" w:type="dxa"/>
            <w:vAlign w:val="bottom"/>
            <w:shd w:val="clear" w:color="auto" w:fill="DEEBF7"/>
          </w:tcPr>
          <w:p>
            <w:pPr>
              <w:spacing w:after="0"/>
              <w:rPr>
                <w:sz w:val="13"/>
                <w:szCs w:val="13"/>
                <w:color w:val="auto"/>
              </w:rPr>
            </w:pPr>
          </w:p>
        </w:tc>
        <w:tc>
          <w:tcPr>
            <w:tcW w:w="114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15.1%</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0" w:type="dxa"/>
            <w:vAlign w:val="bottom"/>
            <w:shd w:val="clear" w:color="auto" w:fill="DEEBF7"/>
          </w:tcPr>
          <w:p>
            <w:pPr>
              <w:ind w:left="60"/>
              <w:spacing w:after="0" w:line="146" w:lineRule="exact"/>
              <w:rPr>
                <w:sz w:val="20"/>
                <w:szCs w:val="20"/>
                <w:color w:val="auto"/>
              </w:rPr>
            </w:pPr>
            <w:r>
              <w:rPr>
                <w:rFonts w:ascii="Arial" w:cs="Arial" w:eastAsia="Arial" w:hAnsi="Arial"/>
                <w:sz w:val="14"/>
                <w:szCs w:val="14"/>
                <w:color w:val="auto"/>
              </w:rPr>
              <w:t>Net earnings</w:t>
            </w:r>
          </w:p>
        </w:tc>
        <w:tc>
          <w:tcPr>
            <w:tcW w:w="1860" w:type="dxa"/>
            <w:vAlign w:val="bottom"/>
            <w:gridSpan w:val="2"/>
            <w:shd w:val="clear" w:color="auto" w:fill="DEEBF7"/>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line="146" w:lineRule="exact"/>
              <w:rPr>
                <w:sz w:val="20"/>
                <w:szCs w:val="20"/>
                <w:color w:val="auto"/>
              </w:rPr>
            </w:pPr>
            <w:r>
              <w:rPr>
                <w:rFonts w:ascii="Arial" w:cs="Arial" w:eastAsia="Arial" w:hAnsi="Arial"/>
                <w:sz w:val="14"/>
                <w:szCs w:val="14"/>
                <w:color w:val="auto"/>
              </w:rPr>
              <w:t>2.5</w:t>
            </w:r>
          </w:p>
        </w:tc>
        <w:tc>
          <w:tcPr>
            <w:tcW w:w="520" w:type="dxa"/>
            <w:vAlign w:val="bottom"/>
            <w:gridSpan w:val="3"/>
            <w:shd w:val="clear" w:color="auto" w:fill="DEEBF7"/>
          </w:tcPr>
          <w:p>
            <w:pPr>
              <w:jc w:val="right"/>
              <w:ind w:right="180"/>
              <w:spacing w:after="0" w:line="146" w:lineRule="exact"/>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line="146" w:lineRule="exact"/>
              <w:rPr>
                <w:sz w:val="20"/>
                <w:szCs w:val="20"/>
                <w:color w:val="auto"/>
              </w:rPr>
            </w:pPr>
            <w:r>
              <w:rPr>
                <w:rFonts w:ascii="Arial" w:cs="Arial" w:eastAsia="Arial" w:hAnsi="Arial"/>
                <w:sz w:val="14"/>
                <w:szCs w:val="14"/>
                <w:color w:val="auto"/>
              </w:rPr>
              <w:t>5.6</w:t>
            </w:r>
          </w:p>
        </w:tc>
        <w:tc>
          <w:tcPr>
            <w:tcW w:w="100" w:type="dxa"/>
            <w:vAlign w:val="bottom"/>
            <w:shd w:val="clear" w:color="auto" w:fill="DEEBF7"/>
          </w:tcPr>
          <w:p>
            <w:pPr>
              <w:spacing w:after="0"/>
              <w:rPr>
                <w:sz w:val="15"/>
                <w:szCs w:val="15"/>
                <w:color w:val="auto"/>
              </w:rPr>
            </w:pPr>
          </w:p>
        </w:tc>
        <w:tc>
          <w:tcPr>
            <w:tcW w:w="100" w:type="dxa"/>
            <w:vAlign w:val="bottom"/>
            <w:shd w:val="clear" w:color="auto" w:fill="DEEBF7"/>
          </w:tcPr>
          <w:p>
            <w:pPr>
              <w:spacing w:after="0"/>
              <w:rPr>
                <w:sz w:val="15"/>
                <w:szCs w:val="15"/>
                <w:color w:val="auto"/>
              </w:rPr>
            </w:pPr>
          </w:p>
        </w:tc>
        <w:tc>
          <w:tcPr>
            <w:tcW w:w="320" w:type="dxa"/>
            <w:vAlign w:val="bottom"/>
            <w:shd w:val="clear" w:color="auto" w:fill="DEEBF7"/>
          </w:tcPr>
          <w:p>
            <w:pPr>
              <w:spacing w:after="0"/>
              <w:rPr>
                <w:sz w:val="15"/>
                <w:szCs w:val="15"/>
                <w:color w:val="auto"/>
              </w:rPr>
            </w:pPr>
          </w:p>
        </w:tc>
        <w:tc>
          <w:tcPr>
            <w:tcW w:w="600" w:type="dxa"/>
            <w:vAlign w:val="bottom"/>
            <w:shd w:val="clear" w:color="auto" w:fill="DEEBF7"/>
          </w:tcPr>
          <w:p>
            <w:pPr>
              <w:spacing w:after="0"/>
              <w:rPr>
                <w:sz w:val="15"/>
                <w:szCs w:val="15"/>
                <w:color w:val="auto"/>
              </w:rPr>
            </w:pPr>
          </w:p>
        </w:tc>
        <w:tc>
          <w:tcPr>
            <w:tcW w:w="500" w:type="dxa"/>
            <w:vAlign w:val="bottom"/>
            <w:gridSpan w:val="2"/>
            <w:shd w:val="clear" w:color="auto" w:fill="DEEBF7"/>
          </w:tcPr>
          <w:p>
            <w:pPr>
              <w:jc w:val="right"/>
              <w:ind w:right="20"/>
              <w:spacing w:after="0" w:line="146" w:lineRule="exact"/>
              <w:rPr>
                <w:sz w:val="20"/>
                <w:szCs w:val="20"/>
                <w:color w:val="auto"/>
              </w:rPr>
            </w:pPr>
            <w:r>
              <w:rPr>
                <w:rFonts w:ascii="Arial" w:cs="Arial" w:eastAsia="Arial" w:hAnsi="Arial"/>
                <w:sz w:val="14"/>
                <w:szCs w:val="14"/>
                <w:color w:val="auto"/>
              </w:rPr>
              <w:t>-55.4%</w:t>
            </w:r>
          </w:p>
        </w:tc>
        <w:tc>
          <w:tcPr>
            <w:tcW w:w="400" w:type="dxa"/>
            <w:vAlign w:val="bottom"/>
            <w:shd w:val="clear" w:color="auto" w:fill="DEEBF7"/>
          </w:tcPr>
          <w:p>
            <w:pPr>
              <w:spacing w:after="0"/>
              <w:rPr>
                <w:sz w:val="15"/>
                <w:szCs w:val="15"/>
                <w:color w:val="auto"/>
              </w:rPr>
            </w:pPr>
          </w:p>
        </w:tc>
        <w:tc>
          <w:tcPr>
            <w:tcW w:w="1140" w:type="dxa"/>
            <w:vAlign w:val="bottom"/>
            <w:gridSpan w:val="2"/>
            <w:shd w:val="clear" w:color="auto" w:fill="DEEBF7"/>
          </w:tcPr>
          <w:p>
            <w:pPr>
              <w:jc w:val="right"/>
              <w:ind w:right="20"/>
              <w:spacing w:after="0" w:line="146"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DEEBF7"/>
            </w:tcBorders>
            <w:shd w:val="clear" w:color="auto" w:fill="DEEBF7"/>
          </w:tcPr>
          <w:p>
            <w:pPr>
              <w:spacing w:after="0" w:line="20" w:lineRule="exact"/>
              <w:rPr>
                <w:sz w:val="1"/>
                <w:szCs w:val="1"/>
                <w:color w:val="auto"/>
              </w:rPr>
            </w:pPr>
          </w:p>
        </w:tc>
        <w:tc>
          <w:tcPr>
            <w:tcW w:w="1580" w:type="dxa"/>
            <w:vAlign w:val="bottom"/>
            <w:tcBorders>
              <w:top w:val="single" w:sz="8" w:color="DEEBF7"/>
            </w:tcBorders>
            <w:shd w:val="clear" w:color="auto" w:fill="DEEBF7"/>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EBF7"/>
            </w:tcBorders>
            <w:shd w:val="clear" w:color="auto" w:fill="DEEBF7"/>
          </w:tcPr>
          <w:p>
            <w:pPr>
              <w:spacing w:after="0" w:line="20" w:lineRule="exact"/>
              <w:rPr>
                <w:sz w:val="1"/>
                <w:szCs w:val="1"/>
                <w:color w:val="auto"/>
              </w:rPr>
            </w:pPr>
          </w:p>
        </w:tc>
        <w:tc>
          <w:tcPr>
            <w:tcW w:w="100" w:type="dxa"/>
            <w:vAlign w:val="bottom"/>
            <w:tcBorders>
              <w:top w:val="single" w:sz="8" w:color="DEEBF7"/>
            </w:tcBorders>
            <w:shd w:val="clear" w:color="auto" w:fill="DEEBF7"/>
          </w:tcPr>
          <w:p>
            <w:pPr>
              <w:spacing w:after="0" w:line="20" w:lineRule="exact"/>
              <w:rPr>
                <w:sz w:val="1"/>
                <w:szCs w:val="1"/>
                <w:color w:val="auto"/>
              </w:rPr>
            </w:pPr>
          </w:p>
        </w:tc>
        <w:tc>
          <w:tcPr>
            <w:tcW w:w="320" w:type="dxa"/>
            <w:vAlign w:val="bottom"/>
            <w:tcBorders>
              <w:top w:val="single" w:sz="8" w:color="DEEBF7"/>
            </w:tcBorders>
            <w:shd w:val="clear" w:color="auto" w:fill="DEEBF7"/>
          </w:tcPr>
          <w:p>
            <w:pPr>
              <w:spacing w:after="0" w:line="20" w:lineRule="exact"/>
              <w:rPr>
                <w:sz w:val="1"/>
                <w:szCs w:val="1"/>
                <w:color w:val="auto"/>
              </w:rPr>
            </w:pPr>
          </w:p>
        </w:tc>
        <w:tc>
          <w:tcPr>
            <w:tcW w:w="600" w:type="dxa"/>
            <w:vAlign w:val="bottom"/>
            <w:tcBorders>
              <w:top w:val="single" w:sz="8" w:color="DEEBF7"/>
            </w:tcBorders>
            <w:shd w:val="clear" w:color="auto" w:fill="DEEBF7"/>
          </w:tcPr>
          <w:p>
            <w:pPr>
              <w:spacing w:after="0" w:line="20" w:lineRule="exact"/>
              <w:rPr>
                <w:sz w:val="1"/>
                <w:szCs w:val="1"/>
                <w:color w:val="auto"/>
              </w:rPr>
            </w:pPr>
          </w:p>
        </w:tc>
        <w:tc>
          <w:tcPr>
            <w:tcW w:w="36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400" w:type="dxa"/>
            <w:vAlign w:val="bottom"/>
            <w:tcBorders>
              <w:top w:val="single" w:sz="8" w:color="DEEBF7"/>
            </w:tcBorders>
            <w:shd w:val="clear" w:color="auto" w:fill="DEEBF7"/>
          </w:tcPr>
          <w:p>
            <w:pPr>
              <w:spacing w:after="0" w:line="20" w:lineRule="exact"/>
              <w:rPr>
                <w:sz w:val="1"/>
                <w:szCs w:val="1"/>
                <w:color w:val="auto"/>
              </w:rPr>
            </w:pPr>
          </w:p>
        </w:tc>
        <w:tc>
          <w:tcPr>
            <w:tcW w:w="100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800" w:type="dxa"/>
            <w:vAlign w:val="bottom"/>
          </w:tcPr>
          <w:p>
            <w:pPr>
              <w:spacing w:after="0" w:line="141" w:lineRule="exact"/>
              <w:rPr>
                <w:sz w:val="20"/>
                <w:szCs w:val="20"/>
                <w:color w:val="auto"/>
              </w:rPr>
            </w:pPr>
            <w:r>
              <w:rPr>
                <w:rFonts w:ascii="Arial" w:cs="Arial" w:eastAsia="Arial" w:hAnsi="Arial"/>
                <w:sz w:val="14"/>
                <w:szCs w:val="14"/>
                <w:color w:val="auto"/>
              </w:rPr>
              <w:t>Net earnings per share - basic</w:t>
            </w:r>
          </w:p>
        </w:tc>
        <w:tc>
          <w:tcPr>
            <w:tcW w:w="18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0.05</w:t>
            </w:r>
          </w:p>
        </w:tc>
        <w:tc>
          <w:tcPr>
            <w:tcW w:w="520" w:type="dxa"/>
            <w:vAlign w:val="bottom"/>
            <w:gridSpan w:val="3"/>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1"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-55.2%</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shd w:val="clear" w:color="auto" w:fill="DEEBF7"/>
          </w:tcPr>
          <w:p>
            <w:pPr>
              <w:spacing w:after="0" w:line="141" w:lineRule="exact"/>
              <w:rPr>
                <w:sz w:val="20"/>
                <w:szCs w:val="20"/>
                <w:color w:val="auto"/>
              </w:rPr>
            </w:pPr>
            <w:r>
              <w:rPr>
                <w:rFonts w:ascii="Arial" w:cs="Arial" w:eastAsia="Arial" w:hAnsi="Arial"/>
                <w:sz w:val="14"/>
                <w:szCs w:val="14"/>
                <w:color w:val="auto"/>
              </w:rPr>
              <w:t>Net earnings per share - diluted</w:t>
            </w:r>
          </w:p>
        </w:tc>
        <w:tc>
          <w:tcPr>
            <w:tcW w:w="1860" w:type="dxa"/>
            <w:vAlign w:val="bottom"/>
            <w:gridSpan w:val="2"/>
            <w:shd w:val="clear" w:color="auto" w:fill="DEEBF7"/>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line="141" w:lineRule="exact"/>
              <w:rPr>
                <w:sz w:val="20"/>
                <w:szCs w:val="20"/>
                <w:color w:val="auto"/>
              </w:rPr>
            </w:pPr>
            <w:r>
              <w:rPr>
                <w:rFonts w:ascii="Arial" w:cs="Arial" w:eastAsia="Arial" w:hAnsi="Arial"/>
                <w:sz w:val="14"/>
                <w:szCs w:val="14"/>
                <w:color w:val="auto"/>
              </w:rPr>
              <w:t>0.05</w:t>
            </w:r>
          </w:p>
        </w:tc>
        <w:tc>
          <w:tcPr>
            <w:tcW w:w="520" w:type="dxa"/>
            <w:vAlign w:val="bottom"/>
            <w:gridSpan w:val="3"/>
            <w:shd w:val="clear" w:color="auto" w:fill="DEEBF7"/>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line="141" w:lineRule="exact"/>
              <w:rPr>
                <w:sz w:val="20"/>
                <w:szCs w:val="20"/>
                <w:color w:val="auto"/>
              </w:rPr>
            </w:pPr>
            <w:r>
              <w:rPr>
                <w:rFonts w:ascii="Arial" w:cs="Arial" w:eastAsia="Arial" w:hAnsi="Arial"/>
                <w:sz w:val="14"/>
                <w:szCs w:val="14"/>
                <w:color w:val="auto"/>
              </w:rPr>
              <w:t>0.12</w:t>
            </w:r>
          </w:p>
        </w:tc>
        <w:tc>
          <w:tcPr>
            <w:tcW w:w="100" w:type="dxa"/>
            <w:vAlign w:val="bottom"/>
            <w:shd w:val="clear" w:color="auto" w:fill="DEEBF7"/>
          </w:tcPr>
          <w:p>
            <w:pPr>
              <w:spacing w:after="0"/>
              <w:rPr>
                <w:sz w:val="15"/>
                <w:szCs w:val="15"/>
                <w:color w:val="auto"/>
              </w:rPr>
            </w:pPr>
          </w:p>
        </w:tc>
        <w:tc>
          <w:tcPr>
            <w:tcW w:w="100" w:type="dxa"/>
            <w:vAlign w:val="bottom"/>
            <w:shd w:val="clear" w:color="auto" w:fill="DEEBF7"/>
          </w:tcPr>
          <w:p>
            <w:pPr>
              <w:spacing w:after="0"/>
              <w:rPr>
                <w:sz w:val="15"/>
                <w:szCs w:val="15"/>
                <w:color w:val="auto"/>
              </w:rPr>
            </w:pPr>
          </w:p>
        </w:tc>
        <w:tc>
          <w:tcPr>
            <w:tcW w:w="320" w:type="dxa"/>
            <w:vAlign w:val="bottom"/>
            <w:shd w:val="clear" w:color="auto" w:fill="DEEBF7"/>
          </w:tcPr>
          <w:p>
            <w:pPr>
              <w:spacing w:after="0"/>
              <w:rPr>
                <w:sz w:val="15"/>
                <w:szCs w:val="15"/>
                <w:color w:val="auto"/>
              </w:rPr>
            </w:pPr>
          </w:p>
        </w:tc>
        <w:tc>
          <w:tcPr>
            <w:tcW w:w="600" w:type="dxa"/>
            <w:vAlign w:val="bottom"/>
            <w:shd w:val="clear" w:color="auto" w:fill="DEEBF7"/>
          </w:tcPr>
          <w:p>
            <w:pPr>
              <w:spacing w:after="0"/>
              <w:rPr>
                <w:sz w:val="15"/>
                <w:szCs w:val="15"/>
                <w:color w:val="auto"/>
              </w:rPr>
            </w:pPr>
          </w:p>
        </w:tc>
        <w:tc>
          <w:tcPr>
            <w:tcW w:w="500" w:type="dxa"/>
            <w:vAlign w:val="bottom"/>
            <w:gridSpan w:val="2"/>
            <w:shd w:val="clear" w:color="auto" w:fill="DEEBF7"/>
          </w:tcPr>
          <w:p>
            <w:pPr>
              <w:jc w:val="right"/>
              <w:ind w:right="20"/>
              <w:spacing w:after="0" w:line="141" w:lineRule="exact"/>
              <w:rPr>
                <w:sz w:val="20"/>
                <w:szCs w:val="20"/>
                <w:color w:val="auto"/>
              </w:rPr>
            </w:pPr>
            <w:r>
              <w:rPr>
                <w:rFonts w:ascii="Arial" w:cs="Arial" w:eastAsia="Arial" w:hAnsi="Arial"/>
                <w:sz w:val="14"/>
                <w:szCs w:val="14"/>
                <w:color w:val="auto"/>
              </w:rPr>
              <w:t>-55.2%</w:t>
            </w:r>
          </w:p>
        </w:tc>
        <w:tc>
          <w:tcPr>
            <w:tcW w:w="400" w:type="dxa"/>
            <w:vAlign w:val="bottom"/>
            <w:shd w:val="clear" w:color="auto" w:fill="DEEBF7"/>
          </w:tcPr>
          <w:p>
            <w:pPr>
              <w:spacing w:after="0"/>
              <w:rPr>
                <w:sz w:val="15"/>
                <w:szCs w:val="15"/>
                <w:color w:val="auto"/>
              </w:rPr>
            </w:pPr>
          </w:p>
        </w:tc>
        <w:tc>
          <w:tcPr>
            <w:tcW w:w="1140" w:type="dxa"/>
            <w:vAlign w:val="bottom"/>
            <w:gridSpan w:val="2"/>
            <w:shd w:val="clear" w:color="auto" w:fill="DEEBF7"/>
          </w:tcPr>
          <w:p>
            <w:pPr>
              <w:jc w:val="right"/>
              <w:ind w:right="20"/>
              <w:spacing w:after="0" w:line="141"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tcBorders>
              <w:top w:val="single" w:sz="8" w:color="DEEBF7"/>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1580" w:type="dxa"/>
            <w:vAlign w:val="bottom"/>
            <w:tcBorders>
              <w:top w:val="single" w:sz="8" w:color="DEEBF7"/>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46.7</w:t>
            </w:r>
          </w:p>
        </w:tc>
        <w:tc>
          <w:tcPr>
            <w:tcW w:w="120" w:type="dxa"/>
            <w:vAlign w:val="bottom"/>
            <w:tcBorders>
              <w:top w:val="single" w:sz="8" w:color="DEEBF7"/>
            </w:tcBorders>
          </w:tcPr>
          <w:p>
            <w:pPr>
              <w:spacing w:after="0"/>
              <w:rPr>
                <w:sz w:val="12"/>
                <w:szCs w:val="12"/>
                <w:color w:val="auto"/>
              </w:rPr>
            </w:pPr>
          </w:p>
        </w:tc>
        <w:tc>
          <w:tcPr>
            <w:tcW w:w="140" w:type="dxa"/>
            <w:vAlign w:val="bottom"/>
            <w:tcBorders>
              <w:top w:val="single" w:sz="8" w:color="DEEBF7"/>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46.8</w:t>
            </w:r>
          </w:p>
        </w:tc>
        <w:tc>
          <w:tcPr>
            <w:tcW w:w="100" w:type="dxa"/>
            <w:vAlign w:val="bottom"/>
            <w:tcBorders>
              <w:top w:val="single" w:sz="8" w:color="DEEBF7"/>
            </w:tcBorders>
          </w:tcPr>
          <w:p>
            <w:pPr>
              <w:spacing w:after="0"/>
              <w:rPr>
                <w:sz w:val="12"/>
                <w:szCs w:val="12"/>
                <w:color w:val="auto"/>
              </w:rPr>
            </w:pPr>
          </w:p>
        </w:tc>
        <w:tc>
          <w:tcPr>
            <w:tcW w:w="100" w:type="dxa"/>
            <w:vAlign w:val="bottom"/>
            <w:tcBorders>
              <w:top w:val="single" w:sz="8" w:color="DEEBF7"/>
            </w:tcBorders>
          </w:tcPr>
          <w:p>
            <w:pPr>
              <w:spacing w:after="0"/>
              <w:rPr>
                <w:sz w:val="12"/>
                <w:szCs w:val="12"/>
                <w:color w:val="auto"/>
              </w:rPr>
            </w:pPr>
          </w:p>
        </w:tc>
        <w:tc>
          <w:tcPr>
            <w:tcW w:w="320" w:type="dxa"/>
            <w:vAlign w:val="bottom"/>
            <w:tcBorders>
              <w:top w:val="single" w:sz="8" w:color="DEEBF7"/>
            </w:tcBorders>
          </w:tcPr>
          <w:p>
            <w:pPr>
              <w:spacing w:after="0"/>
              <w:rPr>
                <w:sz w:val="12"/>
                <w:szCs w:val="12"/>
                <w:color w:val="auto"/>
              </w:rPr>
            </w:pPr>
          </w:p>
        </w:tc>
        <w:tc>
          <w:tcPr>
            <w:tcW w:w="600" w:type="dxa"/>
            <w:vAlign w:val="bottom"/>
            <w:tcBorders>
              <w:top w:val="single" w:sz="8" w:color="DEEBF7"/>
            </w:tcBorders>
          </w:tcPr>
          <w:p>
            <w:pPr>
              <w:spacing w:after="0"/>
              <w:rPr>
                <w:sz w:val="12"/>
                <w:szCs w:val="12"/>
                <w:color w:val="auto"/>
              </w:rPr>
            </w:pPr>
          </w:p>
        </w:tc>
        <w:tc>
          <w:tcPr>
            <w:tcW w:w="500" w:type="dxa"/>
            <w:vAlign w:val="bottom"/>
            <w:tcBorders>
              <w:top w:val="single" w:sz="8" w:color="DEEBF7"/>
            </w:tcBorders>
            <w:gridSpan w:val="2"/>
          </w:tcPr>
          <w:p>
            <w:pPr>
              <w:jc w:val="right"/>
              <w:ind w:right="20"/>
              <w:spacing w:after="0" w:line="141" w:lineRule="exact"/>
              <w:rPr>
                <w:sz w:val="20"/>
                <w:szCs w:val="20"/>
                <w:color w:val="auto"/>
              </w:rPr>
            </w:pPr>
            <w:r>
              <w:rPr>
                <w:rFonts w:ascii="Arial" w:cs="Arial" w:eastAsia="Arial" w:hAnsi="Arial"/>
                <w:sz w:val="14"/>
                <w:szCs w:val="14"/>
                <w:color w:val="auto"/>
              </w:rPr>
              <w:t>-0.3%</w:t>
            </w:r>
          </w:p>
        </w:tc>
        <w:tc>
          <w:tcPr>
            <w:tcW w:w="400" w:type="dxa"/>
            <w:vAlign w:val="bottom"/>
            <w:tcBorders>
              <w:top w:val="single" w:sz="8" w:color="DEEBF7"/>
            </w:tcBorders>
          </w:tcPr>
          <w:p>
            <w:pPr>
              <w:spacing w:after="0"/>
              <w:rPr>
                <w:sz w:val="12"/>
                <w:szCs w:val="12"/>
                <w:color w:val="auto"/>
              </w:rPr>
            </w:pPr>
          </w:p>
        </w:tc>
        <w:tc>
          <w:tcPr>
            <w:tcW w:w="1000" w:type="dxa"/>
            <w:vAlign w:val="bottom"/>
            <w:tcBorders>
              <w:top w:val="single" w:sz="8" w:color="DEEBF7"/>
            </w:tcBorders>
          </w:tcPr>
          <w:p>
            <w:pPr>
              <w:spacing w:after="0"/>
              <w:rPr>
                <w:sz w:val="12"/>
                <w:szCs w:val="12"/>
                <w:color w:val="auto"/>
              </w:rPr>
            </w:pPr>
          </w:p>
        </w:tc>
        <w:tc>
          <w:tcPr>
            <w:tcW w:w="140" w:type="dxa"/>
            <w:vAlign w:val="bottom"/>
            <w:tcBorders>
              <w:top w:val="single" w:sz="8" w:color="DEEBF7"/>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 - diluted</w:t>
            </w: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8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-0.4%</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-517525</wp:posOffset>
            </wp:positionV>
            <wp:extent cx="6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-502285</wp:posOffset>
            </wp:positionV>
            <wp:extent cx="67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-517525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-502285</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-262255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-247015</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-262255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-247015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12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jc w:val="both"/>
        <w:ind w:left="560" w:hanging="371"/>
        <w:spacing w:after="0" w:line="246"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$3.8 million for both the three months ended March 31, 2026 and 2025, respectively. These fees are primarily based on revenues generated by the franchise offices, which were $454.3 million and $418.4 million for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598805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6" w:name="page7"/>
    <w:bookmarkEnd w:id="6"/>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w w:val="98"/>
              </w:rPr>
              <w:t>Three Months Ended March 31</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14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6"/>
        </w:trPr>
        <w:tc>
          <w:tcPr>
            <w:tcW w:w="3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ind w:left="60"/>
              <w:spacing w:after="0" w:line="126" w:lineRule="exact"/>
              <w:rPr>
                <w:sz w:val="20"/>
                <w:szCs w:val="20"/>
                <w:color w:val="auto"/>
              </w:rPr>
            </w:pPr>
            <w:r>
              <w:rPr>
                <w:rFonts w:ascii="Arial" w:cs="Arial" w:eastAsia="Arial" w:hAnsi="Arial"/>
                <w:sz w:val="13"/>
                <w:szCs w:val="13"/>
                <w:b w:val="1"/>
                <w:bCs w:val="1"/>
                <w:color w:val="auto"/>
              </w:rPr>
              <w:t>Constant</w:t>
            </w:r>
          </w:p>
        </w:tc>
        <w:tc>
          <w:tcPr>
            <w:tcW w:w="140" w:type="dxa"/>
            <w:vAlign w:val="bottom"/>
          </w:tcPr>
          <w:p>
            <w:pPr>
              <w:spacing w:after="0"/>
              <w:rPr>
                <w:sz w:val="10"/>
                <w:szCs w:val="10"/>
                <w:color w:val="auto"/>
              </w:rPr>
            </w:pPr>
          </w:p>
        </w:tc>
      </w:tr>
      <w:tr>
        <w:trPr>
          <w:trHeight w:val="150"/>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Currency</w:t>
            </w:r>
          </w:p>
        </w:tc>
        <w:tc>
          <w:tcPr>
            <w:tcW w:w="140" w:type="dxa"/>
            <w:vAlign w:val="bottom"/>
          </w:tcPr>
          <w:p>
            <w:pPr>
              <w:spacing w:after="0"/>
              <w:rPr>
                <w:sz w:val="13"/>
                <w:szCs w:val="13"/>
                <w:color w:val="auto"/>
              </w:rPr>
            </w:pPr>
          </w:p>
        </w:tc>
      </w:tr>
      <w:tr>
        <w:trPr>
          <w:trHeight w:val="134"/>
        </w:trPr>
        <w:tc>
          <w:tcPr>
            <w:tcW w:w="3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4"/>
          </w:tcPr>
          <w:p>
            <w:pPr>
              <w:ind w:left="780"/>
              <w:spacing w:after="0" w:line="134" w:lineRule="exact"/>
              <w:rPr>
                <w:sz w:val="20"/>
                <w:szCs w:val="20"/>
                <w:color w:val="auto"/>
              </w:rPr>
            </w:pPr>
            <w:r>
              <w:rPr>
                <w:rFonts w:ascii="Arial" w:cs="Arial" w:eastAsia="Arial" w:hAnsi="Arial"/>
                <w:sz w:val="13"/>
                <w:szCs w:val="13"/>
                <w:color w:val="auto"/>
              </w:rPr>
              <w:t>(Unaudited)</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6"/>
        </w:trPr>
        <w:tc>
          <w:tcPr>
            <w:tcW w:w="3920" w:type="dxa"/>
            <w:vAlign w:val="bottom"/>
            <w:shd w:val="clear" w:color="auto" w:fill="DEEBF7"/>
          </w:tcPr>
          <w:p>
            <w:pPr>
              <w:ind w:left="40"/>
              <w:spacing w:after="0"/>
              <w:rPr>
                <w:sz w:val="20"/>
                <w:szCs w:val="20"/>
                <w:color w:val="auto"/>
              </w:rPr>
            </w:pPr>
            <w:r>
              <w:rPr>
                <w:rFonts w:ascii="Arial" w:cs="Arial" w:eastAsia="Arial" w:hAnsi="Arial"/>
                <w:sz w:val="14"/>
                <w:szCs w:val="14"/>
                <w:color w:val="auto"/>
              </w:rPr>
              <w:t>Revenues from Services:</w:t>
            </w:r>
          </w:p>
        </w:tc>
        <w:tc>
          <w:tcPr>
            <w:tcW w:w="1480" w:type="dxa"/>
            <w:vAlign w:val="bottom"/>
            <w:shd w:val="clear" w:color="auto" w:fill="DEEBF7"/>
          </w:tcPr>
          <w:p>
            <w:pPr>
              <w:spacing w:after="0"/>
              <w:rPr>
                <w:sz w:val="14"/>
                <w:szCs w:val="14"/>
                <w:color w:val="auto"/>
              </w:rPr>
            </w:pPr>
          </w:p>
        </w:tc>
        <w:tc>
          <w:tcPr>
            <w:tcW w:w="280" w:type="dxa"/>
            <w:vAlign w:val="bottom"/>
            <w:shd w:val="clear" w:color="auto" w:fill="DEEBF7"/>
          </w:tcPr>
          <w:p>
            <w:pPr>
              <w:spacing w:after="0"/>
              <w:rPr>
                <w:sz w:val="14"/>
                <w:szCs w:val="14"/>
                <w:color w:val="auto"/>
              </w:rPr>
            </w:pPr>
          </w:p>
        </w:tc>
        <w:tc>
          <w:tcPr>
            <w:tcW w:w="94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260" w:type="dxa"/>
            <w:vAlign w:val="bottom"/>
            <w:shd w:val="clear" w:color="auto" w:fill="DEEBF7"/>
          </w:tcPr>
          <w:p>
            <w:pPr>
              <w:spacing w:after="0"/>
              <w:rPr>
                <w:sz w:val="14"/>
                <w:szCs w:val="14"/>
                <w:color w:val="auto"/>
              </w:rPr>
            </w:pPr>
          </w:p>
        </w:tc>
        <w:tc>
          <w:tcPr>
            <w:tcW w:w="9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36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400" w:type="dxa"/>
            <w:vAlign w:val="bottom"/>
            <w:shd w:val="clear" w:color="auto" w:fill="DEEBF7"/>
          </w:tcPr>
          <w:p>
            <w:pPr>
              <w:spacing w:after="0"/>
              <w:rPr>
                <w:sz w:val="14"/>
                <w:szCs w:val="14"/>
                <w:color w:val="auto"/>
              </w:rPr>
            </w:pPr>
          </w:p>
        </w:tc>
        <w:tc>
          <w:tcPr>
            <w:tcW w:w="100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6"/>
        </w:trPr>
        <w:tc>
          <w:tcPr>
            <w:tcW w:w="3920" w:type="dxa"/>
            <w:vAlign w:val="bottom"/>
            <w:shd w:val="clear" w:color="auto" w:fill="DEEBF7"/>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(a)</w:t>
            </w:r>
          </w:p>
        </w:tc>
        <w:tc>
          <w:tcPr>
            <w:tcW w:w="1760" w:type="dxa"/>
            <w:vAlign w:val="bottom"/>
            <w:gridSpan w:val="2"/>
            <w:shd w:val="clear" w:color="auto" w:fill="DEEBF7"/>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rPr>
                <w:sz w:val="20"/>
                <w:szCs w:val="20"/>
                <w:color w:val="auto"/>
              </w:rPr>
            </w:pPr>
            <w:r>
              <w:rPr>
                <w:rFonts w:ascii="Arial" w:cs="Arial" w:eastAsia="Arial" w:hAnsi="Arial"/>
                <w:sz w:val="14"/>
                <w:szCs w:val="14"/>
                <w:color w:val="auto"/>
              </w:rPr>
              <w:t>654.9</w:t>
            </w:r>
          </w:p>
        </w:tc>
        <w:tc>
          <w:tcPr>
            <w:tcW w:w="120" w:type="dxa"/>
            <w:vAlign w:val="bottom"/>
            <w:shd w:val="clear" w:color="auto" w:fill="DEEBF7"/>
          </w:tcPr>
          <w:p>
            <w:pPr>
              <w:spacing w:after="0"/>
              <w:rPr>
                <w:sz w:val="14"/>
                <w:szCs w:val="14"/>
                <w:color w:val="auto"/>
              </w:rPr>
            </w:pPr>
          </w:p>
        </w:tc>
        <w:tc>
          <w:tcPr>
            <w:tcW w:w="400" w:type="dxa"/>
            <w:vAlign w:val="bottom"/>
            <w:gridSpan w:val="2"/>
            <w:shd w:val="clear" w:color="auto" w:fill="DEEBF7"/>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688.8</w:t>
            </w: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50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-4.9%</w:t>
            </w:r>
          </w:p>
        </w:tc>
        <w:tc>
          <w:tcPr>
            <w:tcW w:w="400" w:type="dxa"/>
            <w:vAlign w:val="bottom"/>
            <w:shd w:val="clear" w:color="auto" w:fill="DEEBF7"/>
          </w:tcPr>
          <w:p>
            <w:pPr>
              <w:spacing w:after="0"/>
              <w:rPr>
                <w:sz w:val="14"/>
                <w:szCs w:val="14"/>
                <w:color w:val="auto"/>
              </w:rPr>
            </w:pPr>
          </w:p>
        </w:tc>
        <w:tc>
          <w:tcPr>
            <w:tcW w:w="114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-4.9%</w:t>
            </w: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25.2%</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r>
      <w:tr>
        <w:trPr>
          <w:trHeight w:val="157"/>
        </w:trPr>
        <w:tc>
          <w:tcPr>
            <w:tcW w:w="3920" w:type="dxa"/>
            <w:vAlign w:val="bottom"/>
            <w:tcBorders>
              <w:bottom w:val="single" w:sz="8" w:color="DEEBF7"/>
            </w:tcBorders>
            <w:shd w:val="clear" w:color="auto" w:fill="DEEBF7"/>
          </w:tcPr>
          <w:p>
            <w:pPr>
              <w:spacing w:after="0"/>
              <w:rPr>
                <w:sz w:val="13"/>
                <w:szCs w:val="13"/>
                <w:color w:val="auto"/>
              </w:rPr>
            </w:pPr>
          </w:p>
        </w:tc>
        <w:tc>
          <w:tcPr>
            <w:tcW w:w="1480" w:type="dxa"/>
            <w:vAlign w:val="bottom"/>
            <w:tcBorders>
              <w:bottom w:val="single" w:sz="8" w:color="DEEBF7"/>
            </w:tcBorders>
            <w:shd w:val="clear" w:color="auto" w:fill="DEEBF7"/>
          </w:tcPr>
          <w:p>
            <w:pPr>
              <w:spacing w:after="0"/>
              <w:rPr>
                <w:sz w:val="13"/>
                <w:szCs w:val="13"/>
                <w:color w:val="auto"/>
              </w:rPr>
            </w:pPr>
          </w:p>
        </w:tc>
        <w:tc>
          <w:tcPr>
            <w:tcW w:w="280" w:type="dxa"/>
            <w:vAlign w:val="bottom"/>
            <w:tcBorders>
              <w:bottom w:val="single" w:sz="8" w:color="auto"/>
            </w:tcBorders>
            <w:shd w:val="clear" w:color="auto" w:fill="DEEBF7"/>
          </w:tcPr>
          <w:p>
            <w:pPr>
              <w:spacing w:after="0"/>
              <w:rPr>
                <w:sz w:val="13"/>
                <w:szCs w:val="13"/>
                <w:color w:val="auto"/>
              </w:rPr>
            </w:pPr>
          </w:p>
        </w:tc>
        <w:tc>
          <w:tcPr>
            <w:tcW w:w="94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1,115.6</w:t>
            </w:r>
          </w:p>
        </w:tc>
        <w:tc>
          <w:tcPr>
            <w:tcW w:w="120" w:type="dxa"/>
            <w:vAlign w:val="bottom"/>
            <w:tcBorders>
              <w:bottom w:val="single" w:sz="8" w:color="DEEBF7"/>
            </w:tcBorders>
            <w:shd w:val="clear" w:color="auto" w:fill="DEEBF7"/>
          </w:tcPr>
          <w:p>
            <w:pPr>
              <w:spacing w:after="0"/>
              <w:rPr>
                <w:sz w:val="13"/>
                <w:szCs w:val="13"/>
                <w:color w:val="auto"/>
              </w:rPr>
            </w:pPr>
          </w:p>
        </w:tc>
        <w:tc>
          <w:tcPr>
            <w:tcW w:w="140" w:type="dxa"/>
            <w:vAlign w:val="bottom"/>
            <w:tcBorders>
              <w:bottom w:val="single" w:sz="8" w:color="DEEBF7"/>
            </w:tcBorders>
            <w:shd w:val="clear" w:color="auto" w:fill="DEEBF7"/>
          </w:tcPr>
          <w:p>
            <w:pPr>
              <w:spacing w:after="0"/>
              <w:rPr>
                <w:sz w:val="13"/>
                <w:szCs w:val="13"/>
                <w:color w:val="auto"/>
              </w:rPr>
            </w:pPr>
          </w:p>
        </w:tc>
        <w:tc>
          <w:tcPr>
            <w:tcW w:w="260" w:type="dxa"/>
            <w:vAlign w:val="bottom"/>
            <w:tcBorders>
              <w:bottom w:val="single" w:sz="8" w:color="auto"/>
            </w:tcBorders>
            <w:shd w:val="clear" w:color="auto" w:fill="DEEBF7"/>
          </w:tcPr>
          <w:p>
            <w:pPr>
              <w:spacing w:after="0"/>
              <w:rPr>
                <w:sz w:val="13"/>
                <w:szCs w:val="13"/>
                <w:color w:val="auto"/>
              </w:rPr>
            </w:pPr>
          </w:p>
        </w:tc>
        <w:tc>
          <w:tcPr>
            <w:tcW w:w="96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1,056.7</w:t>
            </w:r>
          </w:p>
        </w:tc>
        <w:tc>
          <w:tcPr>
            <w:tcW w:w="100" w:type="dxa"/>
            <w:vAlign w:val="bottom"/>
            <w:tcBorders>
              <w:bottom w:val="single" w:sz="8" w:color="DEEBF7"/>
            </w:tcBorders>
            <w:shd w:val="clear" w:color="auto" w:fill="DEEBF7"/>
          </w:tcPr>
          <w:p>
            <w:pPr>
              <w:spacing w:after="0"/>
              <w:rPr>
                <w:sz w:val="13"/>
                <w:szCs w:val="13"/>
                <w:color w:val="auto"/>
              </w:rPr>
            </w:pPr>
          </w:p>
        </w:tc>
        <w:tc>
          <w:tcPr>
            <w:tcW w:w="100" w:type="dxa"/>
            <w:vAlign w:val="bottom"/>
            <w:tcBorders>
              <w:bottom w:val="single" w:sz="8" w:color="DEEBF7"/>
            </w:tcBorders>
            <w:shd w:val="clear" w:color="auto" w:fill="DEEBF7"/>
          </w:tcPr>
          <w:p>
            <w:pPr>
              <w:spacing w:after="0"/>
              <w:rPr>
                <w:sz w:val="13"/>
                <w:szCs w:val="13"/>
                <w:color w:val="auto"/>
              </w:rPr>
            </w:pPr>
          </w:p>
        </w:tc>
        <w:tc>
          <w:tcPr>
            <w:tcW w:w="320" w:type="dxa"/>
            <w:vAlign w:val="bottom"/>
            <w:tcBorders>
              <w:bottom w:val="single" w:sz="8" w:color="DEEBF7"/>
            </w:tcBorders>
            <w:shd w:val="clear" w:color="auto" w:fill="DEEBF7"/>
          </w:tcPr>
          <w:p>
            <w:pPr>
              <w:spacing w:after="0"/>
              <w:rPr>
                <w:sz w:val="13"/>
                <w:szCs w:val="13"/>
                <w:color w:val="auto"/>
              </w:rPr>
            </w:pPr>
          </w:p>
        </w:tc>
        <w:tc>
          <w:tcPr>
            <w:tcW w:w="600" w:type="dxa"/>
            <w:vAlign w:val="bottom"/>
            <w:tcBorders>
              <w:bottom w:val="single" w:sz="8" w:color="DEEBF7"/>
            </w:tcBorders>
            <w:shd w:val="clear" w:color="auto" w:fill="DEEBF7"/>
          </w:tcPr>
          <w:p>
            <w:pPr>
              <w:spacing w:after="0"/>
              <w:rPr>
                <w:sz w:val="13"/>
                <w:szCs w:val="13"/>
                <w:color w:val="auto"/>
              </w:rPr>
            </w:pPr>
          </w:p>
        </w:tc>
        <w:tc>
          <w:tcPr>
            <w:tcW w:w="500" w:type="dxa"/>
            <w:vAlign w:val="bottom"/>
            <w:tcBorders>
              <w:bottom w:val="single" w:sz="8" w:color="DEEBF7"/>
            </w:tcBorders>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5.6%</w:t>
            </w:r>
          </w:p>
        </w:tc>
        <w:tc>
          <w:tcPr>
            <w:tcW w:w="400" w:type="dxa"/>
            <w:vAlign w:val="bottom"/>
            <w:tcBorders>
              <w:bottom w:val="single" w:sz="8" w:color="DEEBF7"/>
            </w:tcBorders>
            <w:shd w:val="clear" w:color="auto" w:fill="DEEBF7"/>
          </w:tcPr>
          <w:p>
            <w:pPr>
              <w:spacing w:after="0"/>
              <w:rPr>
                <w:sz w:val="13"/>
                <w:szCs w:val="13"/>
                <w:color w:val="auto"/>
              </w:rPr>
            </w:pPr>
          </w:p>
        </w:tc>
        <w:tc>
          <w:tcPr>
            <w:tcW w:w="1140" w:type="dxa"/>
            <w:vAlign w:val="bottom"/>
            <w:tcBorders>
              <w:bottom w:val="single" w:sz="8" w:color="DEEBF7"/>
            </w:tcBorders>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3.5%</w:t>
            </w: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3920" w:type="dxa"/>
            <w:vAlign w:val="bottom"/>
            <w:shd w:val="clear" w:color="auto" w:fill="DEEBF7"/>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DEEBF7"/>
          </w:tcPr>
          <w:p>
            <w:pPr>
              <w:spacing w:after="0"/>
              <w:rPr>
                <w:sz w:val="14"/>
                <w:szCs w:val="14"/>
                <w:color w:val="auto"/>
              </w:rPr>
            </w:pPr>
          </w:p>
        </w:tc>
        <w:tc>
          <w:tcPr>
            <w:tcW w:w="280" w:type="dxa"/>
            <w:vAlign w:val="bottom"/>
            <w:shd w:val="clear" w:color="auto" w:fill="DEEBF7"/>
          </w:tcPr>
          <w:p>
            <w:pPr>
              <w:spacing w:after="0"/>
              <w:rPr>
                <w:sz w:val="14"/>
                <w:szCs w:val="14"/>
                <w:color w:val="auto"/>
              </w:rPr>
            </w:pPr>
          </w:p>
        </w:tc>
        <w:tc>
          <w:tcPr>
            <w:tcW w:w="94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1,068.6</w:t>
            </w:r>
          </w:p>
        </w:tc>
        <w:tc>
          <w:tcPr>
            <w:tcW w:w="12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260" w:type="dxa"/>
            <w:vAlign w:val="bottom"/>
            <w:shd w:val="clear" w:color="auto" w:fill="DEEBF7"/>
          </w:tcPr>
          <w:p>
            <w:pPr>
              <w:spacing w:after="0"/>
              <w:rPr>
                <w:sz w:val="14"/>
                <w:szCs w:val="14"/>
                <w:color w:val="auto"/>
              </w:rPr>
            </w:pPr>
          </w:p>
        </w:tc>
        <w:tc>
          <w:tcPr>
            <w:tcW w:w="9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965.7</w:t>
            </w: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50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10.7%</w:t>
            </w:r>
          </w:p>
        </w:tc>
        <w:tc>
          <w:tcPr>
            <w:tcW w:w="400" w:type="dxa"/>
            <w:vAlign w:val="bottom"/>
            <w:shd w:val="clear" w:color="auto" w:fill="DEEBF7"/>
          </w:tcPr>
          <w:p>
            <w:pPr>
              <w:spacing w:after="0"/>
              <w:rPr>
                <w:sz w:val="14"/>
                <w:szCs w:val="14"/>
                <w:color w:val="auto"/>
              </w:rPr>
            </w:pPr>
          </w:p>
        </w:tc>
        <w:tc>
          <w:tcPr>
            <w:tcW w:w="114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-0.3%</w:t>
            </w: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19.3%</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7.5%</w:t>
            </w:r>
          </w:p>
        </w:tc>
      </w:tr>
      <w:tr>
        <w:trPr>
          <w:trHeight w:val="166"/>
        </w:trPr>
        <w:tc>
          <w:tcPr>
            <w:tcW w:w="3920" w:type="dxa"/>
            <w:vAlign w:val="bottom"/>
            <w:tcBorders>
              <w:bottom w:val="single" w:sz="8" w:color="DEEBF7"/>
            </w:tcBorders>
            <w:shd w:val="clear" w:color="auto" w:fill="DEEBF7"/>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Borders>
              <w:bottom w:val="single" w:sz="8" w:color="DEEBF7"/>
            </w:tcBorders>
            <w:shd w:val="clear" w:color="auto" w:fill="DEEBF7"/>
          </w:tcPr>
          <w:p>
            <w:pPr>
              <w:spacing w:after="0"/>
              <w:rPr>
                <w:sz w:val="14"/>
                <w:szCs w:val="14"/>
                <w:color w:val="auto"/>
              </w:rPr>
            </w:pPr>
          </w:p>
        </w:tc>
        <w:tc>
          <w:tcPr>
            <w:tcW w:w="280" w:type="dxa"/>
            <w:vAlign w:val="bottom"/>
            <w:tcBorders>
              <w:bottom w:val="single" w:sz="8" w:color="auto"/>
            </w:tcBorders>
            <w:shd w:val="clear" w:color="auto" w:fill="DEEBF7"/>
          </w:tcPr>
          <w:p>
            <w:pPr>
              <w:spacing w:after="0"/>
              <w:rPr>
                <w:sz w:val="14"/>
                <w:szCs w:val="14"/>
                <w:color w:val="auto"/>
              </w:rPr>
            </w:pPr>
          </w:p>
        </w:tc>
        <w:tc>
          <w:tcPr>
            <w:tcW w:w="94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558.0</w:t>
            </w:r>
          </w:p>
        </w:tc>
        <w:tc>
          <w:tcPr>
            <w:tcW w:w="120" w:type="dxa"/>
            <w:vAlign w:val="bottom"/>
            <w:tcBorders>
              <w:bottom w:val="single" w:sz="8" w:color="DEEBF7"/>
            </w:tcBorders>
            <w:shd w:val="clear" w:color="auto" w:fill="DEEBF7"/>
          </w:tcPr>
          <w:p>
            <w:pPr>
              <w:spacing w:after="0"/>
              <w:rPr>
                <w:sz w:val="14"/>
                <w:szCs w:val="14"/>
                <w:color w:val="auto"/>
              </w:rPr>
            </w:pPr>
          </w:p>
        </w:tc>
        <w:tc>
          <w:tcPr>
            <w:tcW w:w="140" w:type="dxa"/>
            <w:vAlign w:val="bottom"/>
            <w:tcBorders>
              <w:bottom w:val="single" w:sz="8" w:color="DEEBF7"/>
            </w:tcBorders>
            <w:shd w:val="clear" w:color="auto" w:fill="DEEBF7"/>
          </w:tcPr>
          <w:p>
            <w:pPr>
              <w:spacing w:after="0"/>
              <w:rPr>
                <w:sz w:val="14"/>
                <w:szCs w:val="14"/>
                <w:color w:val="auto"/>
              </w:rPr>
            </w:pPr>
          </w:p>
        </w:tc>
        <w:tc>
          <w:tcPr>
            <w:tcW w:w="260" w:type="dxa"/>
            <w:vAlign w:val="bottom"/>
            <w:tcBorders>
              <w:bottom w:val="single" w:sz="8" w:color="auto"/>
            </w:tcBorders>
            <w:shd w:val="clear" w:color="auto" w:fill="DEEBF7"/>
          </w:tcPr>
          <w:p>
            <w:pPr>
              <w:spacing w:after="0"/>
              <w:rPr>
                <w:sz w:val="14"/>
                <w:szCs w:val="14"/>
                <w:color w:val="auto"/>
              </w:rPr>
            </w:pPr>
          </w:p>
        </w:tc>
        <w:tc>
          <w:tcPr>
            <w:tcW w:w="9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Borders>
              <w:bottom w:val="single" w:sz="8" w:color="DEEBF7"/>
            </w:tcBorders>
            <w:shd w:val="clear" w:color="auto" w:fill="DEEBF7"/>
          </w:tcPr>
          <w:p>
            <w:pPr>
              <w:spacing w:after="0"/>
              <w:rPr>
                <w:sz w:val="14"/>
                <w:szCs w:val="14"/>
                <w:color w:val="auto"/>
              </w:rPr>
            </w:pPr>
          </w:p>
        </w:tc>
        <w:tc>
          <w:tcPr>
            <w:tcW w:w="100" w:type="dxa"/>
            <w:vAlign w:val="bottom"/>
            <w:tcBorders>
              <w:bottom w:val="single" w:sz="8" w:color="DEEBF7"/>
            </w:tcBorders>
            <w:shd w:val="clear" w:color="auto" w:fill="DEEBF7"/>
          </w:tcPr>
          <w:p>
            <w:pPr>
              <w:spacing w:after="0"/>
              <w:rPr>
                <w:sz w:val="14"/>
                <w:szCs w:val="14"/>
                <w:color w:val="auto"/>
              </w:rPr>
            </w:pPr>
          </w:p>
        </w:tc>
        <w:tc>
          <w:tcPr>
            <w:tcW w:w="320" w:type="dxa"/>
            <w:vAlign w:val="bottom"/>
            <w:tcBorders>
              <w:bottom w:val="single" w:sz="8" w:color="DEEBF7"/>
            </w:tcBorders>
            <w:shd w:val="clear" w:color="auto" w:fill="DEEBF7"/>
          </w:tcPr>
          <w:p>
            <w:pPr>
              <w:spacing w:after="0"/>
              <w:rPr>
                <w:sz w:val="14"/>
                <w:szCs w:val="14"/>
                <w:color w:val="auto"/>
              </w:rPr>
            </w:pPr>
          </w:p>
        </w:tc>
        <w:tc>
          <w:tcPr>
            <w:tcW w:w="600" w:type="dxa"/>
            <w:vAlign w:val="bottom"/>
            <w:tcBorders>
              <w:bottom w:val="single" w:sz="8" w:color="DEEBF7"/>
            </w:tcBorders>
            <w:shd w:val="clear" w:color="auto" w:fill="DEEBF7"/>
          </w:tcPr>
          <w:p>
            <w:pPr>
              <w:spacing w:after="0"/>
              <w:rPr>
                <w:sz w:val="14"/>
                <w:szCs w:val="14"/>
                <w:color w:val="auto"/>
              </w:rPr>
            </w:pPr>
          </w:p>
        </w:tc>
        <w:tc>
          <w:tcPr>
            <w:tcW w:w="50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18.6%</w:t>
            </w:r>
          </w:p>
        </w:tc>
        <w:tc>
          <w:tcPr>
            <w:tcW w:w="400" w:type="dxa"/>
            <w:vAlign w:val="bottom"/>
            <w:tcBorders>
              <w:bottom w:val="single" w:sz="8" w:color="DEEBF7"/>
            </w:tcBorders>
            <w:shd w:val="clear" w:color="auto" w:fill="DEEBF7"/>
          </w:tcPr>
          <w:p>
            <w:pPr>
              <w:spacing w:after="0"/>
              <w:rPr>
                <w:sz w:val="14"/>
                <w:szCs w:val="14"/>
                <w:color w:val="auto"/>
              </w:rPr>
            </w:pPr>
          </w:p>
        </w:tc>
        <w:tc>
          <w:tcPr>
            <w:tcW w:w="114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6.1%</w:t>
            </w: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2,101.3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1,834.0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14.6%</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3.0%</w:t>
            </w:r>
          </w:p>
        </w:tc>
      </w:tr>
      <w:tr>
        <w:trPr>
          <w:trHeight w:val="157"/>
        </w:trPr>
        <w:tc>
          <w:tcPr>
            <w:tcW w:w="3920" w:type="dxa"/>
            <w:vAlign w:val="bottom"/>
            <w:shd w:val="clear" w:color="auto" w:fill="DEEBF7"/>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shd w:val="clear" w:color="auto" w:fill="DEEBF7"/>
          </w:tcPr>
          <w:p>
            <w:pPr>
              <w:spacing w:after="0"/>
              <w:rPr>
                <w:sz w:val="13"/>
                <w:szCs w:val="13"/>
                <w:color w:val="auto"/>
              </w:rPr>
            </w:pPr>
          </w:p>
        </w:tc>
        <w:tc>
          <w:tcPr>
            <w:tcW w:w="280" w:type="dxa"/>
            <w:vAlign w:val="bottom"/>
            <w:shd w:val="clear" w:color="auto" w:fill="DEEBF7"/>
          </w:tcPr>
          <w:p>
            <w:pPr>
              <w:spacing w:after="0"/>
              <w:rPr>
                <w:sz w:val="13"/>
                <w:szCs w:val="13"/>
                <w:color w:val="auto"/>
              </w:rPr>
            </w:pPr>
          </w:p>
        </w:tc>
        <w:tc>
          <w:tcPr>
            <w:tcW w:w="94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790.1</w:t>
            </w: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9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730.8</w:t>
            </w: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50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8.1%</w:t>
            </w:r>
          </w:p>
        </w:tc>
        <w:tc>
          <w:tcPr>
            <w:tcW w:w="400" w:type="dxa"/>
            <w:vAlign w:val="bottom"/>
            <w:shd w:val="clear" w:color="auto" w:fill="DEEBF7"/>
          </w:tcPr>
          <w:p>
            <w:pPr>
              <w:spacing w:after="0"/>
              <w:rPr>
                <w:sz w:val="13"/>
                <w:szCs w:val="13"/>
                <w:color w:val="auto"/>
              </w:rPr>
            </w:pPr>
          </w:p>
        </w:tc>
        <w:tc>
          <w:tcPr>
            <w:tcW w:w="114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-1.8%</w:t>
            </w:r>
          </w:p>
        </w:tc>
      </w:tr>
      <w:tr>
        <w:trPr>
          <w:trHeight w:val="166"/>
        </w:trPr>
        <w:tc>
          <w:tcPr>
            <w:tcW w:w="3920" w:type="dxa"/>
            <w:vAlign w:val="bottom"/>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8.1%</w:t>
            </w:r>
          </w:p>
        </w:tc>
      </w:tr>
      <w:tr>
        <w:trPr>
          <w:trHeight w:val="157"/>
        </w:trPr>
        <w:tc>
          <w:tcPr>
            <w:tcW w:w="3920" w:type="dxa"/>
            <w:vAlign w:val="bottom"/>
            <w:tcBorders>
              <w:bottom w:val="single" w:sz="8" w:color="DEEBF7"/>
            </w:tcBorders>
            <w:shd w:val="clear" w:color="auto" w:fill="DEEBF7"/>
          </w:tcPr>
          <w:p>
            <w:pPr>
              <w:spacing w:after="0"/>
              <w:rPr>
                <w:sz w:val="13"/>
                <w:szCs w:val="13"/>
                <w:color w:val="auto"/>
              </w:rPr>
            </w:pPr>
          </w:p>
        </w:tc>
        <w:tc>
          <w:tcPr>
            <w:tcW w:w="1480" w:type="dxa"/>
            <w:vAlign w:val="bottom"/>
            <w:tcBorders>
              <w:bottom w:val="single" w:sz="8" w:color="DEEBF7"/>
            </w:tcBorders>
            <w:shd w:val="clear" w:color="auto" w:fill="DEEBF7"/>
          </w:tcPr>
          <w:p>
            <w:pPr>
              <w:spacing w:after="0"/>
              <w:rPr>
                <w:sz w:val="13"/>
                <w:szCs w:val="13"/>
                <w:color w:val="auto"/>
              </w:rPr>
            </w:pPr>
          </w:p>
        </w:tc>
        <w:tc>
          <w:tcPr>
            <w:tcW w:w="280" w:type="dxa"/>
            <w:vAlign w:val="bottom"/>
            <w:tcBorders>
              <w:bottom w:val="single" w:sz="8" w:color="auto"/>
            </w:tcBorders>
            <w:shd w:val="clear" w:color="auto" w:fill="DEEBF7"/>
          </w:tcPr>
          <w:p>
            <w:pPr>
              <w:spacing w:after="0"/>
              <w:rPr>
                <w:sz w:val="13"/>
                <w:szCs w:val="13"/>
                <w:color w:val="auto"/>
              </w:rPr>
            </w:pPr>
          </w:p>
        </w:tc>
        <w:tc>
          <w:tcPr>
            <w:tcW w:w="94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4,517.5</w:t>
            </w:r>
          </w:p>
        </w:tc>
        <w:tc>
          <w:tcPr>
            <w:tcW w:w="120" w:type="dxa"/>
            <w:vAlign w:val="bottom"/>
            <w:tcBorders>
              <w:bottom w:val="single" w:sz="8" w:color="DEEBF7"/>
            </w:tcBorders>
            <w:shd w:val="clear" w:color="auto" w:fill="DEEBF7"/>
          </w:tcPr>
          <w:p>
            <w:pPr>
              <w:spacing w:after="0"/>
              <w:rPr>
                <w:sz w:val="13"/>
                <w:szCs w:val="13"/>
                <w:color w:val="auto"/>
              </w:rPr>
            </w:pPr>
          </w:p>
        </w:tc>
        <w:tc>
          <w:tcPr>
            <w:tcW w:w="140" w:type="dxa"/>
            <w:vAlign w:val="bottom"/>
            <w:tcBorders>
              <w:bottom w:val="single" w:sz="8" w:color="DEEBF7"/>
            </w:tcBorders>
            <w:shd w:val="clear" w:color="auto" w:fill="DEEBF7"/>
          </w:tcPr>
          <w:p>
            <w:pPr>
              <w:spacing w:after="0"/>
              <w:rPr>
                <w:sz w:val="13"/>
                <w:szCs w:val="13"/>
                <w:color w:val="auto"/>
              </w:rPr>
            </w:pPr>
          </w:p>
        </w:tc>
        <w:tc>
          <w:tcPr>
            <w:tcW w:w="260" w:type="dxa"/>
            <w:vAlign w:val="bottom"/>
            <w:tcBorders>
              <w:bottom w:val="single" w:sz="8" w:color="auto"/>
            </w:tcBorders>
            <w:shd w:val="clear" w:color="auto" w:fill="DEEBF7"/>
          </w:tcPr>
          <w:p>
            <w:pPr>
              <w:spacing w:after="0"/>
              <w:rPr>
                <w:sz w:val="13"/>
                <w:szCs w:val="13"/>
                <w:color w:val="auto"/>
              </w:rPr>
            </w:pPr>
          </w:p>
        </w:tc>
        <w:tc>
          <w:tcPr>
            <w:tcW w:w="96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4,097.9</w:t>
            </w:r>
          </w:p>
        </w:tc>
        <w:tc>
          <w:tcPr>
            <w:tcW w:w="100" w:type="dxa"/>
            <w:vAlign w:val="bottom"/>
            <w:tcBorders>
              <w:bottom w:val="single" w:sz="8" w:color="DEEBF7"/>
            </w:tcBorders>
            <w:shd w:val="clear" w:color="auto" w:fill="DEEBF7"/>
          </w:tcPr>
          <w:p>
            <w:pPr>
              <w:spacing w:after="0"/>
              <w:rPr>
                <w:sz w:val="13"/>
                <w:szCs w:val="13"/>
                <w:color w:val="auto"/>
              </w:rPr>
            </w:pPr>
          </w:p>
        </w:tc>
        <w:tc>
          <w:tcPr>
            <w:tcW w:w="100" w:type="dxa"/>
            <w:vAlign w:val="bottom"/>
            <w:tcBorders>
              <w:bottom w:val="single" w:sz="8" w:color="DEEBF7"/>
            </w:tcBorders>
            <w:shd w:val="clear" w:color="auto" w:fill="DEEBF7"/>
          </w:tcPr>
          <w:p>
            <w:pPr>
              <w:spacing w:after="0"/>
              <w:rPr>
                <w:sz w:val="13"/>
                <w:szCs w:val="13"/>
                <w:color w:val="auto"/>
              </w:rPr>
            </w:pPr>
          </w:p>
        </w:tc>
        <w:tc>
          <w:tcPr>
            <w:tcW w:w="320" w:type="dxa"/>
            <w:vAlign w:val="bottom"/>
            <w:tcBorders>
              <w:bottom w:val="single" w:sz="8" w:color="DEEBF7"/>
            </w:tcBorders>
            <w:shd w:val="clear" w:color="auto" w:fill="DEEBF7"/>
          </w:tcPr>
          <w:p>
            <w:pPr>
              <w:spacing w:after="0"/>
              <w:rPr>
                <w:sz w:val="13"/>
                <w:szCs w:val="13"/>
                <w:color w:val="auto"/>
              </w:rPr>
            </w:pPr>
          </w:p>
        </w:tc>
        <w:tc>
          <w:tcPr>
            <w:tcW w:w="600" w:type="dxa"/>
            <w:vAlign w:val="bottom"/>
            <w:tcBorders>
              <w:bottom w:val="single" w:sz="8" w:color="DEEBF7"/>
            </w:tcBorders>
            <w:shd w:val="clear" w:color="auto" w:fill="DEEBF7"/>
          </w:tcPr>
          <w:p>
            <w:pPr>
              <w:spacing w:after="0"/>
              <w:rPr>
                <w:sz w:val="13"/>
                <w:szCs w:val="13"/>
                <w:color w:val="auto"/>
              </w:rPr>
            </w:pPr>
          </w:p>
        </w:tc>
        <w:tc>
          <w:tcPr>
            <w:tcW w:w="360" w:type="dxa"/>
            <w:vAlign w:val="bottom"/>
            <w:tcBorders>
              <w:bottom w:val="single" w:sz="8" w:color="DEEBF7"/>
            </w:tcBorders>
            <w:shd w:val="clear" w:color="auto" w:fill="DEEBF7"/>
          </w:tcPr>
          <w:p>
            <w:pPr>
              <w:spacing w:after="0"/>
              <w:rPr>
                <w:sz w:val="13"/>
                <w:szCs w:val="13"/>
                <w:color w:val="auto"/>
              </w:rPr>
            </w:pPr>
          </w:p>
        </w:tc>
        <w:tc>
          <w:tcPr>
            <w:tcW w:w="140" w:type="dxa"/>
            <w:vAlign w:val="bottom"/>
            <w:tcBorders>
              <w:bottom w:val="single" w:sz="8" w:color="DEEBF7"/>
            </w:tcBorders>
            <w:shd w:val="clear" w:color="auto" w:fill="DEEBF7"/>
          </w:tcPr>
          <w:p>
            <w:pPr>
              <w:spacing w:after="0"/>
              <w:rPr>
                <w:sz w:val="13"/>
                <w:szCs w:val="13"/>
                <w:color w:val="auto"/>
              </w:rPr>
            </w:pPr>
          </w:p>
        </w:tc>
        <w:tc>
          <w:tcPr>
            <w:tcW w:w="400" w:type="dxa"/>
            <w:vAlign w:val="bottom"/>
            <w:tcBorders>
              <w:bottom w:val="single" w:sz="8" w:color="DEEBF7"/>
            </w:tcBorders>
            <w:shd w:val="clear" w:color="auto" w:fill="DEEBF7"/>
          </w:tcPr>
          <w:p>
            <w:pPr>
              <w:spacing w:after="0"/>
              <w:rPr>
                <w:sz w:val="13"/>
                <w:szCs w:val="13"/>
                <w:color w:val="auto"/>
              </w:rPr>
            </w:pPr>
          </w:p>
        </w:tc>
        <w:tc>
          <w:tcPr>
            <w:tcW w:w="1000" w:type="dxa"/>
            <w:vAlign w:val="bottom"/>
            <w:tcBorders>
              <w:bottom w:val="single" w:sz="8" w:color="DEEBF7"/>
            </w:tcBorders>
            <w:shd w:val="clear" w:color="auto" w:fill="DEEBF7"/>
          </w:tcPr>
          <w:p>
            <w:pPr>
              <w:spacing w:after="0"/>
              <w:rPr>
                <w:sz w:val="13"/>
                <w:szCs w:val="13"/>
                <w:color w:val="auto"/>
              </w:rPr>
            </w:pPr>
          </w:p>
        </w:tc>
        <w:tc>
          <w:tcPr>
            <w:tcW w:w="140" w:type="dxa"/>
            <w:vAlign w:val="bottom"/>
            <w:tcBorders>
              <w:bottom w:val="single" w:sz="8" w:color="DEEBF7"/>
            </w:tcBorders>
            <w:shd w:val="clear" w:color="auto" w:fill="DEEBF7"/>
          </w:tcPr>
          <w:p>
            <w:pPr>
              <w:spacing w:after="0"/>
              <w:rPr>
                <w:sz w:val="13"/>
                <w:szCs w:val="13"/>
                <w:color w:val="auto"/>
              </w:rPr>
            </w:pP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920" w:type="dxa"/>
            <w:vAlign w:val="bottom"/>
            <w:shd w:val="clear" w:color="auto" w:fill="DEEBF7"/>
          </w:tcPr>
          <w:p>
            <w:pPr>
              <w:spacing w:after="0"/>
              <w:rPr>
                <w:sz w:val="17"/>
                <w:szCs w:val="17"/>
                <w:color w:val="auto"/>
              </w:rPr>
            </w:pPr>
          </w:p>
        </w:tc>
        <w:tc>
          <w:tcPr>
            <w:tcW w:w="1760" w:type="dxa"/>
            <w:vAlign w:val="bottom"/>
            <w:gridSpan w:val="2"/>
            <w:shd w:val="clear" w:color="auto" w:fill="DEEBF7"/>
          </w:tcPr>
          <w:p>
            <w:pPr>
              <w:jc w:val="right"/>
              <w:ind w:right="200"/>
              <w:spacing w:after="0" w:line="146" w:lineRule="exact"/>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line="146" w:lineRule="exact"/>
              <w:rPr>
                <w:sz w:val="20"/>
                <w:szCs w:val="20"/>
                <w:color w:val="auto"/>
              </w:rPr>
            </w:pPr>
            <w:r>
              <w:rPr>
                <w:rFonts w:ascii="Arial" w:cs="Arial" w:eastAsia="Arial" w:hAnsi="Arial"/>
                <w:sz w:val="14"/>
                <w:szCs w:val="14"/>
                <w:color w:val="auto"/>
              </w:rPr>
              <w:t>4,510.4</w:t>
            </w:r>
          </w:p>
        </w:tc>
        <w:tc>
          <w:tcPr>
            <w:tcW w:w="120" w:type="dxa"/>
            <w:vAlign w:val="bottom"/>
            <w:shd w:val="clear" w:color="auto" w:fill="DEEBF7"/>
          </w:tcPr>
          <w:p>
            <w:pPr>
              <w:spacing w:after="0"/>
              <w:rPr>
                <w:sz w:val="17"/>
                <w:szCs w:val="17"/>
                <w:color w:val="auto"/>
              </w:rPr>
            </w:pPr>
          </w:p>
        </w:tc>
        <w:tc>
          <w:tcPr>
            <w:tcW w:w="400" w:type="dxa"/>
            <w:vAlign w:val="bottom"/>
            <w:gridSpan w:val="2"/>
            <w:shd w:val="clear" w:color="auto" w:fill="DEEBF7"/>
          </w:tcPr>
          <w:p>
            <w:pPr>
              <w:jc w:val="right"/>
              <w:ind w:right="180"/>
              <w:spacing w:after="0" w:line="146" w:lineRule="exact"/>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line="146" w:lineRule="exact"/>
              <w:rPr>
                <w:sz w:val="20"/>
                <w:szCs w:val="20"/>
                <w:color w:val="auto"/>
              </w:rPr>
            </w:pPr>
            <w:r>
              <w:rPr>
                <w:rFonts w:ascii="Arial" w:cs="Arial" w:eastAsia="Arial" w:hAnsi="Arial"/>
                <w:sz w:val="14"/>
                <w:szCs w:val="14"/>
                <w:color w:val="auto"/>
              </w:rPr>
              <w:t>4,090.3</w:t>
            </w:r>
          </w:p>
        </w:tc>
        <w:tc>
          <w:tcPr>
            <w:tcW w:w="100" w:type="dxa"/>
            <w:vAlign w:val="bottom"/>
            <w:shd w:val="clear" w:color="auto" w:fill="DEEBF7"/>
          </w:tcPr>
          <w:p>
            <w:pPr>
              <w:spacing w:after="0"/>
              <w:rPr>
                <w:sz w:val="17"/>
                <w:szCs w:val="17"/>
                <w:color w:val="auto"/>
              </w:rPr>
            </w:pPr>
          </w:p>
        </w:tc>
        <w:tc>
          <w:tcPr>
            <w:tcW w:w="100" w:type="dxa"/>
            <w:vAlign w:val="bottom"/>
            <w:shd w:val="clear" w:color="auto" w:fill="DEEBF7"/>
          </w:tcPr>
          <w:p>
            <w:pPr>
              <w:spacing w:after="0"/>
              <w:rPr>
                <w:sz w:val="17"/>
                <w:szCs w:val="17"/>
                <w:color w:val="auto"/>
              </w:rPr>
            </w:pPr>
          </w:p>
        </w:tc>
        <w:tc>
          <w:tcPr>
            <w:tcW w:w="320" w:type="dxa"/>
            <w:vAlign w:val="bottom"/>
            <w:shd w:val="clear" w:color="auto" w:fill="DEEBF7"/>
          </w:tcPr>
          <w:p>
            <w:pPr>
              <w:spacing w:after="0"/>
              <w:rPr>
                <w:sz w:val="17"/>
                <w:szCs w:val="17"/>
                <w:color w:val="auto"/>
              </w:rPr>
            </w:pPr>
          </w:p>
        </w:tc>
        <w:tc>
          <w:tcPr>
            <w:tcW w:w="600" w:type="dxa"/>
            <w:vAlign w:val="bottom"/>
            <w:shd w:val="clear" w:color="auto" w:fill="DEEBF7"/>
          </w:tcPr>
          <w:p>
            <w:pPr>
              <w:spacing w:after="0"/>
              <w:rPr>
                <w:sz w:val="17"/>
                <w:szCs w:val="17"/>
                <w:color w:val="auto"/>
              </w:rPr>
            </w:pPr>
          </w:p>
        </w:tc>
        <w:tc>
          <w:tcPr>
            <w:tcW w:w="500" w:type="dxa"/>
            <w:vAlign w:val="bottom"/>
            <w:gridSpan w:val="2"/>
            <w:shd w:val="clear" w:color="auto" w:fill="DEEBF7"/>
          </w:tcPr>
          <w:p>
            <w:pPr>
              <w:jc w:val="right"/>
              <w:ind w:right="20"/>
              <w:spacing w:after="0" w:line="146" w:lineRule="exact"/>
              <w:rPr>
                <w:sz w:val="20"/>
                <w:szCs w:val="20"/>
                <w:color w:val="auto"/>
              </w:rPr>
            </w:pPr>
            <w:r>
              <w:rPr>
                <w:rFonts w:ascii="Arial" w:cs="Arial" w:eastAsia="Arial" w:hAnsi="Arial"/>
                <w:sz w:val="14"/>
                <w:szCs w:val="14"/>
                <w:color w:val="auto"/>
              </w:rPr>
              <w:t>10.3%</w:t>
            </w:r>
          </w:p>
        </w:tc>
        <w:tc>
          <w:tcPr>
            <w:tcW w:w="400" w:type="dxa"/>
            <w:vAlign w:val="bottom"/>
            <w:shd w:val="clear" w:color="auto" w:fill="DEEBF7"/>
          </w:tcPr>
          <w:p>
            <w:pPr>
              <w:spacing w:after="0"/>
              <w:rPr>
                <w:sz w:val="17"/>
                <w:szCs w:val="17"/>
                <w:color w:val="auto"/>
              </w:rPr>
            </w:pPr>
          </w:p>
        </w:tc>
        <w:tc>
          <w:tcPr>
            <w:tcW w:w="1140" w:type="dxa"/>
            <w:vAlign w:val="bottom"/>
            <w:gridSpan w:val="2"/>
            <w:shd w:val="clear" w:color="auto" w:fill="DEEBF7"/>
          </w:tcPr>
          <w:p>
            <w:pPr>
              <w:jc w:val="right"/>
              <w:ind w:right="20"/>
              <w:spacing w:after="0" w:line="146" w:lineRule="exact"/>
              <w:rPr>
                <w:sz w:val="20"/>
                <w:szCs w:val="20"/>
                <w:color w:val="auto"/>
              </w:rPr>
            </w:pPr>
            <w:r>
              <w:rPr>
                <w:rFonts w:ascii="Arial" w:cs="Arial" w:eastAsia="Arial" w:hAnsi="Arial"/>
                <w:sz w:val="14"/>
                <w:szCs w:val="14"/>
                <w:color w:val="auto"/>
              </w:rPr>
              <w:t>2.9%</w:t>
            </w:r>
          </w:p>
        </w:tc>
      </w:tr>
      <w:tr>
        <w:trPr>
          <w:trHeight w:val="141"/>
        </w:trPr>
        <w:tc>
          <w:tcPr>
            <w:tcW w:w="3920" w:type="dxa"/>
            <w:vAlign w:val="bottom"/>
            <w:tcBorders>
              <w:top w:val="single" w:sz="8" w:color="DEEBF7"/>
            </w:tcBorders>
          </w:tcPr>
          <w:p>
            <w:pPr>
              <w:ind w:left="40"/>
              <w:spacing w:after="0" w:line="141" w:lineRule="exact"/>
              <w:rPr>
                <w:sz w:val="20"/>
                <w:szCs w:val="20"/>
                <w:color w:val="auto"/>
              </w:rPr>
            </w:pPr>
            <w:r>
              <w:rPr>
                <w:rFonts w:ascii="Arial" w:cs="Arial" w:eastAsia="Arial" w:hAnsi="Arial"/>
                <w:sz w:val="14"/>
                <w:szCs w:val="14"/>
                <w:color w:val="auto"/>
              </w:rPr>
              <w:t>Operating Unit Profit (Loss):</w:t>
            </w:r>
          </w:p>
        </w:tc>
        <w:tc>
          <w:tcPr>
            <w:tcW w:w="1480" w:type="dxa"/>
            <w:vAlign w:val="bottom"/>
            <w:tcBorders>
              <w:top w:val="single" w:sz="8" w:color="DEEBF7"/>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DEEBF7"/>
            </w:tcBorders>
          </w:tcPr>
          <w:p>
            <w:pPr>
              <w:spacing w:after="0"/>
              <w:rPr>
                <w:sz w:val="12"/>
                <w:szCs w:val="12"/>
                <w:color w:val="auto"/>
              </w:rPr>
            </w:pPr>
          </w:p>
        </w:tc>
        <w:tc>
          <w:tcPr>
            <w:tcW w:w="140" w:type="dxa"/>
            <w:vAlign w:val="bottom"/>
            <w:tcBorders>
              <w:top w:val="single" w:sz="8" w:color="DEEBF7"/>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DEEBF7"/>
            </w:tcBorders>
          </w:tcPr>
          <w:p>
            <w:pPr>
              <w:spacing w:after="0"/>
              <w:rPr>
                <w:sz w:val="12"/>
                <w:szCs w:val="12"/>
                <w:color w:val="auto"/>
              </w:rPr>
            </w:pPr>
          </w:p>
        </w:tc>
        <w:tc>
          <w:tcPr>
            <w:tcW w:w="100" w:type="dxa"/>
            <w:vAlign w:val="bottom"/>
            <w:tcBorders>
              <w:top w:val="single" w:sz="8" w:color="DEEBF7"/>
            </w:tcBorders>
          </w:tcPr>
          <w:p>
            <w:pPr>
              <w:spacing w:after="0"/>
              <w:rPr>
                <w:sz w:val="12"/>
                <w:szCs w:val="12"/>
                <w:color w:val="auto"/>
              </w:rPr>
            </w:pPr>
          </w:p>
        </w:tc>
        <w:tc>
          <w:tcPr>
            <w:tcW w:w="320" w:type="dxa"/>
            <w:vAlign w:val="bottom"/>
            <w:tcBorders>
              <w:top w:val="single" w:sz="8" w:color="DEEBF7"/>
            </w:tcBorders>
          </w:tcPr>
          <w:p>
            <w:pPr>
              <w:spacing w:after="0"/>
              <w:rPr>
                <w:sz w:val="12"/>
                <w:szCs w:val="12"/>
                <w:color w:val="auto"/>
              </w:rPr>
            </w:pPr>
          </w:p>
        </w:tc>
        <w:tc>
          <w:tcPr>
            <w:tcW w:w="600" w:type="dxa"/>
            <w:vAlign w:val="bottom"/>
            <w:tcBorders>
              <w:top w:val="single" w:sz="8" w:color="DEEBF7"/>
            </w:tcBorders>
          </w:tcPr>
          <w:p>
            <w:pPr>
              <w:spacing w:after="0"/>
              <w:rPr>
                <w:sz w:val="12"/>
                <w:szCs w:val="12"/>
                <w:color w:val="auto"/>
              </w:rPr>
            </w:pPr>
          </w:p>
        </w:tc>
        <w:tc>
          <w:tcPr>
            <w:tcW w:w="360" w:type="dxa"/>
            <w:vAlign w:val="bottom"/>
            <w:tcBorders>
              <w:top w:val="single" w:sz="8" w:color="DEEBF7"/>
            </w:tcBorders>
          </w:tcPr>
          <w:p>
            <w:pPr>
              <w:spacing w:after="0"/>
              <w:rPr>
                <w:sz w:val="12"/>
                <w:szCs w:val="12"/>
                <w:color w:val="auto"/>
              </w:rPr>
            </w:pPr>
          </w:p>
        </w:tc>
        <w:tc>
          <w:tcPr>
            <w:tcW w:w="140" w:type="dxa"/>
            <w:vAlign w:val="bottom"/>
            <w:tcBorders>
              <w:top w:val="single" w:sz="8" w:color="DEEBF7"/>
            </w:tcBorders>
          </w:tcPr>
          <w:p>
            <w:pPr>
              <w:spacing w:after="0"/>
              <w:rPr>
                <w:sz w:val="12"/>
                <w:szCs w:val="12"/>
                <w:color w:val="auto"/>
              </w:rPr>
            </w:pPr>
          </w:p>
        </w:tc>
        <w:tc>
          <w:tcPr>
            <w:tcW w:w="400" w:type="dxa"/>
            <w:vAlign w:val="bottom"/>
            <w:tcBorders>
              <w:top w:val="single" w:sz="8" w:color="DEEBF7"/>
            </w:tcBorders>
          </w:tcPr>
          <w:p>
            <w:pPr>
              <w:spacing w:after="0"/>
              <w:rPr>
                <w:sz w:val="12"/>
                <w:szCs w:val="12"/>
                <w:color w:val="auto"/>
              </w:rPr>
            </w:pPr>
          </w:p>
        </w:tc>
        <w:tc>
          <w:tcPr>
            <w:tcW w:w="1000" w:type="dxa"/>
            <w:vAlign w:val="bottom"/>
            <w:tcBorders>
              <w:top w:val="single" w:sz="8" w:color="DEEBF7"/>
            </w:tcBorders>
          </w:tcPr>
          <w:p>
            <w:pPr>
              <w:spacing w:after="0"/>
              <w:rPr>
                <w:sz w:val="12"/>
                <w:szCs w:val="12"/>
                <w:color w:val="auto"/>
              </w:rPr>
            </w:pPr>
          </w:p>
        </w:tc>
        <w:tc>
          <w:tcPr>
            <w:tcW w:w="140" w:type="dxa"/>
            <w:vAlign w:val="bottom"/>
            <w:tcBorders>
              <w:top w:val="single" w:sz="8" w:color="DEEBF7"/>
            </w:tcBorders>
          </w:tcPr>
          <w:p>
            <w:pPr>
              <w:spacing w:after="0"/>
              <w:rPr>
                <w:sz w:val="12"/>
                <w:szCs w:val="12"/>
                <w:color w:val="auto"/>
              </w:rPr>
            </w:pPr>
          </w:p>
        </w:tc>
      </w:tr>
      <w:tr>
        <w:trPr>
          <w:trHeight w:val="166"/>
        </w:trPr>
        <w:tc>
          <w:tcPr>
            <w:tcW w:w="39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Americas:</w:t>
            </w:r>
          </w:p>
        </w:tc>
        <w:tc>
          <w:tcPr>
            <w:tcW w:w="1480" w:type="dxa"/>
            <w:vAlign w:val="bottom"/>
            <w:shd w:val="clear" w:color="auto" w:fill="DEEBF7"/>
          </w:tcPr>
          <w:p>
            <w:pPr>
              <w:spacing w:after="0"/>
              <w:rPr>
                <w:sz w:val="14"/>
                <w:szCs w:val="14"/>
                <w:color w:val="auto"/>
              </w:rPr>
            </w:pPr>
          </w:p>
        </w:tc>
        <w:tc>
          <w:tcPr>
            <w:tcW w:w="280" w:type="dxa"/>
            <w:vAlign w:val="bottom"/>
            <w:shd w:val="clear" w:color="auto" w:fill="DEEBF7"/>
          </w:tcPr>
          <w:p>
            <w:pPr>
              <w:spacing w:after="0"/>
              <w:rPr>
                <w:sz w:val="14"/>
                <w:szCs w:val="14"/>
                <w:color w:val="auto"/>
              </w:rPr>
            </w:pPr>
          </w:p>
        </w:tc>
        <w:tc>
          <w:tcPr>
            <w:tcW w:w="94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260" w:type="dxa"/>
            <w:vAlign w:val="bottom"/>
            <w:shd w:val="clear" w:color="auto" w:fill="DEEBF7"/>
          </w:tcPr>
          <w:p>
            <w:pPr>
              <w:spacing w:after="0"/>
              <w:rPr>
                <w:sz w:val="14"/>
                <w:szCs w:val="14"/>
                <w:color w:val="auto"/>
              </w:rPr>
            </w:pPr>
          </w:p>
        </w:tc>
        <w:tc>
          <w:tcPr>
            <w:tcW w:w="9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36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400" w:type="dxa"/>
            <w:vAlign w:val="bottom"/>
            <w:shd w:val="clear" w:color="auto" w:fill="DEEBF7"/>
          </w:tcPr>
          <w:p>
            <w:pPr>
              <w:spacing w:after="0"/>
              <w:rPr>
                <w:sz w:val="14"/>
                <w:szCs w:val="14"/>
                <w:color w:val="auto"/>
              </w:rPr>
            </w:pPr>
          </w:p>
        </w:tc>
        <w:tc>
          <w:tcPr>
            <w:tcW w:w="100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-81.9%</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-81.9%</w:t>
            </w:r>
          </w:p>
        </w:tc>
      </w:tr>
      <w:tr>
        <w:trPr>
          <w:trHeight w:val="166"/>
        </w:trPr>
        <w:tc>
          <w:tcPr>
            <w:tcW w:w="3920" w:type="dxa"/>
            <w:vAlign w:val="bottom"/>
            <w:tcBorders>
              <w:bottom w:val="single" w:sz="8" w:color="DEEBF7"/>
            </w:tcBorders>
            <w:shd w:val="clear" w:color="auto" w:fill="DEEBF7"/>
          </w:tcPr>
          <w:p>
            <w:pPr>
              <w:ind w:left="380"/>
              <w:spacing w:after="0"/>
              <w:rPr>
                <w:sz w:val="20"/>
                <w:szCs w:val="20"/>
                <w:color w:val="auto"/>
              </w:rPr>
            </w:pPr>
            <w:r>
              <w:rPr>
                <w:rFonts w:ascii="Arial" w:cs="Arial" w:eastAsia="Arial" w:hAnsi="Arial"/>
                <w:sz w:val="14"/>
                <w:szCs w:val="14"/>
                <w:color w:val="auto"/>
              </w:rPr>
              <w:t>Other Americas</w:t>
            </w:r>
          </w:p>
        </w:tc>
        <w:tc>
          <w:tcPr>
            <w:tcW w:w="1480" w:type="dxa"/>
            <w:vAlign w:val="bottom"/>
            <w:tcBorders>
              <w:bottom w:val="single" w:sz="8" w:color="DEEBF7"/>
            </w:tcBorders>
            <w:shd w:val="clear" w:color="auto" w:fill="DEEBF7"/>
          </w:tcPr>
          <w:p>
            <w:pPr>
              <w:spacing w:after="0"/>
              <w:rPr>
                <w:sz w:val="14"/>
                <w:szCs w:val="14"/>
                <w:color w:val="auto"/>
              </w:rPr>
            </w:pPr>
          </w:p>
        </w:tc>
        <w:tc>
          <w:tcPr>
            <w:tcW w:w="280" w:type="dxa"/>
            <w:vAlign w:val="bottom"/>
            <w:tcBorders>
              <w:bottom w:val="single" w:sz="8" w:color="auto"/>
            </w:tcBorders>
            <w:shd w:val="clear" w:color="auto" w:fill="DEEBF7"/>
          </w:tcPr>
          <w:p>
            <w:pPr>
              <w:spacing w:after="0"/>
              <w:rPr>
                <w:sz w:val="14"/>
                <w:szCs w:val="14"/>
                <w:color w:val="auto"/>
              </w:rPr>
            </w:pPr>
          </w:p>
        </w:tc>
        <w:tc>
          <w:tcPr>
            <w:tcW w:w="94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DEEBF7"/>
            </w:tcBorders>
            <w:shd w:val="clear" w:color="auto" w:fill="DEEBF7"/>
          </w:tcPr>
          <w:p>
            <w:pPr>
              <w:spacing w:after="0"/>
              <w:rPr>
                <w:sz w:val="14"/>
                <w:szCs w:val="14"/>
                <w:color w:val="auto"/>
              </w:rPr>
            </w:pPr>
          </w:p>
        </w:tc>
        <w:tc>
          <w:tcPr>
            <w:tcW w:w="140" w:type="dxa"/>
            <w:vAlign w:val="bottom"/>
            <w:tcBorders>
              <w:bottom w:val="single" w:sz="8" w:color="DEEBF7"/>
            </w:tcBorders>
            <w:shd w:val="clear" w:color="auto" w:fill="DEEBF7"/>
          </w:tcPr>
          <w:p>
            <w:pPr>
              <w:spacing w:after="0"/>
              <w:rPr>
                <w:sz w:val="14"/>
                <w:szCs w:val="14"/>
                <w:color w:val="auto"/>
              </w:rPr>
            </w:pPr>
          </w:p>
        </w:tc>
        <w:tc>
          <w:tcPr>
            <w:tcW w:w="260" w:type="dxa"/>
            <w:vAlign w:val="bottom"/>
            <w:tcBorders>
              <w:bottom w:val="single" w:sz="8" w:color="auto"/>
            </w:tcBorders>
            <w:shd w:val="clear" w:color="auto" w:fill="DEEBF7"/>
          </w:tcPr>
          <w:p>
            <w:pPr>
              <w:spacing w:after="0"/>
              <w:rPr>
                <w:sz w:val="14"/>
                <w:szCs w:val="14"/>
                <w:color w:val="auto"/>
              </w:rPr>
            </w:pPr>
          </w:p>
        </w:tc>
        <w:tc>
          <w:tcPr>
            <w:tcW w:w="9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DEEBF7"/>
            </w:tcBorders>
            <w:shd w:val="clear" w:color="auto" w:fill="DEEBF7"/>
          </w:tcPr>
          <w:p>
            <w:pPr>
              <w:spacing w:after="0"/>
              <w:rPr>
                <w:sz w:val="14"/>
                <w:szCs w:val="14"/>
                <w:color w:val="auto"/>
              </w:rPr>
            </w:pPr>
          </w:p>
        </w:tc>
        <w:tc>
          <w:tcPr>
            <w:tcW w:w="100" w:type="dxa"/>
            <w:vAlign w:val="bottom"/>
            <w:tcBorders>
              <w:bottom w:val="single" w:sz="8" w:color="DEEBF7"/>
            </w:tcBorders>
            <w:shd w:val="clear" w:color="auto" w:fill="DEEBF7"/>
          </w:tcPr>
          <w:p>
            <w:pPr>
              <w:spacing w:after="0"/>
              <w:rPr>
                <w:sz w:val="14"/>
                <w:szCs w:val="14"/>
                <w:color w:val="auto"/>
              </w:rPr>
            </w:pPr>
          </w:p>
        </w:tc>
        <w:tc>
          <w:tcPr>
            <w:tcW w:w="320" w:type="dxa"/>
            <w:vAlign w:val="bottom"/>
            <w:tcBorders>
              <w:bottom w:val="single" w:sz="8" w:color="DEEBF7"/>
            </w:tcBorders>
            <w:shd w:val="clear" w:color="auto" w:fill="DEEBF7"/>
          </w:tcPr>
          <w:p>
            <w:pPr>
              <w:spacing w:after="0"/>
              <w:rPr>
                <w:sz w:val="14"/>
                <w:szCs w:val="14"/>
                <w:color w:val="auto"/>
              </w:rPr>
            </w:pPr>
          </w:p>
        </w:tc>
        <w:tc>
          <w:tcPr>
            <w:tcW w:w="600" w:type="dxa"/>
            <w:vAlign w:val="bottom"/>
            <w:tcBorders>
              <w:bottom w:val="single" w:sz="8" w:color="DEEBF7"/>
            </w:tcBorders>
            <w:shd w:val="clear" w:color="auto" w:fill="DEEBF7"/>
          </w:tcPr>
          <w:p>
            <w:pPr>
              <w:spacing w:after="0"/>
              <w:rPr>
                <w:sz w:val="14"/>
                <w:szCs w:val="14"/>
                <w:color w:val="auto"/>
              </w:rPr>
            </w:pPr>
          </w:p>
        </w:tc>
        <w:tc>
          <w:tcPr>
            <w:tcW w:w="50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20.9%</w:t>
            </w:r>
          </w:p>
        </w:tc>
        <w:tc>
          <w:tcPr>
            <w:tcW w:w="400" w:type="dxa"/>
            <w:vAlign w:val="bottom"/>
            <w:tcBorders>
              <w:bottom w:val="single" w:sz="8" w:color="DEEBF7"/>
            </w:tcBorders>
            <w:shd w:val="clear" w:color="auto" w:fill="DEEBF7"/>
          </w:tcPr>
          <w:p>
            <w:pPr>
              <w:spacing w:after="0"/>
              <w:rPr>
                <w:sz w:val="14"/>
                <w:szCs w:val="14"/>
                <w:color w:val="auto"/>
              </w:rPr>
            </w:pPr>
          </w:p>
        </w:tc>
        <w:tc>
          <w:tcPr>
            <w:tcW w:w="114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14.4%</w:t>
            </w: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-24.9%</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-28.5%</w:t>
            </w:r>
          </w:p>
        </w:tc>
      </w:tr>
      <w:tr>
        <w:trPr>
          <w:trHeight w:val="157"/>
        </w:trPr>
        <w:tc>
          <w:tcPr>
            <w:tcW w:w="3920" w:type="dxa"/>
            <w:vAlign w:val="bottom"/>
            <w:shd w:val="clear" w:color="auto" w:fill="DEEBF7"/>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1480" w:type="dxa"/>
            <w:vAlign w:val="bottom"/>
            <w:shd w:val="clear" w:color="auto" w:fill="DEEBF7"/>
          </w:tcPr>
          <w:p>
            <w:pPr>
              <w:spacing w:after="0"/>
              <w:rPr>
                <w:sz w:val="13"/>
                <w:szCs w:val="13"/>
                <w:color w:val="auto"/>
              </w:rPr>
            </w:pPr>
          </w:p>
        </w:tc>
        <w:tc>
          <w:tcPr>
            <w:tcW w:w="280" w:type="dxa"/>
            <w:vAlign w:val="bottom"/>
            <w:shd w:val="clear" w:color="auto" w:fill="DEEBF7"/>
          </w:tcPr>
          <w:p>
            <w:pPr>
              <w:spacing w:after="0"/>
              <w:rPr>
                <w:sz w:val="13"/>
                <w:szCs w:val="13"/>
                <w:color w:val="auto"/>
              </w:rPr>
            </w:pPr>
          </w:p>
        </w:tc>
        <w:tc>
          <w:tcPr>
            <w:tcW w:w="940" w:type="dxa"/>
            <w:vAlign w:val="bottom"/>
            <w:shd w:val="clear" w:color="auto" w:fill="DEEBF7"/>
          </w:tcPr>
          <w:p>
            <w:pPr>
              <w:spacing w:after="0"/>
              <w:rPr>
                <w:sz w:val="13"/>
                <w:szCs w:val="13"/>
                <w:color w:val="auto"/>
              </w:rPr>
            </w:pP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shd w:val="clear" w:color="auto" w:fill="DEEBF7"/>
          </w:tcPr>
          <w:p>
            <w:pPr>
              <w:spacing w:after="0"/>
              <w:rPr>
                <w:sz w:val="13"/>
                <w:szCs w:val="13"/>
                <w:color w:val="auto"/>
              </w:rPr>
            </w:pPr>
          </w:p>
        </w:tc>
        <w:tc>
          <w:tcPr>
            <w:tcW w:w="96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36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400" w:type="dxa"/>
            <w:vAlign w:val="bottom"/>
            <w:shd w:val="clear" w:color="auto" w:fill="DEEBF7"/>
          </w:tcPr>
          <w:p>
            <w:pPr>
              <w:spacing w:after="0"/>
              <w:rPr>
                <w:sz w:val="13"/>
                <w:szCs w:val="13"/>
                <w:color w:val="auto"/>
              </w:rPr>
            </w:pPr>
          </w:p>
        </w:tc>
        <w:tc>
          <w:tcPr>
            <w:tcW w:w="100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France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-18.5%</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-25.1%</w:t>
            </w:r>
          </w:p>
        </w:tc>
      </w:tr>
      <w:tr>
        <w:trPr>
          <w:trHeight w:val="166"/>
        </w:trPr>
        <w:tc>
          <w:tcPr>
            <w:tcW w:w="3920" w:type="dxa"/>
            <w:vAlign w:val="bottom"/>
            <w:shd w:val="clear" w:color="auto" w:fill="DEEBF7"/>
          </w:tcPr>
          <w:p>
            <w:pPr>
              <w:ind w:left="380"/>
              <w:spacing w:after="0"/>
              <w:rPr>
                <w:sz w:val="20"/>
                <w:szCs w:val="20"/>
                <w:color w:val="auto"/>
              </w:rPr>
            </w:pPr>
            <w:r>
              <w:rPr>
                <w:rFonts w:ascii="Arial" w:cs="Arial" w:eastAsia="Arial" w:hAnsi="Arial"/>
                <w:sz w:val="14"/>
                <w:szCs w:val="14"/>
                <w:color w:val="auto"/>
              </w:rPr>
              <w:t>Italy</w:t>
            </w:r>
          </w:p>
        </w:tc>
        <w:tc>
          <w:tcPr>
            <w:tcW w:w="1480" w:type="dxa"/>
            <w:vAlign w:val="bottom"/>
            <w:shd w:val="clear" w:color="auto" w:fill="DEEBF7"/>
          </w:tcPr>
          <w:p>
            <w:pPr>
              <w:spacing w:after="0"/>
              <w:rPr>
                <w:sz w:val="14"/>
                <w:szCs w:val="14"/>
                <w:color w:val="auto"/>
              </w:rPr>
            </w:pPr>
          </w:p>
        </w:tc>
        <w:tc>
          <w:tcPr>
            <w:tcW w:w="280" w:type="dxa"/>
            <w:vAlign w:val="bottom"/>
            <w:shd w:val="clear" w:color="auto" w:fill="DEEBF7"/>
          </w:tcPr>
          <w:p>
            <w:pPr>
              <w:spacing w:after="0"/>
              <w:rPr>
                <w:sz w:val="14"/>
                <w:szCs w:val="14"/>
                <w:color w:val="auto"/>
              </w:rPr>
            </w:pPr>
          </w:p>
        </w:tc>
        <w:tc>
          <w:tcPr>
            <w:tcW w:w="94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260" w:type="dxa"/>
            <w:vAlign w:val="bottom"/>
            <w:shd w:val="clear" w:color="auto" w:fill="DEEBF7"/>
          </w:tcPr>
          <w:p>
            <w:pPr>
              <w:spacing w:after="0"/>
              <w:rPr>
                <w:sz w:val="14"/>
                <w:szCs w:val="14"/>
                <w:color w:val="auto"/>
              </w:rPr>
            </w:pPr>
          </w:p>
        </w:tc>
        <w:tc>
          <w:tcPr>
            <w:tcW w:w="9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50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16.6%</w:t>
            </w:r>
          </w:p>
        </w:tc>
        <w:tc>
          <w:tcPr>
            <w:tcW w:w="400" w:type="dxa"/>
            <w:vAlign w:val="bottom"/>
            <w:shd w:val="clear" w:color="auto" w:fill="DEEBF7"/>
          </w:tcPr>
          <w:p>
            <w:pPr>
              <w:spacing w:after="0"/>
              <w:rPr>
                <w:sz w:val="14"/>
                <w:szCs w:val="14"/>
                <w:color w:val="auto"/>
              </w:rPr>
            </w:pPr>
          </w:p>
        </w:tc>
        <w:tc>
          <w:tcPr>
            <w:tcW w:w="1140" w:type="dxa"/>
            <w:vAlign w:val="bottom"/>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5.5%</w:t>
            </w:r>
          </w:p>
        </w:tc>
      </w:tr>
      <w:tr>
        <w:trPr>
          <w:trHeight w:val="166"/>
        </w:trPr>
        <w:tc>
          <w:tcPr>
            <w:tcW w:w="392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83.1%</w:t>
            </w:r>
          </w:p>
        </w:tc>
        <w:tc>
          <w:tcPr>
            <w:tcW w:w="4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63.8%</w:t>
            </w:r>
          </w:p>
        </w:tc>
      </w:tr>
      <w:tr>
        <w:trPr>
          <w:trHeight w:val="157"/>
        </w:trPr>
        <w:tc>
          <w:tcPr>
            <w:tcW w:w="3920" w:type="dxa"/>
            <w:vAlign w:val="bottom"/>
            <w:tcBorders>
              <w:bottom w:val="single" w:sz="8" w:color="DEEBF7"/>
            </w:tcBorders>
            <w:shd w:val="clear" w:color="auto" w:fill="DEEBF7"/>
          </w:tcPr>
          <w:p>
            <w:pPr>
              <w:spacing w:after="0"/>
              <w:rPr>
                <w:sz w:val="13"/>
                <w:szCs w:val="13"/>
                <w:color w:val="auto"/>
              </w:rPr>
            </w:pPr>
          </w:p>
        </w:tc>
        <w:tc>
          <w:tcPr>
            <w:tcW w:w="1480" w:type="dxa"/>
            <w:vAlign w:val="bottom"/>
            <w:tcBorders>
              <w:bottom w:val="single" w:sz="8" w:color="DEEBF7"/>
            </w:tcBorders>
            <w:shd w:val="clear" w:color="auto" w:fill="DEEBF7"/>
          </w:tcPr>
          <w:p>
            <w:pPr>
              <w:spacing w:after="0"/>
              <w:rPr>
                <w:sz w:val="13"/>
                <w:szCs w:val="13"/>
                <w:color w:val="auto"/>
              </w:rPr>
            </w:pPr>
          </w:p>
        </w:tc>
        <w:tc>
          <w:tcPr>
            <w:tcW w:w="280" w:type="dxa"/>
            <w:vAlign w:val="bottom"/>
            <w:tcBorders>
              <w:bottom w:val="single" w:sz="8" w:color="auto"/>
            </w:tcBorders>
            <w:shd w:val="clear" w:color="auto" w:fill="DEEBF7"/>
          </w:tcPr>
          <w:p>
            <w:pPr>
              <w:spacing w:after="0"/>
              <w:rPr>
                <w:sz w:val="13"/>
                <w:szCs w:val="13"/>
                <w:color w:val="auto"/>
              </w:rPr>
            </w:pPr>
          </w:p>
        </w:tc>
        <w:tc>
          <w:tcPr>
            <w:tcW w:w="94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54.2</w:t>
            </w:r>
          </w:p>
        </w:tc>
        <w:tc>
          <w:tcPr>
            <w:tcW w:w="120" w:type="dxa"/>
            <w:vAlign w:val="bottom"/>
            <w:tcBorders>
              <w:bottom w:val="single" w:sz="8" w:color="DEEBF7"/>
            </w:tcBorders>
            <w:shd w:val="clear" w:color="auto" w:fill="DEEBF7"/>
          </w:tcPr>
          <w:p>
            <w:pPr>
              <w:spacing w:after="0"/>
              <w:rPr>
                <w:sz w:val="13"/>
                <w:szCs w:val="13"/>
                <w:color w:val="auto"/>
              </w:rPr>
            </w:pPr>
          </w:p>
        </w:tc>
        <w:tc>
          <w:tcPr>
            <w:tcW w:w="140" w:type="dxa"/>
            <w:vAlign w:val="bottom"/>
            <w:tcBorders>
              <w:bottom w:val="single" w:sz="8" w:color="DEEBF7"/>
            </w:tcBorders>
            <w:shd w:val="clear" w:color="auto" w:fill="DEEBF7"/>
          </w:tcPr>
          <w:p>
            <w:pPr>
              <w:spacing w:after="0"/>
              <w:rPr>
                <w:sz w:val="13"/>
                <w:szCs w:val="13"/>
                <w:color w:val="auto"/>
              </w:rPr>
            </w:pPr>
          </w:p>
        </w:tc>
        <w:tc>
          <w:tcPr>
            <w:tcW w:w="260" w:type="dxa"/>
            <w:vAlign w:val="bottom"/>
            <w:tcBorders>
              <w:bottom w:val="single" w:sz="8" w:color="auto"/>
            </w:tcBorders>
            <w:shd w:val="clear" w:color="auto" w:fill="DEEBF7"/>
          </w:tcPr>
          <w:p>
            <w:pPr>
              <w:spacing w:after="0"/>
              <w:rPr>
                <w:sz w:val="13"/>
                <w:szCs w:val="13"/>
                <w:color w:val="auto"/>
              </w:rPr>
            </w:pPr>
          </w:p>
        </w:tc>
        <w:tc>
          <w:tcPr>
            <w:tcW w:w="96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50.2</w:t>
            </w:r>
          </w:p>
        </w:tc>
        <w:tc>
          <w:tcPr>
            <w:tcW w:w="100" w:type="dxa"/>
            <w:vAlign w:val="bottom"/>
            <w:tcBorders>
              <w:bottom w:val="single" w:sz="8" w:color="DEEBF7"/>
            </w:tcBorders>
            <w:shd w:val="clear" w:color="auto" w:fill="DEEBF7"/>
          </w:tcPr>
          <w:p>
            <w:pPr>
              <w:spacing w:after="0"/>
              <w:rPr>
                <w:sz w:val="13"/>
                <w:szCs w:val="13"/>
                <w:color w:val="auto"/>
              </w:rPr>
            </w:pPr>
          </w:p>
        </w:tc>
        <w:tc>
          <w:tcPr>
            <w:tcW w:w="100" w:type="dxa"/>
            <w:vAlign w:val="bottom"/>
            <w:tcBorders>
              <w:bottom w:val="single" w:sz="8" w:color="DEEBF7"/>
            </w:tcBorders>
            <w:shd w:val="clear" w:color="auto" w:fill="DEEBF7"/>
          </w:tcPr>
          <w:p>
            <w:pPr>
              <w:spacing w:after="0"/>
              <w:rPr>
                <w:sz w:val="13"/>
                <w:szCs w:val="13"/>
                <w:color w:val="auto"/>
              </w:rPr>
            </w:pPr>
          </w:p>
        </w:tc>
        <w:tc>
          <w:tcPr>
            <w:tcW w:w="320" w:type="dxa"/>
            <w:vAlign w:val="bottom"/>
            <w:tcBorders>
              <w:bottom w:val="single" w:sz="8" w:color="DEEBF7"/>
            </w:tcBorders>
            <w:shd w:val="clear" w:color="auto" w:fill="DEEBF7"/>
          </w:tcPr>
          <w:p>
            <w:pPr>
              <w:spacing w:after="0"/>
              <w:rPr>
                <w:sz w:val="13"/>
                <w:szCs w:val="13"/>
                <w:color w:val="auto"/>
              </w:rPr>
            </w:pPr>
          </w:p>
        </w:tc>
        <w:tc>
          <w:tcPr>
            <w:tcW w:w="600" w:type="dxa"/>
            <w:vAlign w:val="bottom"/>
            <w:tcBorders>
              <w:bottom w:val="single" w:sz="8" w:color="DEEBF7"/>
            </w:tcBorders>
            <w:shd w:val="clear" w:color="auto" w:fill="DEEBF7"/>
          </w:tcPr>
          <w:p>
            <w:pPr>
              <w:spacing w:after="0"/>
              <w:rPr>
                <w:sz w:val="13"/>
                <w:szCs w:val="13"/>
                <w:color w:val="auto"/>
              </w:rPr>
            </w:pPr>
          </w:p>
        </w:tc>
        <w:tc>
          <w:tcPr>
            <w:tcW w:w="500" w:type="dxa"/>
            <w:vAlign w:val="bottom"/>
            <w:tcBorders>
              <w:bottom w:val="single" w:sz="8" w:color="DEEBF7"/>
            </w:tcBorders>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8.0%</w:t>
            </w:r>
          </w:p>
        </w:tc>
        <w:tc>
          <w:tcPr>
            <w:tcW w:w="400" w:type="dxa"/>
            <w:vAlign w:val="bottom"/>
            <w:tcBorders>
              <w:bottom w:val="single" w:sz="8" w:color="DEEBF7"/>
            </w:tcBorders>
            <w:shd w:val="clear" w:color="auto" w:fill="DEEBF7"/>
          </w:tcPr>
          <w:p>
            <w:pPr>
              <w:spacing w:after="0"/>
              <w:rPr>
                <w:sz w:val="13"/>
                <w:szCs w:val="13"/>
                <w:color w:val="auto"/>
              </w:rPr>
            </w:pPr>
          </w:p>
        </w:tc>
        <w:tc>
          <w:tcPr>
            <w:tcW w:w="1140" w:type="dxa"/>
            <w:vAlign w:val="bottom"/>
            <w:tcBorders>
              <w:bottom w:val="single" w:sz="8" w:color="DEEBF7"/>
            </w:tcBorders>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-2.0%</w:t>
            </w:r>
          </w:p>
        </w:tc>
      </w:tr>
      <w:tr>
        <w:trPr>
          <w:trHeight w:val="157"/>
        </w:trPr>
        <w:tc>
          <w:tcPr>
            <w:tcW w:w="392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55.5%</w:t>
            </w:r>
          </w:p>
        </w:tc>
        <w:tc>
          <w:tcPr>
            <w:tcW w:w="400" w:type="dxa"/>
            <w:vAlign w:val="bottom"/>
          </w:tcPr>
          <w:p>
            <w:pPr>
              <w:spacing w:after="0"/>
              <w:rPr>
                <w:sz w:val="13"/>
                <w:szCs w:val="13"/>
                <w:color w:val="auto"/>
              </w:rPr>
            </w:pPr>
          </w:p>
        </w:tc>
        <w:tc>
          <w:tcPr>
            <w:tcW w:w="11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62.8%</w:t>
            </w:r>
          </w:p>
        </w:tc>
      </w:tr>
      <w:tr>
        <w:trPr>
          <w:trHeight w:val="166"/>
        </w:trPr>
        <w:tc>
          <w:tcPr>
            <w:tcW w:w="3920" w:type="dxa"/>
            <w:vAlign w:val="bottom"/>
            <w:tcBorders>
              <w:bottom w:val="single" w:sz="8" w:color="DEEBF7"/>
            </w:tcBorders>
            <w:shd w:val="clear" w:color="auto" w:fill="DEEBF7"/>
          </w:tcPr>
          <w:p>
            <w:pPr>
              <w:ind w:left="180"/>
              <w:spacing w:after="0"/>
              <w:rPr>
                <w:sz w:val="20"/>
                <w:szCs w:val="20"/>
                <w:color w:val="auto"/>
              </w:rPr>
            </w:pPr>
            <w:r>
              <w:rPr>
                <w:rFonts w:ascii="Arial" w:cs="Arial" w:eastAsia="Arial" w:hAnsi="Arial"/>
                <w:sz w:val="14"/>
                <w:szCs w:val="14"/>
                <w:color w:val="auto"/>
              </w:rPr>
              <w:t>APME</w:t>
            </w:r>
          </w:p>
        </w:tc>
        <w:tc>
          <w:tcPr>
            <w:tcW w:w="1480" w:type="dxa"/>
            <w:vAlign w:val="bottom"/>
            <w:tcBorders>
              <w:bottom w:val="single" w:sz="8" w:color="DEEBF7"/>
            </w:tcBorders>
            <w:shd w:val="clear" w:color="auto" w:fill="DEEBF7"/>
          </w:tcPr>
          <w:p>
            <w:pPr>
              <w:spacing w:after="0"/>
              <w:rPr>
                <w:sz w:val="14"/>
                <w:szCs w:val="14"/>
                <w:color w:val="auto"/>
              </w:rPr>
            </w:pPr>
          </w:p>
        </w:tc>
        <w:tc>
          <w:tcPr>
            <w:tcW w:w="280" w:type="dxa"/>
            <w:vAlign w:val="bottom"/>
            <w:tcBorders>
              <w:bottom w:val="single" w:sz="8" w:color="auto"/>
            </w:tcBorders>
            <w:shd w:val="clear" w:color="auto" w:fill="DEEBF7"/>
          </w:tcPr>
          <w:p>
            <w:pPr>
              <w:spacing w:after="0"/>
              <w:rPr>
                <w:sz w:val="14"/>
                <w:szCs w:val="14"/>
                <w:color w:val="auto"/>
              </w:rPr>
            </w:pPr>
          </w:p>
        </w:tc>
        <w:tc>
          <w:tcPr>
            <w:tcW w:w="94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DEEBF7"/>
            </w:tcBorders>
            <w:shd w:val="clear" w:color="auto" w:fill="DEEBF7"/>
          </w:tcPr>
          <w:p>
            <w:pPr>
              <w:spacing w:after="0"/>
              <w:rPr>
                <w:sz w:val="14"/>
                <w:szCs w:val="14"/>
                <w:color w:val="auto"/>
              </w:rPr>
            </w:pPr>
          </w:p>
        </w:tc>
        <w:tc>
          <w:tcPr>
            <w:tcW w:w="140" w:type="dxa"/>
            <w:vAlign w:val="bottom"/>
            <w:tcBorders>
              <w:bottom w:val="single" w:sz="8" w:color="DEEBF7"/>
            </w:tcBorders>
            <w:shd w:val="clear" w:color="auto" w:fill="DEEBF7"/>
          </w:tcPr>
          <w:p>
            <w:pPr>
              <w:spacing w:after="0"/>
              <w:rPr>
                <w:sz w:val="14"/>
                <w:szCs w:val="14"/>
                <w:color w:val="auto"/>
              </w:rPr>
            </w:pPr>
          </w:p>
        </w:tc>
        <w:tc>
          <w:tcPr>
            <w:tcW w:w="260" w:type="dxa"/>
            <w:vAlign w:val="bottom"/>
            <w:tcBorders>
              <w:bottom w:val="single" w:sz="8" w:color="auto"/>
            </w:tcBorders>
            <w:shd w:val="clear" w:color="auto" w:fill="DEEBF7"/>
          </w:tcPr>
          <w:p>
            <w:pPr>
              <w:spacing w:after="0"/>
              <w:rPr>
                <w:sz w:val="14"/>
                <w:szCs w:val="14"/>
                <w:color w:val="auto"/>
              </w:rPr>
            </w:pPr>
          </w:p>
        </w:tc>
        <w:tc>
          <w:tcPr>
            <w:tcW w:w="9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DEEBF7"/>
            </w:tcBorders>
            <w:shd w:val="clear" w:color="auto" w:fill="DEEBF7"/>
          </w:tcPr>
          <w:p>
            <w:pPr>
              <w:spacing w:after="0"/>
              <w:rPr>
                <w:sz w:val="14"/>
                <w:szCs w:val="14"/>
                <w:color w:val="auto"/>
              </w:rPr>
            </w:pPr>
          </w:p>
        </w:tc>
        <w:tc>
          <w:tcPr>
            <w:tcW w:w="100" w:type="dxa"/>
            <w:vAlign w:val="bottom"/>
            <w:tcBorders>
              <w:bottom w:val="single" w:sz="8" w:color="DEEBF7"/>
            </w:tcBorders>
            <w:shd w:val="clear" w:color="auto" w:fill="DEEBF7"/>
          </w:tcPr>
          <w:p>
            <w:pPr>
              <w:spacing w:after="0"/>
              <w:rPr>
                <w:sz w:val="14"/>
                <w:szCs w:val="14"/>
                <w:color w:val="auto"/>
              </w:rPr>
            </w:pPr>
          </w:p>
        </w:tc>
        <w:tc>
          <w:tcPr>
            <w:tcW w:w="320" w:type="dxa"/>
            <w:vAlign w:val="bottom"/>
            <w:tcBorders>
              <w:bottom w:val="single" w:sz="8" w:color="DEEBF7"/>
            </w:tcBorders>
            <w:shd w:val="clear" w:color="auto" w:fill="DEEBF7"/>
          </w:tcPr>
          <w:p>
            <w:pPr>
              <w:spacing w:after="0"/>
              <w:rPr>
                <w:sz w:val="14"/>
                <w:szCs w:val="14"/>
                <w:color w:val="auto"/>
              </w:rPr>
            </w:pPr>
          </w:p>
        </w:tc>
        <w:tc>
          <w:tcPr>
            <w:tcW w:w="600" w:type="dxa"/>
            <w:vAlign w:val="bottom"/>
            <w:tcBorders>
              <w:bottom w:val="single" w:sz="8" w:color="DEEBF7"/>
            </w:tcBorders>
            <w:shd w:val="clear" w:color="auto" w:fill="DEEBF7"/>
          </w:tcPr>
          <w:p>
            <w:pPr>
              <w:spacing w:after="0"/>
              <w:rPr>
                <w:sz w:val="14"/>
                <w:szCs w:val="14"/>
                <w:color w:val="auto"/>
              </w:rPr>
            </w:pPr>
          </w:p>
        </w:tc>
        <w:tc>
          <w:tcPr>
            <w:tcW w:w="50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7.7%</w:t>
            </w:r>
          </w:p>
        </w:tc>
        <w:tc>
          <w:tcPr>
            <w:tcW w:w="400" w:type="dxa"/>
            <w:vAlign w:val="bottom"/>
            <w:tcBorders>
              <w:bottom w:val="single" w:sz="8" w:color="DEEBF7"/>
            </w:tcBorders>
            <w:shd w:val="clear" w:color="auto" w:fill="DEEBF7"/>
          </w:tcPr>
          <w:p>
            <w:pPr>
              <w:spacing w:after="0"/>
              <w:rPr>
                <w:sz w:val="14"/>
                <w:szCs w:val="14"/>
                <w:color w:val="auto"/>
              </w:rPr>
            </w:pPr>
          </w:p>
        </w:tc>
        <w:tc>
          <w:tcPr>
            <w:tcW w:w="1140" w:type="dxa"/>
            <w:vAlign w:val="bottom"/>
            <w:tcBorders>
              <w:bottom w:val="single" w:sz="8" w:color="DEEBF7"/>
            </w:tcBorders>
            <w:gridSpan w:val="2"/>
            <w:shd w:val="clear" w:color="auto" w:fill="DEEBF7"/>
          </w:tcPr>
          <w:p>
            <w:pPr>
              <w:jc w:val="right"/>
              <w:ind w:right="20"/>
              <w:spacing w:after="0"/>
              <w:rPr>
                <w:sz w:val="20"/>
                <w:szCs w:val="20"/>
                <w:color w:val="auto"/>
              </w:rPr>
            </w:pPr>
            <w:r>
              <w:rPr>
                <w:rFonts w:ascii="Arial" w:cs="Arial" w:eastAsia="Arial" w:hAnsi="Arial"/>
                <w:sz w:val="14"/>
                <w:szCs w:val="14"/>
                <w:color w:val="auto"/>
              </w:rPr>
              <w:t>11.4%</w:t>
            </w:r>
          </w:p>
        </w:tc>
      </w:tr>
      <w:tr>
        <w:trPr>
          <w:trHeight w:val="157"/>
        </w:trPr>
        <w:tc>
          <w:tcPr>
            <w:tcW w:w="3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86.8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77.4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3920" w:type="dxa"/>
            <w:vAlign w:val="bottom"/>
            <w:shd w:val="clear" w:color="auto" w:fill="DEEBF7"/>
          </w:tcPr>
          <w:p>
            <w:pPr>
              <w:ind w:left="40"/>
              <w:spacing w:after="0"/>
              <w:rPr>
                <w:sz w:val="20"/>
                <w:szCs w:val="20"/>
                <w:color w:val="auto"/>
              </w:rPr>
            </w:pPr>
            <w:r>
              <w:rPr>
                <w:rFonts w:ascii="Arial" w:cs="Arial" w:eastAsia="Arial" w:hAnsi="Arial"/>
                <w:sz w:val="14"/>
                <w:szCs w:val="14"/>
                <w:color w:val="auto"/>
              </w:rPr>
              <w:t>Corporate expenses</w:t>
            </w:r>
          </w:p>
        </w:tc>
        <w:tc>
          <w:tcPr>
            <w:tcW w:w="1480" w:type="dxa"/>
            <w:vAlign w:val="bottom"/>
            <w:shd w:val="clear" w:color="auto" w:fill="DEEBF7"/>
          </w:tcPr>
          <w:p>
            <w:pPr>
              <w:spacing w:after="0"/>
              <w:rPr>
                <w:sz w:val="14"/>
                <w:szCs w:val="14"/>
                <w:color w:val="auto"/>
              </w:rPr>
            </w:pPr>
          </w:p>
        </w:tc>
        <w:tc>
          <w:tcPr>
            <w:tcW w:w="280" w:type="dxa"/>
            <w:vAlign w:val="bottom"/>
            <w:shd w:val="clear" w:color="auto" w:fill="DEEBF7"/>
          </w:tcPr>
          <w:p>
            <w:pPr>
              <w:spacing w:after="0"/>
              <w:rPr>
                <w:sz w:val="14"/>
                <w:szCs w:val="14"/>
                <w:color w:val="auto"/>
              </w:rPr>
            </w:pPr>
          </w:p>
        </w:tc>
        <w:tc>
          <w:tcPr>
            <w:tcW w:w="106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(51.5)</w:t>
            </w:r>
          </w:p>
        </w:tc>
        <w:tc>
          <w:tcPr>
            <w:tcW w:w="140" w:type="dxa"/>
            <w:vAlign w:val="bottom"/>
            <w:shd w:val="clear" w:color="auto" w:fill="DEEBF7"/>
          </w:tcPr>
          <w:p>
            <w:pPr>
              <w:spacing w:after="0"/>
              <w:rPr>
                <w:sz w:val="14"/>
                <w:szCs w:val="14"/>
                <w:color w:val="auto"/>
              </w:rPr>
            </w:pPr>
          </w:p>
        </w:tc>
        <w:tc>
          <w:tcPr>
            <w:tcW w:w="260" w:type="dxa"/>
            <w:vAlign w:val="bottom"/>
            <w:shd w:val="clear" w:color="auto" w:fill="DEEBF7"/>
          </w:tcPr>
          <w:p>
            <w:pPr>
              <w:spacing w:after="0"/>
              <w:rPr>
                <w:sz w:val="14"/>
                <w:szCs w:val="14"/>
                <w:color w:val="auto"/>
              </w:rPr>
            </w:pPr>
          </w:p>
        </w:tc>
        <w:tc>
          <w:tcPr>
            <w:tcW w:w="106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DEEBF7"/>
          </w:tcPr>
          <w:p>
            <w:pPr>
              <w:spacing w:after="0"/>
              <w:rPr>
                <w:sz w:val="14"/>
                <w:szCs w:val="14"/>
                <w:color w:val="auto"/>
              </w:rPr>
            </w:pPr>
          </w:p>
        </w:tc>
        <w:tc>
          <w:tcPr>
            <w:tcW w:w="320" w:type="dxa"/>
            <w:vAlign w:val="bottom"/>
            <w:shd w:val="clear" w:color="auto" w:fill="DEEBF7"/>
          </w:tcPr>
          <w:p>
            <w:pPr>
              <w:spacing w:after="0"/>
              <w:rPr>
                <w:sz w:val="14"/>
                <w:szCs w:val="14"/>
                <w:color w:val="auto"/>
              </w:rPr>
            </w:pPr>
          </w:p>
        </w:tc>
        <w:tc>
          <w:tcPr>
            <w:tcW w:w="600" w:type="dxa"/>
            <w:vAlign w:val="bottom"/>
            <w:shd w:val="clear" w:color="auto" w:fill="DEEBF7"/>
          </w:tcPr>
          <w:p>
            <w:pPr>
              <w:spacing w:after="0"/>
              <w:rPr>
                <w:sz w:val="14"/>
                <w:szCs w:val="14"/>
                <w:color w:val="auto"/>
              </w:rPr>
            </w:pPr>
          </w:p>
        </w:tc>
        <w:tc>
          <w:tcPr>
            <w:tcW w:w="36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c>
          <w:tcPr>
            <w:tcW w:w="400" w:type="dxa"/>
            <w:vAlign w:val="bottom"/>
            <w:shd w:val="clear" w:color="auto" w:fill="DEEBF7"/>
          </w:tcPr>
          <w:p>
            <w:pPr>
              <w:spacing w:after="0"/>
              <w:rPr>
                <w:sz w:val="14"/>
                <w:szCs w:val="14"/>
                <w:color w:val="auto"/>
              </w:rPr>
            </w:pPr>
          </w:p>
        </w:tc>
        <w:tc>
          <w:tcPr>
            <w:tcW w:w="1000" w:type="dxa"/>
            <w:vAlign w:val="bottom"/>
            <w:shd w:val="clear" w:color="auto" w:fill="DEEBF7"/>
          </w:tcPr>
          <w:p>
            <w:pPr>
              <w:spacing w:after="0"/>
              <w:rPr>
                <w:sz w:val="14"/>
                <w:szCs w:val="14"/>
                <w:color w:val="auto"/>
              </w:rPr>
            </w:pPr>
          </w:p>
        </w:tc>
        <w:tc>
          <w:tcPr>
            <w:tcW w:w="140" w:type="dxa"/>
            <w:vAlign w:val="bottom"/>
            <w:shd w:val="clear" w:color="auto" w:fill="DEEBF7"/>
          </w:tcPr>
          <w:p>
            <w:pPr>
              <w:spacing w:after="0"/>
              <w:rPr>
                <w:sz w:val="14"/>
                <w:szCs w:val="14"/>
                <w:color w:val="auto"/>
              </w:rPr>
            </w:pPr>
          </w:p>
        </w:tc>
      </w:tr>
      <w:tr>
        <w:trPr>
          <w:trHeight w:val="166"/>
        </w:trPr>
        <w:tc>
          <w:tcPr>
            <w:tcW w:w="3920" w:type="dxa"/>
            <w:vAlign w:val="bottom"/>
          </w:tcPr>
          <w:p>
            <w:pPr>
              <w:ind w:left="40"/>
              <w:spacing w:after="0"/>
              <w:rPr>
                <w:sz w:val="20"/>
                <w:szCs w:val="20"/>
                <w:color w:val="auto"/>
              </w:rPr>
            </w:pPr>
            <w:r>
              <w:rPr>
                <w:rFonts w:ascii="Arial" w:cs="Arial" w:eastAsia="Arial" w:hAnsi="Arial"/>
                <w:sz w:val="14"/>
                <w:szCs w:val="14"/>
                <w:color w:val="auto"/>
              </w:rPr>
              <w:t>Intangible asset amortization expense</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3920" w:type="dxa"/>
            <w:vAlign w:val="bottom"/>
            <w:shd w:val="clear" w:color="auto" w:fill="DEEBF7"/>
          </w:tcPr>
          <w:p>
            <w:pPr>
              <w:ind w:left="240"/>
              <w:spacing w:after="0" w:line="157" w:lineRule="exact"/>
              <w:rPr>
                <w:sz w:val="20"/>
                <w:szCs w:val="20"/>
                <w:color w:val="auto"/>
              </w:rPr>
            </w:pPr>
            <w:r>
              <w:rPr>
                <w:rFonts w:ascii="Arial" w:cs="Arial" w:eastAsia="Arial" w:hAnsi="Arial"/>
                <w:sz w:val="14"/>
                <w:szCs w:val="14"/>
                <w:color w:val="auto"/>
              </w:rPr>
              <w:t>Operating profit</w:t>
            </w:r>
          </w:p>
        </w:tc>
        <w:tc>
          <w:tcPr>
            <w:tcW w:w="1480" w:type="dxa"/>
            <w:vAlign w:val="bottom"/>
            <w:shd w:val="clear" w:color="auto" w:fill="DEEBF7"/>
          </w:tcPr>
          <w:p>
            <w:pPr>
              <w:spacing w:after="0"/>
              <w:rPr>
                <w:sz w:val="13"/>
                <w:szCs w:val="13"/>
                <w:color w:val="auto"/>
              </w:rPr>
            </w:pPr>
          </w:p>
        </w:tc>
        <w:tc>
          <w:tcPr>
            <w:tcW w:w="280" w:type="dxa"/>
            <w:vAlign w:val="bottom"/>
            <w:tcBorders>
              <w:top w:val="single" w:sz="8" w:color="auto"/>
            </w:tcBorders>
            <w:shd w:val="clear" w:color="auto" w:fill="DEEBF7"/>
          </w:tcPr>
          <w:p>
            <w:pPr>
              <w:spacing w:after="0"/>
              <w:rPr>
                <w:sz w:val="13"/>
                <w:szCs w:val="13"/>
                <w:color w:val="auto"/>
              </w:rPr>
            </w:pPr>
          </w:p>
        </w:tc>
        <w:tc>
          <w:tcPr>
            <w:tcW w:w="940" w:type="dxa"/>
            <w:vAlign w:val="bottom"/>
            <w:tcBorders>
              <w:top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28.3</w:t>
            </w:r>
          </w:p>
        </w:tc>
        <w:tc>
          <w:tcPr>
            <w:tcW w:w="120" w:type="dxa"/>
            <w:vAlign w:val="bottom"/>
            <w:shd w:val="clear" w:color="auto" w:fill="DEEBF7"/>
          </w:tcPr>
          <w:p>
            <w:pPr>
              <w:spacing w:after="0"/>
              <w:rPr>
                <w:sz w:val="13"/>
                <w:szCs w:val="13"/>
                <w:color w:val="auto"/>
              </w:rPr>
            </w:pPr>
          </w:p>
        </w:tc>
        <w:tc>
          <w:tcPr>
            <w:tcW w:w="140" w:type="dxa"/>
            <w:vAlign w:val="bottom"/>
            <w:shd w:val="clear" w:color="auto" w:fill="DEEBF7"/>
          </w:tcPr>
          <w:p>
            <w:pPr>
              <w:spacing w:after="0"/>
              <w:rPr>
                <w:sz w:val="13"/>
                <w:szCs w:val="13"/>
                <w:color w:val="auto"/>
              </w:rPr>
            </w:pPr>
          </w:p>
        </w:tc>
        <w:tc>
          <w:tcPr>
            <w:tcW w:w="260" w:type="dxa"/>
            <w:vAlign w:val="bottom"/>
            <w:tcBorders>
              <w:top w:val="single" w:sz="8" w:color="auto"/>
            </w:tcBorders>
            <w:shd w:val="clear" w:color="auto" w:fill="DEEBF7"/>
          </w:tcPr>
          <w:p>
            <w:pPr>
              <w:spacing w:after="0"/>
              <w:rPr>
                <w:sz w:val="13"/>
                <w:szCs w:val="13"/>
                <w:color w:val="auto"/>
              </w:rPr>
            </w:pPr>
          </w:p>
        </w:tc>
        <w:tc>
          <w:tcPr>
            <w:tcW w:w="960" w:type="dxa"/>
            <w:vAlign w:val="bottom"/>
            <w:tcBorders>
              <w:top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28.2</w:t>
            </w:r>
          </w:p>
        </w:tc>
        <w:tc>
          <w:tcPr>
            <w:tcW w:w="100" w:type="dxa"/>
            <w:vAlign w:val="bottom"/>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320" w:type="dxa"/>
            <w:vAlign w:val="bottom"/>
            <w:shd w:val="clear" w:color="auto" w:fill="DEEBF7"/>
          </w:tcPr>
          <w:p>
            <w:pPr>
              <w:spacing w:after="0"/>
              <w:rPr>
                <w:sz w:val="13"/>
                <w:szCs w:val="13"/>
                <w:color w:val="auto"/>
              </w:rPr>
            </w:pPr>
          </w:p>
        </w:tc>
        <w:tc>
          <w:tcPr>
            <w:tcW w:w="600" w:type="dxa"/>
            <w:vAlign w:val="bottom"/>
            <w:shd w:val="clear" w:color="auto" w:fill="DEEBF7"/>
          </w:tcPr>
          <w:p>
            <w:pPr>
              <w:spacing w:after="0"/>
              <w:rPr>
                <w:sz w:val="13"/>
                <w:szCs w:val="13"/>
                <w:color w:val="auto"/>
              </w:rPr>
            </w:pPr>
          </w:p>
        </w:tc>
        <w:tc>
          <w:tcPr>
            <w:tcW w:w="50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0.5%</w:t>
            </w:r>
          </w:p>
        </w:tc>
        <w:tc>
          <w:tcPr>
            <w:tcW w:w="400" w:type="dxa"/>
            <w:vAlign w:val="bottom"/>
            <w:shd w:val="clear" w:color="auto" w:fill="DEEBF7"/>
          </w:tcPr>
          <w:p>
            <w:pPr>
              <w:spacing w:after="0"/>
              <w:rPr>
                <w:sz w:val="13"/>
                <w:szCs w:val="13"/>
                <w:color w:val="auto"/>
              </w:rPr>
            </w:pPr>
          </w:p>
        </w:tc>
        <w:tc>
          <w:tcPr>
            <w:tcW w:w="1140" w:type="dxa"/>
            <w:vAlign w:val="bottom"/>
            <w:gridSpan w:val="2"/>
            <w:shd w:val="clear" w:color="auto" w:fill="DEEBF7"/>
          </w:tcPr>
          <w:p>
            <w:pPr>
              <w:jc w:val="right"/>
              <w:ind w:right="20"/>
              <w:spacing w:after="0" w:line="157" w:lineRule="exact"/>
              <w:rPr>
                <w:sz w:val="20"/>
                <w:szCs w:val="20"/>
                <w:color w:val="auto"/>
              </w:rPr>
            </w:pPr>
            <w:r>
              <w:rPr>
                <w:rFonts w:ascii="Arial" w:cs="Arial" w:eastAsia="Arial" w:hAnsi="Arial"/>
                <w:sz w:val="14"/>
                <w:szCs w:val="14"/>
                <w:color w:val="auto"/>
              </w:rPr>
              <w:t>-17.8%</w:t>
            </w:r>
          </w:p>
        </w:tc>
      </w:tr>
      <w:tr>
        <w:trPr>
          <w:trHeight w:val="166"/>
        </w:trPr>
        <w:tc>
          <w:tcPr>
            <w:tcW w:w="3920" w:type="dxa"/>
            <w:vAlign w:val="bottom"/>
          </w:tcPr>
          <w:p>
            <w:pPr>
              <w:ind w:left="4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(b)</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3920" w:type="dxa"/>
            <w:vAlign w:val="bottom"/>
            <w:shd w:val="clear" w:color="auto" w:fill="DEEBF7"/>
          </w:tcPr>
          <w:p>
            <w:pPr>
              <w:ind w:left="240"/>
              <w:spacing w:after="0" w:line="157" w:lineRule="exact"/>
              <w:rPr>
                <w:sz w:val="20"/>
                <w:szCs w:val="20"/>
                <w:color w:val="auto"/>
              </w:rPr>
            </w:pPr>
            <w:r>
              <w:rPr>
                <w:rFonts w:ascii="Arial" w:cs="Arial" w:eastAsia="Arial" w:hAnsi="Arial"/>
                <w:sz w:val="14"/>
                <w:szCs w:val="14"/>
                <w:color w:val="auto"/>
              </w:rPr>
              <w:t>Earnings before income taxes</w:t>
            </w:r>
          </w:p>
        </w:tc>
        <w:tc>
          <w:tcPr>
            <w:tcW w:w="1760" w:type="dxa"/>
            <w:vAlign w:val="bottom"/>
            <w:gridSpan w:val="2"/>
            <w:shd w:val="clear" w:color="auto" w:fill="DEEBF7"/>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15.4</w:t>
            </w:r>
          </w:p>
        </w:tc>
        <w:tc>
          <w:tcPr>
            <w:tcW w:w="120" w:type="dxa"/>
            <w:vAlign w:val="bottom"/>
            <w:shd w:val="clear" w:color="auto" w:fill="DEEBF7"/>
          </w:tcPr>
          <w:p>
            <w:pPr>
              <w:spacing w:after="0"/>
              <w:rPr>
                <w:sz w:val="15"/>
                <w:szCs w:val="15"/>
                <w:color w:val="auto"/>
              </w:rPr>
            </w:pPr>
          </w:p>
        </w:tc>
        <w:tc>
          <w:tcPr>
            <w:tcW w:w="400" w:type="dxa"/>
            <w:vAlign w:val="bottom"/>
            <w:gridSpan w:val="2"/>
            <w:shd w:val="clear" w:color="auto" w:fill="DEEBF7"/>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9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16.7</w:t>
            </w:r>
          </w:p>
        </w:tc>
        <w:tc>
          <w:tcPr>
            <w:tcW w:w="100" w:type="dxa"/>
            <w:vAlign w:val="bottom"/>
            <w:shd w:val="clear" w:color="auto" w:fill="DEEBF7"/>
          </w:tcPr>
          <w:p>
            <w:pPr>
              <w:spacing w:after="0"/>
              <w:rPr>
                <w:sz w:val="15"/>
                <w:szCs w:val="15"/>
                <w:color w:val="auto"/>
              </w:rPr>
            </w:pPr>
          </w:p>
        </w:tc>
        <w:tc>
          <w:tcPr>
            <w:tcW w:w="100" w:type="dxa"/>
            <w:vAlign w:val="bottom"/>
            <w:shd w:val="clear" w:color="auto" w:fill="DEEBF7"/>
          </w:tcPr>
          <w:p>
            <w:pPr>
              <w:spacing w:after="0"/>
              <w:rPr>
                <w:sz w:val="15"/>
                <w:szCs w:val="15"/>
                <w:color w:val="auto"/>
              </w:rPr>
            </w:pPr>
          </w:p>
        </w:tc>
        <w:tc>
          <w:tcPr>
            <w:tcW w:w="320" w:type="dxa"/>
            <w:vAlign w:val="bottom"/>
            <w:shd w:val="clear" w:color="auto" w:fill="DEEBF7"/>
          </w:tcPr>
          <w:p>
            <w:pPr>
              <w:spacing w:after="0"/>
              <w:rPr>
                <w:sz w:val="15"/>
                <w:szCs w:val="15"/>
                <w:color w:val="auto"/>
              </w:rPr>
            </w:pPr>
          </w:p>
        </w:tc>
        <w:tc>
          <w:tcPr>
            <w:tcW w:w="600" w:type="dxa"/>
            <w:vAlign w:val="bottom"/>
            <w:shd w:val="clear" w:color="auto" w:fill="DEEBF7"/>
          </w:tcPr>
          <w:p>
            <w:pPr>
              <w:spacing w:after="0"/>
              <w:rPr>
                <w:sz w:val="15"/>
                <w:szCs w:val="15"/>
                <w:color w:val="auto"/>
              </w:rPr>
            </w:pPr>
          </w:p>
        </w:tc>
        <w:tc>
          <w:tcPr>
            <w:tcW w:w="360" w:type="dxa"/>
            <w:vAlign w:val="bottom"/>
            <w:shd w:val="clear" w:color="auto" w:fill="DEEBF7"/>
          </w:tcPr>
          <w:p>
            <w:pPr>
              <w:spacing w:after="0"/>
              <w:rPr>
                <w:sz w:val="15"/>
                <w:szCs w:val="15"/>
                <w:color w:val="auto"/>
              </w:rPr>
            </w:pPr>
          </w:p>
        </w:tc>
        <w:tc>
          <w:tcPr>
            <w:tcW w:w="140" w:type="dxa"/>
            <w:vAlign w:val="bottom"/>
            <w:shd w:val="clear" w:color="auto" w:fill="DEEBF7"/>
          </w:tcPr>
          <w:p>
            <w:pPr>
              <w:spacing w:after="0"/>
              <w:rPr>
                <w:sz w:val="15"/>
                <w:szCs w:val="15"/>
                <w:color w:val="auto"/>
              </w:rPr>
            </w:pPr>
          </w:p>
        </w:tc>
        <w:tc>
          <w:tcPr>
            <w:tcW w:w="400" w:type="dxa"/>
            <w:vAlign w:val="bottom"/>
            <w:shd w:val="clear" w:color="auto" w:fill="DEEBF7"/>
          </w:tcPr>
          <w:p>
            <w:pPr>
              <w:spacing w:after="0"/>
              <w:rPr>
                <w:sz w:val="15"/>
                <w:szCs w:val="15"/>
                <w:color w:val="auto"/>
              </w:rPr>
            </w:pPr>
          </w:p>
        </w:tc>
        <w:tc>
          <w:tcPr>
            <w:tcW w:w="1000" w:type="dxa"/>
            <w:vAlign w:val="bottom"/>
            <w:shd w:val="clear" w:color="auto" w:fill="DEEBF7"/>
          </w:tcPr>
          <w:p>
            <w:pPr>
              <w:spacing w:after="0"/>
              <w:rPr>
                <w:sz w:val="15"/>
                <w:szCs w:val="15"/>
                <w:color w:val="auto"/>
              </w:rPr>
            </w:pPr>
          </w:p>
        </w:tc>
        <w:tc>
          <w:tcPr>
            <w:tcW w:w="140" w:type="dxa"/>
            <w:vAlign w:val="bottom"/>
            <w:shd w:val="clear" w:color="auto" w:fill="DEEBF7"/>
          </w:tcPr>
          <w:p>
            <w:pPr>
              <w:spacing w:after="0"/>
              <w:rPr>
                <w:sz w:val="15"/>
                <w:szCs w:val="15"/>
                <w:color w:val="auto"/>
              </w:rPr>
            </w:pPr>
          </w:p>
        </w:tc>
      </w:tr>
      <w:tr>
        <w:trPr>
          <w:trHeight w:val="20"/>
        </w:trPr>
        <w:tc>
          <w:tcPr>
            <w:tcW w:w="3920" w:type="dxa"/>
            <w:vAlign w:val="bottom"/>
            <w:tcBorders>
              <w:top w:val="single" w:sz="8" w:color="DEEBF7"/>
            </w:tcBorders>
            <w:shd w:val="clear" w:color="auto" w:fill="DEEBF7"/>
          </w:tcPr>
          <w:p>
            <w:pPr>
              <w:spacing w:after="0" w:line="20" w:lineRule="exact"/>
              <w:rPr>
                <w:sz w:val="1"/>
                <w:szCs w:val="1"/>
                <w:color w:val="auto"/>
              </w:rPr>
            </w:pPr>
          </w:p>
        </w:tc>
        <w:tc>
          <w:tcPr>
            <w:tcW w:w="1480" w:type="dxa"/>
            <w:vAlign w:val="bottom"/>
            <w:tcBorders>
              <w:top w:val="single" w:sz="8" w:color="DEEBF7"/>
            </w:tcBorders>
            <w:shd w:val="clear" w:color="auto" w:fill="DEEBF7"/>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EBF7"/>
            </w:tcBorders>
            <w:shd w:val="clear" w:color="auto" w:fill="DEEBF7"/>
          </w:tcPr>
          <w:p>
            <w:pPr>
              <w:spacing w:after="0" w:line="20" w:lineRule="exact"/>
              <w:rPr>
                <w:sz w:val="1"/>
                <w:szCs w:val="1"/>
                <w:color w:val="auto"/>
              </w:rPr>
            </w:pPr>
          </w:p>
        </w:tc>
        <w:tc>
          <w:tcPr>
            <w:tcW w:w="100" w:type="dxa"/>
            <w:vAlign w:val="bottom"/>
            <w:tcBorders>
              <w:top w:val="single" w:sz="8" w:color="DEEBF7"/>
            </w:tcBorders>
            <w:shd w:val="clear" w:color="auto" w:fill="DEEBF7"/>
          </w:tcPr>
          <w:p>
            <w:pPr>
              <w:spacing w:after="0" w:line="20" w:lineRule="exact"/>
              <w:rPr>
                <w:sz w:val="1"/>
                <w:szCs w:val="1"/>
                <w:color w:val="auto"/>
              </w:rPr>
            </w:pPr>
          </w:p>
        </w:tc>
        <w:tc>
          <w:tcPr>
            <w:tcW w:w="320" w:type="dxa"/>
            <w:vAlign w:val="bottom"/>
            <w:tcBorders>
              <w:top w:val="single" w:sz="8" w:color="DEEBF7"/>
            </w:tcBorders>
            <w:shd w:val="clear" w:color="auto" w:fill="DEEBF7"/>
          </w:tcPr>
          <w:p>
            <w:pPr>
              <w:spacing w:after="0" w:line="20" w:lineRule="exact"/>
              <w:rPr>
                <w:sz w:val="1"/>
                <w:szCs w:val="1"/>
                <w:color w:val="auto"/>
              </w:rPr>
            </w:pPr>
          </w:p>
        </w:tc>
        <w:tc>
          <w:tcPr>
            <w:tcW w:w="600" w:type="dxa"/>
            <w:vAlign w:val="bottom"/>
            <w:tcBorders>
              <w:top w:val="single" w:sz="8" w:color="DEEBF7"/>
            </w:tcBorders>
            <w:shd w:val="clear" w:color="auto" w:fill="DEEBF7"/>
          </w:tcPr>
          <w:p>
            <w:pPr>
              <w:spacing w:after="0" w:line="20" w:lineRule="exact"/>
              <w:rPr>
                <w:sz w:val="1"/>
                <w:szCs w:val="1"/>
                <w:color w:val="auto"/>
              </w:rPr>
            </w:pPr>
          </w:p>
        </w:tc>
        <w:tc>
          <w:tcPr>
            <w:tcW w:w="36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c>
          <w:tcPr>
            <w:tcW w:w="400" w:type="dxa"/>
            <w:vAlign w:val="bottom"/>
            <w:tcBorders>
              <w:top w:val="single" w:sz="8" w:color="DEEBF7"/>
            </w:tcBorders>
            <w:shd w:val="clear" w:color="auto" w:fill="DEEBF7"/>
          </w:tcPr>
          <w:p>
            <w:pPr>
              <w:spacing w:after="0" w:line="20" w:lineRule="exact"/>
              <w:rPr>
                <w:sz w:val="1"/>
                <w:szCs w:val="1"/>
                <w:color w:val="auto"/>
              </w:rPr>
            </w:pPr>
          </w:p>
        </w:tc>
        <w:tc>
          <w:tcPr>
            <w:tcW w:w="1000" w:type="dxa"/>
            <w:vAlign w:val="bottom"/>
            <w:tcBorders>
              <w:top w:val="single" w:sz="8" w:color="DEEBF7"/>
            </w:tcBorders>
            <w:shd w:val="clear" w:color="auto" w:fill="DEEBF7"/>
          </w:tcPr>
          <w:p>
            <w:pPr>
              <w:spacing w:after="0" w:line="20" w:lineRule="exact"/>
              <w:rPr>
                <w:sz w:val="1"/>
                <w:szCs w:val="1"/>
                <w:color w:val="auto"/>
              </w:rPr>
            </w:pPr>
          </w:p>
        </w:tc>
        <w:tc>
          <w:tcPr>
            <w:tcW w:w="140" w:type="dxa"/>
            <w:vAlign w:val="bottom"/>
            <w:tcBorders>
              <w:top w:val="single" w:sz="8" w:color="DEEBF7"/>
            </w:tcBorders>
            <w:shd w:val="clear" w:color="auto" w:fill="DEEB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-3086100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-3086100</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-2658110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-2658110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-2214880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-2214880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-1989455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-1974215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-1989455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-1974215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-1546225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-1546225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-892810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-892810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-675005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-675005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-21590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-6985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-21590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-6985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60" w:lineRule="exact"/>
        <w:rPr>
          <w:sz w:val="20"/>
          <w:szCs w:val="20"/>
          <w:color w:val="auto"/>
        </w:rPr>
      </w:pPr>
    </w:p>
    <w:p>
      <w:pPr>
        <w:jc w:val="both"/>
        <w:ind w:left="560" w:right="20" w:hanging="371"/>
        <w:spacing w:after="0" w:line="237"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$2.4 million and $2.2 million for the three months ended March 31, 2026 and 2025, respectively. These fees are primarily based on revenues generated by the franchise offices, which were $78.4 million and $76.9 million for the three months ended March 31, 2026 and 2025, respectively.</w:t>
      </w:r>
    </w:p>
    <w:p>
      <w:pPr>
        <w:spacing w:after="0" w:line="1" w:lineRule="exact"/>
        <w:rPr>
          <w:rFonts w:ascii="Arial" w:cs="Arial" w:eastAsia="Arial" w:hAnsi="Arial"/>
          <w:sz w:val="16"/>
          <w:szCs w:val="16"/>
          <w:color w:val="auto"/>
        </w:rPr>
      </w:pPr>
    </w:p>
    <w:p>
      <w:pPr>
        <w:ind w:left="560" w:hanging="371"/>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r>
      <w:tr>
        <w:trPr>
          <w:trHeight w:val="157"/>
        </w:trPr>
        <w:tc>
          <w:tcPr>
            <w:tcW w:w="4680" w:type="dxa"/>
            <w:vAlign w:val="bottom"/>
            <w:shd w:val="clear" w:color="auto" w:fill="DEEBF7"/>
          </w:tcPr>
          <w:p>
            <w:pPr>
              <w:ind w:left="320"/>
              <w:spacing w:after="0" w:line="157" w:lineRule="exact"/>
              <w:rPr>
                <w:sz w:val="20"/>
                <w:szCs w:val="20"/>
                <w:color w:val="auto"/>
              </w:rPr>
            </w:pPr>
            <w:r>
              <w:rPr>
                <w:rFonts w:ascii="Arial" w:cs="Arial" w:eastAsia="Arial" w:hAnsi="Arial"/>
                <w:sz w:val="14"/>
                <w:szCs w:val="14"/>
                <w:color w:val="auto"/>
              </w:rPr>
              <w:t>Interest expense</w:t>
            </w:r>
          </w:p>
        </w:tc>
        <w:tc>
          <w:tcPr>
            <w:tcW w:w="3920" w:type="dxa"/>
            <w:vAlign w:val="bottom"/>
            <w:gridSpan w:val="2"/>
            <w:shd w:val="clear" w:color="auto" w:fill="DEEBF7"/>
          </w:tcPr>
          <w:p>
            <w:pPr>
              <w:jc w:val="right"/>
              <w:ind w:right="1093"/>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25.7</w:t>
            </w:r>
          </w:p>
        </w:tc>
        <w:tc>
          <w:tcPr>
            <w:tcW w:w="100" w:type="dxa"/>
            <w:vAlign w:val="bottom"/>
            <w:shd w:val="clear" w:color="auto" w:fill="DEEBF7"/>
          </w:tcPr>
          <w:p>
            <w:pPr>
              <w:spacing w:after="0"/>
              <w:rPr>
                <w:sz w:val="13"/>
                <w:szCs w:val="13"/>
                <w:color w:val="auto"/>
              </w:rPr>
            </w:pPr>
          </w:p>
        </w:tc>
        <w:tc>
          <w:tcPr>
            <w:tcW w:w="600" w:type="dxa"/>
            <w:vAlign w:val="bottom"/>
            <w:gridSpan w:val="2"/>
            <w:shd w:val="clear" w:color="auto" w:fill="DEEBF7"/>
          </w:tcPr>
          <w:p>
            <w:pPr>
              <w:jc w:val="right"/>
              <w:ind w:right="249"/>
              <w:spacing w:after="0" w:line="157"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DEEBF7"/>
          </w:tcPr>
          <w:p>
            <w:pPr>
              <w:jc w:val="right"/>
              <w:ind w:right="120"/>
              <w:spacing w:after="0" w:line="157" w:lineRule="exact"/>
              <w:rPr>
                <w:sz w:val="20"/>
                <w:szCs w:val="20"/>
                <w:color w:val="auto"/>
              </w:rPr>
            </w:pPr>
            <w:r>
              <w:rPr>
                <w:rFonts w:ascii="Arial" w:cs="Arial" w:eastAsia="Arial" w:hAnsi="Arial"/>
                <w:sz w:val="14"/>
                <w:szCs w:val="14"/>
                <w:color w:val="auto"/>
              </w:rPr>
              <w:t>22.5</w:t>
            </w:r>
          </w:p>
        </w:tc>
      </w:tr>
      <w:tr>
        <w:trPr>
          <w:trHeight w:val="166"/>
        </w:trPr>
        <w:tc>
          <w:tcPr>
            <w:tcW w:w="4680" w:type="dxa"/>
            <w:vAlign w:val="bottom"/>
          </w:tcPr>
          <w:p>
            <w:pPr>
              <w:ind w:left="320"/>
              <w:spacing w:after="0"/>
              <w:rPr>
                <w:sz w:val="20"/>
                <w:szCs w:val="20"/>
                <w:color w:val="auto"/>
              </w:rPr>
            </w:pPr>
            <w:r>
              <w:rPr>
                <w:rFonts w:ascii="Arial" w:cs="Arial" w:eastAsia="Arial" w:hAnsi="Arial"/>
                <w:sz w:val="14"/>
                <w:szCs w:val="14"/>
                <w:color w:val="auto"/>
              </w:rPr>
              <w:t>Interest income</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r>
      <w:tr>
        <w:trPr>
          <w:trHeight w:val="166"/>
        </w:trPr>
        <w:tc>
          <w:tcPr>
            <w:tcW w:w="4680" w:type="dxa"/>
            <w:vAlign w:val="bottom"/>
            <w:shd w:val="clear" w:color="auto" w:fill="DEEBF7"/>
          </w:tcPr>
          <w:p>
            <w:pPr>
              <w:ind w:left="320"/>
              <w:spacing w:after="0"/>
              <w:rPr>
                <w:sz w:val="20"/>
                <w:szCs w:val="20"/>
                <w:color w:val="auto"/>
              </w:rPr>
            </w:pPr>
            <w:r>
              <w:rPr>
                <w:rFonts w:ascii="Arial" w:cs="Arial" w:eastAsia="Arial" w:hAnsi="Arial"/>
                <w:sz w:val="14"/>
                <w:szCs w:val="14"/>
                <w:color w:val="auto"/>
              </w:rPr>
              <w:t>Foreign exchange loss</w:t>
            </w:r>
          </w:p>
        </w:tc>
        <w:tc>
          <w:tcPr>
            <w:tcW w:w="2680" w:type="dxa"/>
            <w:vAlign w:val="bottom"/>
            <w:shd w:val="clear" w:color="auto" w:fill="DEEBF7"/>
          </w:tcPr>
          <w:p>
            <w:pPr>
              <w:spacing w:after="0"/>
              <w:rPr>
                <w:sz w:val="14"/>
                <w:szCs w:val="14"/>
                <w:color w:val="auto"/>
              </w:rPr>
            </w:pPr>
          </w:p>
        </w:tc>
        <w:tc>
          <w:tcPr>
            <w:tcW w:w="1240" w:type="dxa"/>
            <w:vAlign w:val="bottom"/>
            <w:shd w:val="clear" w:color="auto" w:fill="DEEBF7"/>
          </w:tcPr>
          <w:p>
            <w:pPr>
              <w:spacing w:after="0"/>
              <w:rPr>
                <w:sz w:val="14"/>
                <w:szCs w:val="14"/>
                <w:color w:val="auto"/>
              </w:rPr>
            </w:pPr>
          </w:p>
        </w:tc>
        <w:tc>
          <w:tcPr>
            <w:tcW w:w="5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400" w:type="dxa"/>
            <w:vAlign w:val="bottom"/>
            <w:shd w:val="clear" w:color="auto" w:fill="DEEBF7"/>
          </w:tcPr>
          <w:p>
            <w:pPr>
              <w:spacing w:after="0"/>
              <w:rPr>
                <w:sz w:val="14"/>
                <w:szCs w:val="14"/>
                <w:color w:val="auto"/>
              </w:rPr>
            </w:pPr>
          </w:p>
        </w:tc>
        <w:tc>
          <w:tcPr>
            <w:tcW w:w="1440" w:type="dxa"/>
            <w:vAlign w:val="bottom"/>
            <w:gridSpan w:val="2"/>
            <w:shd w:val="clear" w:color="auto" w:fill="DEEBF7"/>
          </w:tcPr>
          <w:p>
            <w:pPr>
              <w:jc w:val="right"/>
              <w:ind w:right="120"/>
              <w:spacing w:after="0"/>
              <w:rPr>
                <w:sz w:val="20"/>
                <w:szCs w:val="20"/>
                <w:color w:val="auto"/>
              </w:rPr>
            </w:pPr>
            <w:r>
              <w:rPr>
                <w:rFonts w:ascii="Arial" w:cs="Arial" w:eastAsia="Arial" w:hAnsi="Arial"/>
                <w:sz w:val="14"/>
                <w:szCs w:val="14"/>
                <w:color w:val="auto"/>
              </w:rPr>
              <w:t>0.9</w:t>
            </w:r>
          </w:p>
        </w:tc>
      </w:tr>
      <w:tr>
        <w:trPr>
          <w:trHeight w:val="166"/>
        </w:trPr>
        <w:tc>
          <w:tcPr>
            <w:tcW w:w="4680" w:type="dxa"/>
            <w:vAlign w:val="bottom"/>
          </w:tcPr>
          <w:p>
            <w:pPr>
              <w:ind w:left="320"/>
              <w:spacing w:after="0"/>
              <w:rPr>
                <w:sz w:val="20"/>
                <w:szCs w:val="20"/>
                <w:color w:val="auto"/>
              </w:rPr>
            </w:pPr>
            <w:r>
              <w:rPr>
                <w:rFonts w:ascii="Arial" w:cs="Arial" w:eastAsia="Arial" w:hAnsi="Arial"/>
                <w:sz w:val="14"/>
                <w:szCs w:val="14"/>
                <w:color w:val="auto"/>
              </w:rPr>
              <w:t>Miscellaneous income, net</w:t>
            </w: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r>
      <w:tr>
        <w:trPr>
          <w:trHeight w:val="20"/>
        </w:trPr>
        <w:tc>
          <w:tcPr>
            <w:tcW w:w="4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680" w:type="dxa"/>
            <w:vAlign w:val="bottom"/>
            <w:shd w:val="clear" w:color="auto" w:fill="DEEBF7"/>
          </w:tcPr>
          <w:p>
            <w:pPr>
              <w:spacing w:after="0"/>
              <w:rPr>
                <w:sz w:val="17"/>
                <w:szCs w:val="17"/>
                <w:color w:val="auto"/>
              </w:rPr>
            </w:pPr>
          </w:p>
        </w:tc>
        <w:tc>
          <w:tcPr>
            <w:tcW w:w="2680" w:type="dxa"/>
            <w:vAlign w:val="bottom"/>
            <w:shd w:val="clear" w:color="auto" w:fill="DEEBF7"/>
          </w:tcPr>
          <w:p>
            <w:pPr>
              <w:spacing w:after="0"/>
              <w:rPr>
                <w:sz w:val="17"/>
                <w:szCs w:val="17"/>
                <w:color w:val="auto"/>
              </w:rPr>
            </w:pPr>
          </w:p>
        </w:tc>
        <w:tc>
          <w:tcPr>
            <w:tcW w:w="1240" w:type="dxa"/>
            <w:vAlign w:val="bottom"/>
            <w:shd w:val="clear" w:color="auto" w:fill="DEEBF7"/>
          </w:tcPr>
          <w:p>
            <w:pPr>
              <w:jc w:val="right"/>
              <w:ind w:right="1093"/>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12.9</w:t>
            </w:r>
          </w:p>
        </w:tc>
        <w:tc>
          <w:tcPr>
            <w:tcW w:w="100" w:type="dxa"/>
            <w:vAlign w:val="bottom"/>
            <w:shd w:val="clear" w:color="auto" w:fill="DEEBF7"/>
          </w:tcPr>
          <w:p>
            <w:pPr>
              <w:spacing w:after="0"/>
              <w:rPr>
                <w:sz w:val="17"/>
                <w:szCs w:val="17"/>
                <w:color w:val="auto"/>
              </w:rPr>
            </w:pPr>
          </w:p>
        </w:tc>
        <w:tc>
          <w:tcPr>
            <w:tcW w:w="200" w:type="dxa"/>
            <w:vAlign w:val="bottom"/>
            <w:shd w:val="clear" w:color="auto" w:fill="DEEBF7"/>
          </w:tcPr>
          <w:p>
            <w:pPr>
              <w:spacing w:after="0"/>
              <w:rPr>
                <w:sz w:val="17"/>
                <w:szCs w:val="17"/>
                <w:color w:val="auto"/>
              </w:rPr>
            </w:pPr>
          </w:p>
        </w:tc>
        <w:tc>
          <w:tcPr>
            <w:tcW w:w="400" w:type="dxa"/>
            <w:vAlign w:val="bottom"/>
            <w:shd w:val="clear" w:color="auto" w:fill="DEEBF7"/>
          </w:tcPr>
          <w:p>
            <w:pPr>
              <w:jc w:val="right"/>
              <w:ind w:right="249"/>
              <w:spacing w:after="0" w:line="157"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DEEBF7"/>
          </w:tcPr>
          <w:p>
            <w:pPr>
              <w:jc w:val="right"/>
              <w:ind w:right="120"/>
              <w:spacing w:after="0" w:line="157" w:lineRule="exact"/>
              <w:rPr>
                <w:sz w:val="20"/>
                <w:szCs w:val="20"/>
                <w:color w:val="auto"/>
              </w:rPr>
            </w:pPr>
            <w:r>
              <w:rPr>
                <w:rFonts w:ascii="Arial" w:cs="Arial" w:eastAsia="Arial" w:hAnsi="Arial"/>
                <w:sz w:val="14"/>
                <w:szCs w:val="14"/>
                <w:color w:val="auto"/>
              </w:rPr>
              <w:t>11.5</w:t>
            </w:r>
          </w:p>
        </w:tc>
      </w:tr>
      <w:tr>
        <w:trPr>
          <w:trHeight w:val="1020"/>
        </w:trPr>
        <w:tc>
          <w:tcPr>
            <w:tcW w:w="4680" w:type="dxa"/>
            <w:vAlign w:val="bottom"/>
            <w:tcBorders>
              <w:top w:val="single" w:sz="8" w:color="DEEBF7"/>
              <w:bottom w:val="single" w:sz="8" w:color="9A9A9A"/>
            </w:tcBorders>
          </w:tcPr>
          <w:p>
            <w:pPr>
              <w:spacing w:after="0"/>
              <w:rPr>
                <w:sz w:val="24"/>
                <w:szCs w:val="24"/>
                <w:color w:val="auto"/>
              </w:rPr>
            </w:pPr>
          </w:p>
        </w:tc>
        <w:tc>
          <w:tcPr>
            <w:tcW w:w="2680" w:type="dxa"/>
            <w:vAlign w:val="bottom"/>
            <w:tcBorders>
              <w:top w:val="single" w:sz="8" w:color="DEEBF7"/>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DEEBF7"/>
              <w:bottom w:val="single" w:sz="8" w:color="9A9A9A"/>
            </w:tcBorders>
          </w:tcPr>
          <w:p>
            <w:pPr>
              <w:spacing w:after="0"/>
              <w:rPr>
                <w:sz w:val="24"/>
                <w:szCs w:val="24"/>
                <w:color w:val="auto"/>
              </w:rPr>
            </w:pPr>
          </w:p>
        </w:tc>
        <w:tc>
          <w:tcPr>
            <w:tcW w:w="200" w:type="dxa"/>
            <w:vAlign w:val="bottom"/>
            <w:tcBorders>
              <w:top w:val="single" w:sz="8" w:color="DEEBF7"/>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DEEBF7"/>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-697865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-682625</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-697865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-682625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7" w:name="page8"/>
    <w:bookmarkEnd w:id="7"/>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2026</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gridSpan w:val="4"/>
          </w:tcPr>
          <w:p>
            <w:pPr>
              <w:jc w:val="right"/>
              <w:ind w:right="140"/>
              <w:spacing w:after="0" w:line="134" w:lineRule="exact"/>
              <w:rPr>
                <w:sz w:val="20"/>
                <w:szCs w:val="20"/>
                <w:color w:val="auto"/>
              </w:rPr>
            </w:pPr>
            <w:r>
              <w:rPr>
                <w:rFonts w:ascii="Arial" w:cs="Arial" w:eastAsia="Arial" w:hAnsi="Arial"/>
                <w:sz w:val="13"/>
                <w:szCs w:val="13"/>
                <w:color w:val="auto"/>
              </w:rPr>
              <w:t>(Unaudited)</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ASSETS</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Cash and cash equivalents</w:t>
            </w:r>
          </w:p>
        </w:tc>
        <w:tc>
          <w:tcPr>
            <w:tcW w:w="2820" w:type="dxa"/>
            <w:vAlign w:val="bottom"/>
            <w:gridSpan w:val="2"/>
            <w:shd w:val="clear" w:color="auto" w:fill="DEEBF7"/>
          </w:tcPr>
          <w:p>
            <w:pPr>
              <w:jc w:val="right"/>
              <w:ind w:right="1057"/>
              <w:spacing w:after="0"/>
              <w:rPr>
                <w:sz w:val="20"/>
                <w:szCs w:val="20"/>
                <w:color w:val="auto"/>
              </w:rPr>
            </w:pPr>
            <w:r>
              <w:rPr>
                <w:rFonts w:ascii="Arial" w:cs="Arial" w:eastAsia="Arial" w:hAnsi="Arial"/>
                <w:sz w:val="14"/>
                <w:szCs w:val="14"/>
                <w:color w:val="auto"/>
              </w:rPr>
              <w:t>$</w:t>
            </w: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DEEBF7"/>
          </w:tcPr>
          <w:p>
            <w:pPr>
              <w:spacing w:after="0"/>
              <w:rPr>
                <w:sz w:val="14"/>
                <w:szCs w:val="14"/>
                <w:color w:val="auto"/>
              </w:rPr>
            </w:pPr>
          </w:p>
        </w:tc>
        <w:tc>
          <w:tcPr>
            <w:tcW w:w="500" w:type="dxa"/>
            <w:vAlign w:val="bottom"/>
            <w:gridSpan w:val="2"/>
            <w:shd w:val="clear" w:color="auto" w:fill="DEEBF7"/>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871.0</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4,628.2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4,770.3</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DEEBF7"/>
            </w:tcBorders>
            <w:shd w:val="clear" w:color="auto" w:fill="DEEBF7"/>
          </w:tcPr>
          <w:p>
            <w:pPr>
              <w:ind w:left="180"/>
              <w:spacing w:after="0"/>
              <w:rPr>
                <w:sz w:val="20"/>
                <w:szCs w:val="20"/>
                <w:color w:val="auto"/>
              </w:rPr>
            </w:pPr>
            <w:r>
              <w:rPr>
                <w:rFonts w:ascii="Arial" w:cs="Arial" w:eastAsia="Arial" w:hAnsi="Arial"/>
                <w:sz w:val="14"/>
                <w:szCs w:val="14"/>
                <w:color w:val="auto"/>
              </w:rPr>
              <w:t>Prepaid expenses and other assets</w:t>
            </w:r>
          </w:p>
        </w:tc>
        <w:tc>
          <w:tcPr>
            <w:tcW w:w="1620" w:type="dxa"/>
            <w:vAlign w:val="bottom"/>
            <w:tcBorders>
              <w:bottom w:val="single" w:sz="8" w:color="DEEBF7"/>
            </w:tcBorders>
            <w:shd w:val="clear" w:color="auto" w:fill="DEEBF7"/>
          </w:tcPr>
          <w:p>
            <w:pPr>
              <w:spacing w:after="0"/>
              <w:rPr>
                <w:sz w:val="14"/>
                <w:szCs w:val="14"/>
                <w:color w:val="auto"/>
              </w:rPr>
            </w:pPr>
          </w:p>
        </w:tc>
        <w:tc>
          <w:tcPr>
            <w:tcW w:w="1200" w:type="dxa"/>
            <w:vAlign w:val="bottom"/>
            <w:tcBorders>
              <w:bottom w:val="single" w:sz="8" w:color="auto"/>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Borders>
              <w:bottom w:val="single" w:sz="8" w:color="DEEBF7"/>
            </w:tcBorders>
            <w:shd w:val="clear" w:color="auto" w:fill="DEEBF7"/>
          </w:tcPr>
          <w:p>
            <w:pPr>
              <w:spacing w:after="0"/>
              <w:rPr>
                <w:sz w:val="14"/>
                <w:szCs w:val="14"/>
                <w:color w:val="auto"/>
              </w:rPr>
            </w:pPr>
          </w:p>
        </w:tc>
        <w:tc>
          <w:tcPr>
            <w:tcW w:w="200" w:type="dxa"/>
            <w:vAlign w:val="bottom"/>
            <w:tcBorders>
              <w:bottom w:val="single" w:sz="8" w:color="DEEBF7"/>
            </w:tcBorders>
            <w:shd w:val="clear" w:color="auto" w:fill="DEEBF7"/>
          </w:tcPr>
          <w:p>
            <w:pPr>
              <w:spacing w:after="0"/>
              <w:rPr>
                <w:sz w:val="14"/>
                <w:szCs w:val="14"/>
                <w:color w:val="auto"/>
              </w:rPr>
            </w:pPr>
          </w:p>
        </w:tc>
        <w:tc>
          <w:tcPr>
            <w:tcW w:w="300" w:type="dxa"/>
            <w:vAlign w:val="bottom"/>
            <w:tcBorders>
              <w:bottom w:val="single" w:sz="8" w:color="auto"/>
            </w:tcBorders>
            <w:shd w:val="clear" w:color="auto" w:fill="DEEBF7"/>
          </w:tcPr>
          <w:p>
            <w:pPr>
              <w:spacing w:after="0"/>
              <w:rPr>
                <w:sz w:val="14"/>
                <w:szCs w:val="14"/>
                <w:color w:val="auto"/>
              </w:rPr>
            </w:pPr>
          </w:p>
        </w:tc>
        <w:tc>
          <w:tcPr>
            <w:tcW w:w="142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149.1</w:t>
            </w:r>
          </w:p>
        </w:tc>
        <w:tc>
          <w:tcPr>
            <w:tcW w:w="120" w:type="dxa"/>
            <w:vAlign w:val="bottom"/>
            <w:tcBorders>
              <w:bottom w:val="single" w:sz="8" w:color="DEEBF7"/>
            </w:tcBorders>
            <w:shd w:val="clear" w:color="auto" w:fill="DEEBF7"/>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current assets</w:t>
            </w: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5,062.8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5,790.4</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Other assets:</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1,539.4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1,544.6</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Intangible assets, net</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430.1</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Operating lease right-of-use assets</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392.7</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DEEBF7"/>
            </w:tcBorders>
            <w:shd w:val="clear" w:color="auto" w:fill="DEEBF7"/>
          </w:tcPr>
          <w:p>
            <w:pPr>
              <w:ind w:left="180"/>
              <w:spacing w:after="0"/>
              <w:rPr>
                <w:sz w:val="20"/>
                <w:szCs w:val="20"/>
                <w:color w:val="auto"/>
              </w:rPr>
            </w:pPr>
            <w:r>
              <w:rPr>
                <w:rFonts w:ascii="Arial" w:cs="Arial" w:eastAsia="Arial" w:hAnsi="Arial"/>
                <w:sz w:val="14"/>
                <w:szCs w:val="14"/>
                <w:color w:val="auto"/>
              </w:rPr>
              <w:t>Other assets</w:t>
            </w:r>
          </w:p>
        </w:tc>
        <w:tc>
          <w:tcPr>
            <w:tcW w:w="1620" w:type="dxa"/>
            <w:vAlign w:val="bottom"/>
            <w:tcBorders>
              <w:bottom w:val="single" w:sz="8" w:color="DEEBF7"/>
            </w:tcBorders>
            <w:shd w:val="clear" w:color="auto" w:fill="DEEBF7"/>
          </w:tcPr>
          <w:p>
            <w:pPr>
              <w:spacing w:after="0"/>
              <w:rPr>
                <w:sz w:val="14"/>
                <w:szCs w:val="14"/>
                <w:color w:val="auto"/>
              </w:rPr>
            </w:pPr>
          </w:p>
        </w:tc>
        <w:tc>
          <w:tcPr>
            <w:tcW w:w="1200" w:type="dxa"/>
            <w:vAlign w:val="bottom"/>
            <w:tcBorders>
              <w:bottom w:val="single" w:sz="8" w:color="auto"/>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874.1</w:t>
            </w:r>
          </w:p>
        </w:tc>
        <w:tc>
          <w:tcPr>
            <w:tcW w:w="100" w:type="dxa"/>
            <w:vAlign w:val="bottom"/>
            <w:tcBorders>
              <w:bottom w:val="single" w:sz="8" w:color="DEEBF7"/>
            </w:tcBorders>
            <w:shd w:val="clear" w:color="auto" w:fill="DEEBF7"/>
          </w:tcPr>
          <w:p>
            <w:pPr>
              <w:spacing w:after="0"/>
              <w:rPr>
                <w:sz w:val="14"/>
                <w:szCs w:val="14"/>
                <w:color w:val="auto"/>
              </w:rPr>
            </w:pPr>
          </w:p>
        </w:tc>
        <w:tc>
          <w:tcPr>
            <w:tcW w:w="200" w:type="dxa"/>
            <w:vAlign w:val="bottom"/>
            <w:tcBorders>
              <w:bottom w:val="single" w:sz="8" w:color="DEEBF7"/>
            </w:tcBorders>
            <w:shd w:val="clear" w:color="auto" w:fill="DEEBF7"/>
          </w:tcPr>
          <w:p>
            <w:pPr>
              <w:spacing w:after="0"/>
              <w:rPr>
                <w:sz w:val="14"/>
                <w:szCs w:val="14"/>
                <w:color w:val="auto"/>
              </w:rPr>
            </w:pPr>
          </w:p>
        </w:tc>
        <w:tc>
          <w:tcPr>
            <w:tcW w:w="300" w:type="dxa"/>
            <w:vAlign w:val="bottom"/>
            <w:tcBorders>
              <w:bottom w:val="single" w:sz="8" w:color="auto"/>
            </w:tcBorders>
            <w:shd w:val="clear" w:color="auto" w:fill="DEEBF7"/>
          </w:tcPr>
          <w:p>
            <w:pPr>
              <w:spacing w:after="0"/>
              <w:rPr>
                <w:sz w:val="14"/>
                <w:szCs w:val="14"/>
                <w:color w:val="auto"/>
              </w:rPr>
            </w:pPr>
          </w:p>
        </w:tc>
        <w:tc>
          <w:tcPr>
            <w:tcW w:w="142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879.1</w:t>
            </w:r>
          </w:p>
        </w:tc>
        <w:tc>
          <w:tcPr>
            <w:tcW w:w="120" w:type="dxa"/>
            <w:vAlign w:val="bottom"/>
            <w:tcBorders>
              <w:bottom w:val="single" w:sz="8" w:color="DEEBF7"/>
            </w:tcBorders>
            <w:shd w:val="clear" w:color="auto" w:fill="DEEBF7"/>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Total other assets</w:t>
            </w: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3,210.3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3,246.5</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Property and equipment:</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Land, buildings, leasehold improvements and equipment</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DEEBF7"/>
            </w:tcBorders>
            <w:shd w:val="clear" w:color="auto" w:fill="DEEBF7"/>
          </w:tcPr>
          <w:p>
            <w:pPr>
              <w:ind w:left="180"/>
              <w:spacing w:after="0"/>
              <w:rPr>
                <w:sz w:val="20"/>
                <w:szCs w:val="20"/>
                <w:color w:val="auto"/>
              </w:rPr>
            </w:pPr>
            <w:r>
              <w:rPr>
                <w:rFonts w:ascii="Arial" w:cs="Arial" w:eastAsia="Arial" w:hAnsi="Arial"/>
                <w:sz w:val="14"/>
                <w:szCs w:val="14"/>
                <w:color w:val="auto"/>
              </w:rPr>
              <w:t>Less: accumulated depreciation and amortization</w:t>
            </w:r>
          </w:p>
        </w:tc>
        <w:tc>
          <w:tcPr>
            <w:tcW w:w="1620" w:type="dxa"/>
            <w:vAlign w:val="bottom"/>
            <w:tcBorders>
              <w:bottom w:val="single" w:sz="8" w:color="DEEBF7"/>
            </w:tcBorders>
            <w:shd w:val="clear" w:color="auto" w:fill="DEEBF7"/>
          </w:tcPr>
          <w:p>
            <w:pPr>
              <w:spacing w:after="0"/>
              <w:rPr>
                <w:sz w:val="14"/>
                <w:szCs w:val="14"/>
                <w:color w:val="auto"/>
              </w:rPr>
            </w:pPr>
          </w:p>
        </w:tc>
        <w:tc>
          <w:tcPr>
            <w:tcW w:w="1200" w:type="dxa"/>
            <w:vAlign w:val="bottom"/>
            <w:tcBorders>
              <w:bottom w:val="single" w:sz="8" w:color="auto"/>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Borders>
              <w:bottom w:val="single" w:sz="8" w:color="DEEBF7"/>
            </w:tcBorders>
            <w:shd w:val="clear" w:color="auto" w:fill="DEEBF7"/>
          </w:tcPr>
          <w:p>
            <w:pPr>
              <w:spacing w:after="0"/>
              <w:rPr>
                <w:sz w:val="14"/>
                <w:szCs w:val="14"/>
                <w:color w:val="auto"/>
              </w:rPr>
            </w:pPr>
          </w:p>
        </w:tc>
        <w:tc>
          <w:tcPr>
            <w:tcW w:w="200" w:type="dxa"/>
            <w:vAlign w:val="bottom"/>
            <w:tcBorders>
              <w:bottom w:val="single" w:sz="8" w:color="DEEBF7"/>
            </w:tcBorders>
            <w:shd w:val="clear" w:color="auto" w:fill="DEEBF7"/>
          </w:tcPr>
          <w:p>
            <w:pPr>
              <w:spacing w:after="0"/>
              <w:rPr>
                <w:sz w:val="14"/>
                <w:szCs w:val="14"/>
                <w:color w:val="auto"/>
              </w:rPr>
            </w:pPr>
          </w:p>
        </w:tc>
        <w:tc>
          <w:tcPr>
            <w:tcW w:w="300" w:type="dxa"/>
            <w:vAlign w:val="bottom"/>
            <w:tcBorders>
              <w:bottom w:val="single" w:sz="8" w:color="auto"/>
            </w:tcBorders>
            <w:shd w:val="clear" w:color="auto" w:fill="DEEBF7"/>
          </w:tcPr>
          <w:p>
            <w:pPr>
              <w:spacing w:after="0"/>
              <w:rPr>
                <w:sz w:val="14"/>
                <w:szCs w:val="14"/>
                <w:color w:val="auto"/>
              </w:rPr>
            </w:pPr>
          </w:p>
        </w:tc>
        <w:tc>
          <w:tcPr>
            <w:tcW w:w="142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403.7</w:t>
            </w:r>
          </w:p>
        </w:tc>
        <w:tc>
          <w:tcPr>
            <w:tcW w:w="120" w:type="dxa"/>
            <w:vAlign w:val="bottom"/>
            <w:tcBorders>
              <w:bottom w:val="single" w:sz="8" w:color="DEEBF7"/>
            </w:tcBorders>
            <w:shd w:val="clear" w:color="auto" w:fill="DEEBF7"/>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340"/>
              <w:spacing w:after="0" w:line="157" w:lineRule="exact"/>
              <w:rPr>
                <w:sz w:val="20"/>
                <w:szCs w:val="20"/>
                <w:color w:val="auto"/>
              </w:rPr>
            </w:pPr>
            <w:r>
              <w:rPr>
                <w:rFonts w:ascii="Arial" w:cs="Arial" w:eastAsia="Arial" w:hAnsi="Arial"/>
                <w:sz w:val="14"/>
                <w:szCs w:val="14"/>
                <w:color w:val="auto"/>
              </w:rPr>
              <w:t>Net property and equipment</w:t>
            </w:r>
          </w:p>
        </w:tc>
        <w:tc>
          <w:tcPr>
            <w:tcW w:w="16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123.2</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DEEBF7"/>
          </w:tcPr>
          <w:p>
            <w:pPr>
              <w:ind w:left="640"/>
              <w:spacing w:after="0" w:line="157" w:lineRule="exact"/>
              <w:rPr>
                <w:sz w:val="20"/>
                <w:szCs w:val="20"/>
                <w:color w:val="auto"/>
              </w:rPr>
            </w:pPr>
            <w:r>
              <w:rPr>
                <w:rFonts w:ascii="Arial" w:cs="Arial" w:eastAsia="Arial" w:hAnsi="Arial"/>
                <w:sz w:val="14"/>
                <w:szCs w:val="14"/>
                <w:color w:val="auto"/>
              </w:rPr>
              <w:t>Total assets</w:t>
            </w:r>
          </w:p>
        </w:tc>
        <w:tc>
          <w:tcPr>
            <w:tcW w:w="2820" w:type="dxa"/>
            <w:vAlign w:val="bottom"/>
            <w:gridSpan w:val="2"/>
            <w:shd w:val="clear" w:color="auto" w:fill="DEEBF7"/>
          </w:tcPr>
          <w:p>
            <w:pPr>
              <w:jc w:val="right"/>
              <w:ind w:right="1057"/>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8,391.3</w:t>
            </w:r>
          </w:p>
        </w:tc>
        <w:tc>
          <w:tcPr>
            <w:tcW w:w="100" w:type="dxa"/>
            <w:vAlign w:val="bottom"/>
            <w:shd w:val="clear" w:color="auto" w:fill="DEEBF7"/>
          </w:tcPr>
          <w:p>
            <w:pPr>
              <w:spacing w:after="0"/>
              <w:rPr>
                <w:sz w:val="17"/>
                <w:szCs w:val="17"/>
                <w:color w:val="auto"/>
              </w:rPr>
            </w:pPr>
          </w:p>
        </w:tc>
        <w:tc>
          <w:tcPr>
            <w:tcW w:w="500" w:type="dxa"/>
            <w:vAlign w:val="bottom"/>
            <w:gridSpan w:val="2"/>
            <w:shd w:val="clear" w:color="auto" w:fill="DEEBF7"/>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9,160.1</w:t>
            </w:r>
          </w:p>
        </w:tc>
        <w:tc>
          <w:tcPr>
            <w:tcW w:w="120" w:type="dxa"/>
            <w:vAlign w:val="bottom"/>
            <w:shd w:val="clear" w:color="auto" w:fill="DEEBF7"/>
          </w:tcPr>
          <w:p>
            <w:pPr>
              <w:spacing w:after="0"/>
              <w:rPr>
                <w:sz w:val="17"/>
                <w:szCs w:val="17"/>
                <w:color w:val="auto"/>
              </w:rPr>
            </w:pPr>
          </w:p>
        </w:tc>
      </w:tr>
      <w:tr>
        <w:trPr>
          <w:trHeight w:val="141"/>
        </w:trPr>
        <w:tc>
          <w:tcPr>
            <w:tcW w:w="20" w:type="dxa"/>
            <w:vAlign w:val="bottom"/>
          </w:tcPr>
          <w:p>
            <w:pPr>
              <w:spacing w:after="0"/>
              <w:rPr>
                <w:sz w:val="12"/>
                <w:szCs w:val="12"/>
                <w:color w:val="auto"/>
              </w:rPr>
            </w:pPr>
          </w:p>
        </w:tc>
        <w:tc>
          <w:tcPr>
            <w:tcW w:w="5720" w:type="dxa"/>
            <w:vAlign w:val="bottom"/>
            <w:tcBorders>
              <w:top w:val="single" w:sz="8" w:color="DEEBF7"/>
            </w:tcBorders>
          </w:tcPr>
          <w:p>
            <w:pPr>
              <w:spacing w:after="0" w:line="141" w:lineRule="exact"/>
              <w:rPr>
                <w:sz w:val="20"/>
                <w:szCs w:val="20"/>
                <w:color w:val="auto"/>
              </w:rPr>
            </w:pPr>
            <w:r>
              <w:rPr>
                <w:rFonts w:ascii="Arial" w:cs="Arial" w:eastAsia="Arial" w:hAnsi="Arial"/>
                <w:sz w:val="14"/>
                <w:szCs w:val="14"/>
                <w:b w:val="1"/>
                <w:bCs w:val="1"/>
                <w:color w:val="auto"/>
              </w:rPr>
              <w:t>LIABILITIES AND SHAREHOLDERS' EQUITY</w:t>
            </w:r>
          </w:p>
        </w:tc>
        <w:tc>
          <w:tcPr>
            <w:tcW w:w="1620" w:type="dxa"/>
            <w:vAlign w:val="bottom"/>
            <w:tcBorders>
              <w:top w:val="single" w:sz="8" w:color="DEEBF7"/>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DEEBF7"/>
            </w:tcBorders>
          </w:tcPr>
          <w:p>
            <w:pPr>
              <w:spacing w:after="0"/>
              <w:rPr>
                <w:sz w:val="12"/>
                <w:szCs w:val="12"/>
                <w:color w:val="auto"/>
              </w:rPr>
            </w:pPr>
          </w:p>
        </w:tc>
        <w:tc>
          <w:tcPr>
            <w:tcW w:w="200" w:type="dxa"/>
            <w:vAlign w:val="bottom"/>
            <w:tcBorders>
              <w:top w:val="single" w:sz="8" w:color="DEEBF7"/>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DEEBF7"/>
            </w:tcBorders>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Current liabilities:</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820" w:type="dxa"/>
            <w:vAlign w:val="bottom"/>
            <w:gridSpan w:val="2"/>
          </w:tcPr>
          <w:p>
            <w:pPr>
              <w:jc w:val="right"/>
              <w:ind w:right="1057"/>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2,558.8</w:t>
            </w:r>
          </w:p>
        </w:tc>
        <w:tc>
          <w:tcPr>
            <w:tcW w:w="10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2,721.1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Employee compensation payable</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199.4</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Accrued payroll taxes and insurance</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672.1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Accrued liabilities</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484.9</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457.6</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Value added taxes payable</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418.1</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Short-term operating lease liability</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107.4</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Short-term borrowings and current maturities of long-term debt</w:t>
            </w:r>
          </w:p>
        </w:tc>
        <w:tc>
          <w:tcPr>
            <w:tcW w:w="16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shd w:val="clear" w:color="auto" w:fill="DEEBF7"/>
          </w:tcPr>
          <w:p>
            <w:pPr>
              <w:ind w:left="480"/>
              <w:spacing w:after="0" w:line="157" w:lineRule="exact"/>
              <w:rPr>
                <w:sz w:val="20"/>
                <w:szCs w:val="20"/>
                <w:color w:val="auto"/>
              </w:rPr>
            </w:pPr>
            <w:r>
              <w:rPr>
                <w:rFonts w:ascii="Arial" w:cs="Arial" w:eastAsia="Arial" w:hAnsi="Arial"/>
                <w:sz w:val="14"/>
                <w:szCs w:val="14"/>
                <w:color w:val="auto"/>
              </w:rPr>
              <w:t>Total current liabilities</w:t>
            </w:r>
          </w:p>
        </w:tc>
        <w:tc>
          <w:tcPr>
            <w:tcW w:w="1620" w:type="dxa"/>
            <w:vAlign w:val="bottom"/>
            <w:shd w:val="clear" w:color="auto" w:fill="DEEBF7"/>
          </w:tcPr>
          <w:p>
            <w:pPr>
              <w:spacing w:after="0"/>
              <w:rPr>
                <w:sz w:val="13"/>
                <w:szCs w:val="13"/>
                <w:color w:val="auto"/>
              </w:rPr>
            </w:pPr>
          </w:p>
        </w:tc>
        <w:tc>
          <w:tcPr>
            <w:tcW w:w="1200" w:type="dxa"/>
            <w:vAlign w:val="bottom"/>
            <w:shd w:val="clear" w:color="auto" w:fill="DEEBF7"/>
          </w:tcPr>
          <w:p>
            <w:pPr>
              <w:spacing w:after="0"/>
              <w:rPr>
                <w:sz w:val="13"/>
                <w:szCs w:val="13"/>
                <w:color w:val="auto"/>
              </w:rPr>
            </w:pPr>
          </w:p>
        </w:tc>
        <w:tc>
          <w:tcPr>
            <w:tcW w:w="5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4,502.6</w:t>
            </w:r>
          </w:p>
        </w:tc>
        <w:tc>
          <w:tcPr>
            <w:tcW w:w="100" w:type="dxa"/>
            <w:vAlign w:val="bottom"/>
            <w:shd w:val="clear" w:color="auto" w:fill="DEEBF7"/>
          </w:tcPr>
          <w:p>
            <w:pPr>
              <w:spacing w:after="0"/>
              <w:rPr>
                <w:sz w:val="13"/>
                <w:szCs w:val="13"/>
                <w:color w:val="auto"/>
              </w:rPr>
            </w:pPr>
          </w:p>
        </w:tc>
        <w:tc>
          <w:tcPr>
            <w:tcW w:w="200" w:type="dxa"/>
            <w:vAlign w:val="bottom"/>
            <w:shd w:val="clear" w:color="auto" w:fill="DEEBF7"/>
          </w:tcPr>
          <w:p>
            <w:pPr>
              <w:spacing w:after="0"/>
              <w:rPr>
                <w:sz w:val="13"/>
                <w:szCs w:val="13"/>
                <w:color w:val="auto"/>
              </w:rPr>
            </w:pPr>
          </w:p>
        </w:tc>
        <w:tc>
          <w:tcPr>
            <w:tcW w:w="300" w:type="dxa"/>
            <w:vAlign w:val="bottom"/>
            <w:shd w:val="clear" w:color="auto" w:fill="DEEBF7"/>
          </w:tcPr>
          <w:p>
            <w:pPr>
              <w:spacing w:after="0"/>
              <w:rPr>
                <w:sz w:val="13"/>
                <w:szCs w:val="13"/>
                <w:color w:val="auto"/>
              </w:rPr>
            </w:pPr>
          </w:p>
        </w:tc>
        <w:tc>
          <w:tcPr>
            <w:tcW w:w="142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5,233.6</w:t>
            </w:r>
          </w:p>
        </w:tc>
        <w:tc>
          <w:tcPr>
            <w:tcW w:w="120" w:type="dxa"/>
            <w:vAlign w:val="bottom"/>
            <w:shd w:val="clear" w:color="auto" w:fill="DEEBF7"/>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Long-term debt</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1,034.3</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1,052.1</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Long-term operating lease liability</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304.3</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Borders>
              <w:bottom w:val="single" w:sz="8" w:color="DEEBF7"/>
            </w:tcBorders>
            <w:shd w:val="clear" w:color="auto" w:fill="DEEBF7"/>
          </w:tcPr>
          <w:p>
            <w:pPr>
              <w:ind w:left="180"/>
              <w:spacing w:after="0"/>
              <w:rPr>
                <w:sz w:val="20"/>
                <w:szCs w:val="20"/>
                <w:color w:val="auto"/>
              </w:rPr>
            </w:pPr>
            <w:r>
              <w:rPr>
                <w:rFonts w:ascii="Arial" w:cs="Arial" w:eastAsia="Arial" w:hAnsi="Arial"/>
                <w:sz w:val="14"/>
                <w:szCs w:val="14"/>
                <w:color w:val="auto"/>
              </w:rPr>
              <w:t>Other long-term liabilities</w:t>
            </w:r>
          </w:p>
        </w:tc>
        <w:tc>
          <w:tcPr>
            <w:tcW w:w="1620" w:type="dxa"/>
            <w:vAlign w:val="bottom"/>
            <w:tcBorders>
              <w:bottom w:val="single" w:sz="8" w:color="DEEBF7"/>
            </w:tcBorders>
            <w:shd w:val="clear" w:color="auto" w:fill="DEEBF7"/>
          </w:tcPr>
          <w:p>
            <w:pPr>
              <w:spacing w:after="0"/>
              <w:rPr>
                <w:sz w:val="14"/>
                <w:szCs w:val="14"/>
                <w:color w:val="auto"/>
              </w:rPr>
            </w:pPr>
          </w:p>
        </w:tc>
        <w:tc>
          <w:tcPr>
            <w:tcW w:w="1200" w:type="dxa"/>
            <w:vAlign w:val="bottom"/>
            <w:tcBorders>
              <w:bottom w:val="single" w:sz="8" w:color="auto"/>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501.3</w:t>
            </w:r>
          </w:p>
        </w:tc>
        <w:tc>
          <w:tcPr>
            <w:tcW w:w="100" w:type="dxa"/>
            <w:vAlign w:val="bottom"/>
            <w:tcBorders>
              <w:bottom w:val="single" w:sz="8" w:color="DEEBF7"/>
            </w:tcBorders>
            <w:shd w:val="clear" w:color="auto" w:fill="DEEBF7"/>
          </w:tcPr>
          <w:p>
            <w:pPr>
              <w:spacing w:after="0"/>
              <w:rPr>
                <w:sz w:val="14"/>
                <w:szCs w:val="14"/>
                <w:color w:val="auto"/>
              </w:rPr>
            </w:pPr>
          </w:p>
        </w:tc>
        <w:tc>
          <w:tcPr>
            <w:tcW w:w="200" w:type="dxa"/>
            <w:vAlign w:val="bottom"/>
            <w:tcBorders>
              <w:bottom w:val="single" w:sz="8" w:color="DEEBF7"/>
            </w:tcBorders>
            <w:shd w:val="clear" w:color="auto" w:fill="DEEBF7"/>
          </w:tcPr>
          <w:p>
            <w:pPr>
              <w:spacing w:after="0"/>
              <w:rPr>
                <w:sz w:val="14"/>
                <w:szCs w:val="14"/>
                <w:color w:val="auto"/>
              </w:rPr>
            </w:pPr>
          </w:p>
        </w:tc>
        <w:tc>
          <w:tcPr>
            <w:tcW w:w="300" w:type="dxa"/>
            <w:vAlign w:val="bottom"/>
            <w:tcBorders>
              <w:bottom w:val="single" w:sz="8" w:color="auto"/>
            </w:tcBorders>
            <w:shd w:val="clear" w:color="auto" w:fill="DEEBF7"/>
          </w:tcPr>
          <w:p>
            <w:pPr>
              <w:spacing w:after="0"/>
              <w:rPr>
                <w:sz w:val="14"/>
                <w:szCs w:val="14"/>
                <w:color w:val="auto"/>
              </w:rPr>
            </w:pPr>
          </w:p>
        </w:tc>
        <w:tc>
          <w:tcPr>
            <w:tcW w:w="142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509.8</w:t>
            </w:r>
          </w:p>
        </w:tc>
        <w:tc>
          <w:tcPr>
            <w:tcW w:w="120" w:type="dxa"/>
            <w:vAlign w:val="bottom"/>
            <w:tcBorders>
              <w:bottom w:val="single" w:sz="8" w:color="DEEBF7"/>
            </w:tcBorders>
            <w:shd w:val="clear" w:color="auto" w:fill="DEEBF7"/>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480"/>
              <w:spacing w:after="0" w:line="157" w:lineRule="exact"/>
              <w:rPr>
                <w:sz w:val="20"/>
                <w:szCs w:val="20"/>
                <w:color w:val="auto"/>
              </w:rPr>
            </w:pPr>
            <w:r>
              <w:rPr>
                <w:rFonts w:ascii="Arial" w:cs="Arial" w:eastAsia="Arial" w:hAnsi="Arial"/>
                <w:sz w:val="14"/>
                <w:szCs w:val="14"/>
                <w:color w:val="auto"/>
              </w:rPr>
              <w:t>Total other liabilities</w:t>
            </w: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1,823.2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1,866.2</w:t>
            </w:r>
          </w:p>
        </w:tc>
        <w:tc>
          <w:tcPr>
            <w:tcW w:w="1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Shareholders' equity:</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60"/>
              <w:spacing w:after="0"/>
              <w:rPr>
                <w:sz w:val="20"/>
                <w:szCs w:val="20"/>
                <w:color w:val="auto"/>
              </w:rPr>
            </w:pPr>
            <w:r>
              <w:rPr>
                <w:rFonts w:ascii="Arial" w:cs="Arial" w:eastAsia="Arial" w:hAnsi="Arial"/>
                <w:sz w:val="14"/>
                <w:szCs w:val="14"/>
                <w:color w:val="auto"/>
              </w:rPr>
              <w:t>ManpowerGroup shareholders' equity</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Common stock</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3,577.4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3,572.5</w:t>
            </w:r>
          </w:p>
        </w:tc>
        <w:tc>
          <w:tcPr>
            <w:tcW w:w="1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Retained earnings</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5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3,734.8</w:t>
            </w:r>
          </w:p>
        </w:tc>
        <w:tc>
          <w:tcPr>
            <w:tcW w:w="100" w:type="dxa"/>
            <w:vAlign w:val="bottom"/>
            <w:shd w:val="clear" w:color="auto" w:fill="DEEBF7"/>
          </w:tcPr>
          <w:p>
            <w:pPr>
              <w:spacing w:after="0"/>
              <w:rPr>
                <w:sz w:val="14"/>
                <w:szCs w:val="14"/>
                <w:color w:val="auto"/>
              </w:rPr>
            </w:pP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420" w:type="dxa"/>
            <w:vAlign w:val="bottom"/>
            <w:shd w:val="clear" w:color="auto" w:fill="DEEBF7"/>
          </w:tcPr>
          <w:p>
            <w:pPr>
              <w:jc w:val="right"/>
              <w:spacing w:after="0"/>
              <w:rPr>
                <w:sz w:val="20"/>
                <w:szCs w:val="20"/>
                <w:color w:val="auto"/>
              </w:rPr>
            </w:pPr>
            <w:r>
              <w:rPr>
                <w:rFonts w:ascii="Arial" w:cs="Arial" w:eastAsia="Arial" w:hAnsi="Arial"/>
                <w:sz w:val="14"/>
                <w:szCs w:val="14"/>
                <w:color w:val="auto"/>
              </w:rPr>
              <w:t>3,732.3</w:t>
            </w:r>
          </w:p>
        </w:tc>
        <w:tc>
          <w:tcPr>
            <w:tcW w:w="120" w:type="dxa"/>
            <w:vAlign w:val="bottom"/>
            <w:shd w:val="clear" w:color="auto" w:fill="DEEBF7"/>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2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(412.1)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(412.1)</w:t>
            </w:r>
          </w:p>
        </w:tc>
      </w:tr>
      <w:tr>
        <w:trPr>
          <w:trHeight w:val="166"/>
        </w:trPr>
        <w:tc>
          <w:tcPr>
            <w:tcW w:w="20" w:type="dxa"/>
            <w:vAlign w:val="bottom"/>
          </w:tcPr>
          <w:p>
            <w:pPr>
              <w:spacing w:after="0"/>
              <w:rPr>
                <w:sz w:val="14"/>
                <w:szCs w:val="14"/>
                <w:color w:val="auto"/>
              </w:rPr>
            </w:pPr>
          </w:p>
        </w:tc>
        <w:tc>
          <w:tcPr>
            <w:tcW w:w="5720" w:type="dxa"/>
            <w:vAlign w:val="bottom"/>
            <w:shd w:val="clear" w:color="auto" w:fill="DEEBF7"/>
          </w:tcPr>
          <w:p>
            <w:pPr>
              <w:ind w:left="180"/>
              <w:spacing w:after="0"/>
              <w:rPr>
                <w:sz w:val="20"/>
                <w:szCs w:val="20"/>
                <w:color w:val="auto"/>
              </w:rPr>
            </w:pPr>
            <w:r>
              <w:rPr>
                <w:rFonts w:ascii="Arial" w:cs="Arial" w:eastAsia="Arial" w:hAnsi="Arial"/>
                <w:sz w:val="14"/>
                <w:szCs w:val="14"/>
                <w:color w:val="auto"/>
              </w:rPr>
              <w:t>Treasury stock, at cost</w:t>
            </w:r>
          </w:p>
        </w:tc>
        <w:tc>
          <w:tcPr>
            <w:tcW w:w="1620" w:type="dxa"/>
            <w:vAlign w:val="bottom"/>
            <w:shd w:val="clear" w:color="auto" w:fill="DEEBF7"/>
          </w:tcPr>
          <w:p>
            <w:pPr>
              <w:spacing w:after="0"/>
              <w:rPr>
                <w:sz w:val="14"/>
                <w:szCs w:val="14"/>
                <w:color w:val="auto"/>
              </w:rPr>
            </w:pPr>
          </w:p>
        </w:tc>
        <w:tc>
          <w:tcPr>
            <w:tcW w:w="1200" w:type="dxa"/>
            <w:vAlign w:val="bottom"/>
            <w:shd w:val="clear" w:color="auto" w:fill="DEEBF7"/>
          </w:tcPr>
          <w:p>
            <w:pPr>
              <w:spacing w:after="0"/>
              <w:rPr>
                <w:sz w:val="14"/>
                <w:szCs w:val="14"/>
                <w:color w:val="auto"/>
              </w:rPr>
            </w:pPr>
          </w:p>
        </w:tc>
        <w:tc>
          <w:tcPr>
            <w:tcW w:w="66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(4,836.3)</w:t>
            </w:r>
          </w:p>
        </w:tc>
        <w:tc>
          <w:tcPr>
            <w:tcW w:w="200" w:type="dxa"/>
            <w:vAlign w:val="bottom"/>
            <w:shd w:val="clear" w:color="auto" w:fill="DEEBF7"/>
          </w:tcPr>
          <w:p>
            <w:pPr>
              <w:spacing w:after="0"/>
              <w:rPr>
                <w:sz w:val="14"/>
                <w:szCs w:val="14"/>
                <w:color w:val="auto"/>
              </w:rPr>
            </w:pPr>
          </w:p>
        </w:tc>
        <w:tc>
          <w:tcPr>
            <w:tcW w:w="300" w:type="dxa"/>
            <w:vAlign w:val="bottom"/>
            <w:shd w:val="clear" w:color="auto" w:fill="DEEBF7"/>
          </w:tcPr>
          <w:p>
            <w:pPr>
              <w:spacing w:after="0"/>
              <w:rPr>
                <w:sz w:val="14"/>
                <w:szCs w:val="14"/>
                <w:color w:val="auto"/>
              </w:rPr>
            </w:pPr>
          </w:p>
        </w:tc>
        <w:tc>
          <w:tcPr>
            <w:tcW w:w="154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(4,834.3)</w:t>
            </w:r>
          </w:p>
        </w:tc>
      </w:tr>
      <w:tr>
        <w:trPr>
          <w:trHeight w:val="157"/>
        </w:trPr>
        <w:tc>
          <w:tcPr>
            <w:tcW w:w="20" w:type="dxa"/>
            <w:vAlign w:val="bottom"/>
          </w:tcPr>
          <w:p>
            <w:pPr>
              <w:spacing w:after="0"/>
              <w:rPr>
                <w:sz w:val="13"/>
                <w:szCs w:val="13"/>
                <w:color w:val="auto"/>
              </w:rPr>
            </w:pPr>
          </w:p>
        </w:tc>
        <w:tc>
          <w:tcPr>
            <w:tcW w:w="5720" w:type="dxa"/>
            <w:vAlign w:val="bottom"/>
            <w:tcBorders>
              <w:top w:val="single" w:sz="8" w:color="DEEBF7"/>
            </w:tcBorders>
          </w:tcPr>
          <w:p>
            <w:pPr>
              <w:ind w:left="500"/>
              <w:spacing w:after="0" w:line="157" w:lineRule="exact"/>
              <w:rPr>
                <w:sz w:val="20"/>
                <w:szCs w:val="20"/>
                <w:color w:val="auto"/>
              </w:rPr>
            </w:pPr>
            <w:r>
              <w:rPr>
                <w:rFonts w:ascii="Arial" w:cs="Arial" w:eastAsia="Arial" w:hAnsi="Arial"/>
                <w:sz w:val="14"/>
                <w:szCs w:val="14"/>
                <w:color w:val="auto"/>
              </w:rPr>
              <w:t>Total ManpowerGroup shareholders' equity</w:t>
            </w:r>
          </w:p>
        </w:tc>
        <w:tc>
          <w:tcPr>
            <w:tcW w:w="1620" w:type="dxa"/>
            <w:vAlign w:val="bottom"/>
            <w:tcBorders>
              <w:top w:val="single" w:sz="8" w:color="DEEBF7"/>
            </w:tcBorders>
          </w:tcPr>
          <w:p>
            <w:pPr>
              <w:spacing w:after="0"/>
              <w:rPr>
                <w:sz w:val="13"/>
                <w:szCs w:val="13"/>
                <w:color w:val="auto"/>
              </w:rPr>
            </w:pPr>
          </w:p>
        </w:tc>
        <w:tc>
          <w:tcPr>
            <w:tcW w:w="1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2,065.0</w:t>
            </w:r>
          </w:p>
        </w:tc>
        <w:tc>
          <w:tcPr>
            <w:tcW w:w="100" w:type="dxa"/>
            <w:vAlign w:val="bottom"/>
            <w:tcBorders>
              <w:top w:val="single" w:sz="8" w:color="DEEBF7"/>
            </w:tcBorders>
          </w:tcPr>
          <w:p>
            <w:pPr>
              <w:spacing w:after="0"/>
              <w:rPr>
                <w:sz w:val="13"/>
                <w:szCs w:val="13"/>
                <w:color w:val="auto"/>
              </w:rPr>
            </w:pPr>
          </w:p>
        </w:tc>
        <w:tc>
          <w:tcPr>
            <w:tcW w:w="200" w:type="dxa"/>
            <w:vAlign w:val="bottom"/>
            <w:tcBorders>
              <w:top w:val="single" w:sz="8" w:color="DEEBF7"/>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2,059.6</w:t>
            </w:r>
          </w:p>
        </w:tc>
        <w:tc>
          <w:tcPr>
            <w:tcW w:w="120" w:type="dxa"/>
            <w:vAlign w:val="bottom"/>
            <w:tcBorders>
              <w:top w:val="single" w:sz="8" w:color="DEEBF7"/>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Borders>
              <w:bottom w:val="single" w:sz="8" w:color="DEEBF7"/>
            </w:tcBorders>
            <w:shd w:val="clear" w:color="auto" w:fill="DEEBF7"/>
          </w:tcPr>
          <w:p>
            <w:pPr>
              <w:ind w:left="60"/>
              <w:spacing w:after="0" w:line="157" w:lineRule="exact"/>
              <w:rPr>
                <w:sz w:val="20"/>
                <w:szCs w:val="20"/>
                <w:color w:val="auto"/>
              </w:rPr>
            </w:pPr>
            <w:r>
              <w:rPr>
                <w:rFonts w:ascii="Arial" w:cs="Arial" w:eastAsia="Arial" w:hAnsi="Arial"/>
                <w:sz w:val="14"/>
                <w:szCs w:val="14"/>
                <w:color w:val="auto"/>
              </w:rPr>
              <w:t>Noncontrolling interests</w:t>
            </w:r>
          </w:p>
        </w:tc>
        <w:tc>
          <w:tcPr>
            <w:tcW w:w="1620" w:type="dxa"/>
            <w:vAlign w:val="bottom"/>
            <w:tcBorders>
              <w:bottom w:val="single" w:sz="8" w:color="DEEBF7"/>
            </w:tcBorders>
            <w:shd w:val="clear" w:color="auto" w:fill="DEEBF7"/>
          </w:tcPr>
          <w:p>
            <w:pPr>
              <w:spacing w:after="0"/>
              <w:rPr>
                <w:sz w:val="13"/>
                <w:szCs w:val="13"/>
                <w:color w:val="auto"/>
              </w:rPr>
            </w:pPr>
          </w:p>
        </w:tc>
        <w:tc>
          <w:tcPr>
            <w:tcW w:w="1200" w:type="dxa"/>
            <w:vAlign w:val="bottom"/>
            <w:tcBorders>
              <w:bottom w:val="single" w:sz="8" w:color="auto"/>
            </w:tcBorders>
            <w:shd w:val="clear" w:color="auto" w:fill="DEEBF7"/>
          </w:tcPr>
          <w:p>
            <w:pPr>
              <w:spacing w:after="0"/>
              <w:rPr>
                <w:sz w:val="13"/>
                <w:szCs w:val="13"/>
                <w:color w:val="auto"/>
              </w:rPr>
            </w:pPr>
          </w:p>
        </w:tc>
        <w:tc>
          <w:tcPr>
            <w:tcW w:w="56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0.5</w:t>
            </w:r>
          </w:p>
        </w:tc>
        <w:tc>
          <w:tcPr>
            <w:tcW w:w="100" w:type="dxa"/>
            <w:vAlign w:val="bottom"/>
            <w:tcBorders>
              <w:bottom w:val="single" w:sz="8" w:color="DEEBF7"/>
            </w:tcBorders>
            <w:shd w:val="clear" w:color="auto" w:fill="DEEBF7"/>
          </w:tcPr>
          <w:p>
            <w:pPr>
              <w:spacing w:after="0"/>
              <w:rPr>
                <w:sz w:val="13"/>
                <w:szCs w:val="13"/>
                <w:color w:val="auto"/>
              </w:rPr>
            </w:pPr>
          </w:p>
        </w:tc>
        <w:tc>
          <w:tcPr>
            <w:tcW w:w="200" w:type="dxa"/>
            <w:vAlign w:val="bottom"/>
            <w:tcBorders>
              <w:bottom w:val="single" w:sz="8" w:color="DEEBF7"/>
            </w:tcBorders>
            <w:shd w:val="clear" w:color="auto" w:fill="DEEBF7"/>
          </w:tcPr>
          <w:p>
            <w:pPr>
              <w:spacing w:after="0"/>
              <w:rPr>
                <w:sz w:val="13"/>
                <w:szCs w:val="13"/>
                <w:color w:val="auto"/>
              </w:rPr>
            </w:pPr>
          </w:p>
        </w:tc>
        <w:tc>
          <w:tcPr>
            <w:tcW w:w="300" w:type="dxa"/>
            <w:vAlign w:val="bottom"/>
            <w:tcBorders>
              <w:bottom w:val="single" w:sz="8" w:color="auto"/>
            </w:tcBorders>
            <w:shd w:val="clear" w:color="auto" w:fill="DEEBF7"/>
          </w:tcPr>
          <w:p>
            <w:pPr>
              <w:spacing w:after="0"/>
              <w:rPr>
                <w:sz w:val="13"/>
                <w:szCs w:val="13"/>
                <w:color w:val="auto"/>
              </w:rPr>
            </w:pPr>
          </w:p>
        </w:tc>
        <w:tc>
          <w:tcPr>
            <w:tcW w:w="1420" w:type="dxa"/>
            <w:vAlign w:val="bottom"/>
            <w:tcBorders>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0.7</w:t>
            </w:r>
          </w:p>
        </w:tc>
        <w:tc>
          <w:tcPr>
            <w:tcW w:w="120" w:type="dxa"/>
            <w:vAlign w:val="bottom"/>
            <w:tcBorders>
              <w:bottom w:val="single" w:sz="8" w:color="DEEBF7"/>
            </w:tcBorders>
            <w:shd w:val="clear" w:color="auto" w:fill="DEEBF7"/>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20" w:type="dxa"/>
            <w:vAlign w:val="bottom"/>
          </w:tcPr>
          <w:p>
            <w:pPr>
              <w:ind w:left="500"/>
              <w:spacing w:after="0" w:line="157" w:lineRule="exact"/>
              <w:rPr>
                <w:sz w:val="20"/>
                <w:szCs w:val="20"/>
                <w:color w:val="auto"/>
              </w:rPr>
            </w:pPr>
            <w:r>
              <w:rPr>
                <w:rFonts w:ascii="Arial" w:cs="Arial" w:eastAsia="Arial" w:hAnsi="Arial"/>
                <w:sz w:val="14"/>
                <w:szCs w:val="14"/>
                <w:color w:val="auto"/>
              </w:rPr>
              <w:t>Total shareholders' equity</w:t>
            </w:r>
          </w:p>
        </w:tc>
        <w:tc>
          <w:tcPr>
            <w:tcW w:w="16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2,065.5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2,060.3</w:t>
            </w:r>
          </w:p>
        </w:tc>
        <w:tc>
          <w:tcPr>
            <w:tcW w:w="1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DEEBF7"/>
          </w:tcPr>
          <w:p>
            <w:pPr>
              <w:ind w:left="62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2820" w:type="dxa"/>
            <w:vAlign w:val="bottom"/>
            <w:gridSpan w:val="2"/>
            <w:shd w:val="clear" w:color="auto" w:fill="DEEBF7"/>
          </w:tcPr>
          <w:p>
            <w:pPr>
              <w:jc w:val="right"/>
              <w:ind w:right="1057"/>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8,391.3</w:t>
            </w:r>
          </w:p>
        </w:tc>
        <w:tc>
          <w:tcPr>
            <w:tcW w:w="100" w:type="dxa"/>
            <w:vAlign w:val="bottom"/>
            <w:shd w:val="clear" w:color="auto" w:fill="DEEBF7"/>
          </w:tcPr>
          <w:p>
            <w:pPr>
              <w:spacing w:after="0"/>
              <w:rPr>
                <w:sz w:val="17"/>
                <w:szCs w:val="17"/>
                <w:color w:val="auto"/>
              </w:rPr>
            </w:pPr>
          </w:p>
        </w:tc>
        <w:tc>
          <w:tcPr>
            <w:tcW w:w="500" w:type="dxa"/>
            <w:vAlign w:val="bottom"/>
            <w:gridSpan w:val="2"/>
            <w:shd w:val="clear" w:color="auto" w:fill="DEEBF7"/>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DEEBF7"/>
          </w:tcPr>
          <w:p>
            <w:pPr>
              <w:jc w:val="right"/>
              <w:spacing w:after="0" w:line="157" w:lineRule="exact"/>
              <w:rPr>
                <w:sz w:val="20"/>
                <w:szCs w:val="20"/>
                <w:color w:val="auto"/>
              </w:rPr>
            </w:pPr>
            <w:r>
              <w:rPr>
                <w:rFonts w:ascii="Arial" w:cs="Arial" w:eastAsia="Arial" w:hAnsi="Arial"/>
                <w:sz w:val="14"/>
                <w:szCs w:val="14"/>
                <w:color w:val="auto"/>
              </w:rPr>
              <w:t>9,160.1</w:t>
            </w:r>
          </w:p>
        </w:tc>
        <w:tc>
          <w:tcPr>
            <w:tcW w:w="120" w:type="dxa"/>
            <w:vAlign w:val="bottom"/>
            <w:shd w:val="clear" w:color="auto" w:fill="DEEBF7"/>
          </w:tcPr>
          <w:p>
            <w:pPr>
              <w:spacing w:after="0"/>
              <w:rPr>
                <w:sz w:val="17"/>
                <w:szCs w:val="17"/>
                <w:color w:val="auto"/>
              </w:rPr>
            </w:pPr>
          </w:p>
        </w:tc>
      </w:tr>
      <w:tr>
        <w:trPr>
          <w:trHeight w:val="1020"/>
        </w:trPr>
        <w:tc>
          <w:tcPr>
            <w:tcW w:w="20" w:type="dxa"/>
            <w:vAlign w:val="bottom"/>
          </w:tcPr>
          <w:p>
            <w:pPr>
              <w:spacing w:after="0"/>
              <w:rPr>
                <w:sz w:val="24"/>
                <w:szCs w:val="24"/>
                <w:color w:val="auto"/>
              </w:rPr>
            </w:pPr>
          </w:p>
        </w:tc>
        <w:tc>
          <w:tcPr>
            <w:tcW w:w="5720" w:type="dxa"/>
            <w:vAlign w:val="bottom"/>
            <w:tcBorders>
              <w:top w:val="single" w:sz="8" w:color="DEEBF7"/>
              <w:bottom w:val="single" w:sz="8" w:color="9A9A9A"/>
            </w:tcBorders>
          </w:tcPr>
          <w:p>
            <w:pPr>
              <w:spacing w:after="0"/>
              <w:rPr>
                <w:sz w:val="24"/>
                <w:szCs w:val="24"/>
                <w:color w:val="auto"/>
              </w:rPr>
            </w:pPr>
          </w:p>
        </w:tc>
        <w:tc>
          <w:tcPr>
            <w:tcW w:w="1620" w:type="dxa"/>
            <w:vAlign w:val="bottom"/>
            <w:tcBorders>
              <w:top w:val="single" w:sz="8" w:color="DEEBF7"/>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DEEBF7"/>
              <w:bottom w:val="single" w:sz="8" w:color="9A9A9A"/>
            </w:tcBorders>
          </w:tcPr>
          <w:p>
            <w:pPr>
              <w:spacing w:after="0"/>
              <w:rPr>
                <w:sz w:val="24"/>
                <w:szCs w:val="24"/>
                <w:color w:val="auto"/>
              </w:rPr>
            </w:pPr>
          </w:p>
        </w:tc>
        <w:tc>
          <w:tcPr>
            <w:tcW w:w="200" w:type="dxa"/>
            <w:vAlign w:val="bottom"/>
            <w:tcBorders>
              <w:top w:val="single" w:sz="8" w:color="DEEBF7"/>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DEEBF7"/>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-4790440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-4790440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-4152265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-4152265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-3724275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-3724275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-3498850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-3483610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-3498850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-3483610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-1997075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-1997075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-1148080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-1148080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-923290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-923290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-697865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-682625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-697865</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-682625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8" w:name="page9"/>
    <w:bookmarkEnd w:id="8"/>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6"/>
              </w:rPr>
              <w:t>Three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Borders>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2026</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09"/>
              <w:spacing w:after="0" w:line="134" w:lineRule="exact"/>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20" w:type="dxa"/>
            <w:vAlign w:val="bottom"/>
            <w:gridSpan w:val="4"/>
          </w:tcPr>
          <w:p>
            <w:pPr>
              <w:jc w:val="center"/>
              <w:spacing w:after="0" w:line="134" w:lineRule="exact"/>
              <w:rPr>
                <w:sz w:val="20"/>
                <w:szCs w:val="20"/>
                <w:color w:val="auto"/>
              </w:rPr>
            </w:pPr>
            <w:r>
              <w:rPr>
                <w:rFonts w:ascii="Arial" w:cs="Arial" w:eastAsia="Arial" w:hAnsi="Arial"/>
                <w:sz w:val="13"/>
                <w:szCs w:val="13"/>
                <w:color w:val="auto"/>
                <w:w w:val="97"/>
              </w:rPr>
              <w:t>(Unaudited)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60"/>
              <w:spacing w:after="0"/>
              <w:rPr>
                <w:sz w:val="20"/>
                <w:szCs w:val="20"/>
                <w:color w:val="auto"/>
              </w:rPr>
            </w:pPr>
            <w:r>
              <w:rPr>
                <w:rFonts w:ascii="Arial" w:cs="Arial" w:eastAsia="Arial" w:hAnsi="Arial"/>
                <w:sz w:val="14"/>
                <w:szCs w:val="14"/>
                <w:color w:val="auto"/>
              </w:rPr>
              <w:t>Net earnings</w:t>
            </w:r>
          </w:p>
        </w:tc>
        <w:tc>
          <w:tcPr>
            <w:tcW w:w="2400" w:type="dxa"/>
            <w:vAlign w:val="bottom"/>
            <w:gridSpan w:val="2"/>
          </w:tcPr>
          <w:p>
            <w:pPr>
              <w:jc w:val="right"/>
              <w:ind w:right="917"/>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60"/>
              <w:spacing w:after="0"/>
              <w:rPr>
                <w:sz w:val="20"/>
                <w:szCs w:val="20"/>
                <w:color w:val="auto"/>
              </w:rPr>
            </w:pPr>
            <w:r>
              <w:rPr>
                <w:rFonts w:ascii="Arial" w:cs="Arial" w:eastAsia="Arial" w:hAnsi="Arial"/>
                <w:sz w:val="14"/>
                <w:szCs w:val="14"/>
                <w:color w:val="auto"/>
              </w:rPr>
              <w:t>Adjustments to reconcile net earnings to net cash used in operating activities:</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spacing w:after="0"/>
              <w:rPr>
                <w:sz w:val="14"/>
                <w:szCs w:val="14"/>
                <w:color w:val="auto"/>
              </w:rPr>
            </w:pP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spacing w:after="0"/>
              <w:rPr>
                <w:sz w:val="14"/>
                <w:szCs w:val="14"/>
                <w:color w:val="auto"/>
              </w:rPr>
            </w:pP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40"/>
              <w:spacing w:after="0"/>
              <w:rPr>
                <w:sz w:val="20"/>
                <w:szCs w:val="20"/>
                <w:color w:val="auto"/>
              </w:rPr>
            </w:pPr>
            <w:r>
              <w:rPr>
                <w:rFonts w:ascii="Arial" w:cs="Arial" w:eastAsia="Arial" w:hAnsi="Arial"/>
                <w:sz w:val="14"/>
                <w:szCs w:val="14"/>
                <w:color w:val="auto"/>
              </w:rPr>
              <w:t>Deferred income taxes</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40"/>
              <w:spacing w:after="0"/>
              <w:rPr>
                <w:sz w:val="20"/>
                <w:szCs w:val="20"/>
                <w:color w:val="auto"/>
              </w:rPr>
            </w:pPr>
            <w:r>
              <w:rPr>
                <w:rFonts w:ascii="Arial" w:cs="Arial" w:eastAsia="Arial" w:hAnsi="Arial"/>
                <w:sz w:val="14"/>
                <w:szCs w:val="14"/>
                <w:color w:val="auto"/>
              </w:rPr>
              <w:t>Provision for credit losses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40"/>
              <w:spacing w:after="0"/>
              <w:rPr>
                <w:sz w:val="20"/>
                <w:szCs w:val="20"/>
                <w:color w:val="auto"/>
              </w:rPr>
            </w:pPr>
            <w:r>
              <w:rPr>
                <w:rFonts w:ascii="Arial" w:cs="Arial" w:eastAsia="Arial" w:hAnsi="Arial"/>
                <w:sz w:val="14"/>
                <w:szCs w:val="14"/>
                <w:color w:val="auto"/>
              </w:rPr>
              <w:t>Share-based compensation</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60"/>
              <w:spacing w:after="0"/>
              <w:rPr>
                <w:sz w:val="20"/>
                <w:szCs w:val="20"/>
                <w:color w:val="auto"/>
              </w:rPr>
            </w:pPr>
            <w:r>
              <w:rPr>
                <w:rFonts w:ascii="Arial" w:cs="Arial" w:eastAsia="Arial" w:hAnsi="Arial"/>
                <w:sz w:val="14"/>
                <w:szCs w:val="14"/>
                <w:color w:val="auto"/>
              </w:rPr>
              <w:t>Changes in operating assets and liabilities: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40"/>
              <w:spacing w:after="0"/>
              <w:rPr>
                <w:sz w:val="20"/>
                <w:szCs w:val="20"/>
                <w:color w:val="auto"/>
              </w:rPr>
            </w:pPr>
            <w:r>
              <w:rPr>
                <w:rFonts w:ascii="Arial" w:cs="Arial" w:eastAsia="Arial" w:hAnsi="Arial"/>
                <w:sz w:val="14"/>
                <w:szCs w:val="14"/>
                <w:color w:val="auto"/>
              </w:rPr>
              <w:t>Accounts receivable</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245.1</w:t>
            </w: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(73.5)</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40"/>
              <w:spacing w:after="0"/>
              <w:rPr>
                <w:sz w:val="20"/>
                <w:szCs w:val="20"/>
                <w:color w:val="auto"/>
              </w:rPr>
            </w:pPr>
            <w:r>
              <w:rPr>
                <w:rFonts w:ascii="Arial" w:cs="Arial" w:eastAsia="Arial" w:hAnsi="Arial"/>
                <w:sz w:val="14"/>
                <w:szCs w:val="14"/>
                <w:color w:val="auto"/>
              </w:rPr>
              <w:t>Accounts payable</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68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(141.0)</w:t>
            </w: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180" w:type="dxa"/>
            <w:vAlign w:val="bottom"/>
            <w:gridSpan w:val="2"/>
            <w:shd w:val="clear" w:color="auto" w:fill="DEEBF7"/>
          </w:tcPr>
          <w:p>
            <w:pPr>
              <w:jc w:val="right"/>
              <w:ind w:right="80"/>
              <w:spacing w:after="0"/>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40"/>
              <w:spacing w:after="0"/>
              <w:rPr>
                <w:sz w:val="20"/>
                <w:szCs w:val="20"/>
                <w:color w:val="auto"/>
              </w:rPr>
            </w:pPr>
            <w:r>
              <w:rPr>
                <w:rFonts w:ascii="Arial" w:cs="Arial" w:eastAsia="Arial" w:hAnsi="Arial"/>
                <w:sz w:val="14"/>
                <w:szCs w:val="14"/>
                <w:color w:val="auto"/>
              </w:rPr>
              <w:t>Other liabilities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(41.3)</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shd w:val="clear" w:color="auto" w:fill="DEEBF7"/>
          </w:tcPr>
          <w:p>
            <w:pPr>
              <w:ind w:left="860"/>
              <w:spacing w:after="0" w:line="157" w:lineRule="exact"/>
              <w:rPr>
                <w:sz w:val="20"/>
                <w:szCs w:val="20"/>
                <w:color w:val="auto"/>
              </w:rPr>
            </w:pPr>
            <w:r>
              <w:rPr>
                <w:rFonts w:ascii="Arial" w:cs="Arial" w:eastAsia="Arial" w:hAnsi="Arial"/>
                <w:sz w:val="14"/>
                <w:szCs w:val="14"/>
                <w:color w:val="auto"/>
              </w:rPr>
              <w:t>Cash used in operating activities</w:t>
            </w:r>
          </w:p>
        </w:tc>
        <w:tc>
          <w:tcPr>
            <w:tcW w:w="1360" w:type="dxa"/>
            <w:vAlign w:val="bottom"/>
            <w:shd w:val="clear" w:color="auto" w:fill="DEEBF7"/>
          </w:tcPr>
          <w:p>
            <w:pPr>
              <w:spacing w:after="0"/>
              <w:rPr>
                <w:sz w:val="13"/>
                <w:szCs w:val="13"/>
                <w:color w:val="auto"/>
              </w:rPr>
            </w:pPr>
          </w:p>
        </w:tc>
        <w:tc>
          <w:tcPr>
            <w:tcW w:w="1040" w:type="dxa"/>
            <w:vAlign w:val="bottom"/>
            <w:shd w:val="clear" w:color="auto" w:fill="DEEBF7"/>
          </w:tcPr>
          <w:p>
            <w:pPr>
              <w:spacing w:after="0"/>
              <w:rPr>
                <w:sz w:val="13"/>
                <w:szCs w:val="13"/>
                <w:color w:val="auto"/>
              </w:rPr>
            </w:pPr>
          </w:p>
        </w:tc>
        <w:tc>
          <w:tcPr>
            <w:tcW w:w="680" w:type="dxa"/>
            <w:vAlign w:val="bottom"/>
            <w:gridSpan w:val="2"/>
            <w:shd w:val="clear" w:color="auto" w:fill="DEEBF7"/>
          </w:tcPr>
          <w:p>
            <w:pPr>
              <w:jc w:val="right"/>
              <w:ind w:right="60"/>
              <w:spacing w:after="0" w:line="157" w:lineRule="exact"/>
              <w:rPr>
                <w:sz w:val="20"/>
                <w:szCs w:val="20"/>
                <w:color w:val="auto"/>
              </w:rPr>
            </w:pPr>
            <w:r>
              <w:rPr>
                <w:rFonts w:ascii="Arial" w:cs="Arial" w:eastAsia="Arial" w:hAnsi="Arial"/>
                <w:sz w:val="14"/>
                <w:szCs w:val="14"/>
                <w:color w:val="auto"/>
              </w:rPr>
              <w:t>(126.3)</w:t>
            </w:r>
          </w:p>
        </w:tc>
        <w:tc>
          <w:tcPr>
            <w:tcW w:w="180" w:type="dxa"/>
            <w:vAlign w:val="bottom"/>
            <w:shd w:val="clear" w:color="auto" w:fill="DEEBF7"/>
          </w:tcPr>
          <w:p>
            <w:pPr>
              <w:spacing w:after="0"/>
              <w:rPr>
                <w:sz w:val="13"/>
                <w:szCs w:val="13"/>
                <w:color w:val="auto"/>
              </w:rPr>
            </w:pPr>
          </w:p>
        </w:tc>
        <w:tc>
          <w:tcPr>
            <w:tcW w:w="560" w:type="dxa"/>
            <w:vAlign w:val="bottom"/>
            <w:shd w:val="clear" w:color="auto" w:fill="DEEBF7"/>
          </w:tcPr>
          <w:p>
            <w:pPr>
              <w:spacing w:after="0"/>
              <w:rPr>
                <w:sz w:val="13"/>
                <w:szCs w:val="13"/>
                <w:color w:val="auto"/>
              </w:rPr>
            </w:pPr>
          </w:p>
        </w:tc>
        <w:tc>
          <w:tcPr>
            <w:tcW w:w="1180" w:type="dxa"/>
            <w:vAlign w:val="bottom"/>
            <w:gridSpan w:val="2"/>
            <w:shd w:val="clear" w:color="auto" w:fill="DEEBF7"/>
          </w:tcPr>
          <w:p>
            <w:pPr>
              <w:jc w:val="right"/>
              <w:ind w:right="80"/>
              <w:spacing w:after="0" w:line="157" w:lineRule="exact"/>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tcBorders>
              <w:top w:val="single" w:sz="8" w:color="DEEBF7"/>
            </w:tcBorders>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360" w:type="dxa"/>
            <w:vAlign w:val="bottom"/>
            <w:tcBorders>
              <w:top w:val="single" w:sz="8" w:color="DEEBF7"/>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DEEBF7"/>
            </w:tcBorders>
          </w:tcPr>
          <w:p>
            <w:pPr>
              <w:spacing w:after="0"/>
              <w:rPr>
                <w:sz w:val="13"/>
                <w:szCs w:val="13"/>
                <w:color w:val="auto"/>
              </w:rPr>
            </w:pPr>
          </w:p>
        </w:tc>
        <w:tc>
          <w:tcPr>
            <w:tcW w:w="180" w:type="dxa"/>
            <w:vAlign w:val="bottom"/>
            <w:tcBorders>
              <w:top w:val="single" w:sz="8" w:color="DEEBF7"/>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DEEBF7"/>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20"/>
              <w:spacing w:after="0"/>
              <w:rPr>
                <w:sz w:val="20"/>
                <w:szCs w:val="20"/>
                <w:color w:val="auto"/>
              </w:rPr>
            </w:pPr>
            <w:r>
              <w:rPr>
                <w:rFonts w:ascii="Arial" w:cs="Arial" w:eastAsia="Arial" w:hAnsi="Arial"/>
                <w:sz w:val="14"/>
                <w:szCs w:val="14"/>
                <w:color w:val="auto"/>
              </w:rPr>
              <w:t>Capital expenditures</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68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(9.0)</w:t>
            </w: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180" w:type="dxa"/>
            <w:vAlign w:val="bottom"/>
            <w:gridSpan w:val="2"/>
            <w:shd w:val="clear" w:color="auto" w:fill="DEEBF7"/>
          </w:tcPr>
          <w:p>
            <w:pPr>
              <w:jc w:val="right"/>
              <w:ind w:right="8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Borders>
              <w:bottom w:val="single" w:sz="8" w:color="DEEBF7"/>
            </w:tcBorders>
            <w:shd w:val="clear" w:color="auto" w:fill="DEEBF7"/>
          </w:tcPr>
          <w:p>
            <w:pPr>
              <w:ind w:left="320"/>
              <w:spacing w:after="0"/>
              <w:rPr>
                <w:sz w:val="20"/>
                <w:szCs w:val="20"/>
                <w:color w:val="auto"/>
              </w:rPr>
            </w:pPr>
            <w:r>
              <w:rPr>
                <w:rFonts w:ascii="Arial" w:cs="Arial" w:eastAsia="Arial" w:hAnsi="Arial"/>
                <w:sz w:val="14"/>
                <w:szCs w:val="14"/>
                <w:color w:val="auto"/>
              </w:rPr>
              <w:t>Proceeds from the sale of property and equipment</w:t>
            </w:r>
          </w:p>
        </w:tc>
        <w:tc>
          <w:tcPr>
            <w:tcW w:w="1360" w:type="dxa"/>
            <w:vAlign w:val="bottom"/>
            <w:tcBorders>
              <w:bottom w:val="single" w:sz="8" w:color="DEEBF7"/>
            </w:tcBorders>
            <w:shd w:val="clear" w:color="auto" w:fill="DEEBF7"/>
          </w:tcPr>
          <w:p>
            <w:pPr>
              <w:spacing w:after="0"/>
              <w:rPr>
                <w:sz w:val="14"/>
                <w:szCs w:val="14"/>
                <w:color w:val="auto"/>
              </w:rPr>
            </w:pPr>
          </w:p>
        </w:tc>
        <w:tc>
          <w:tcPr>
            <w:tcW w:w="1040" w:type="dxa"/>
            <w:vAlign w:val="bottom"/>
            <w:tcBorders>
              <w:bottom w:val="single" w:sz="8" w:color="auto"/>
            </w:tcBorders>
            <w:shd w:val="clear" w:color="auto" w:fill="DEEBF7"/>
          </w:tcPr>
          <w:p>
            <w:pPr>
              <w:spacing w:after="0"/>
              <w:rPr>
                <w:sz w:val="14"/>
                <w:szCs w:val="14"/>
                <w:color w:val="auto"/>
              </w:rPr>
            </w:pPr>
          </w:p>
        </w:tc>
        <w:tc>
          <w:tcPr>
            <w:tcW w:w="58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DEEBF7"/>
            </w:tcBorders>
            <w:shd w:val="clear" w:color="auto" w:fill="DEEBF7"/>
          </w:tcPr>
          <w:p>
            <w:pPr>
              <w:spacing w:after="0"/>
              <w:rPr>
                <w:sz w:val="14"/>
                <w:szCs w:val="14"/>
                <w:color w:val="auto"/>
              </w:rPr>
            </w:pPr>
          </w:p>
        </w:tc>
        <w:tc>
          <w:tcPr>
            <w:tcW w:w="180" w:type="dxa"/>
            <w:vAlign w:val="bottom"/>
            <w:tcBorders>
              <w:bottom w:val="single" w:sz="8" w:color="DEEBF7"/>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spacing w:after="0"/>
              <w:rPr>
                <w:sz w:val="14"/>
                <w:szCs w:val="14"/>
                <w:color w:val="auto"/>
              </w:rPr>
            </w:pPr>
          </w:p>
        </w:tc>
        <w:tc>
          <w:tcPr>
            <w:tcW w:w="10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DEEBF7"/>
            </w:tcBorders>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tcPr>
          <w:p>
            <w:pPr>
              <w:ind w:left="860"/>
              <w:spacing w:after="0" w:line="157" w:lineRule="exact"/>
              <w:rPr>
                <w:sz w:val="20"/>
                <w:szCs w:val="20"/>
                <w:color w:val="auto"/>
              </w:rPr>
            </w:pPr>
            <w:r>
              <w:rPr>
                <w:rFonts w:ascii="Arial" w:cs="Arial" w:eastAsia="Arial" w:hAnsi="Arial"/>
                <w:sz w:val="14"/>
                <w:szCs w:val="14"/>
                <w:color w:val="auto"/>
              </w:rPr>
              <w:t>Cash used in investing activities</w:t>
            </w: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(8.7)</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shd w:val="clear" w:color="auto" w:fill="DEEBF7"/>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360" w:type="dxa"/>
            <w:vAlign w:val="bottom"/>
            <w:shd w:val="clear" w:color="auto" w:fill="DEEBF7"/>
          </w:tcPr>
          <w:p>
            <w:pPr>
              <w:spacing w:after="0"/>
              <w:rPr>
                <w:sz w:val="13"/>
                <w:szCs w:val="13"/>
                <w:color w:val="auto"/>
              </w:rPr>
            </w:pPr>
          </w:p>
        </w:tc>
        <w:tc>
          <w:tcPr>
            <w:tcW w:w="1040" w:type="dxa"/>
            <w:vAlign w:val="bottom"/>
            <w:tcBorders>
              <w:top w:val="single" w:sz="8" w:color="auto"/>
            </w:tcBorders>
            <w:shd w:val="clear" w:color="auto" w:fill="DEEBF7"/>
          </w:tcPr>
          <w:p>
            <w:pPr>
              <w:spacing w:after="0"/>
              <w:rPr>
                <w:sz w:val="13"/>
                <w:szCs w:val="13"/>
                <w:color w:val="auto"/>
              </w:rPr>
            </w:pPr>
          </w:p>
        </w:tc>
        <w:tc>
          <w:tcPr>
            <w:tcW w:w="580" w:type="dxa"/>
            <w:vAlign w:val="bottom"/>
            <w:tcBorders>
              <w:top w:val="single" w:sz="8" w:color="auto"/>
            </w:tcBorders>
            <w:shd w:val="clear" w:color="auto" w:fill="DEEBF7"/>
          </w:tcPr>
          <w:p>
            <w:pPr>
              <w:spacing w:after="0"/>
              <w:rPr>
                <w:sz w:val="13"/>
                <w:szCs w:val="13"/>
                <w:color w:val="auto"/>
              </w:rPr>
            </w:pPr>
          </w:p>
        </w:tc>
        <w:tc>
          <w:tcPr>
            <w:tcW w:w="100" w:type="dxa"/>
            <w:vAlign w:val="bottom"/>
            <w:shd w:val="clear" w:color="auto" w:fill="DEEBF7"/>
          </w:tcPr>
          <w:p>
            <w:pPr>
              <w:spacing w:after="0"/>
              <w:rPr>
                <w:sz w:val="13"/>
                <w:szCs w:val="13"/>
                <w:color w:val="auto"/>
              </w:rPr>
            </w:pPr>
          </w:p>
        </w:tc>
        <w:tc>
          <w:tcPr>
            <w:tcW w:w="180" w:type="dxa"/>
            <w:vAlign w:val="bottom"/>
            <w:shd w:val="clear" w:color="auto" w:fill="DEEBF7"/>
          </w:tcPr>
          <w:p>
            <w:pPr>
              <w:spacing w:after="0"/>
              <w:rPr>
                <w:sz w:val="13"/>
                <w:szCs w:val="13"/>
                <w:color w:val="auto"/>
              </w:rPr>
            </w:pPr>
          </w:p>
        </w:tc>
        <w:tc>
          <w:tcPr>
            <w:tcW w:w="560" w:type="dxa"/>
            <w:vAlign w:val="bottom"/>
            <w:tcBorders>
              <w:top w:val="single" w:sz="8" w:color="auto"/>
            </w:tcBorders>
            <w:shd w:val="clear" w:color="auto" w:fill="DEEBF7"/>
          </w:tcPr>
          <w:p>
            <w:pPr>
              <w:spacing w:after="0"/>
              <w:rPr>
                <w:sz w:val="13"/>
                <w:szCs w:val="13"/>
                <w:color w:val="auto"/>
              </w:rPr>
            </w:pPr>
          </w:p>
        </w:tc>
        <w:tc>
          <w:tcPr>
            <w:tcW w:w="1060" w:type="dxa"/>
            <w:vAlign w:val="bottom"/>
            <w:tcBorders>
              <w:top w:val="single" w:sz="8" w:color="auto"/>
            </w:tcBorders>
            <w:shd w:val="clear" w:color="auto" w:fill="DEEBF7"/>
          </w:tcPr>
          <w:p>
            <w:pPr>
              <w:spacing w:after="0"/>
              <w:rPr>
                <w:sz w:val="13"/>
                <w:szCs w:val="13"/>
                <w:color w:val="auto"/>
              </w:rPr>
            </w:pPr>
          </w:p>
        </w:tc>
        <w:tc>
          <w:tcPr>
            <w:tcW w:w="120" w:type="dxa"/>
            <w:vAlign w:val="bottom"/>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Arial" w:cs="Arial" w:eastAsia="Arial" w:hAnsi="Arial"/>
                <w:sz w:val="14"/>
                <w:szCs w:val="14"/>
                <w:color w:val="auto"/>
              </w:rPr>
              <w:t>Net change in short-term borrowings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20"/>
              <w:spacing w:after="0"/>
              <w:rPr>
                <w:sz w:val="20"/>
                <w:szCs w:val="20"/>
                <w:color w:val="auto"/>
              </w:rPr>
            </w:pPr>
            <w:r>
              <w:rPr>
                <w:rFonts w:ascii="Arial" w:cs="Arial" w:eastAsia="Arial" w:hAnsi="Arial"/>
                <w:sz w:val="14"/>
                <w:szCs w:val="14"/>
                <w:color w:val="auto"/>
              </w:rPr>
              <w:t>Net proceeds from revolving debt facility</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580" w:type="dxa"/>
            <w:vAlign w:val="bottom"/>
            <w:shd w:val="clear" w:color="auto" w:fill="DEEBF7"/>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DEEBF7"/>
          </w:tcPr>
          <w:p>
            <w:pPr>
              <w:spacing w:after="0"/>
              <w:rPr>
                <w:sz w:val="14"/>
                <w:szCs w:val="14"/>
                <w:color w:val="auto"/>
              </w:rPr>
            </w:pP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060" w:type="dxa"/>
            <w:vAlign w:val="bottom"/>
            <w:shd w:val="clear" w:color="auto" w:fill="DEEBF7"/>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Arial" w:cs="Arial" w:eastAsia="Arial" w:hAnsi="Arial"/>
                <w:sz w:val="14"/>
                <w:szCs w:val="14"/>
                <w:color w:val="auto"/>
              </w:rPr>
              <w:t>Proceeds from long-term debt</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20"/>
              <w:spacing w:after="0"/>
              <w:rPr>
                <w:sz w:val="20"/>
                <w:szCs w:val="20"/>
                <w:color w:val="auto"/>
              </w:rPr>
            </w:pPr>
            <w:r>
              <w:rPr>
                <w:rFonts w:ascii="Arial" w:cs="Arial" w:eastAsia="Arial" w:hAnsi="Arial"/>
                <w:sz w:val="14"/>
                <w:szCs w:val="14"/>
                <w:color w:val="auto"/>
              </w:rPr>
              <w:t>Repayments of long-term debt</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68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(582.3)</w:t>
            </w: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180" w:type="dxa"/>
            <w:vAlign w:val="bottom"/>
            <w:gridSpan w:val="2"/>
            <w:shd w:val="clear" w:color="auto" w:fill="DEEBF7"/>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Pr>
          <w:p>
            <w:pPr>
              <w:ind w:left="320"/>
              <w:spacing w:after="0"/>
              <w:rPr>
                <w:sz w:val="20"/>
                <w:szCs w:val="20"/>
                <w:color w:val="auto"/>
              </w:rPr>
            </w:pPr>
            <w:r>
              <w:rPr>
                <w:rFonts w:ascii="Arial" w:cs="Arial" w:eastAsia="Arial" w:hAnsi="Arial"/>
                <w:sz w:val="14"/>
                <w:szCs w:val="14"/>
                <w:color w:val="auto"/>
              </w:rPr>
              <w:t>Taxes paid related to net share settlement</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shd w:val="clear" w:color="auto" w:fill="DEEBF7"/>
          </w:tcPr>
          <w:p>
            <w:pPr>
              <w:ind w:left="320"/>
              <w:spacing w:after="0"/>
              <w:rPr>
                <w:sz w:val="20"/>
                <w:szCs w:val="20"/>
                <w:color w:val="auto"/>
              </w:rPr>
            </w:pPr>
            <w:r>
              <w:rPr>
                <w:rFonts w:ascii="Arial" w:cs="Arial" w:eastAsia="Arial" w:hAnsi="Arial"/>
                <w:sz w:val="14"/>
                <w:szCs w:val="14"/>
                <w:color w:val="auto"/>
              </w:rPr>
              <w:t>Repurchases of common stock and excise tax</w:t>
            </w:r>
          </w:p>
        </w:tc>
        <w:tc>
          <w:tcPr>
            <w:tcW w:w="1360" w:type="dxa"/>
            <w:vAlign w:val="bottom"/>
            <w:shd w:val="clear" w:color="auto" w:fill="DEEBF7"/>
          </w:tcPr>
          <w:p>
            <w:pPr>
              <w:spacing w:after="0"/>
              <w:rPr>
                <w:sz w:val="14"/>
                <w:szCs w:val="14"/>
                <w:color w:val="auto"/>
              </w:rPr>
            </w:pPr>
          </w:p>
        </w:tc>
        <w:tc>
          <w:tcPr>
            <w:tcW w:w="1040" w:type="dxa"/>
            <w:vAlign w:val="bottom"/>
            <w:shd w:val="clear" w:color="auto" w:fill="DEEBF7"/>
          </w:tcPr>
          <w:p>
            <w:pPr>
              <w:spacing w:after="0"/>
              <w:rPr>
                <w:sz w:val="14"/>
                <w:szCs w:val="14"/>
                <w:color w:val="auto"/>
              </w:rPr>
            </w:pPr>
          </w:p>
        </w:tc>
        <w:tc>
          <w:tcPr>
            <w:tcW w:w="680" w:type="dxa"/>
            <w:vAlign w:val="bottom"/>
            <w:gridSpan w:val="2"/>
            <w:shd w:val="clear" w:color="auto" w:fill="DEEBF7"/>
          </w:tcPr>
          <w:p>
            <w:pPr>
              <w:jc w:val="right"/>
              <w:ind w:right="60"/>
              <w:spacing w:after="0"/>
              <w:rPr>
                <w:sz w:val="20"/>
                <w:szCs w:val="20"/>
                <w:color w:val="auto"/>
              </w:rPr>
            </w:pPr>
            <w:r>
              <w:rPr>
                <w:rFonts w:ascii="Arial" w:cs="Arial" w:eastAsia="Arial" w:hAnsi="Arial"/>
                <w:sz w:val="14"/>
                <w:szCs w:val="14"/>
                <w:color w:val="auto"/>
              </w:rPr>
              <w:t>(0.3)</w:t>
            </w:r>
          </w:p>
        </w:tc>
        <w:tc>
          <w:tcPr>
            <w:tcW w:w="180" w:type="dxa"/>
            <w:vAlign w:val="bottom"/>
            <w:shd w:val="clear" w:color="auto" w:fill="DEEBF7"/>
          </w:tcPr>
          <w:p>
            <w:pPr>
              <w:spacing w:after="0"/>
              <w:rPr>
                <w:sz w:val="14"/>
                <w:szCs w:val="14"/>
                <w:color w:val="auto"/>
              </w:rPr>
            </w:pPr>
          </w:p>
        </w:tc>
        <w:tc>
          <w:tcPr>
            <w:tcW w:w="560" w:type="dxa"/>
            <w:vAlign w:val="bottom"/>
            <w:shd w:val="clear" w:color="auto" w:fill="DEEBF7"/>
          </w:tcPr>
          <w:p>
            <w:pPr>
              <w:spacing w:after="0"/>
              <w:rPr>
                <w:sz w:val="14"/>
                <w:szCs w:val="14"/>
                <w:color w:val="auto"/>
              </w:rPr>
            </w:pPr>
          </w:p>
        </w:tc>
        <w:tc>
          <w:tcPr>
            <w:tcW w:w="1180" w:type="dxa"/>
            <w:vAlign w:val="bottom"/>
            <w:gridSpan w:val="2"/>
            <w:shd w:val="clear" w:color="auto" w:fill="DEEBF7"/>
          </w:tcPr>
          <w:p>
            <w:pPr>
              <w:jc w:val="right"/>
              <w:ind w:right="8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860"/>
              <w:spacing w:after="0"/>
              <w:rPr>
                <w:sz w:val="20"/>
                <w:szCs w:val="20"/>
                <w:color w:val="auto"/>
              </w:rPr>
            </w:pPr>
            <w:r>
              <w:rPr>
                <w:rFonts w:ascii="Arial" w:cs="Arial" w:eastAsia="Arial" w:hAnsi="Arial"/>
                <w:sz w:val="14"/>
                <w:szCs w:val="14"/>
                <w:color w:val="auto"/>
              </w:rPr>
              <w:t>Cash (used in) provided by financing activities</w:t>
            </w: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(511.2)</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45.7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tcBorders>
              <w:bottom w:val="single" w:sz="8" w:color="DEEBF7"/>
            </w:tcBorders>
            <w:shd w:val="clear" w:color="auto" w:fill="DEEBF7"/>
          </w:tcPr>
          <w:p>
            <w:pPr>
              <w:spacing w:after="0" w:line="157" w:lineRule="exact"/>
              <w:rPr>
                <w:sz w:val="20"/>
                <w:szCs w:val="20"/>
                <w:color w:val="auto"/>
              </w:rPr>
            </w:pPr>
            <w:r>
              <w:rPr>
                <w:rFonts w:ascii="Arial" w:cs="Arial" w:eastAsia="Arial" w:hAnsi="Arial"/>
                <w:sz w:val="14"/>
                <w:szCs w:val="14"/>
                <w:color w:val="auto"/>
              </w:rPr>
              <w:t>Effect of exchange rate changes on cash</w:t>
            </w:r>
          </w:p>
        </w:tc>
        <w:tc>
          <w:tcPr>
            <w:tcW w:w="1360" w:type="dxa"/>
            <w:vAlign w:val="bottom"/>
            <w:tcBorders>
              <w:bottom w:val="single" w:sz="8" w:color="DEEBF7"/>
            </w:tcBorders>
            <w:shd w:val="clear" w:color="auto" w:fill="DEEBF7"/>
          </w:tcPr>
          <w:p>
            <w:pPr>
              <w:spacing w:after="0"/>
              <w:rPr>
                <w:sz w:val="13"/>
                <w:szCs w:val="13"/>
                <w:color w:val="auto"/>
              </w:rPr>
            </w:pPr>
          </w:p>
        </w:tc>
        <w:tc>
          <w:tcPr>
            <w:tcW w:w="1040" w:type="dxa"/>
            <w:vAlign w:val="bottom"/>
            <w:tcBorders>
              <w:top w:val="single" w:sz="8" w:color="auto"/>
              <w:bottom w:val="single" w:sz="8" w:color="auto"/>
            </w:tcBorders>
            <w:shd w:val="clear" w:color="auto" w:fill="DEEBF7"/>
          </w:tcPr>
          <w:p>
            <w:pPr>
              <w:spacing w:after="0"/>
              <w:rPr>
                <w:sz w:val="13"/>
                <w:szCs w:val="13"/>
                <w:color w:val="auto"/>
              </w:rPr>
            </w:pPr>
          </w:p>
        </w:tc>
        <w:tc>
          <w:tcPr>
            <w:tcW w:w="580" w:type="dxa"/>
            <w:vAlign w:val="bottom"/>
            <w:tcBorders>
              <w:top w:val="single" w:sz="8" w:color="auto"/>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0.1</w:t>
            </w:r>
          </w:p>
        </w:tc>
        <w:tc>
          <w:tcPr>
            <w:tcW w:w="100" w:type="dxa"/>
            <w:vAlign w:val="bottom"/>
            <w:tcBorders>
              <w:bottom w:val="single" w:sz="8" w:color="DEEBF7"/>
            </w:tcBorders>
            <w:shd w:val="clear" w:color="auto" w:fill="DEEBF7"/>
          </w:tcPr>
          <w:p>
            <w:pPr>
              <w:spacing w:after="0"/>
              <w:rPr>
                <w:sz w:val="13"/>
                <w:szCs w:val="13"/>
                <w:color w:val="auto"/>
              </w:rPr>
            </w:pPr>
          </w:p>
        </w:tc>
        <w:tc>
          <w:tcPr>
            <w:tcW w:w="180" w:type="dxa"/>
            <w:vAlign w:val="bottom"/>
            <w:tcBorders>
              <w:bottom w:val="single" w:sz="8" w:color="DEEBF7"/>
            </w:tcBorders>
            <w:shd w:val="clear" w:color="auto" w:fill="DEEBF7"/>
          </w:tcPr>
          <w:p>
            <w:pPr>
              <w:spacing w:after="0"/>
              <w:rPr>
                <w:sz w:val="13"/>
                <w:szCs w:val="13"/>
                <w:color w:val="auto"/>
              </w:rPr>
            </w:pPr>
          </w:p>
        </w:tc>
        <w:tc>
          <w:tcPr>
            <w:tcW w:w="560" w:type="dxa"/>
            <w:vAlign w:val="bottom"/>
            <w:tcBorders>
              <w:top w:val="single" w:sz="8" w:color="auto"/>
              <w:bottom w:val="single" w:sz="8" w:color="auto"/>
            </w:tcBorders>
            <w:shd w:val="clear" w:color="auto" w:fill="DEEBF7"/>
          </w:tcPr>
          <w:p>
            <w:pPr>
              <w:spacing w:after="0"/>
              <w:rPr>
                <w:sz w:val="13"/>
                <w:szCs w:val="13"/>
                <w:color w:val="auto"/>
              </w:rPr>
            </w:pPr>
          </w:p>
        </w:tc>
        <w:tc>
          <w:tcPr>
            <w:tcW w:w="1060" w:type="dxa"/>
            <w:vAlign w:val="bottom"/>
            <w:tcBorders>
              <w:top w:val="single" w:sz="8" w:color="auto"/>
              <w:bottom w:val="single" w:sz="8" w:color="auto"/>
            </w:tcBorders>
            <w:shd w:val="clear" w:color="auto" w:fill="DEEBF7"/>
          </w:tcPr>
          <w:p>
            <w:pPr>
              <w:jc w:val="right"/>
              <w:spacing w:after="0" w:line="157" w:lineRule="exact"/>
              <w:rPr>
                <w:sz w:val="20"/>
                <w:szCs w:val="20"/>
                <w:color w:val="auto"/>
              </w:rPr>
            </w:pPr>
            <w:r>
              <w:rPr>
                <w:rFonts w:ascii="Arial" w:cs="Arial" w:eastAsia="Arial" w:hAnsi="Arial"/>
                <w:sz w:val="14"/>
                <w:szCs w:val="14"/>
                <w:color w:val="auto"/>
              </w:rPr>
              <w:t>7.7</w:t>
            </w:r>
          </w:p>
        </w:tc>
        <w:tc>
          <w:tcPr>
            <w:tcW w:w="120" w:type="dxa"/>
            <w:vAlign w:val="bottom"/>
            <w:tcBorders>
              <w:bottom w:val="single" w:sz="8" w:color="DEEBF7"/>
            </w:tcBorders>
            <w:shd w:val="clear" w:color="auto" w:fill="DEEBF7"/>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tcPr>
          <w:p>
            <w:pPr>
              <w:spacing w:after="0" w:line="157" w:lineRule="exact"/>
              <w:rPr>
                <w:sz w:val="20"/>
                <w:szCs w:val="20"/>
                <w:color w:val="auto"/>
              </w:rPr>
            </w:pPr>
            <w:r>
              <w:rPr>
                <w:rFonts w:ascii="Arial" w:cs="Arial" w:eastAsia="Arial" w:hAnsi="Arial"/>
                <w:sz w:val="14"/>
                <w:szCs w:val="14"/>
                <w:color w:val="auto"/>
              </w:rPr>
              <w:t>Change in cash and cash equivalents</w:t>
            </w: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(646.1)</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40" w:type="dxa"/>
            <w:vAlign w:val="bottom"/>
            <w:tcBorders>
              <w:bottom w:val="single" w:sz="8" w:color="DEEBF7"/>
            </w:tcBorders>
            <w:shd w:val="clear" w:color="auto" w:fill="DEEBF7"/>
          </w:tcPr>
          <w:p>
            <w:pPr>
              <w:spacing w:after="0"/>
              <w:rPr>
                <w:sz w:val="20"/>
                <w:szCs w:val="20"/>
                <w:color w:val="auto"/>
              </w:rPr>
            </w:pPr>
            <w:r>
              <w:rPr>
                <w:rFonts w:ascii="Arial" w:cs="Arial" w:eastAsia="Arial" w:hAnsi="Arial"/>
                <w:sz w:val="14"/>
                <w:szCs w:val="14"/>
                <w:color w:val="auto"/>
              </w:rPr>
              <w:t>Cash and cash equivalents, beginning of period</w:t>
            </w:r>
          </w:p>
        </w:tc>
        <w:tc>
          <w:tcPr>
            <w:tcW w:w="1360" w:type="dxa"/>
            <w:vAlign w:val="bottom"/>
            <w:tcBorders>
              <w:bottom w:val="single" w:sz="8" w:color="DEEBF7"/>
            </w:tcBorders>
            <w:shd w:val="clear" w:color="auto" w:fill="DEEBF7"/>
          </w:tcPr>
          <w:p>
            <w:pPr>
              <w:spacing w:after="0"/>
              <w:rPr>
                <w:sz w:val="14"/>
                <w:szCs w:val="14"/>
                <w:color w:val="auto"/>
              </w:rPr>
            </w:pPr>
          </w:p>
        </w:tc>
        <w:tc>
          <w:tcPr>
            <w:tcW w:w="1040" w:type="dxa"/>
            <w:vAlign w:val="bottom"/>
            <w:tcBorders>
              <w:bottom w:val="single" w:sz="8" w:color="auto"/>
            </w:tcBorders>
            <w:shd w:val="clear" w:color="auto" w:fill="DEEBF7"/>
          </w:tcPr>
          <w:p>
            <w:pPr>
              <w:spacing w:after="0"/>
              <w:rPr>
                <w:sz w:val="14"/>
                <w:szCs w:val="14"/>
                <w:color w:val="auto"/>
              </w:rPr>
            </w:pPr>
          </w:p>
        </w:tc>
        <w:tc>
          <w:tcPr>
            <w:tcW w:w="58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871.0</w:t>
            </w:r>
          </w:p>
        </w:tc>
        <w:tc>
          <w:tcPr>
            <w:tcW w:w="100" w:type="dxa"/>
            <w:vAlign w:val="bottom"/>
            <w:tcBorders>
              <w:bottom w:val="single" w:sz="8" w:color="DEEBF7"/>
            </w:tcBorders>
            <w:shd w:val="clear" w:color="auto" w:fill="DEEBF7"/>
          </w:tcPr>
          <w:p>
            <w:pPr>
              <w:spacing w:after="0"/>
              <w:rPr>
                <w:sz w:val="14"/>
                <w:szCs w:val="14"/>
                <w:color w:val="auto"/>
              </w:rPr>
            </w:pPr>
          </w:p>
        </w:tc>
        <w:tc>
          <w:tcPr>
            <w:tcW w:w="180" w:type="dxa"/>
            <w:vAlign w:val="bottom"/>
            <w:tcBorders>
              <w:bottom w:val="single" w:sz="8" w:color="DEEBF7"/>
            </w:tcBorders>
            <w:shd w:val="clear" w:color="auto" w:fill="DEEBF7"/>
          </w:tcPr>
          <w:p>
            <w:pPr>
              <w:spacing w:after="0"/>
              <w:rPr>
                <w:sz w:val="14"/>
                <w:szCs w:val="14"/>
                <w:color w:val="auto"/>
              </w:rPr>
            </w:pPr>
          </w:p>
        </w:tc>
        <w:tc>
          <w:tcPr>
            <w:tcW w:w="560" w:type="dxa"/>
            <w:vAlign w:val="bottom"/>
            <w:tcBorders>
              <w:bottom w:val="single" w:sz="8" w:color="auto"/>
            </w:tcBorders>
            <w:shd w:val="clear" w:color="auto" w:fill="DEEBF7"/>
          </w:tcPr>
          <w:p>
            <w:pPr>
              <w:spacing w:after="0"/>
              <w:rPr>
                <w:sz w:val="14"/>
                <w:szCs w:val="14"/>
                <w:color w:val="auto"/>
              </w:rPr>
            </w:pPr>
          </w:p>
        </w:tc>
        <w:tc>
          <w:tcPr>
            <w:tcW w:w="1060" w:type="dxa"/>
            <w:vAlign w:val="bottom"/>
            <w:tcBorders>
              <w:bottom w:val="single" w:sz="8" w:color="auto"/>
            </w:tcBorders>
            <w:shd w:val="clear" w:color="auto" w:fill="DEEBF7"/>
          </w:tcPr>
          <w:p>
            <w:pPr>
              <w:jc w:val="right"/>
              <w:spacing w:after="0"/>
              <w:rPr>
                <w:sz w:val="20"/>
                <w:szCs w:val="20"/>
                <w:color w:val="auto"/>
              </w:rPr>
            </w:pPr>
            <w:r>
              <w:rPr>
                <w:rFonts w:ascii="Arial" w:cs="Arial" w:eastAsia="Arial" w:hAnsi="Arial"/>
                <w:sz w:val="14"/>
                <w:szCs w:val="14"/>
                <w:color w:val="auto"/>
              </w:rPr>
              <w:t>509.4</w:t>
            </w:r>
          </w:p>
        </w:tc>
        <w:tc>
          <w:tcPr>
            <w:tcW w:w="120" w:type="dxa"/>
            <w:vAlign w:val="bottom"/>
            <w:tcBorders>
              <w:bottom w:val="single" w:sz="8" w:color="DEEBF7"/>
            </w:tcBorders>
            <w:shd w:val="clear" w:color="auto" w:fill="DEEBF7"/>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40" w:type="dxa"/>
            <w:vAlign w:val="bottom"/>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2400" w:type="dxa"/>
            <w:vAlign w:val="bottom"/>
            <w:gridSpan w:val="2"/>
          </w:tcPr>
          <w:p>
            <w:pPr>
              <w:jc w:val="right"/>
              <w:ind w:right="917"/>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224.9</w:t>
            </w:r>
          </w:p>
        </w:tc>
        <w:tc>
          <w:tcPr>
            <w:tcW w:w="100" w:type="dxa"/>
            <w:vAlign w:val="bottom"/>
          </w:tcPr>
          <w:p>
            <w:pPr>
              <w:spacing w:after="0"/>
              <w:rPr>
                <w:sz w:val="13"/>
                <w:szCs w:val="13"/>
                <w:color w:val="auto"/>
              </w:rPr>
            </w:pPr>
          </w:p>
        </w:tc>
        <w:tc>
          <w:tcPr>
            <w:tcW w:w="740" w:type="dxa"/>
            <w:vAlign w:val="bottom"/>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395.0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-2537460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-2537460</wp:posOffset>
            </wp:positionV>
            <wp:extent cx="749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-2109470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-2109470</wp:posOffset>
            </wp:positionV>
            <wp:extent cx="749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-1266190</wp:posOffset>
            </wp:positionV>
            <wp:extent cx="9271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710" cy="145415"/>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-1266190</wp:posOffset>
            </wp:positionV>
            <wp:extent cx="10033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330" cy="14541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-1028065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-1028065</wp:posOffset>
            </wp:positionV>
            <wp:extent cx="749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-810260</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-810260</wp:posOffset>
            </wp:positionV>
            <wp:extent cx="749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2026-04-16T06:33:12Z</dcterms:created>
  <dcterms:modified xsi:type="dcterms:W3CDTF">2026-04-16T06:33:12Z</dcterms:modified>
</cp:coreProperties>
</file>