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9"/>
          <w:szCs w:val="19"/>
          <w:b w:val="1"/>
          <w:bCs w:val="1"/>
          <w:color w:val="auto"/>
        </w:rPr>
        <w:t>Washington, D.C. 20549</w:t>
      </w:r>
    </w:p>
    <w:p>
      <w:pPr>
        <w:spacing w:after="0" w:line="9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8-K</w:t>
      </w:r>
    </w:p>
    <w:p>
      <w:pPr>
        <w:spacing w:after="0" w:line="135"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CURRENT REPORT</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Date of Report (Date of earliest event reported): January 31, 2020</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4" w:type="dxa"/>
        <w:tblCellMar>
          <w:top w:w="0" w:type="dxa"/>
          <w:left w:w="0" w:type="dxa"/>
          <w:bottom w:w="0" w:type="dxa"/>
          <w:right w:w="0" w:type="dxa"/>
        </w:tblCellMar>
      </w:tblPr>
      <w:tr>
        <w:trPr>
          <w:trHeight w:val="209"/>
        </w:trPr>
        <w:tc>
          <w:tcPr>
            <w:tcW w:w="44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87"/>
              </w:rPr>
              <w:t>Wisconsin</w:t>
            </w:r>
          </w:p>
        </w:tc>
        <w:tc>
          <w:tcPr>
            <w:tcW w:w="3120" w:type="dxa"/>
            <w:vAlign w:val="bottom"/>
            <w:gridSpan w:val="3"/>
          </w:tcPr>
          <w:p>
            <w:pPr>
              <w:jc w:val="right"/>
              <w:ind w:right="1560"/>
              <w:spacing w:after="0"/>
              <w:rPr>
                <w:sz w:val="20"/>
                <w:szCs w:val="20"/>
                <w:color w:val="auto"/>
              </w:rPr>
            </w:pPr>
            <w:r>
              <w:rPr>
                <w:rFonts w:ascii="Arial" w:cs="Arial" w:eastAsia="Arial" w:hAnsi="Arial"/>
                <w:sz w:val="16"/>
                <w:szCs w:val="16"/>
                <w:b w:val="1"/>
                <w:bCs w:val="1"/>
                <w:color w:val="auto"/>
              </w:rPr>
              <w:t>1-10686</w:t>
            </w:r>
          </w:p>
        </w:tc>
        <w:tc>
          <w:tcPr>
            <w:tcW w:w="220" w:type="dxa"/>
            <w:vAlign w:val="bottom"/>
          </w:tcPr>
          <w:p>
            <w:pPr>
              <w:spacing w:after="0"/>
              <w:rPr>
                <w:sz w:val="18"/>
                <w:szCs w:val="18"/>
                <w:color w:val="auto"/>
              </w:rPr>
            </w:pP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01"/>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1"/>
              </w:rPr>
              <w:t>(Commission File Number)</w:t>
            </w:r>
          </w:p>
        </w:tc>
        <w:tc>
          <w:tcPr>
            <w:tcW w:w="2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291"/>
        </w:trPr>
        <w:tc>
          <w:tcPr>
            <w:tcW w:w="4440" w:type="dxa"/>
            <w:vAlign w:val="bottom"/>
            <w:gridSpan w:val="3"/>
          </w:tcPr>
          <w:p>
            <w:pPr>
              <w:jc w:val="center"/>
              <w:ind w:left="960"/>
              <w:spacing w:after="0"/>
              <w:rPr>
                <w:sz w:val="20"/>
                <w:szCs w:val="20"/>
                <w:color w:val="auto"/>
              </w:rPr>
            </w:pPr>
            <w:r>
              <w:rPr>
                <w:rFonts w:ascii="Arial" w:cs="Arial" w:eastAsia="Arial" w:hAnsi="Arial"/>
                <w:sz w:val="16"/>
                <w:szCs w:val="16"/>
                <w:b w:val="1"/>
                <w:bCs w:val="1"/>
                <w:color w:val="auto"/>
                <w:w w:val="91"/>
              </w:rPr>
              <w:t>100 Manpower Place</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9"/>
        </w:trPr>
        <w:tc>
          <w:tcPr>
            <w:tcW w:w="4440" w:type="dxa"/>
            <w:vAlign w:val="bottom"/>
            <w:tcBorders>
              <w:bottom w:val="single" w:sz="8" w:color="auto"/>
            </w:tcBorders>
            <w:gridSpan w:val="3"/>
          </w:tcPr>
          <w:p>
            <w:pPr>
              <w:jc w:val="center"/>
              <w:ind w:left="960"/>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2460"/>
              <w:spacing w:after="0"/>
              <w:rPr>
                <w:sz w:val="20"/>
                <w:szCs w:val="20"/>
                <w:color w:val="auto"/>
              </w:rPr>
            </w:pPr>
            <w:r>
              <w:rPr>
                <w:rFonts w:ascii="Arial" w:cs="Arial" w:eastAsia="Arial" w:hAnsi="Arial"/>
                <w:sz w:val="16"/>
                <w:szCs w:val="16"/>
                <w:b w:val="1"/>
                <w:bCs w:val="1"/>
                <w:color w:val="auto"/>
              </w:rPr>
              <w:t>53212</w:t>
            </w:r>
          </w:p>
        </w:tc>
      </w:tr>
      <w:tr>
        <w:trPr>
          <w:trHeight w:val="201"/>
        </w:trPr>
        <w:tc>
          <w:tcPr>
            <w:tcW w:w="4440" w:type="dxa"/>
            <w:vAlign w:val="bottom"/>
            <w:gridSpan w:val="3"/>
          </w:tcPr>
          <w:p>
            <w:pPr>
              <w:jc w:val="center"/>
              <w:ind w:left="96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Pr>
          <w:p>
            <w:pPr>
              <w:jc w:val="center"/>
              <w:ind w:right="1760"/>
              <w:spacing w:after="0"/>
              <w:rPr>
                <w:sz w:val="20"/>
                <w:szCs w:val="20"/>
                <w:color w:val="auto"/>
              </w:rPr>
            </w:pPr>
            <w:r>
              <w:rPr>
                <w:rFonts w:ascii="Arial" w:cs="Arial" w:eastAsia="Arial" w:hAnsi="Arial"/>
                <w:sz w:val="16"/>
                <w:szCs w:val="16"/>
                <w:b w:val="1"/>
                <w:bCs w:val="1"/>
                <w:color w:val="auto"/>
                <w:w w:val="93"/>
              </w:rPr>
              <w:t>(Zip Code)</w:t>
            </w:r>
          </w:p>
        </w:tc>
      </w:tr>
    </w:tbl>
    <w:p>
      <w:pPr>
        <w:spacing w:after="0" w:line="103" w:lineRule="exact"/>
        <w:rPr>
          <w:sz w:val="24"/>
          <w:szCs w:val="24"/>
          <w:color w:val="auto"/>
        </w:rPr>
      </w:pPr>
    </w:p>
    <w:p>
      <w:pPr>
        <w:ind w:left="3524"/>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40" w:lineRule="exact"/>
        <w:rPr>
          <w:sz w:val="24"/>
          <w:szCs w:val="24"/>
          <w:color w:val="auto"/>
        </w:rPr>
      </w:pPr>
    </w:p>
    <w:p>
      <w:pPr>
        <w:ind w:left="3724"/>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0"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3" w:lineRule="exact"/>
        <w:rPr>
          <w:sz w:val="24"/>
          <w:szCs w:val="24"/>
          <w:color w:val="auto"/>
        </w:rPr>
      </w:pPr>
    </w:p>
    <w:tbl>
      <w:tblPr>
        <w:tblLayout w:type="fixed"/>
        <w:tblInd w:w="14" w:type="dxa"/>
        <w:tblCellMar>
          <w:top w:w="0" w:type="dxa"/>
          <w:left w:w="0" w:type="dxa"/>
          <w:bottom w:w="0" w:type="dxa"/>
          <w:right w:w="0" w:type="dxa"/>
        </w:tblCellMar>
      </w:tblPr>
      <w:tr>
        <w:trPr>
          <w:trHeight w:val="20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184"/>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New York Stock Exchange</w:t>
            </w:r>
          </w:p>
        </w:tc>
      </w:tr>
    </w:tbl>
    <w:p>
      <w:pPr>
        <w:spacing w:after="0" w:line="180" w:lineRule="exact"/>
        <w:rPr>
          <w:sz w:val="24"/>
          <w:szCs w:val="24"/>
          <w:color w:val="auto"/>
        </w:rPr>
      </w:pPr>
    </w:p>
    <w:p>
      <w:pPr>
        <w:ind w:left="4" w:right="24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0" w:lineRule="exact"/>
        <w:rPr>
          <w:sz w:val="24"/>
          <w:szCs w:val="24"/>
          <w:color w:val="auto"/>
        </w:rPr>
      </w:pPr>
    </w:p>
    <w:p>
      <w:pPr>
        <w:ind w:left="4" w:right="3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525780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1444"/>
          </w:cols>
          <w:pgMar w:left="236" w:top="391"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2.02Results of Operations and Financial Condition</w:t>
      </w:r>
    </w:p>
    <w:p>
      <w:pPr>
        <w:spacing w:after="0" w:line="228" w:lineRule="exact"/>
        <w:rPr>
          <w:sz w:val="20"/>
          <w:szCs w:val="20"/>
          <w:color w:val="auto"/>
        </w:rPr>
      </w:pPr>
    </w:p>
    <w:p>
      <w:pPr>
        <w:ind w:right="34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0"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On January 31, 2020, we issued a press release announcing our results of operations for the three months and year ended December 31, 2019. A copy of the press release is attached hereto as Exhibit 99.1 and is incorporated herein by reference.</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 Attached hereto as Exhibit 99.3 is our Operating Unit Results since January 1, 2018, revised to conform to the current year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1006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48"/>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8"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2"/>
                <w:szCs w:val="12"/>
                <w:color w:val="auto"/>
              </w:rPr>
            </w:pPr>
          </w:p>
        </w:tc>
        <w:tc>
          <w:tcPr>
            <w:tcW w:w="2400" w:type="dxa"/>
            <w:vAlign w:val="bottom"/>
            <w:tcBorders>
              <w:top w:val="single" w:sz="8" w:color="auto"/>
              <w:bottom w:val="single" w:sz="8" w:color="0000EE"/>
            </w:tcBorders>
          </w:tcPr>
          <w:p>
            <w:pPr>
              <w:spacing w:after="0" w:line="148" w:lineRule="exact"/>
              <w:rPr>
                <w:rFonts w:ascii="Arial" w:cs="Arial" w:eastAsia="Arial" w:hAnsi="Arial"/>
                <w:sz w:val="16"/>
                <w:szCs w:val="16"/>
                <w:color w:val="0000EE"/>
                <w:w w:val="86"/>
              </w:rPr>
            </w:pPr>
            <w:hyperlink w:anchor="page4">
              <w:r>
                <w:rPr>
                  <w:rFonts w:ascii="Arial" w:cs="Arial" w:eastAsia="Arial" w:hAnsi="Arial"/>
                  <w:sz w:val="16"/>
                  <w:szCs w:val="16"/>
                  <w:color w:val="0000EE"/>
                  <w:w w:val="86"/>
                </w:rPr>
                <w:t>Press Release dated January 31, 2020</w:t>
              </w:r>
            </w:hyperlink>
          </w:p>
        </w:tc>
        <w:tc>
          <w:tcPr>
            <w:tcW w:w="7660" w:type="dxa"/>
            <w:vAlign w:val="bottom"/>
            <w:tcBorders>
              <w:top w:val="single" w:sz="8" w:color="auto"/>
            </w:tcBorders>
            <w:gridSpan w:val="3"/>
          </w:tcPr>
          <w:p>
            <w:pPr>
              <w:spacing w:after="0"/>
              <w:rPr>
                <w:sz w:val="12"/>
                <w:szCs w:val="12"/>
                <w:color w:val="auto"/>
              </w:rPr>
            </w:pPr>
          </w:p>
        </w:tc>
      </w:tr>
      <w:tr>
        <w:trPr>
          <w:trHeight w:val="172"/>
        </w:trPr>
        <w:tc>
          <w:tcPr>
            <w:tcW w:w="1260" w:type="dxa"/>
            <w:vAlign w:val="bottom"/>
            <w:gridSpan w:val="2"/>
          </w:tcPr>
          <w:p>
            <w:pPr>
              <w:spacing w:after="0" w:line="172" w:lineRule="exact"/>
              <w:rPr>
                <w:sz w:val="20"/>
                <w:szCs w:val="20"/>
                <w:color w:val="auto"/>
              </w:rPr>
            </w:pPr>
            <w:r>
              <w:rPr>
                <w:rFonts w:ascii="Arial" w:cs="Arial" w:eastAsia="Arial" w:hAnsi="Arial"/>
                <w:sz w:val="16"/>
                <w:szCs w:val="16"/>
                <w:color w:val="auto"/>
              </w:rPr>
              <w:t>99.2</w:t>
            </w:r>
          </w:p>
        </w:tc>
        <w:tc>
          <w:tcPr>
            <w:tcW w:w="120" w:type="dxa"/>
            <w:vAlign w:val="bottom"/>
          </w:tcPr>
          <w:p>
            <w:pPr>
              <w:spacing w:after="0"/>
              <w:rPr>
                <w:sz w:val="14"/>
                <w:szCs w:val="14"/>
                <w:color w:val="auto"/>
              </w:rPr>
            </w:pPr>
          </w:p>
        </w:tc>
        <w:tc>
          <w:tcPr>
            <w:tcW w:w="10060" w:type="dxa"/>
            <w:vAlign w:val="bottom"/>
            <w:gridSpan w:val="4"/>
          </w:tcPr>
          <w:p>
            <w:pPr>
              <w:spacing w:after="0" w:line="172" w:lineRule="exact"/>
              <w:rPr>
                <w:rFonts w:ascii="Arial" w:cs="Arial" w:eastAsia="Arial" w:hAnsi="Arial"/>
                <w:sz w:val="16"/>
                <w:szCs w:val="16"/>
                <w:color w:val="0000EE"/>
              </w:rPr>
            </w:pPr>
            <w:hyperlink w:anchor="page12">
              <w:r>
                <w:rPr>
                  <w:rFonts w:ascii="Arial" w:cs="Arial" w:eastAsia="Arial" w:hAnsi="Arial"/>
                  <w:sz w:val="16"/>
                  <w:szCs w:val="16"/>
                  <w:color w:val="0000EE"/>
                </w:rPr>
                <w:t>Presentation materials for January 31, 2020 Conference Call</w:t>
              </w:r>
            </w:hyperlink>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72"/>
        </w:trPr>
        <w:tc>
          <w:tcPr>
            <w:tcW w:w="1260" w:type="dxa"/>
            <w:vAlign w:val="bottom"/>
            <w:gridSpan w:val="2"/>
          </w:tcPr>
          <w:p>
            <w:pPr>
              <w:spacing w:after="0" w:line="172" w:lineRule="exact"/>
              <w:rPr>
                <w:sz w:val="20"/>
                <w:szCs w:val="20"/>
                <w:color w:val="auto"/>
              </w:rPr>
            </w:pPr>
            <w:r>
              <w:rPr>
                <w:rFonts w:ascii="Arial" w:cs="Arial" w:eastAsia="Arial" w:hAnsi="Arial"/>
                <w:sz w:val="16"/>
                <w:szCs w:val="16"/>
                <w:color w:val="auto"/>
              </w:rPr>
              <w:t>99.3</w:t>
            </w:r>
          </w:p>
        </w:tc>
        <w:tc>
          <w:tcPr>
            <w:tcW w:w="120" w:type="dxa"/>
            <w:vAlign w:val="bottom"/>
          </w:tcPr>
          <w:p>
            <w:pPr>
              <w:spacing w:after="0"/>
              <w:rPr>
                <w:sz w:val="14"/>
                <w:szCs w:val="14"/>
                <w:color w:val="auto"/>
              </w:rPr>
            </w:pPr>
          </w:p>
        </w:tc>
        <w:tc>
          <w:tcPr>
            <w:tcW w:w="10060" w:type="dxa"/>
            <w:vAlign w:val="bottom"/>
            <w:gridSpan w:val="4"/>
          </w:tcPr>
          <w:p>
            <w:pPr>
              <w:spacing w:after="0" w:line="172" w:lineRule="exact"/>
              <w:rPr>
                <w:rFonts w:ascii="Arial" w:cs="Arial" w:eastAsia="Arial" w:hAnsi="Arial"/>
                <w:sz w:val="16"/>
                <w:szCs w:val="16"/>
                <w:color w:val="0000EE"/>
              </w:rPr>
            </w:pPr>
            <w:hyperlink w:anchor="page39">
              <w:r>
                <w:rPr>
                  <w:rFonts w:ascii="Arial" w:cs="Arial" w:eastAsia="Arial" w:hAnsi="Arial"/>
                  <w:sz w:val="16"/>
                  <w:szCs w:val="16"/>
                  <w:color w:val="0000EE"/>
                </w:rPr>
                <w:t>Operating Unit Results reflecting the restatement of segment results</w:t>
              </w:r>
            </w:hyperlink>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08"/>
        </w:trPr>
        <w:tc>
          <w:tcPr>
            <w:tcW w:w="1260" w:type="dxa"/>
            <w:vAlign w:val="bottom"/>
            <w:gridSpan w:val="2"/>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0060" w:type="dxa"/>
            <w:vAlign w:val="bottom"/>
            <w:gridSpan w:val="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253"/>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4" w:lineRule="exact"/>
        <w:rPr>
          <w:sz w:val="20"/>
          <w:szCs w:val="20"/>
          <w:color w:val="auto"/>
        </w:rPr>
      </w:pPr>
    </w:p>
    <w:p>
      <w:pPr>
        <w:ind w:right="340" w:firstLine="548"/>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6040" w:type="dxa"/>
            <w:vAlign w:val="bottom"/>
            <w:gridSpan w:val="2"/>
          </w:tcPr>
          <w:p>
            <w:pPr>
              <w:ind w:left="140"/>
              <w:spacing w:after="0"/>
              <w:rPr>
                <w:sz w:val="20"/>
                <w:szCs w:val="20"/>
                <w:color w:val="auto"/>
              </w:rPr>
            </w:pPr>
            <w:r>
              <w:rPr>
                <w:rFonts w:ascii="Arial" w:cs="Arial" w:eastAsia="Arial" w:hAnsi="Arial"/>
                <w:sz w:val="16"/>
                <w:szCs w:val="16"/>
                <w:color w:val="auto"/>
              </w:rPr>
              <w:t>MANPOWERGROUP INC.</w:t>
            </w:r>
          </w:p>
        </w:tc>
      </w:tr>
      <w:tr>
        <w:trPr>
          <w:trHeight w:val="384"/>
        </w:trPr>
        <w:tc>
          <w:tcPr>
            <w:tcW w:w="5400" w:type="dxa"/>
            <w:vAlign w:val="bottom"/>
            <w:gridSpan w:val="2"/>
          </w:tcPr>
          <w:p>
            <w:pPr>
              <w:spacing w:after="0"/>
              <w:rPr>
                <w:sz w:val="20"/>
                <w:szCs w:val="20"/>
                <w:color w:val="auto"/>
              </w:rPr>
            </w:pPr>
            <w:r>
              <w:rPr>
                <w:rFonts w:ascii="Arial" w:cs="Arial" w:eastAsia="Arial" w:hAnsi="Arial"/>
                <w:sz w:val="16"/>
                <w:szCs w:val="16"/>
                <w:color w:val="auto"/>
                <w:w w:val="88"/>
              </w:rPr>
              <w:t>Dated:January 31, 2020</w:t>
            </w:r>
          </w:p>
        </w:tc>
        <w:tc>
          <w:tcPr>
            <w:tcW w:w="840" w:type="dxa"/>
            <w:vAlign w:val="bottom"/>
          </w:tcPr>
          <w:p>
            <w:pPr>
              <w:ind w:left="140"/>
              <w:spacing w:after="0"/>
              <w:rPr>
                <w:sz w:val="20"/>
                <w:szCs w:val="20"/>
                <w:color w:val="auto"/>
              </w:rPr>
            </w:pPr>
            <w:r>
              <w:rPr>
                <w:rFonts w:ascii="Arial" w:cs="Arial" w:eastAsia="Arial" w:hAnsi="Arial"/>
                <w:sz w:val="16"/>
                <w:szCs w:val="16"/>
                <w:color w:val="auto"/>
              </w:rPr>
              <w:t>By:</w:t>
            </w:r>
          </w:p>
        </w:tc>
        <w:tc>
          <w:tcPr>
            <w:tcW w:w="5200" w:type="dxa"/>
            <w:vAlign w:val="bottom"/>
          </w:tcPr>
          <w:p>
            <w:pPr>
              <w:ind w:left="60"/>
              <w:spacing w:after="0"/>
              <w:rPr>
                <w:sz w:val="20"/>
                <w:szCs w:val="20"/>
                <w:color w:val="auto"/>
              </w:rPr>
            </w:pPr>
            <w:r>
              <w:rPr>
                <w:rFonts w:ascii="Arial" w:cs="Arial" w:eastAsia="Arial" w:hAnsi="Arial"/>
                <w:sz w:val="16"/>
                <w:szCs w:val="16"/>
                <w:color w:val="auto"/>
              </w:rPr>
              <w:t>/s/ John T. McGinnis</w:t>
            </w:r>
          </w:p>
        </w:tc>
      </w:tr>
      <w:tr>
        <w:trPr>
          <w:trHeight w:val="172"/>
        </w:trPr>
        <w:tc>
          <w:tcPr>
            <w:tcW w:w="74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840" w:type="dxa"/>
            <w:vAlign w:val="bottom"/>
          </w:tcPr>
          <w:p>
            <w:pPr>
              <w:ind w:left="140"/>
              <w:spacing w:after="0" w:line="172" w:lineRule="exact"/>
              <w:rPr>
                <w:sz w:val="20"/>
                <w:szCs w:val="20"/>
                <w:color w:val="auto"/>
              </w:rPr>
            </w:pPr>
            <w:r>
              <w:rPr>
                <w:rFonts w:ascii="Arial" w:cs="Arial" w:eastAsia="Arial" w:hAnsi="Arial"/>
                <w:sz w:val="16"/>
                <w:szCs w:val="16"/>
                <w:color w:val="auto"/>
              </w:rPr>
              <w:t>Name:</w:t>
            </w:r>
          </w:p>
        </w:tc>
        <w:tc>
          <w:tcPr>
            <w:tcW w:w="5200" w:type="dxa"/>
            <w:vAlign w:val="bottom"/>
            <w:tcBorders>
              <w:top w:val="single" w:sz="8" w:color="auto"/>
            </w:tcBorders>
          </w:tcPr>
          <w:p>
            <w:pPr>
              <w:ind w:left="60"/>
              <w:spacing w:after="0" w:line="172" w:lineRule="exact"/>
              <w:rPr>
                <w:sz w:val="20"/>
                <w:szCs w:val="20"/>
                <w:color w:val="auto"/>
              </w:rPr>
            </w:pPr>
            <w:r>
              <w:rPr>
                <w:rFonts w:ascii="Arial" w:cs="Arial" w:eastAsia="Arial" w:hAnsi="Arial"/>
                <w:sz w:val="16"/>
                <w:szCs w:val="16"/>
                <w:color w:val="auto"/>
              </w:rPr>
              <w:t>John T. McGinnis</w:t>
            </w:r>
          </w:p>
        </w:tc>
      </w:tr>
      <w:tr>
        <w:trPr>
          <w:trHeight w:val="192"/>
        </w:trPr>
        <w:tc>
          <w:tcPr>
            <w:tcW w:w="7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Arial" w:cs="Arial" w:eastAsia="Arial" w:hAnsi="Arial"/>
                <w:sz w:val="16"/>
                <w:szCs w:val="16"/>
                <w:color w:val="auto"/>
              </w:rPr>
              <w:t>Title:</w:t>
            </w:r>
          </w:p>
        </w:tc>
        <w:tc>
          <w:tcPr>
            <w:tcW w:w="5200" w:type="dxa"/>
            <w:vAlign w:val="bottom"/>
          </w:tcPr>
          <w:p>
            <w:pPr>
              <w:ind w:left="60"/>
              <w:spacing w:after="0"/>
              <w:rPr>
                <w:sz w:val="20"/>
                <w:szCs w:val="20"/>
                <w:color w:val="auto"/>
              </w:rPr>
            </w:pPr>
            <w:r>
              <w:rPr>
                <w:rFonts w:ascii="Arial" w:cs="Arial" w:eastAsia="Arial" w:hAnsi="Arial"/>
                <w:sz w:val="16"/>
                <w:szCs w:val="16"/>
                <w:color w:val="auto"/>
              </w:rPr>
              <w:t>Executive Vice President and</w:t>
            </w:r>
          </w:p>
        </w:tc>
      </w:tr>
      <w:tr>
        <w:trPr>
          <w:trHeight w:val="205"/>
        </w:trPr>
        <w:tc>
          <w:tcPr>
            <w:tcW w:w="7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40"/>
          </w:cols>
          <w:pgMar w:left="240" w:top="315"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357630" cy="724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763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684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Jack McGinnis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+1.414.906.7977</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0000FF"/>
        </w:rPr>
        <w:t>jack.mcginnis@manpowergroup.com</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16"/>
          <w:szCs w:val="16"/>
          <w:b w:val="1"/>
          <w:bCs w:val="1"/>
          <w:color w:val="auto"/>
        </w:rPr>
        <w:t>th</w:t>
      </w:r>
      <w:r>
        <w:rPr>
          <w:rFonts w:ascii="Arial" w:cs="Arial" w:eastAsia="Arial" w:hAnsi="Arial"/>
          <w:sz w:val="19"/>
          <w:szCs w:val="19"/>
          <w:b w:val="1"/>
          <w:bCs w:val="1"/>
          <w:color w:val="auto"/>
        </w:rPr>
        <w:t xml:space="preserve"> Quarter and Full Year 2019 Results</w:t>
      </w:r>
    </w:p>
    <w:p>
      <w:pPr>
        <w:spacing w:after="0" w:line="229" w:lineRule="exact"/>
        <w:rPr>
          <w:sz w:val="20"/>
          <w:szCs w:val="20"/>
          <w:color w:val="auto"/>
        </w:rPr>
      </w:pPr>
    </w:p>
    <w:p>
      <w:pPr>
        <w:ind w:left="580" w:right="280" w:hanging="392"/>
        <w:spacing w:after="0" w:line="222"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results reflect a continuation of the challenging revenue trends in Europe, partially offset by growth in Americas and Right Management</w:t>
      </w:r>
    </w:p>
    <w:p>
      <w:pPr>
        <w:spacing w:after="0" w:line="1" w:lineRule="exact"/>
        <w:rPr>
          <w:rFonts w:ascii="Arial" w:cs="Arial" w:eastAsia="Arial" w:hAnsi="Arial"/>
          <w:sz w:val="18"/>
          <w:szCs w:val="18"/>
          <w:color w:val="auto"/>
        </w:rPr>
      </w:pPr>
    </w:p>
    <w:p>
      <w:pPr>
        <w:ind w:left="580" w:hanging="392"/>
        <w:spacing w:after="0" w:line="23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 markets UK, Japan, Spain, Norway and Canada drove revenue growth during fourth quarter</w:t>
      </w:r>
    </w:p>
    <w:p>
      <w:pPr>
        <w:ind w:left="580" w:hanging="392"/>
        <w:spacing w:after="0" w:line="23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Free Cash Flow and improved Days Sales Outstanding during fourth quarter</w:t>
      </w:r>
    </w:p>
    <w:p>
      <w:pPr>
        <w:ind w:left="580" w:hanging="392"/>
        <w:spacing w:after="0" w:line="23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 million of common stock repurchased during fourth quarter</w:t>
      </w:r>
    </w:p>
    <w:p>
      <w:pPr>
        <w:ind w:left="580" w:hanging="392"/>
        <w:spacing w:after="0" w:line="23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global brand Talent Solutions launched today</w:t>
      </w:r>
    </w:p>
    <w:p>
      <w:pPr>
        <w:ind w:left="580" w:hanging="39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 slightly lower revenue trend into the first quarter of 2020</w:t>
      </w:r>
    </w:p>
    <w:p>
      <w:pPr>
        <w:spacing w:after="0" w:line="360"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b w:val="1"/>
          <w:bCs w:val="1"/>
          <w:color w:val="auto"/>
        </w:rPr>
        <w:t xml:space="preserve">MILWAUKEE, January 31, 2020 -- </w:t>
      </w:r>
      <w:r>
        <w:rPr>
          <w:rFonts w:ascii="Arial" w:cs="Arial" w:eastAsia="Arial" w:hAnsi="Arial"/>
          <w:sz w:val="18"/>
          <w:szCs w:val="18"/>
          <w:color w:val="auto"/>
        </w:rPr>
        <w:t>ManpowerGroup (NYSE: MAN) today reported net earnings of $2.33 per diluted share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2019 compared to $2.54 per diluted share in the prior year period. Net earnings in the quarter were $138.8 million compared to $158.3 million a year earlier. Revenues for the fourth quarter were $5.2 billion, a 4% decline from the prior year period.</w:t>
      </w:r>
    </w:p>
    <w:p>
      <w:pPr>
        <w:spacing w:after="0" w:line="1" w:lineRule="exact"/>
        <w:rPr>
          <w:sz w:val="20"/>
          <w:szCs w:val="20"/>
          <w:color w:val="auto"/>
        </w:rPr>
      </w:pPr>
    </w:p>
    <w:p>
      <w:pPr>
        <w:jc w:val="both"/>
        <w:ind w:right="20" w:firstLine="791"/>
        <w:spacing w:after="0" w:line="228" w:lineRule="auto"/>
        <w:rPr>
          <w:sz w:val="20"/>
          <w:szCs w:val="20"/>
          <w:color w:val="auto"/>
        </w:rPr>
      </w:pPr>
      <w:r>
        <w:rPr>
          <w:rFonts w:ascii="Arial" w:cs="Arial" w:eastAsia="Arial" w:hAnsi="Arial"/>
          <w:sz w:val="18"/>
          <w:szCs w:val="18"/>
          <w:color w:val="auto"/>
        </w:rPr>
        <w:t>Financial results in the quarter were impacted by the stronger U.S. dollar relative to foreign currencies compared to the prior year period. On a constant currency basis, revenues were down 2%. On a constant currency basis, net earnings per diluted share decreased 6%. Earnings per share in the quarter were negatively impacted 5 cents by changes in foreign currencies compared to the prior year. Discrete net tax benefits positively impacted earnings per share by 23 cents in the fourth quarter of 2019.</w:t>
      </w:r>
    </w:p>
    <w:p>
      <w:pPr>
        <w:spacing w:after="0" w:line="186" w:lineRule="exact"/>
        <w:rPr>
          <w:sz w:val="20"/>
          <w:szCs w:val="20"/>
          <w:color w:val="auto"/>
        </w:rPr>
      </w:pPr>
    </w:p>
    <w:p>
      <w:pPr>
        <w:jc w:val="both"/>
        <w:ind w:firstLine="804"/>
        <w:spacing w:after="0" w:line="222" w:lineRule="auto"/>
        <w:rPr>
          <w:sz w:val="20"/>
          <w:szCs w:val="20"/>
          <w:color w:val="auto"/>
        </w:rPr>
      </w:pPr>
      <w:r>
        <w:rPr>
          <w:rFonts w:ascii="Arial" w:cs="Arial" w:eastAsia="Arial" w:hAnsi="Arial"/>
          <w:sz w:val="18"/>
          <w:szCs w:val="18"/>
          <w:color w:val="auto"/>
        </w:rPr>
        <w:t>“We executed well in a slow growth global economy,” said Jonas Prising, ManpowerGroup Chairman &amp; CEO. “Our fourth quarter performance reflects a challenging revenue environment in Europe, partially offset by growth in the Americas, Right Management and most markets within APME. While the global economy continues to face a high level of complex trade and geopolitical related risks, there are growth opportunities in this environment for our market leading services and workforce solutions offerings.”</w:t>
      </w:r>
    </w:p>
    <w:p>
      <w:pPr>
        <w:spacing w:after="0" w:line="3" w:lineRule="exact"/>
        <w:rPr>
          <w:sz w:val="20"/>
          <w:szCs w:val="20"/>
          <w:color w:val="auto"/>
        </w:rPr>
      </w:pPr>
    </w:p>
    <w:p>
      <w:pPr>
        <w:jc w:val="both"/>
        <w:ind w:right="20" w:firstLine="804"/>
        <w:spacing w:after="0" w:line="230" w:lineRule="auto"/>
        <w:rPr>
          <w:sz w:val="20"/>
          <w:szCs w:val="20"/>
          <w:color w:val="auto"/>
        </w:rPr>
      </w:pPr>
      <w:r>
        <w:rPr>
          <w:rFonts w:ascii="Arial" w:cs="Arial" w:eastAsia="Arial" w:hAnsi="Arial"/>
          <w:sz w:val="18"/>
          <w:szCs w:val="18"/>
          <w:color w:val="auto"/>
        </w:rPr>
        <w:t>“With that, we are excited to announce today’s launch of our new brand Talent Solutions, combining three of our current global offerings to leverage our deep expertise in RPO, Tapfin MSP and Right Management. This is how we will continue to deliver new solutions and create added value that addresses our clients’ complex global workforce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282575</wp:posOffset>
            </wp:positionV>
            <wp:extent cx="730250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4" w:name="page5"/>
    <w:bookmarkEnd w:id="4"/>
    <w:p>
      <w:pPr>
        <w:jc w:val="both"/>
        <w:ind w:right="20" w:firstLine="804"/>
        <w:spacing w:after="0" w:line="222" w:lineRule="auto"/>
        <w:rPr>
          <w:sz w:val="20"/>
          <w:szCs w:val="20"/>
          <w:color w:val="auto"/>
        </w:rPr>
      </w:pPr>
      <w:r>
        <w:rPr>
          <w:rFonts w:ascii="Arial" w:cs="Arial" w:eastAsia="Arial" w:hAnsi="Arial"/>
          <w:sz w:val="18"/>
          <w:szCs w:val="18"/>
          <w:color w:val="auto"/>
        </w:rPr>
        <w:t>“We anticipate diluted earnings per share in the first quarter will be between $1.33 and $1.41, which includes an estimated unfavorable currency impact of 3 cents.”</w:t>
      </w:r>
    </w:p>
    <w:p>
      <w:pPr>
        <w:spacing w:after="0" w:line="1" w:lineRule="exact"/>
        <w:rPr>
          <w:sz w:val="20"/>
          <w:szCs w:val="20"/>
          <w:color w:val="auto"/>
        </w:rPr>
      </w:pPr>
    </w:p>
    <w:p>
      <w:pPr>
        <w:jc w:val="both"/>
        <w:ind w:right="20" w:firstLine="852"/>
        <w:spacing w:after="0" w:line="222" w:lineRule="auto"/>
        <w:rPr>
          <w:sz w:val="20"/>
          <w:szCs w:val="20"/>
          <w:color w:val="auto"/>
        </w:rPr>
      </w:pPr>
      <w:r>
        <w:rPr>
          <w:rFonts w:ascii="Arial" w:cs="Arial" w:eastAsia="Arial" w:hAnsi="Arial"/>
          <w:sz w:val="18"/>
          <w:szCs w:val="18"/>
          <w:color w:val="auto"/>
        </w:rPr>
        <w:t>Free Cash Flow in the fourth quarter of $303 million represented a significant increase from $156 million in the prior year period. At December 31, 2019, Days Sales Outstanding decreased by one day from the prior year. ManpowerGroup repurchased 579 thousand shares of common stock for $51 million during the quarter.</w:t>
      </w:r>
    </w:p>
    <w:p>
      <w:pPr>
        <w:spacing w:after="0" w:line="2" w:lineRule="exact"/>
        <w:rPr>
          <w:sz w:val="20"/>
          <w:szCs w:val="20"/>
          <w:color w:val="auto"/>
        </w:rPr>
      </w:pPr>
    </w:p>
    <w:p>
      <w:pPr>
        <w:jc w:val="both"/>
        <w:ind w:firstLine="804"/>
        <w:spacing w:after="0" w:line="222" w:lineRule="auto"/>
        <w:rPr>
          <w:sz w:val="20"/>
          <w:szCs w:val="20"/>
          <w:color w:val="auto"/>
        </w:rPr>
      </w:pPr>
      <w:r>
        <w:rPr>
          <w:rFonts w:ascii="Arial" w:cs="Arial" w:eastAsia="Arial" w:hAnsi="Arial"/>
          <w:sz w:val="18"/>
          <w:szCs w:val="18"/>
          <w:color w:val="auto"/>
        </w:rPr>
        <w:t>Net earnings for the year ended December 31, 2019 were $465.7 million, or $7.72 per diluted share compared to net earnings of $556.7 million, or $8.56 per diluted share in the prior year. The year to date period included special items and restructuring costs which increased earnings per share by 4 cents and discrete income tax benefits that increased earnings per share by 23 cents. The prior year to date period included restructuring costs which reduced earnings per share by 46 cents. Revenues for the year were $20.9 billion, a decrease of 5% from the prior year or a decrease of 1% in constant currency. Earnings per share for the year were negatively impacted 28 cents by changes in foreign currencies compared to the prior year, or 36 cents excluding the special items and restructuring costs. ManpowerGroup repurchased 2.4 million shares of common stock for $203 million during the year ended December 31, 2019.</w:t>
      </w:r>
    </w:p>
    <w:p>
      <w:pPr>
        <w:spacing w:after="0" w:line="5" w:lineRule="exact"/>
        <w:rPr>
          <w:sz w:val="20"/>
          <w:szCs w:val="20"/>
          <w:color w:val="auto"/>
        </w:rPr>
      </w:pPr>
    </w:p>
    <w:p>
      <w:pPr>
        <w:jc w:val="both"/>
        <w:ind w:right="20" w:firstLine="790"/>
        <w:spacing w:after="0" w:line="230" w:lineRule="auto"/>
        <w:rPr>
          <w:sz w:val="20"/>
          <w:szCs w:val="20"/>
          <w:color w:val="auto"/>
        </w:rPr>
      </w:pPr>
      <w:r>
        <w:rPr>
          <w:rFonts w:ascii="Arial" w:cs="Arial" w:eastAsia="Arial" w:hAnsi="Arial"/>
          <w:sz w:val="18"/>
          <w:szCs w:val="18"/>
          <w:color w:val="auto"/>
        </w:rPr>
        <w:t xml:space="preserve">In conjunction with its fourth quarter and full year earnings release, ManpowerGroup will broadcast its conference call live over the Internet on January 31, 2020 at 7:30 a.m. CST (8:30 a.m. EST).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in the section titled “Investor Relations.”</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ManpowerGroup® (NYSE: </w:t>
      </w:r>
      <w:r>
        <w:rPr>
          <w:rFonts w:ascii="Arial" w:cs="Arial" w:eastAsia="Arial" w:hAnsi="Arial"/>
          <w:sz w:val="16"/>
          <w:szCs w:val="16"/>
          <w:u w:val="single" w:color="auto"/>
          <w:color w:val="auto"/>
        </w:rPr>
        <w:t>MAN</w:t>
      </w:r>
      <w:r>
        <w:rPr>
          <w:rFonts w:ascii="Arial" w:cs="Arial" w:eastAsia="Arial" w:hAnsi="Arial"/>
          <w:sz w:val="16"/>
          <w:szCs w:val="16"/>
          <w:color w:val="auto"/>
        </w:rPr>
        <w:t xml:space="preserve">),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80 countries and territories and has done so for over 70 years. In 2019, ManpowerGroup was named one of Fortune's Most Admired Companies for the seventeenth year and one of the World's Most Ethical Companies for the tenth year, confirming our position as the most trusted brand in the industry. See how ManpowerGroup is powering the future of work: </w:t>
      </w:r>
      <w:r>
        <w:rPr>
          <w:rFonts w:ascii="Arial" w:cs="Arial" w:eastAsia="Arial" w:hAnsi="Arial"/>
          <w:sz w:val="16"/>
          <w:szCs w:val="16"/>
          <w:u w:val="single" w:color="auto"/>
          <w:color w:val="auto"/>
        </w:rPr>
        <w:t>www.manpowergroup.com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This news release contains statements, including earnings projections, predictions about revenue trends and the effect of currency fluctuations,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2018, which information is incorporated herein by reference.</w:t>
      </w: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290195</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6"/>
          <w:szCs w:val="16"/>
          <w:color w:val="auto"/>
        </w:rPr>
        <w:t>ManpowerGroup</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Results of Operations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millions, except per share data)</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6"/>
                <w:szCs w:val="16"/>
                <w:b w:val="1"/>
                <w:bCs w:val="1"/>
                <w:color w:val="auto"/>
                <w:w w:val="90"/>
              </w:rPr>
              <w:t>Three Months Ended December 31</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840"/>
              <w:spacing w:after="0"/>
              <w:rPr>
                <w:sz w:val="20"/>
                <w:szCs w:val="20"/>
                <w:color w:val="auto"/>
              </w:rPr>
            </w:pPr>
            <w:r>
              <w:rPr>
                <w:rFonts w:ascii="Arial" w:cs="Arial" w:eastAsia="Arial" w:hAnsi="Arial"/>
                <w:sz w:val="16"/>
                <w:szCs w:val="16"/>
                <w:b w:val="1"/>
                <w:bCs w:val="1"/>
                <w:color w:val="auto"/>
                <w:w w:val="99"/>
              </w:rPr>
              <w:t>Amount</w:t>
            </w:r>
          </w:p>
        </w:tc>
        <w:tc>
          <w:tcPr>
            <w:tcW w:w="980" w:type="dxa"/>
            <w:vAlign w:val="bottom"/>
          </w:tcPr>
          <w:p>
            <w:pPr>
              <w:jc w:val="right"/>
              <w:ind w:right="240"/>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800"/>
              <w:spacing w:after="0"/>
              <w:rPr>
                <w:sz w:val="20"/>
                <w:szCs w:val="20"/>
                <w:color w:val="auto"/>
              </w:rPr>
            </w:pPr>
            <w:r>
              <w:rPr>
                <w:rFonts w:ascii="Arial" w:cs="Arial" w:eastAsia="Arial" w:hAnsi="Arial"/>
                <w:sz w:val="16"/>
                <w:szCs w:val="16"/>
                <w:b w:val="1"/>
                <w:bCs w:val="1"/>
                <w:color w:val="auto"/>
                <w:w w:val="91"/>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center"/>
              <w:ind w:left="780"/>
              <w:spacing w:after="0"/>
              <w:rPr>
                <w:sz w:val="20"/>
                <w:szCs w:val="20"/>
                <w:color w:val="auto"/>
              </w:rPr>
            </w:pPr>
            <w:r>
              <w:rPr>
                <w:rFonts w:ascii="Arial" w:cs="Arial" w:eastAsia="Arial" w:hAnsi="Arial"/>
                <w:sz w:val="16"/>
                <w:szCs w:val="16"/>
                <w:color w:val="auto"/>
                <w:w w:val="93"/>
              </w:rPr>
              <w:t>(Unaudited)</w:t>
            </w:r>
          </w:p>
        </w:tc>
        <w:tc>
          <w:tcPr>
            <w:tcW w:w="1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5,196.6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5,393.2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-3.6%</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4,337.0</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4,512.9</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-3.9%</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-2.4%</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Selling and administrative expenses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668.0</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662.4</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0.8%</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-12.1%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and other expenses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47.7%</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Earnings before income taxes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-13.1%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-15.3%</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138.8</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16"/>
                <w:szCs w:val="16"/>
                <w:color w:val="auto"/>
              </w:rPr>
              <w:t>-12.4%</w:t>
            </w: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Net earnings per share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color w:val="auto"/>
              </w:rPr>
              <w:t>-8.2%</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2.33</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2.54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Arial" w:cs="Arial" w:eastAsia="Arial" w:hAnsi="Arial"/>
                <w:sz w:val="16"/>
                <w:szCs w:val="16"/>
                <w:color w:val="auto"/>
              </w:rPr>
              <w:t>-8.3%</w:t>
            </w:r>
          </w:p>
        </w:tc>
        <w:tc>
          <w:tcPr>
            <w:tcW w:w="1140" w:type="dxa"/>
            <w:vAlign w:val="bottom"/>
            <w:tcBorders>
              <w:bottom w:val="single" w:sz="8" w:color="CFF0FC"/>
            </w:tcBorders>
            <w:gridSpan w:val="2"/>
            <w:shd w:val="clear" w:color="auto" w:fill="CFF0FC"/>
          </w:tcPr>
          <w:p>
            <w:pPr>
              <w:jc w:val="right"/>
              <w:ind w:right="40"/>
              <w:spacing w:after="0" w:line="181"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color w:val="auto"/>
              </w:rPr>
              <w:t>-4.7%</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59.0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61.9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59.5</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62.3</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Arial" w:cs="Arial" w:eastAsia="Arial" w:hAnsi="Arial"/>
                <w:sz w:val="16"/>
                <w:szCs w:val="16"/>
                <w:color w:val="auto"/>
              </w:rPr>
              <w:t>-4.4%</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left="544" w:right="20" w:hanging="544"/>
        <w:spacing w:after="0" w:line="264" w:lineRule="auto"/>
        <w:tabs>
          <w:tab w:leader="none" w:pos="544"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$4.4 million and $6.5 million for the three months ended December 31, 2019 and 2018, respectively. These fees are primarily based on revenues generated by the franchise offices, which were $141.9 million and $267.2 million for the three months ended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7302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19" w:right="219" w:bottom="1440" w:gutter="0" w:footer="0" w:header="0"/>
        </w:sectPr>
      </w:pPr>
    </w:p>
    <w:bookmarkStart w:id="6" w:name="page7"/>
    <w:bookmarkEnd w:id="6"/>
    <w:p>
      <w:pPr>
        <w:ind w:left="5164"/>
        <w:spacing w:after="0"/>
        <w:rPr>
          <w:sz w:val="20"/>
          <w:szCs w:val="20"/>
          <w:color w:val="auto"/>
        </w:rPr>
      </w:pPr>
      <w:r>
        <w:rPr>
          <w:rFonts w:ascii="Arial" w:cs="Arial" w:eastAsia="Arial" w:hAnsi="Arial"/>
          <w:sz w:val="16"/>
          <w:szCs w:val="16"/>
          <w:color w:val="auto"/>
        </w:rPr>
        <w:t>ManpowerGroup</w:t>
      </w:r>
    </w:p>
    <w:p>
      <w:pPr>
        <w:spacing w:after="0" w:line="44" w:lineRule="exact"/>
        <w:rPr>
          <w:sz w:val="20"/>
          <w:szCs w:val="20"/>
          <w:color w:val="auto"/>
        </w:rPr>
      </w:pPr>
    </w:p>
    <w:p>
      <w:pPr>
        <w:ind w:left="4984"/>
        <w:spacing w:after="0"/>
        <w:rPr>
          <w:sz w:val="20"/>
          <w:szCs w:val="20"/>
          <w:color w:val="auto"/>
        </w:rPr>
      </w:pPr>
      <w:r>
        <w:rPr>
          <w:rFonts w:ascii="Arial" w:cs="Arial" w:eastAsia="Arial" w:hAnsi="Arial"/>
          <w:sz w:val="16"/>
          <w:szCs w:val="16"/>
          <w:color w:val="auto"/>
        </w:rPr>
        <w:t>Operating Unit Results</w:t>
      </w:r>
    </w:p>
    <w:p>
      <w:pPr>
        <w:spacing w:after="0" w:line="32"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(In millions)</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6"/>
                <w:szCs w:val="16"/>
                <w:b w:val="1"/>
                <w:bCs w:val="1"/>
                <w:color w:val="auto"/>
                <w:w w:val="90"/>
              </w:rPr>
              <w:t>Three Months Ended December 31</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2"/>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840"/>
              <w:spacing w:after="0"/>
              <w:rPr>
                <w:sz w:val="20"/>
                <w:szCs w:val="20"/>
                <w:color w:val="auto"/>
              </w:rPr>
            </w:pPr>
            <w:r>
              <w:rPr>
                <w:rFonts w:ascii="Arial" w:cs="Arial" w:eastAsia="Arial" w:hAnsi="Arial"/>
                <w:sz w:val="16"/>
                <w:szCs w:val="16"/>
                <w:b w:val="1"/>
                <w:bCs w:val="1"/>
                <w:color w:val="auto"/>
                <w:w w:val="99"/>
              </w:rPr>
              <w:t>Amount</w:t>
            </w:r>
          </w:p>
        </w:tc>
        <w:tc>
          <w:tcPr>
            <w:tcW w:w="980" w:type="dxa"/>
            <w:vAlign w:val="bottom"/>
          </w:tcPr>
          <w:p>
            <w:pPr>
              <w:jc w:val="right"/>
              <w:ind w:right="240"/>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r>
      <w:tr>
        <w:trPr>
          <w:trHeight w:val="209"/>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800"/>
              <w:spacing w:after="0"/>
              <w:rPr>
                <w:sz w:val="20"/>
                <w:szCs w:val="20"/>
                <w:color w:val="auto"/>
              </w:rPr>
            </w:pPr>
            <w:r>
              <w:rPr>
                <w:rFonts w:ascii="Arial" w:cs="Arial" w:eastAsia="Arial" w:hAnsi="Arial"/>
                <w:sz w:val="16"/>
                <w:szCs w:val="16"/>
                <w:b w:val="1"/>
                <w:bCs w:val="1"/>
                <w:color w:val="auto"/>
                <w:w w:val="91"/>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r>
      <w:tr>
        <w:trPr>
          <w:trHeight w:val="196"/>
        </w:trPr>
        <w:tc>
          <w:tcPr>
            <w:tcW w:w="5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center"/>
              <w:ind w:left="780"/>
              <w:spacing w:after="0"/>
              <w:rPr>
                <w:sz w:val="20"/>
                <w:szCs w:val="20"/>
                <w:color w:val="auto"/>
              </w:rPr>
            </w:pPr>
            <w:r>
              <w:rPr>
                <w:rFonts w:ascii="Arial" w:cs="Arial" w:eastAsia="Arial" w:hAnsi="Arial"/>
                <w:sz w:val="16"/>
                <w:szCs w:val="16"/>
                <w:color w:val="auto"/>
                <w:w w:val="93"/>
              </w:rPr>
              <w:t>(Unaudited)</w:t>
            </w:r>
          </w:p>
        </w:tc>
        <w:tc>
          <w:tcPr>
            <w:tcW w:w="1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4"/>
        </w:trPr>
        <w:tc>
          <w:tcPr>
            <w:tcW w:w="548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United States (a)</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-0.9%</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w:t>
            </w:r>
          </w:p>
        </w:tc>
      </w:tr>
      <w:tr>
        <w:trPr>
          <w:trHeight w:val="204"/>
        </w:trPr>
        <w:tc>
          <w:tcPr>
            <w:tcW w:w="54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Other Americas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5.4%</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9.5%</w:t>
            </w:r>
          </w:p>
        </w:tc>
      </w:tr>
      <w:tr>
        <w:trPr>
          <w:trHeight w:val="196"/>
        </w:trPr>
        <w:tc>
          <w:tcPr>
            <w:tcW w:w="54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1,060.9</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1.6%</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w:t>
            </w:r>
          </w:p>
        </w:tc>
      </w:tr>
      <w:tr>
        <w:trPr>
          <w:trHeight w:val="196"/>
        </w:trPr>
        <w:tc>
          <w:tcPr>
            <w:tcW w:w="548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France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-5.2%</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w:t>
            </w:r>
          </w:p>
        </w:tc>
      </w:tr>
      <w:tr>
        <w:trPr>
          <w:trHeight w:val="204"/>
        </w:trPr>
        <w:tc>
          <w:tcPr>
            <w:tcW w:w="5480" w:type="dxa"/>
            <w:vAlign w:val="bottom"/>
          </w:tcPr>
          <w:p>
            <w:pPr>
              <w:ind w:left="440"/>
              <w:spacing w:after="0"/>
              <w:rPr>
                <w:sz w:val="20"/>
                <w:szCs w:val="20"/>
                <w:color w:val="auto"/>
              </w:rPr>
            </w:pPr>
            <w:r>
              <w:rPr>
                <w:rFonts w:ascii="Arial" w:cs="Arial" w:eastAsia="Arial" w:hAnsi="Arial"/>
                <w:sz w:val="16"/>
                <w:szCs w:val="16"/>
                <w:color w:val="auto"/>
              </w:rPr>
              <w:t>Italy</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-5.9%</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Other Southern Europe</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589.4</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28.2%</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29.3%</w:t>
            </w:r>
          </w:p>
        </w:tc>
      </w:tr>
      <w:tr>
        <w:trPr>
          <w:trHeight w:val="196"/>
        </w:trPr>
        <w:tc>
          <w:tcPr>
            <w:tcW w:w="54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2,325.4</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1.4%</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3.9%</w:t>
            </w: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-8.7%</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w:t>
            </w:r>
          </w:p>
        </w:tc>
      </w:tr>
      <w:tr>
        <w:trPr>
          <w:trHeight w:val="204"/>
        </w:trPr>
        <w:tc>
          <w:tcPr>
            <w:tcW w:w="5480" w:type="dxa"/>
            <w:vAlign w:val="bottom"/>
          </w:tcPr>
          <w:p>
            <w:pPr>
              <w:ind w:left="220"/>
              <w:spacing w:after="0"/>
              <w:rPr>
                <w:sz w:val="20"/>
                <w:szCs w:val="20"/>
                <w:color w:val="auto"/>
              </w:rPr>
            </w:pPr>
            <w:r>
              <w:rPr>
                <w:rFonts w:ascii="Arial" w:cs="Arial" w:eastAsia="Arial" w:hAnsi="Arial"/>
                <w:sz w:val="16"/>
                <w:szCs w:val="16"/>
                <w:color w:val="auto"/>
              </w:rPr>
              <w:t>APME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-18.5%</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-19.4%</w:t>
            </w:r>
          </w:p>
        </w:tc>
      </w:tr>
      <w:tr>
        <w:trPr>
          <w:trHeight w:val="204"/>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Right Management</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3.8%</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w:t>
            </w:r>
          </w:p>
        </w:tc>
      </w:tr>
      <w:tr>
        <w:trPr>
          <w:trHeight w:val="236"/>
        </w:trPr>
        <w:tc>
          <w:tcPr>
            <w:tcW w:w="54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5,196.6</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5,393.2</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-3.6%</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-1.8%</w:t>
            </w:r>
          </w:p>
        </w:tc>
      </w:tr>
      <w:tr>
        <w:trPr>
          <w:trHeight w:val="180"/>
        </w:trPr>
        <w:tc>
          <w:tcPr>
            <w:tcW w:w="5480" w:type="dxa"/>
            <w:vAlign w:val="bottom"/>
            <w:shd w:val="clear" w:color="auto" w:fill="CFF0FC"/>
          </w:tcPr>
          <w:p>
            <w:pPr>
              <w:spacing w:after="0" w:line="181" w:lineRule="exact"/>
              <w:rPr>
                <w:sz w:val="20"/>
                <w:szCs w:val="20"/>
                <w:color w:val="auto"/>
              </w:rPr>
            </w:pPr>
            <w:r>
              <w:rPr>
                <w:rFonts w:ascii="Arial" w:cs="Arial" w:eastAsia="Arial" w:hAnsi="Arial"/>
                <w:sz w:val="16"/>
                <w:szCs w:val="16"/>
                <w:color w:val="auto"/>
              </w:rPr>
              <w:t>Operating Unit Profit:</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4"/>
        </w:trPr>
        <w:tc>
          <w:tcPr>
            <w:tcW w:w="548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-12.1%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-12.1%</w:t>
            </w:r>
          </w:p>
        </w:tc>
      </w:tr>
      <w:tr>
        <w:trPr>
          <w:trHeight w:val="204"/>
        </w:trPr>
        <w:tc>
          <w:tcPr>
            <w:tcW w:w="54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Other Americas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8.9%</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13.9%</w:t>
            </w:r>
          </w:p>
        </w:tc>
      </w:tr>
      <w:tr>
        <w:trPr>
          <w:trHeight w:val="196"/>
        </w:trPr>
        <w:tc>
          <w:tcPr>
            <w:tcW w:w="54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-4.0%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r>
      <w:tr>
        <w:trPr>
          <w:trHeight w:val="196"/>
        </w:trPr>
        <w:tc>
          <w:tcPr>
            <w:tcW w:w="548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France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w:t>
            </w:r>
          </w:p>
        </w:tc>
      </w:tr>
      <w:tr>
        <w:trPr>
          <w:trHeight w:val="204"/>
        </w:trPr>
        <w:tc>
          <w:tcPr>
            <w:tcW w:w="5480" w:type="dxa"/>
            <w:vAlign w:val="bottom"/>
          </w:tcPr>
          <w:p>
            <w:pPr>
              <w:ind w:left="440"/>
              <w:spacing w:after="0"/>
              <w:rPr>
                <w:sz w:val="20"/>
                <w:szCs w:val="20"/>
                <w:color w:val="auto"/>
              </w:rPr>
            </w:pPr>
            <w:r>
              <w:rPr>
                <w:rFonts w:ascii="Arial" w:cs="Arial" w:eastAsia="Arial" w:hAnsi="Arial"/>
                <w:sz w:val="16"/>
                <w:szCs w:val="16"/>
                <w:color w:val="auto"/>
              </w:rPr>
              <w:t>Italy</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r>
      <w:tr>
        <w:trPr>
          <w:trHeight w:val="204"/>
        </w:trPr>
        <w:tc>
          <w:tcPr>
            <w:tcW w:w="54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Other Southern Europe</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-7.9%</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w:t>
            </w:r>
          </w:p>
        </w:tc>
      </w:tr>
      <w:tr>
        <w:trPr>
          <w:trHeight w:val="196"/>
        </w:trPr>
        <w:tc>
          <w:tcPr>
            <w:tcW w:w="54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0.9%</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3.6%</w:t>
            </w: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-49.1%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-47.5%</w:t>
            </w:r>
          </w:p>
        </w:tc>
      </w:tr>
      <w:tr>
        <w:trPr>
          <w:trHeight w:val="204"/>
        </w:trPr>
        <w:tc>
          <w:tcPr>
            <w:tcW w:w="5480" w:type="dxa"/>
            <w:vAlign w:val="bottom"/>
          </w:tcPr>
          <w:p>
            <w:pPr>
              <w:ind w:left="220"/>
              <w:spacing w:after="0"/>
              <w:rPr>
                <w:sz w:val="20"/>
                <w:szCs w:val="20"/>
                <w:color w:val="auto"/>
              </w:rPr>
            </w:pPr>
            <w:r>
              <w:rPr>
                <w:rFonts w:ascii="Arial" w:cs="Arial" w:eastAsia="Arial" w:hAnsi="Arial"/>
                <w:sz w:val="16"/>
                <w:szCs w:val="16"/>
                <w:color w:val="auto"/>
              </w:rPr>
              <w:t>APME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-23.1%</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-25.4%</w:t>
            </w:r>
          </w:p>
        </w:tc>
      </w:tr>
      <w:tr>
        <w:trPr>
          <w:trHeight w:val="204"/>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Right Management</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22.1%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23.1%</w:t>
            </w: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(31.0)</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4"/>
        </w:trPr>
        <w:tc>
          <w:tcPr>
            <w:tcW w:w="54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6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4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217.9</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CFF0FC"/>
            </w:tcBorders>
            <w:shd w:val="clear" w:color="auto" w:fill="CFF0FC"/>
          </w:tcPr>
          <w:p>
            <w:pPr>
              <w:jc w:val="right"/>
              <w:ind w:right="360"/>
              <w:spacing w:after="0"/>
              <w:rPr>
                <w:sz w:val="20"/>
                <w:szCs w:val="20"/>
                <w:color w:val="auto"/>
              </w:rPr>
            </w:pPr>
            <w:r>
              <w:rPr>
                <w:rFonts w:ascii="Arial" w:cs="Arial" w:eastAsia="Arial" w:hAnsi="Arial"/>
                <w:sz w:val="16"/>
                <w:szCs w:val="16"/>
                <w:color w:val="auto"/>
              </w:rPr>
              <w:t>-12.1%</w:t>
            </w:r>
          </w:p>
        </w:tc>
        <w:tc>
          <w:tcPr>
            <w:tcW w:w="11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r>
        <w:trPr>
          <w:trHeight w:val="204"/>
        </w:trPr>
        <w:tc>
          <w:tcPr>
            <w:tcW w:w="54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6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4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Earnings before income taxes</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54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60" w:lineRule="exact"/>
        <w:rPr>
          <w:sz w:val="20"/>
          <w:szCs w:val="20"/>
          <w:color w:val="auto"/>
        </w:rPr>
      </w:pPr>
    </w:p>
    <w:p>
      <w:pPr>
        <w:jc w:val="both"/>
        <w:ind w:left="544" w:right="200" w:hanging="544"/>
        <w:spacing w:after="0" w:line="264" w:lineRule="auto"/>
        <w:tabs>
          <w:tab w:leader="none" w:pos="54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$3.3 million and $4.2 million for the three months ended December 31, 2019 and 2018, respectively. These fees are primarily based on revenues generated by the franchise offices, which were $131.5 million and $165.6 million for the three months ended December 31, 2019 and 2018, respectively.</w:t>
      </w:r>
    </w:p>
    <w:p>
      <w:pPr>
        <w:spacing w:after="0" w:line="41" w:lineRule="exact"/>
        <w:rPr>
          <w:rFonts w:ascii="Arial" w:cs="Arial" w:eastAsia="Arial" w:hAnsi="Arial"/>
          <w:sz w:val="16"/>
          <w:szCs w:val="16"/>
          <w:color w:val="auto"/>
        </w:rPr>
      </w:pPr>
    </w:p>
    <w:p>
      <w:pPr>
        <w:ind w:left="544" w:hanging="544"/>
        <w:spacing w:after="0"/>
        <w:tabs>
          <w:tab w:leader="none" w:pos="5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4860" w:type="dxa"/>
            <w:vAlign w:val="bottom"/>
          </w:tcPr>
          <w:p>
            <w:pPr>
              <w:spacing w:after="0"/>
              <w:rPr>
                <w:sz w:val="18"/>
                <w:szCs w:val="18"/>
                <w:color w:val="auto"/>
              </w:rPr>
            </w:pPr>
          </w:p>
        </w:tc>
        <w:tc>
          <w:tcPr>
            <w:tcW w:w="412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30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6"/>
                <w:szCs w:val="16"/>
                <w:color w:val="auto"/>
              </w:rPr>
              <w:t>Interest income</w:t>
            </w:r>
          </w:p>
        </w:tc>
        <w:tc>
          <w:tcPr>
            <w:tcW w:w="3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r>
      <w:tr>
        <w:trPr>
          <w:trHeight w:val="204"/>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 (gain)</w:t>
            </w:r>
          </w:p>
        </w:tc>
        <w:tc>
          <w:tcPr>
            <w:tcW w:w="30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6"/>
                <w:szCs w:val="16"/>
                <w:color w:val="auto"/>
              </w:rPr>
              <w:t>Miscellaneous income</w:t>
            </w:r>
          </w:p>
        </w:tc>
        <w:tc>
          <w:tcPr>
            <w:tcW w:w="3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6"/>
        </w:trPr>
        <w:tc>
          <w:tcPr>
            <w:tcW w:w="4860" w:type="dxa"/>
            <w:vAlign w:val="bottom"/>
            <w:tcBorders>
              <w:top w:val="single" w:sz="8" w:color="CFF0FC"/>
              <w:bottom w:val="single" w:sz="8" w:color="CFF0FC"/>
            </w:tcBorders>
            <w:shd w:val="clear" w:color="auto" w:fill="CFF0FC"/>
          </w:tcPr>
          <w:p>
            <w:pPr>
              <w:spacing w:after="0"/>
              <w:rPr>
                <w:sz w:val="17"/>
                <w:szCs w:val="17"/>
                <w:color w:val="auto"/>
              </w:rPr>
            </w:pPr>
          </w:p>
        </w:tc>
        <w:tc>
          <w:tcPr>
            <w:tcW w:w="300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1"/>
        </w:trPr>
        <w:tc>
          <w:tcPr>
            <w:tcW w:w="48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4"/>
          </w:cols>
          <w:pgMar w:left="236" w:top="319" w:right="19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09"/>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w w:val="90"/>
              </w:rPr>
              <w:t>Year Ended December 31</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840"/>
              <w:spacing w:after="0"/>
              <w:rPr>
                <w:sz w:val="20"/>
                <w:szCs w:val="20"/>
                <w:color w:val="auto"/>
              </w:rPr>
            </w:pPr>
            <w:r>
              <w:rPr>
                <w:rFonts w:ascii="Arial" w:cs="Arial" w:eastAsia="Arial" w:hAnsi="Arial"/>
                <w:sz w:val="16"/>
                <w:szCs w:val="16"/>
                <w:b w:val="1"/>
                <w:bCs w:val="1"/>
                <w:color w:val="auto"/>
                <w:w w:val="99"/>
              </w:rPr>
              <w:t>Amount</w:t>
            </w:r>
          </w:p>
        </w:tc>
        <w:tc>
          <w:tcPr>
            <w:tcW w:w="980" w:type="dxa"/>
            <w:vAlign w:val="bottom"/>
          </w:tcPr>
          <w:p>
            <w:pPr>
              <w:jc w:val="right"/>
              <w:ind w:right="240"/>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800"/>
              <w:spacing w:after="0"/>
              <w:rPr>
                <w:sz w:val="20"/>
                <w:szCs w:val="20"/>
                <w:color w:val="auto"/>
              </w:rPr>
            </w:pPr>
            <w:r>
              <w:rPr>
                <w:rFonts w:ascii="Arial" w:cs="Arial" w:eastAsia="Arial" w:hAnsi="Arial"/>
                <w:sz w:val="16"/>
                <w:szCs w:val="16"/>
                <w:b w:val="1"/>
                <w:bCs w:val="1"/>
                <w:color w:val="auto"/>
                <w:w w:val="91"/>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center"/>
              <w:ind w:left="660"/>
              <w:spacing w:after="0"/>
              <w:rPr>
                <w:sz w:val="20"/>
                <w:szCs w:val="20"/>
                <w:color w:val="auto"/>
              </w:rPr>
            </w:pPr>
            <w:r>
              <w:rPr>
                <w:rFonts w:ascii="Arial" w:cs="Arial" w:eastAsia="Arial" w:hAnsi="Arial"/>
                <w:sz w:val="16"/>
                <w:szCs w:val="16"/>
                <w:color w:val="auto"/>
                <w:w w:val="93"/>
              </w:rPr>
              <w:t>(Unaudited)</w:t>
            </w:r>
          </w:p>
        </w:tc>
        <w:tc>
          <w:tcPr>
            <w:tcW w:w="1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20,863.5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21,991.2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-5.1%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17,488.4</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18,412.2</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-5.0%</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3,375.1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-5.7%</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20"/>
                <w:szCs w:val="20"/>
                <w:color w:val="auto"/>
              </w:rPr>
            </w:pPr>
            <w:r>
              <w:rPr>
                <w:rFonts w:ascii="Arial" w:cs="Arial" w:eastAsia="Arial" w:hAnsi="Arial"/>
                <w:sz w:val="16"/>
                <w:szCs w:val="16"/>
                <w:color w:val="auto"/>
              </w:rPr>
              <w:t>Selling and administrative expenses, excluding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rPr>
                <w:sz w:val="20"/>
                <w:szCs w:val="20"/>
                <w:color w:val="auto"/>
              </w:rPr>
            </w:pPr>
            <w:r>
              <w:rPr>
                <w:rFonts w:ascii="Arial" w:cs="Arial" w:eastAsia="Arial" w:hAnsi="Arial"/>
                <w:sz w:val="16"/>
                <w:szCs w:val="16"/>
                <w:color w:val="auto"/>
              </w:rPr>
              <w:t>impairment charge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2,666.2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-4.2%</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Goodwill impairment charge (b)</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2,730.2</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-1.9%</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Arial" w:cs="Arial" w:eastAsia="Arial" w:hAnsi="Arial"/>
                <w:sz w:val="16"/>
                <w:szCs w:val="16"/>
                <w:color w:val="auto"/>
              </w:rPr>
              <w:t>-19.1%</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20"/>
                <w:szCs w:val="20"/>
                <w:color w:val="auto"/>
              </w:rPr>
            </w:pPr>
            <w:r>
              <w:rPr>
                <w:rFonts w:ascii="Arial" w:cs="Arial" w:eastAsia="Arial" w:hAnsi="Arial"/>
                <w:sz w:val="16"/>
                <w:szCs w:val="16"/>
                <w:color w:val="auto"/>
              </w:rPr>
              <w:t>Interest and other (income) expenses, net</w:t>
            </w:r>
          </w:p>
        </w:tc>
        <w:tc>
          <w:tcPr>
            <w:tcW w:w="26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(40.6)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Earnings before income taxes</w:t>
            </w: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685.5</w:t>
            </w: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754.7</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CFF0FC"/>
            </w:tcBorders>
            <w:shd w:val="clear" w:color="auto" w:fill="CFF0FC"/>
          </w:tcPr>
          <w:p>
            <w:pPr>
              <w:jc w:val="right"/>
              <w:ind w:right="360"/>
              <w:spacing w:after="0"/>
              <w:rPr>
                <w:sz w:val="20"/>
                <w:szCs w:val="20"/>
                <w:color w:val="auto"/>
              </w:rPr>
            </w:pPr>
            <w:r>
              <w:rPr>
                <w:rFonts w:ascii="Arial" w:cs="Arial" w:eastAsia="Arial" w:hAnsi="Arial"/>
                <w:sz w:val="16"/>
                <w:szCs w:val="16"/>
                <w:color w:val="auto"/>
              </w:rPr>
              <w:t>-9.2%</w:t>
            </w:r>
          </w:p>
        </w:tc>
        <w:tc>
          <w:tcPr>
            <w:tcW w:w="11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Arial" w:cs="Arial" w:eastAsia="Arial" w:hAnsi="Arial"/>
                <w:sz w:val="16"/>
                <w:szCs w:val="16"/>
                <w:color w:val="auto"/>
              </w:rPr>
              <w:t>11.1%</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465.7</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16"/>
                <w:szCs w:val="16"/>
                <w:color w:val="auto"/>
              </w:rPr>
              <w:t>-16.4%</w:t>
            </w: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Net earnings per share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color w:val="auto"/>
              </w:rPr>
              <w:t>-9.7%</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7.78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8.62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7.72</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8.56</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Arial" w:cs="Arial" w:eastAsia="Arial" w:hAnsi="Arial"/>
                <w:sz w:val="16"/>
                <w:szCs w:val="16"/>
                <w:color w:val="auto"/>
              </w:rPr>
              <w:t>-9.8%</w:t>
            </w:r>
          </w:p>
        </w:tc>
        <w:tc>
          <w:tcPr>
            <w:tcW w:w="1140" w:type="dxa"/>
            <w:vAlign w:val="bottom"/>
            <w:tcBorders>
              <w:bottom w:val="single" w:sz="8" w:color="CFF0FC"/>
            </w:tcBorders>
            <w:gridSpan w:val="2"/>
            <w:shd w:val="clear" w:color="auto" w:fill="CFF0FC"/>
          </w:tcPr>
          <w:p>
            <w:pPr>
              <w:jc w:val="right"/>
              <w:ind w:right="40"/>
              <w:spacing w:after="0" w:line="181"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color w:val="auto"/>
              </w:rPr>
              <w:t>-7.3%</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59.9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64.6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60.3</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65.1</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Arial" w:cs="Arial" w:eastAsia="Arial" w:hAnsi="Arial"/>
                <w:sz w:val="16"/>
                <w:szCs w:val="16"/>
                <w:color w:val="auto"/>
              </w:rPr>
              <w:t>-7.3%</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44" w:right="20" w:hanging="544"/>
        <w:spacing w:after="0" w:line="264" w:lineRule="auto"/>
        <w:tabs>
          <w:tab w:leader="none" w:pos="54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$18.4 million and $24.1 million for the years ended December 31, 2019 and 2018, respectively. These fees are primarily based on revenues generated by the franchise offices, which were $822.1 million and $1,056.6 million for the years ended December 31, 2019 and 2018, respectively.</w:t>
      </w:r>
    </w:p>
    <w:p>
      <w:pPr>
        <w:spacing w:after="0" w:line="137" w:lineRule="exact"/>
        <w:rPr>
          <w:rFonts w:ascii="Arial" w:cs="Arial" w:eastAsia="Arial" w:hAnsi="Arial"/>
          <w:sz w:val="16"/>
          <w:szCs w:val="16"/>
          <w:color w:val="auto"/>
        </w:rPr>
      </w:pPr>
    </w:p>
    <w:p>
      <w:pPr>
        <w:ind w:left="544" w:hanging="544"/>
        <w:spacing w:after="0"/>
        <w:tabs>
          <w:tab w:leader="none" w:pos="5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impairment charge for the year ended December 31, 2019 relates to our investments in Germany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419735</wp:posOffset>
            </wp:positionV>
            <wp:extent cx="7302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603" w:right="21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09"/>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8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Variance</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Pr>
          <w:p>
            <w:pPr>
              <w:spacing w:after="0"/>
              <w:rPr>
                <w:sz w:val="15"/>
                <w:szCs w:val="15"/>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w w:val="98"/>
              </w:rPr>
              <w:t>Constant</w:t>
            </w:r>
          </w:p>
        </w:tc>
        <w:tc>
          <w:tcPr>
            <w:tcW w:w="140" w:type="dxa"/>
            <w:vAlign w:val="bottom"/>
          </w:tcPr>
          <w:p>
            <w:pPr>
              <w:spacing w:after="0"/>
              <w:rPr>
                <w:sz w:val="15"/>
                <w:szCs w:val="15"/>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88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Currency</w:t>
            </w:r>
          </w:p>
        </w:tc>
      </w:tr>
      <w:tr>
        <w:trPr>
          <w:trHeight w:val="184"/>
        </w:trPr>
        <w:tc>
          <w:tcPr>
            <w:tcW w:w="55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ind w:left="648"/>
              <w:spacing w:after="0"/>
              <w:rPr>
                <w:sz w:val="20"/>
                <w:szCs w:val="20"/>
                <w:color w:val="auto"/>
              </w:rPr>
            </w:pPr>
            <w:r>
              <w:rPr>
                <w:rFonts w:ascii="Arial" w:cs="Arial" w:eastAsia="Arial" w:hAnsi="Arial"/>
                <w:sz w:val="14"/>
                <w:szCs w:val="14"/>
                <w:color w:val="auto"/>
                <w:w w:val="95"/>
              </w:rPr>
              <w:t>(Unaudited)</w:t>
            </w:r>
          </w:p>
        </w:tc>
        <w:tc>
          <w:tcPr>
            <w:tcW w:w="6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5"/>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Revenues from Services: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5500" w:type="dxa"/>
            <w:vAlign w:val="bottom"/>
          </w:tcPr>
          <w:p>
            <w:pPr>
              <w:ind w:left="220"/>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United States (a)</w:t>
            </w: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2,507.0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-0.6%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-0.6%</w:t>
            </w:r>
          </w:p>
        </w:tc>
      </w:tr>
      <w:tr>
        <w:trPr>
          <w:trHeight w:val="189"/>
        </w:trPr>
        <w:tc>
          <w:tcPr>
            <w:tcW w:w="550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1,675.3</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1,637.0</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66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tcPr>
          <w:p>
            <w:pPr>
              <w:jc w:val="right"/>
              <w:ind w:right="368"/>
              <w:spacing w:after="0"/>
              <w:rPr>
                <w:sz w:val="20"/>
                <w:szCs w:val="20"/>
                <w:color w:val="auto"/>
              </w:rPr>
            </w:pPr>
            <w:r>
              <w:rPr>
                <w:rFonts w:ascii="Arial" w:cs="Arial" w:eastAsia="Arial" w:hAnsi="Arial"/>
                <w:sz w:val="14"/>
                <w:szCs w:val="14"/>
                <w:color w:val="auto"/>
              </w:rPr>
              <w:t>2.3%</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10.0%</w:t>
            </w:r>
          </w:p>
        </w:tc>
      </w:tr>
      <w:tr>
        <w:trPr>
          <w:trHeight w:val="187"/>
        </w:trPr>
        <w:tc>
          <w:tcPr>
            <w:tcW w:w="55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4,182.3</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4,159.3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0.6%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r>
      <w:tr>
        <w:trPr>
          <w:trHeight w:val="181"/>
        </w:trPr>
        <w:tc>
          <w:tcPr>
            <w:tcW w:w="5500" w:type="dxa"/>
            <w:vAlign w:val="bottom"/>
          </w:tcPr>
          <w:p>
            <w:pPr>
              <w:ind w:left="220"/>
              <w:spacing w:after="0"/>
              <w:rPr>
                <w:sz w:val="20"/>
                <w:szCs w:val="20"/>
                <w:color w:val="auto"/>
              </w:rPr>
            </w:pPr>
            <w:r>
              <w:rPr>
                <w:rFonts w:ascii="Arial" w:cs="Arial" w:eastAsia="Arial" w:hAnsi="Arial"/>
                <w:sz w:val="14"/>
                <w:szCs w:val="14"/>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5,459.7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5,827.7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-6.3%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w:t>
            </w:r>
          </w:p>
        </w:tc>
      </w:tr>
      <w:tr>
        <w:trPr>
          <w:trHeight w:val="189"/>
        </w:trPr>
        <w:tc>
          <w:tcPr>
            <w:tcW w:w="5500" w:type="dxa"/>
            <w:vAlign w:val="bottom"/>
          </w:tcPr>
          <w:p>
            <w:pPr>
              <w:ind w:left="440"/>
              <w:spacing w:after="0"/>
              <w:rPr>
                <w:sz w:val="20"/>
                <w:szCs w:val="20"/>
                <w:color w:val="auto"/>
              </w:rPr>
            </w:pPr>
            <w:r>
              <w:rPr>
                <w:rFonts w:ascii="Arial" w:cs="Arial" w:eastAsia="Arial" w:hAnsi="Arial"/>
                <w:sz w:val="14"/>
                <w:szCs w:val="14"/>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1,506.5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-9.8%</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2,200.2</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1,873.3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17.5%</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21.9%</w:t>
            </w:r>
          </w:p>
        </w:tc>
      </w:tr>
      <w:tr>
        <w:trPr>
          <w:trHeight w:val="181"/>
        </w:trPr>
        <w:tc>
          <w:tcPr>
            <w:tcW w:w="55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9,166.4</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9,371.6</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jc w:val="right"/>
              <w:ind w:right="368"/>
              <w:spacing w:after="0"/>
              <w:rPr>
                <w:sz w:val="20"/>
                <w:szCs w:val="20"/>
                <w:color w:val="auto"/>
              </w:rPr>
            </w:pPr>
            <w:r>
              <w:rPr>
                <w:rFonts w:ascii="Arial" w:cs="Arial" w:eastAsia="Arial" w:hAnsi="Arial"/>
                <w:sz w:val="14"/>
                <w:szCs w:val="14"/>
                <w:color w:val="auto"/>
              </w:rPr>
              <w:t>-2.2%</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2.8%</w:t>
            </w:r>
          </w:p>
        </w:tc>
      </w:tr>
      <w:tr>
        <w:trPr>
          <w:trHeight w:val="187"/>
        </w:trPr>
        <w:tc>
          <w:tcPr>
            <w:tcW w:w="55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Northern Europe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4,691.3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5,370.5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94"/>
              </w:rPr>
              <w:t>-12.6%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-7.6%</w:t>
            </w:r>
          </w:p>
        </w:tc>
      </w:tr>
      <w:tr>
        <w:trPr>
          <w:trHeight w:val="189"/>
        </w:trPr>
        <w:tc>
          <w:tcPr>
            <w:tcW w:w="5500" w:type="dxa"/>
            <w:vAlign w:val="bottom"/>
          </w:tcPr>
          <w:p>
            <w:pPr>
              <w:ind w:left="220"/>
              <w:spacing w:after="0"/>
              <w:rPr>
                <w:sz w:val="20"/>
                <w:szCs w:val="20"/>
                <w:color w:val="auto"/>
              </w:rPr>
            </w:pPr>
            <w:r>
              <w:rPr>
                <w:rFonts w:ascii="Arial" w:cs="Arial" w:eastAsia="Arial" w:hAnsi="Arial"/>
                <w:sz w:val="14"/>
                <w:szCs w:val="14"/>
                <w:color w:val="auto"/>
              </w:rPr>
              <w:t>APME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2,627.2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2,890.3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-9.1%</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r>
      <w:tr>
        <w:trPr>
          <w:trHeight w:val="195"/>
        </w:trPr>
        <w:tc>
          <w:tcPr>
            <w:tcW w:w="55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Management</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196.3</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0.9%</w:t>
            </w:r>
          </w:p>
        </w:tc>
      </w:tr>
      <w:tr>
        <w:trPr>
          <w:trHeight w:val="221"/>
        </w:trPr>
        <w:tc>
          <w:tcPr>
            <w:tcW w:w="5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20,863.5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21,991.2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ind w:right="368"/>
              <w:spacing w:after="0"/>
              <w:rPr>
                <w:sz w:val="20"/>
                <w:szCs w:val="20"/>
                <w:color w:val="auto"/>
              </w:rPr>
            </w:pPr>
            <w:r>
              <w:rPr>
                <w:rFonts w:ascii="Arial" w:cs="Arial" w:eastAsia="Arial" w:hAnsi="Arial"/>
                <w:sz w:val="14"/>
                <w:szCs w:val="14"/>
                <w:color w:val="auto"/>
              </w:rPr>
              <w:t>-5.1%</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-0.9%</w:t>
            </w:r>
          </w:p>
        </w:tc>
      </w:tr>
      <w:tr>
        <w:trPr>
          <w:trHeight w:val="171"/>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Operating Unit Profit: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9"/>
        </w:trPr>
        <w:tc>
          <w:tcPr>
            <w:tcW w:w="5500" w:type="dxa"/>
            <w:vAlign w:val="bottom"/>
          </w:tcPr>
          <w:p>
            <w:pPr>
              <w:ind w:left="220"/>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United States</w:t>
            </w: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94"/>
              </w:rPr>
              <w:t>-13.4%</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w:t>
            </w:r>
          </w:p>
        </w:tc>
      </w:tr>
      <w:tr>
        <w:trPr>
          <w:trHeight w:val="189"/>
        </w:trPr>
        <w:tc>
          <w:tcPr>
            <w:tcW w:w="550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66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tcPr>
          <w:p>
            <w:pPr>
              <w:jc w:val="right"/>
              <w:ind w:right="368"/>
              <w:spacing w:after="0"/>
              <w:rPr>
                <w:sz w:val="20"/>
                <w:szCs w:val="20"/>
                <w:color w:val="auto"/>
              </w:rPr>
            </w:pPr>
            <w:r>
              <w:rPr>
                <w:rFonts w:ascii="Arial" w:cs="Arial" w:eastAsia="Arial" w:hAnsi="Arial"/>
                <w:sz w:val="14"/>
                <w:szCs w:val="14"/>
                <w:color w:val="auto"/>
              </w:rPr>
              <w:t>-0.1%</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4.9%</w:t>
            </w:r>
          </w:p>
        </w:tc>
      </w:tr>
      <w:tr>
        <w:trPr>
          <w:trHeight w:val="187"/>
        </w:trPr>
        <w:tc>
          <w:tcPr>
            <w:tcW w:w="55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186.3</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203.9</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-8.6%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w:t>
            </w:r>
          </w:p>
        </w:tc>
      </w:tr>
      <w:tr>
        <w:trPr>
          <w:trHeight w:val="181"/>
        </w:trPr>
        <w:tc>
          <w:tcPr>
            <w:tcW w:w="5500" w:type="dxa"/>
            <w:vAlign w:val="bottom"/>
          </w:tcPr>
          <w:p>
            <w:pPr>
              <w:ind w:left="220"/>
              <w:spacing w:after="0"/>
              <w:rPr>
                <w:sz w:val="20"/>
                <w:szCs w:val="20"/>
                <w:color w:val="auto"/>
              </w:rPr>
            </w:pPr>
            <w:r>
              <w:rPr>
                <w:rFonts w:ascii="Arial" w:cs="Arial" w:eastAsia="Arial" w:hAnsi="Arial"/>
                <w:sz w:val="14"/>
                <w:szCs w:val="14"/>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-2.1%</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w:t>
            </w:r>
          </w:p>
        </w:tc>
      </w:tr>
      <w:tr>
        <w:trPr>
          <w:trHeight w:val="189"/>
        </w:trPr>
        <w:tc>
          <w:tcPr>
            <w:tcW w:w="5500" w:type="dxa"/>
            <w:vAlign w:val="bottom"/>
          </w:tcPr>
          <w:p>
            <w:pPr>
              <w:ind w:left="440"/>
              <w:spacing w:after="0"/>
              <w:rPr>
                <w:sz w:val="20"/>
                <w:szCs w:val="20"/>
                <w:color w:val="auto"/>
              </w:rPr>
            </w:pPr>
            <w:r>
              <w:rPr>
                <w:rFonts w:ascii="Arial" w:cs="Arial" w:eastAsia="Arial" w:hAnsi="Arial"/>
                <w:sz w:val="14"/>
                <w:szCs w:val="14"/>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r>
      <w:tr>
        <w:trPr>
          <w:trHeight w:val="195"/>
        </w:trPr>
        <w:tc>
          <w:tcPr>
            <w:tcW w:w="55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67.7</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2.4%</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w:t>
            </w:r>
          </w:p>
        </w:tc>
      </w:tr>
      <w:tr>
        <w:trPr>
          <w:trHeight w:val="181"/>
        </w:trPr>
        <w:tc>
          <w:tcPr>
            <w:tcW w:w="55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467.6</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jc w:val="right"/>
              <w:ind w:right="368"/>
              <w:spacing w:after="0"/>
              <w:rPr>
                <w:sz w:val="20"/>
                <w:szCs w:val="20"/>
                <w:color w:val="auto"/>
              </w:rPr>
            </w:pPr>
            <w:r>
              <w:rPr>
                <w:rFonts w:ascii="Arial" w:cs="Arial" w:eastAsia="Arial" w:hAnsi="Arial"/>
                <w:sz w:val="14"/>
                <w:szCs w:val="14"/>
                <w:color w:val="auto"/>
              </w:rPr>
              <w:t>-2.8%</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2.0%</w:t>
            </w:r>
          </w:p>
        </w:tc>
      </w:tr>
      <w:tr>
        <w:trPr>
          <w:trHeight w:val="187"/>
        </w:trPr>
        <w:tc>
          <w:tcPr>
            <w:tcW w:w="55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Northern Europe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94"/>
              </w:rPr>
              <w:t>-45.3%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-42.4%</w:t>
            </w:r>
          </w:p>
        </w:tc>
      </w:tr>
      <w:tr>
        <w:trPr>
          <w:trHeight w:val="189"/>
        </w:trPr>
        <w:tc>
          <w:tcPr>
            <w:tcW w:w="5500" w:type="dxa"/>
            <w:vAlign w:val="bottom"/>
          </w:tcPr>
          <w:p>
            <w:pPr>
              <w:ind w:left="220"/>
              <w:spacing w:after="0"/>
              <w:rPr>
                <w:sz w:val="20"/>
                <w:szCs w:val="20"/>
                <w:color w:val="auto"/>
              </w:rPr>
            </w:pPr>
            <w:r>
              <w:rPr>
                <w:rFonts w:ascii="Arial" w:cs="Arial" w:eastAsia="Arial" w:hAnsi="Arial"/>
                <w:sz w:val="14"/>
                <w:szCs w:val="14"/>
                <w:color w:val="auto"/>
              </w:rPr>
              <w:t>APME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6.8%</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r>
      <w:tr>
        <w:trPr>
          <w:trHeight w:val="192"/>
        </w:trPr>
        <w:tc>
          <w:tcPr>
            <w:tcW w:w="55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Management</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-8.6%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-6.9%</w:t>
            </w:r>
          </w:p>
        </w:tc>
      </w:tr>
      <w:tr>
        <w:trPr>
          <w:trHeight w:val="184"/>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5"/>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Corporate expenses</w:t>
            </w: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(121.9)</w:t>
            </w: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(110.0)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5500" w:type="dxa"/>
            <w:vAlign w:val="bottom"/>
          </w:tcPr>
          <w:p>
            <w:pPr>
              <w:spacing w:after="0"/>
              <w:rPr>
                <w:sz w:val="20"/>
                <w:szCs w:val="20"/>
                <w:color w:val="auto"/>
              </w:rPr>
            </w:pPr>
            <w:r>
              <w:rPr>
                <w:rFonts w:ascii="Arial" w:cs="Arial" w:eastAsia="Arial" w:hAnsi="Arial"/>
                <w:sz w:val="14"/>
                <w:szCs w:val="14"/>
                <w:color w:val="auto"/>
              </w:rPr>
              <w:t>Goodwill impairment charge</w:t>
            </w:r>
          </w:p>
        </w:tc>
        <w:tc>
          <w:tcPr>
            <w:tcW w:w="28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(64.0)</w:t>
            </w:r>
          </w:p>
        </w:tc>
        <w:tc>
          <w:tcPr>
            <w:tcW w:w="280" w:type="dxa"/>
            <w:vAlign w:val="bottom"/>
          </w:tcPr>
          <w:p>
            <w:pPr>
              <w:spacing w:after="0"/>
              <w:rPr>
                <w:sz w:val="16"/>
                <w:szCs w:val="16"/>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5"/>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 amortization expense</w:t>
            </w: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(29.8)</w:t>
            </w: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(35.1)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1"/>
        </w:trPr>
        <w:tc>
          <w:tcPr>
            <w:tcW w:w="5500" w:type="dxa"/>
            <w:vAlign w:val="bottom"/>
          </w:tcPr>
          <w:p>
            <w:pPr>
              <w:ind w:left="220"/>
              <w:spacing w:after="0"/>
              <w:rPr>
                <w:sz w:val="20"/>
                <w:szCs w:val="20"/>
                <w:color w:val="auto"/>
              </w:rPr>
            </w:pPr>
            <w:r>
              <w:rPr>
                <w:rFonts w:ascii="Arial" w:cs="Arial" w:eastAsia="Arial" w:hAnsi="Arial"/>
                <w:sz w:val="14"/>
                <w:szCs w:val="14"/>
                <w:color w:val="auto"/>
              </w:rPr>
              <w:t>Operating profit</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w w:val="94"/>
              </w:rPr>
              <w:t>-19.1%</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-15.6%</w:t>
            </w:r>
          </w:p>
        </w:tc>
      </w:tr>
      <w:tr>
        <w:trPr>
          <w:trHeight w:val="192"/>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Interest and other (income) expenses, net (b)</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8"/>
        </w:trPr>
        <w:tc>
          <w:tcPr>
            <w:tcW w:w="5500" w:type="dxa"/>
            <w:vAlign w:val="bottom"/>
          </w:tcPr>
          <w:p>
            <w:pPr>
              <w:ind w:left="220"/>
              <w:spacing w:after="0"/>
              <w:rPr>
                <w:sz w:val="20"/>
                <w:szCs w:val="20"/>
                <w:color w:val="auto"/>
              </w:rPr>
            </w:pPr>
            <w:r>
              <w:rPr>
                <w:rFonts w:ascii="Arial" w:cs="Arial" w:eastAsia="Arial" w:hAnsi="Arial"/>
                <w:sz w:val="14"/>
                <w:szCs w:val="14"/>
                <w:color w:val="auto"/>
              </w:rPr>
              <w:t>Earnings before income taxes</w:t>
            </w: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685.5</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544" w:right="100" w:hanging="544"/>
        <w:spacing w:after="0" w:line="264" w:lineRule="auto"/>
        <w:tabs>
          <w:tab w:leader="none" w:pos="54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$14.1 million and 15.0 million for the years ended December 31, 2019 and 2018, respectively. These fees are primarily based on revenues generated by the franchise offices, which were $594.3 million and $651.2 million for the years ended December 31, 2019 and 2018, respectively.</w:t>
      </w:r>
    </w:p>
    <w:p>
      <w:pPr>
        <w:spacing w:after="0" w:line="125" w:lineRule="exact"/>
        <w:rPr>
          <w:rFonts w:ascii="Arial" w:cs="Arial" w:eastAsia="Arial" w:hAnsi="Arial"/>
          <w:sz w:val="16"/>
          <w:szCs w:val="16"/>
          <w:color w:val="auto"/>
        </w:rPr>
      </w:pPr>
    </w:p>
    <w:p>
      <w:pPr>
        <w:ind w:left="544" w:hanging="544"/>
        <w:spacing w:after="0"/>
        <w:tabs>
          <w:tab w:leader="none" w:pos="5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4760" w:type="dxa"/>
            <w:vAlign w:val="bottom"/>
          </w:tcPr>
          <w:p>
            <w:pPr>
              <w:spacing w:after="0"/>
              <w:rPr>
                <w:sz w:val="18"/>
                <w:szCs w:val="18"/>
                <w:color w:val="auto"/>
              </w:rPr>
            </w:pPr>
          </w:p>
        </w:tc>
        <w:tc>
          <w:tcPr>
            <w:tcW w:w="41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31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6"/>
                <w:szCs w:val="16"/>
                <w:color w:val="auto"/>
              </w:rPr>
              <w:t>Interest income</w:t>
            </w:r>
          </w:p>
        </w:tc>
        <w:tc>
          <w:tcPr>
            <w:tcW w:w="3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4"/>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w:t>
            </w:r>
          </w:p>
        </w:tc>
        <w:tc>
          <w:tcPr>
            <w:tcW w:w="3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6"/>
                <w:szCs w:val="16"/>
                <w:color w:val="auto"/>
              </w:rPr>
              <w:t>Miscellaneous income (c)</w:t>
            </w:r>
          </w:p>
        </w:tc>
        <w:tc>
          <w:tcPr>
            <w:tcW w:w="3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(85.7)</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3100" w:type="dxa"/>
            <w:vAlign w:val="bottom"/>
            <w:vMerge w:val="restart"/>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FF0FC"/>
          </w:tcPr>
          <w:p>
            <w:pPr>
              <w:spacing w:after="0"/>
              <w:rPr>
                <w:sz w:val="17"/>
                <w:szCs w:val="17"/>
                <w:color w:val="auto"/>
              </w:rPr>
            </w:pPr>
          </w:p>
        </w:tc>
        <w:tc>
          <w:tcPr>
            <w:tcW w:w="3100" w:type="dxa"/>
            <w:vAlign w:val="bottom"/>
            <w:vMerge w:val="continue"/>
            <w:shd w:val="clear" w:color="auto" w:fill="CFF0FC"/>
          </w:tcPr>
          <w:p>
            <w:pPr>
              <w:spacing w:after="0"/>
              <w:rPr>
                <w:sz w:val="17"/>
                <w:szCs w:val="17"/>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(40.6)</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an $80.0 million gain related to our acquisition of the remaining controlling interest in our Swiss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305435</wp:posOffset>
            </wp:positionV>
            <wp:extent cx="730250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51" w:right="219" w:bottom="1440" w:gutter="0" w:footer="0" w:header="0"/>
        </w:sectPr>
      </w:pPr>
    </w:p>
    <w:bookmarkStart w:id="9" w:name="page10"/>
    <w:bookmarkEnd w:id="9"/>
    <w:p>
      <w:pPr>
        <w:ind w:left="5160"/>
        <w:spacing w:after="0"/>
        <w:rPr>
          <w:sz w:val="20"/>
          <w:szCs w:val="20"/>
          <w:color w:val="auto"/>
        </w:rPr>
      </w:pPr>
      <w:r>
        <w:rPr>
          <w:rFonts w:ascii="Arial" w:cs="Arial" w:eastAsia="Arial" w:hAnsi="Arial"/>
          <w:sz w:val="16"/>
          <w:szCs w:val="16"/>
          <w:color w:val="auto"/>
        </w:rPr>
        <w:t>ManpowerGroup</w:t>
      </w:r>
    </w:p>
    <w:p>
      <w:pPr>
        <w:spacing w:after="0" w:line="44"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Consolidated Balance Sheets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Pr>
          <w:p>
            <w:pPr>
              <w:jc w:val="center"/>
              <w:ind w:left="483"/>
              <w:spacing w:after="0"/>
              <w:rPr>
                <w:sz w:val="20"/>
                <w:szCs w:val="20"/>
                <w:color w:val="auto"/>
              </w:rPr>
            </w:pPr>
            <w:r>
              <w:rPr>
                <w:rFonts w:ascii="Arial" w:cs="Arial" w:eastAsia="Arial" w:hAnsi="Arial"/>
                <w:sz w:val="16"/>
                <w:szCs w:val="16"/>
                <w:b w:val="1"/>
                <w:bCs w:val="1"/>
                <w:color w:val="auto"/>
                <w:w w:val="89"/>
              </w:rPr>
              <w:t>Dec.31</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9"/>
              </w:rPr>
              <w:t>Dec.31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80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6"/>
                <w:szCs w:val="16"/>
                <w:color w:val="auto"/>
              </w:rPr>
              <w:t>(Unaudited)</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color w:val="auto"/>
              </w:rPr>
              <w:t>Current assets: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2800" w:type="dxa"/>
            <w:vAlign w:val="bottom"/>
            <w:gridSpan w:val="2"/>
            <w:shd w:val="clear" w:color="auto" w:fill="CFF0FC"/>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1,025.8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5,273.1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5,276.1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assets</w:t>
            </w:r>
          </w:p>
        </w:tc>
        <w:tc>
          <w:tcPr>
            <w:tcW w:w="17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6,484.5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1,260.1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Intangible assets, net</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Operating lease right-of-use asset</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448.5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17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618.8</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Arial" w:cs="Arial" w:eastAsia="Arial" w:hAnsi="Arial"/>
                <w:sz w:val="16"/>
                <w:szCs w:val="16"/>
                <w:color w:val="auto"/>
              </w:rPr>
              <w:t>Total other assets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2,596.0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Land, buildings, leasehold improvements and equipment</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605.5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7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Net property and equipment</w:t>
            </w:r>
          </w:p>
        </w:tc>
        <w:tc>
          <w:tcPr>
            <w:tcW w:w="17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assets</w:t>
            </w:r>
          </w:p>
        </w:tc>
        <w:tc>
          <w:tcPr>
            <w:tcW w:w="17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6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9,223.8</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8,519.8</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0" w:type="dxa"/>
            <w:vAlign w:val="bottom"/>
            <w:gridSpan w:val="2"/>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7"/>
              </w:rPr>
              <w:t>2,474.9</w:t>
            </w:r>
          </w:p>
        </w:tc>
        <w:tc>
          <w:tcPr>
            <w:tcW w:w="28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2,266.7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compensation payable</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payroll taxes and insurance</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Value added taxes payable</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borrowings and current maturities of long-term debt</w:t>
            </w:r>
          </w:p>
        </w:tc>
        <w:tc>
          <w:tcPr>
            <w:tcW w:w="17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4,441.4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4,175.9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1,012.4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Long-term operating lease liability</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336.7</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7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620.1</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other liabilities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2,020.9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1,645.4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ManpowerGroup shareholders' equity</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in excess of par value</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3,370.6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3,337.5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7"/>
              </w:rPr>
              <w:t>3,494.1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17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(441.0)</w:t>
            </w: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Arial" w:cs="Arial" w:eastAsia="Arial" w:hAnsi="Arial"/>
                <w:sz w:val="16"/>
                <w:szCs w:val="16"/>
                <w:color w:val="auto"/>
              </w:rPr>
              <w:t>Treasury stock, at cost</w:t>
            </w: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(3,681.9)</w:t>
            </w:r>
          </w:p>
        </w:tc>
        <w:tc>
          <w:tcPr>
            <w:tcW w:w="4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(3,471.7)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ManpowerGroup shareholders' equity</w:t>
            </w:r>
          </w:p>
        </w:tc>
        <w:tc>
          <w:tcPr>
            <w:tcW w:w="17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2,743.0</w:t>
            </w:r>
          </w:p>
        </w:tc>
        <w:tc>
          <w:tcPr>
            <w:tcW w:w="2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2,624.9</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17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shareholders' equity</w:t>
            </w:r>
          </w:p>
        </w:tc>
        <w:tc>
          <w:tcPr>
            <w:tcW w:w="17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2,761.5</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2,698.5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1780" w:type="dxa"/>
            <w:vAlign w:val="bottom"/>
          </w:tcPr>
          <w:p>
            <w:pPr>
              <w:spacing w:after="0"/>
              <w:rPr>
                <w:sz w:val="17"/>
                <w:szCs w:val="17"/>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9,223.8</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6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0" w:name="page11"/>
    <w:bookmarkEnd w:id="10"/>
    <w:p>
      <w:pPr>
        <w:ind w:left="5160"/>
        <w:spacing w:after="0"/>
        <w:rPr>
          <w:sz w:val="20"/>
          <w:szCs w:val="20"/>
          <w:color w:val="auto"/>
        </w:rPr>
      </w:pPr>
      <w:r>
        <w:rPr>
          <w:rFonts w:ascii="Arial" w:cs="Arial" w:eastAsia="Arial" w:hAnsi="Arial"/>
          <w:sz w:val="16"/>
          <w:szCs w:val="16"/>
          <w:color w:val="auto"/>
        </w:rPr>
        <w:t>ManpowerGroup</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Consolidated Statements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r>
      <w:tr>
        <w:trPr>
          <w:trHeight w:val="196"/>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6"/>
                <w:szCs w:val="16"/>
                <w:color w:val="auto"/>
                <w:w w:val="90"/>
              </w:rPr>
              <w:t>(Unaudited)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spacing w:after="0"/>
              <w:rPr>
                <w:sz w:val="20"/>
                <w:szCs w:val="20"/>
                <w:color w:val="auto"/>
              </w:rPr>
            </w:pPr>
            <w:r>
              <w:rPr>
                <w:rFonts w:ascii="Arial" w:cs="Arial" w:eastAsia="Arial" w:hAnsi="Arial"/>
                <w:sz w:val="16"/>
                <w:szCs w:val="16"/>
                <w:color w:val="auto"/>
              </w:rPr>
              <w:t>Net earnings</w:t>
            </w:r>
          </w:p>
        </w:tc>
        <w:tc>
          <w:tcPr>
            <w:tcW w:w="2300" w:type="dxa"/>
            <w:vAlign w:val="bottom"/>
            <w:gridSpan w:val="2"/>
          </w:tcPr>
          <w:p>
            <w:pPr>
              <w:jc w:val="right"/>
              <w:ind w:right="86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465.7</w:t>
            </w:r>
          </w:p>
        </w:tc>
        <w:tc>
          <w:tcPr>
            <w:tcW w:w="280" w:type="dxa"/>
            <w:vAlign w:val="bottom"/>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556.7</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Non-cash gain on disposition of previously held equity interest</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(80.4)</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Non-cash gain on disposition of previously held controlling interest</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(30.4)</w:t>
            </w:r>
          </w:p>
        </w:tc>
        <w:tc>
          <w:tcPr>
            <w:tcW w:w="4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Non-cash lease expense</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Non-cash goodwill impairment charge</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Deferred income taxes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(43.0)</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(11.9)</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Provision for doubtful accounts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Share-based compensation</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Accounts receivable</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(80.2)</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(146.4)</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122.3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Other liabilities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(110.6)</w:t>
            </w:r>
          </w:p>
        </w:tc>
      </w:tr>
      <w:tr>
        <w:trPr>
          <w:trHeight w:val="196"/>
        </w:trPr>
        <w:tc>
          <w:tcPr>
            <w:tcW w:w="6580" w:type="dxa"/>
            <w:vAlign w:val="bottom"/>
            <w:tcBorders>
              <w:bottom w:val="single" w:sz="8" w:color="CFF0FC"/>
            </w:tcBorders>
          </w:tcPr>
          <w:p>
            <w:pPr>
              <w:ind w:left="660"/>
              <w:spacing w:after="0"/>
              <w:rPr>
                <w:sz w:val="20"/>
                <w:szCs w:val="20"/>
                <w:color w:val="auto"/>
              </w:rPr>
            </w:pPr>
            <w:r>
              <w:rPr>
                <w:rFonts w:ascii="Arial" w:cs="Arial" w:eastAsia="Arial" w:hAnsi="Arial"/>
                <w:sz w:val="16"/>
                <w:szCs w:val="16"/>
                <w:color w:val="auto"/>
              </w:rPr>
              <w:t>Cash provided by operating activities</w:t>
            </w:r>
          </w:p>
        </w:tc>
        <w:tc>
          <w:tcPr>
            <w:tcW w:w="128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814.4</w:t>
            </w:r>
          </w:p>
        </w:tc>
        <w:tc>
          <w:tcPr>
            <w:tcW w:w="280" w:type="dxa"/>
            <w:vAlign w:val="bottom"/>
            <w:tcBorders>
              <w:bottom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FF0FC"/>
            </w:tcBorders>
          </w:tcPr>
          <w:p>
            <w:pPr>
              <w:spacing w:after="0"/>
              <w:rPr>
                <w:sz w:val="17"/>
                <w:szCs w:val="17"/>
                <w:color w:val="auto"/>
              </w:rPr>
            </w:pPr>
          </w:p>
        </w:tc>
      </w:tr>
      <w:tr>
        <w:trPr>
          <w:trHeight w:val="196"/>
        </w:trPr>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Capital expenditures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(52.9)</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(64.7)</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Acquisitions of businesses, net of cash acquired</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Impact to cash resulting from deconsolidation of subsidiaries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(57.9)</w:t>
            </w:r>
          </w:p>
        </w:tc>
        <w:tc>
          <w:tcPr>
            <w:tcW w:w="4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Proceeds from the sale of subsidiaries, investments, property and equipment</w:t>
            </w:r>
          </w:p>
        </w:tc>
        <w:tc>
          <w:tcPr>
            <w:tcW w:w="12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FF0FC"/>
          </w:tcPr>
          <w:p>
            <w:pPr>
              <w:spacing w:after="0"/>
              <w:rPr>
                <w:sz w:val="17"/>
                <w:szCs w:val="17"/>
                <w:color w:val="auto"/>
              </w:rPr>
            </w:pPr>
          </w:p>
        </w:tc>
      </w:tr>
      <w:tr>
        <w:trPr>
          <w:trHeight w:val="196"/>
        </w:trPr>
        <w:tc>
          <w:tcPr>
            <w:tcW w:w="6580" w:type="dxa"/>
            <w:vAlign w:val="bottom"/>
          </w:tcPr>
          <w:p>
            <w:pPr>
              <w:ind w:left="660"/>
              <w:spacing w:after="0"/>
              <w:rPr>
                <w:sz w:val="20"/>
                <w:szCs w:val="20"/>
                <w:color w:val="auto"/>
              </w:rPr>
            </w:pPr>
            <w:r>
              <w:rPr>
                <w:rFonts w:ascii="Arial" w:cs="Arial" w:eastAsia="Arial" w:hAnsi="Arial"/>
                <w:sz w:val="16"/>
                <w:szCs w:val="16"/>
                <w:color w:val="auto"/>
              </w:rPr>
              <w:t>Cash used in investing activities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(16.2)</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(54.9)</w:t>
            </w:r>
          </w:p>
        </w:tc>
      </w:tr>
      <w:tr>
        <w:trPr>
          <w:trHeight w:val="196"/>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Net change in short-term borrowings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Proceeds from long-term debt</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583.3</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Repayments of long-term debt</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(408.6)</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Payments for debt issuance costs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Payments of contingent consideration for acquisitions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(22.8)</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(18.6)</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Proceeds from share-based awards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Payments to noncontrolling interests</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Other share-based award transactions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(7.2)</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(17.3)</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Repurchases of common stock</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(203.0)</w:t>
            </w:r>
          </w:p>
        </w:tc>
        <w:tc>
          <w:tcPr>
            <w:tcW w:w="4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(500.7)</w:t>
            </w:r>
          </w:p>
        </w:tc>
      </w:tr>
      <w:tr>
        <w:trPr>
          <w:trHeight w:val="204"/>
        </w:trPr>
        <w:tc>
          <w:tcPr>
            <w:tcW w:w="65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Dividends paid</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(129.3)</w:t>
            </w:r>
          </w:p>
        </w:tc>
        <w:tc>
          <w:tcPr>
            <w:tcW w:w="4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(127.3)</w:t>
            </w:r>
          </w:p>
        </w:tc>
      </w:tr>
      <w:tr>
        <w:trPr>
          <w:trHeight w:val="204"/>
        </w:trPr>
        <w:tc>
          <w:tcPr>
            <w:tcW w:w="6580" w:type="dxa"/>
            <w:vAlign w:val="bottom"/>
          </w:tcPr>
          <w:p>
            <w:pPr>
              <w:ind w:left="440"/>
              <w:spacing w:after="0"/>
              <w:rPr>
                <w:sz w:val="20"/>
                <w:szCs w:val="20"/>
                <w:color w:val="auto"/>
              </w:rPr>
            </w:pPr>
            <w:r>
              <w:rPr>
                <w:rFonts w:ascii="Arial" w:cs="Arial" w:eastAsia="Arial" w:hAnsi="Arial"/>
                <w:sz w:val="16"/>
                <w:szCs w:val="16"/>
                <w:color w:val="auto"/>
              </w:rPr>
              <w:t>Miscellaneous, net</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6"/>
        </w:trPr>
        <w:tc>
          <w:tcPr>
            <w:tcW w:w="6580" w:type="dxa"/>
            <w:vAlign w:val="bottom"/>
            <w:tcBorders>
              <w:top w:val="single" w:sz="8" w:color="CFF0FC"/>
            </w:tcBorders>
            <w:shd w:val="clear" w:color="auto" w:fill="CFF0FC"/>
          </w:tcPr>
          <w:p>
            <w:pPr>
              <w:ind w:left="660"/>
              <w:spacing w:after="0"/>
              <w:rPr>
                <w:sz w:val="20"/>
                <w:szCs w:val="20"/>
                <w:color w:val="auto"/>
              </w:rPr>
            </w:pPr>
            <w:r>
              <w:rPr>
                <w:rFonts w:ascii="Arial" w:cs="Arial" w:eastAsia="Arial" w:hAnsi="Arial"/>
                <w:sz w:val="16"/>
                <w:szCs w:val="16"/>
                <w:color w:val="auto"/>
              </w:rPr>
              <w:t>Cash used in financing activities</w:t>
            </w:r>
          </w:p>
        </w:tc>
        <w:tc>
          <w:tcPr>
            <w:tcW w:w="12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(337.4)</w:t>
            </w:r>
          </w:p>
        </w:tc>
        <w:tc>
          <w:tcPr>
            <w:tcW w:w="2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(484.9)</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w:t>
            </w:r>
          </w:p>
        </w:tc>
        <w:tc>
          <w:tcPr>
            <w:tcW w:w="1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2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FF0FC"/>
            </w:tcBorders>
          </w:tcPr>
          <w:p>
            <w:pPr>
              <w:spacing w:after="0"/>
              <w:rPr>
                <w:sz w:val="17"/>
                <w:szCs w:val="17"/>
                <w:color w:val="auto"/>
              </w:rPr>
            </w:pPr>
          </w:p>
        </w:tc>
      </w:tr>
      <w:tr>
        <w:trPr>
          <w:trHeight w:val="196"/>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Change in cash and cash equivalents</w:t>
            </w:r>
          </w:p>
        </w:tc>
        <w:tc>
          <w:tcPr>
            <w:tcW w:w="1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433.9</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1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591.9</w:t>
            </w:r>
          </w:p>
        </w:tc>
        <w:tc>
          <w:tcPr>
            <w:tcW w:w="2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w:t>
            </w:r>
          </w:p>
        </w:tc>
        <w:tc>
          <w:tcPr>
            <w:tcW w:w="120" w:type="dxa"/>
            <w:vAlign w:val="bottom"/>
            <w:tcBorders>
              <w:bottom w:val="single" w:sz="8" w:color="CFF0FC"/>
            </w:tcBorders>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1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1,025.8</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40"/>
          </w:cols>
          <w:pgMar w:left="240" w:top="319" w:right="2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left="10600"/>
        <w:spacing w:after="0"/>
        <w:rPr>
          <w:sz w:val="20"/>
          <w:szCs w:val="20"/>
          <w:color w:val="auto"/>
        </w:rPr>
      </w:pPr>
      <w:r>
        <w:rPr>
          <w:rFonts w:ascii="Arial" w:cs="Arial" w:eastAsia="Arial" w:hAnsi="Arial"/>
          <w:sz w:val="16"/>
          <w:szCs w:val="16"/>
          <w:color w:val="auto"/>
        </w:rPr>
        <w:t>Exhibit 99.3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ManpowerGroup</w:t>
      </w:r>
    </w:p>
    <w:p>
      <w:pPr>
        <w:jc w:val="center"/>
        <w:ind w:right="100"/>
        <w:spacing w:after="0" w:line="226" w:lineRule="auto"/>
        <w:rPr>
          <w:sz w:val="20"/>
          <w:szCs w:val="20"/>
          <w:color w:val="auto"/>
        </w:rPr>
      </w:pPr>
      <w:r>
        <w:rPr>
          <w:rFonts w:ascii="Arial" w:cs="Arial" w:eastAsia="Arial" w:hAnsi="Arial"/>
          <w:sz w:val="14"/>
          <w:szCs w:val="14"/>
          <w:color w:val="auto"/>
        </w:rPr>
        <w:t>Restated Operating Unit Results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9"/>
          <w:szCs w:val="9"/>
          <w:color w:val="auto"/>
        </w:rPr>
        <w:t>(In millions)</w:t>
      </w:r>
    </w:p>
    <w:p>
      <w:pPr>
        <w:spacing w:after="0" w:line="91" w:lineRule="exact"/>
        <w:rPr>
          <w:sz w:val="20"/>
          <w:szCs w:val="20"/>
          <w:color w:val="auto"/>
        </w:rPr>
      </w:pPr>
    </w:p>
    <w:p>
      <w:pPr>
        <w:ind w:right="160"/>
        <w:spacing w:after="0" w:line="283" w:lineRule="auto"/>
        <w:rPr>
          <w:sz w:val="20"/>
          <w:szCs w:val="20"/>
          <w:color w:val="auto"/>
        </w:rPr>
      </w:pPr>
      <w:r>
        <w:rPr>
          <w:rFonts w:ascii="Arial" w:cs="Arial" w:eastAsia="Arial" w:hAnsi="Arial"/>
          <w:sz w:val="10"/>
          <w:szCs w:val="10"/>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0"/>
                <w:szCs w:val="10"/>
                <w:b w:val="1"/>
                <w:bCs w:val="1"/>
                <w:color w:val="auto"/>
                <w:w w:val="96"/>
              </w:rPr>
              <w:t>Three Months Ended March 31</w:t>
            </w: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ind w:left="420"/>
              <w:spacing w:after="0" w:line="113" w:lineRule="exact"/>
              <w:rPr>
                <w:sz w:val="20"/>
                <w:szCs w:val="20"/>
                <w:color w:val="auto"/>
              </w:rPr>
            </w:pPr>
            <w:r>
              <w:rPr>
                <w:rFonts w:ascii="Arial" w:cs="Arial" w:eastAsia="Arial" w:hAnsi="Arial"/>
                <w:sz w:val="10"/>
                <w:szCs w:val="10"/>
                <w:b w:val="1"/>
                <w:bCs w:val="1"/>
                <w:color w:val="auto"/>
              </w:rPr>
              <w:t>% Variance</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Amount</w:t>
            </w:r>
          </w:p>
        </w:tc>
        <w:tc>
          <w:tcPr>
            <w:tcW w:w="720" w:type="dxa"/>
            <w:vAlign w:val="bottom"/>
          </w:tcPr>
          <w:p>
            <w:pPr>
              <w:ind w:left="120"/>
              <w:spacing w:after="0"/>
              <w:rPr>
                <w:sz w:val="20"/>
                <w:szCs w:val="20"/>
                <w:color w:val="auto"/>
              </w:rPr>
            </w:pPr>
            <w:r>
              <w:rPr>
                <w:rFonts w:ascii="Arial" w:cs="Arial" w:eastAsia="Arial" w:hAnsi="Arial"/>
                <w:sz w:val="10"/>
                <w:szCs w:val="10"/>
                <w:b w:val="1"/>
                <w:bCs w:val="1"/>
                <w:color w:val="auto"/>
              </w:rPr>
              <w:t>Constant</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ind w:right="268"/>
              <w:spacing w:after="0"/>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11"/>
                <w:szCs w:val="11"/>
                <w:color w:val="auto"/>
              </w:rPr>
            </w:pPr>
          </w:p>
        </w:tc>
        <w:tc>
          <w:tcPr>
            <w:tcW w:w="620" w:type="dxa"/>
            <w:vAlign w:val="bottom"/>
          </w:tcPr>
          <w:p>
            <w:pPr>
              <w:jc w:val="right"/>
              <w:ind w:right="228"/>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5"/>
              </w:rPr>
              <w:t>Reported</w:t>
            </w:r>
          </w:p>
        </w:tc>
        <w:tc>
          <w:tcPr>
            <w:tcW w:w="900" w:type="dxa"/>
            <w:vAlign w:val="bottom"/>
            <w:gridSpan w:val="2"/>
          </w:tcPr>
          <w:p>
            <w:pPr>
              <w:ind w:left="100"/>
              <w:spacing w:after="0"/>
              <w:rPr>
                <w:sz w:val="20"/>
                <w:szCs w:val="20"/>
                <w:color w:val="auto"/>
              </w:rPr>
            </w:pPr>
            <w:r>
              <w:rPr>
                <w:rFonts w:ascii="Arial" w:cs="Arial" w:eastAsia="Arial" w:hAnsi="Arial"/>
                <w:sz w:val="10"/>
                <w:szCs w:val="10"/>
                <w:b w:val="1"/>
                <w:bCs w:val="1"/>
                <w:color w:val="auto"/>
              </w:rPr>
              <w:t>Currency</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00" w:type="dxa"/>
            <w:vAlign w:val="bottom"/>
            <w:vMerge w:val="restart"/>
          </w:tcPr>
          <w:p>
            <w:pPr>
              <w:spacing w:after="0"/>
              <w:rPr>
                <w:sz w:val="20"/>
                <w:szCs w:val="20"/>
                <w:color w:val="auto"/>
              </w:rPr>
            </w:pPr>
            <w:r>
              <w:rPr>
                <w:rFonts w:ascii="Arial" w:cs="Arial" w:eastAsia="Arial" w:hAnsi="Arial"/>
                <w:sz w:val="10"/>
                <w:szCs w:val="10"/>
                <w:color w:val="auto"/>
              </w:rPr>
              <w:t>Revenues from Services:</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left="68"/>
              <w:spacing w:after="0"/>
              <w:rPr>
                <w:sz w:val="20"/>
                <w:szCs w:val="20"/>
                <w:color w:val="auto"/>
              </w:rPr>
            </w:pPr>
            <w:r>
              <w:rPr>
                <w:rFonts w:ascii="Arial" w:cs="Arial" w:eastAsia="Arial" w:hAnsi="Arial"/>
                <w:sz w:val="10"/>
                <w:szCs w:val="10"/>
                <w:color w:val="auto"/>
                <w:w w:val="95"/>
              </w:rPr>
              <w:t>(Unaudited)</w:t>
            </w: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0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4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623.2</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637.8</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-2.3%</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407.0</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409.8</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-0.7%</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10.6%</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1,030.2</w:t>
            </w:r>
          </w:p>
        </w:tc>
        <w:tc>
          <w:tcPr>
            <w:tcW w:w="3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1,047.6</w:t>
            </w: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-1.7%</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2.8%</w:t>
            </w: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000" w:type="dxa"/>
            <w:vAlign w:val="bottom"/>
          </w:tcPr>
          <w:p>
            <w:pPr>
              <w:ind w:left="40"/>
              <w:spacing w:after="0"/>
              <w:rPr>
                <w:sz w:val="20"/>
                <w:szCs w:val="20"/>
                <w:color w:val="auto"/>
              </w:rPr>
            </w:pPr>
            <w:r>
              <w:rPr>
                <w:rFonts w:ascii="Arial" w:cs="Arial" w:eastAsia="Arial" w:hAnsi="Arial"/>
                <w:sz w:val="10"/>
                <w:szCs w:val="10"/>
                <w:color w:val="auto"/>
              </w:rPr>
              <w:t>Southern Europe:</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1,306.1</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1,428.6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-8.6%</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-1.0%</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356.4</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414.5</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-14.0%</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-6.9%</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446.3</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476.1</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-6.3%</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1.5%</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2,108.8</w:t>
            </w:r>
          </w:p>
        </w:tc>
        <w:tc>
          <w:tcPr>
            <w:tcW w:w="3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2,319.2</w:t>
            </w: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0"/>
              <w:spacing w:after="0" w:line="113" w:lineRule="exact"/>
              <w:rPr>
                <w:sz w:val="20"/>
                <w:szCs w:val="20"/>
                <w:color w:val="auto"/>
              </w:rPr>
            </w:pPr>
            <w:r>
              <w:rPr>
                <w:rFonts w:ascii="Arial" w:cs="Arial" w:eastAsia="Arial" w:hAnsi="Arial"/>
                <w:sz w:val="10"/>
                <w:szCs w:val="10"/>
                <w:color w:val="auto"/>
              </w:rPr>
              <w:t>-9.1%</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-1.6%</w:t>
            </w: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1,200.5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1,429.5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-16.0%</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-8.8%</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705.4</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726.1</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1.9%</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5,044.9</w:t>
            </w:r>
          </w:p>
        </w:tc>
        <w:tc>
          <w:tcPr>
            <w:tcW w:w="3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5,522.4</w:t>
            </w: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-8.6%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-2.2%</w:t>
            </w: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0"/>
                <w:szCs w:val="10"/>
                <w:color w:val="auto"/>
              </w:rPr>
              <w:t>Operating Unit Profit:</w:t>
            </w: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4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16.6</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31.1</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-46.6%</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-46.6%</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16.8</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-10.0%</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-7.1%</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31.8</w:t>
            </w: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47.9</w:t>
            </w:r>
          </w:p>
        </w:tc>
        <w:tc>
          <w:tcPr>
            <w:tcW w:w="120" w:type="dxa"/>
            <w:vAlign w:val="bottom"/>
          </w:tcPr>
          <w:p>
            <w:pPr>
              <w:spacing w:after="0"/>
              <w:rPr>
                <w:sz w:val="9"/>
                <w:szCs w:val="9"/>
                <w:color w:val="auto"/>
              </w:rPr>
            </w:pPr>
          </w:p>
        </w:tc>
        <w:tc>
          <w:tcPr>
            <w:tcW w:w="6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-33.7%</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-32.7%</w:t>
            </w: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000" w:type="dxa"/>
            <w:vAlign w:val="bottom"/>
          </w:tcPr>
          <w:p>
            <w:pPr>
              <w:ind w:left="40"/>
              <w:spacing w:after="0"/>
              <w:rPr>
                <w:sz w:val="20"/>
                <w:szCs w:val="20"/>
                <w:color w:val="auto"/>
              </w:rPr>
            </w:pPr>
            <w:r>
              <w:rPr>
                <w:rFonts w:ascii="Arial" w:cs="Arial" w:eastAsia="Arial" w:hAnsi="Arial"/>
                <w:sz w:val="10"/>
                <w:szCs w:val="10"/>
                <w:color w:val="auto"/>
              </w:rPr>
              <w:t>Southern Europe:</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55.3</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57.7</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-4.2%</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3.7%</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20.3</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25.2</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-19.3%</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-12.7%</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15.1</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-27.1%</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-21.9%</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86.6</w:t>
            </w: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98.0</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0"/>
              <w:spacing w:after="0" w:line="113"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-4.4%</w:t>
            </w: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1.9</w:t>
            </w:r>
          </w:p>
        </w:tc>
        <w:tc>
          <w:tcPr>
            <w:tcW w:w="3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17.5</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-89.3%</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-88.0%</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20.6</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26.1</w:t>
            </w:r>
          </w:p>
        </w:tc>
        <w:tc>
          <w:tcPr>
            <w:tcW w:w="12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-20.9%</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-17.6%</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140.9</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189.5</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20"/>
                <w:szCs w:val="20"/>
                <w:color w:val="auto"/>
              </w:rPr>
            </w:pPr>
            <w:r>
              <w:rPr>
                <w:rFonts w:ascii="Arial" w:cs="Arial" w:eastAsia="Arial" w:hAnsi="Arial"/>
                <w:sz w:val="10"/>
                <w:szCs w:val="10"/>
                <w:color w:val="auto"/>
              </w:rPr>
              <w:t>Corporate expenses</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(27.9)</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(26.8)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Intangible asset amortization expense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(8.9)</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00" w:type="dxa"/>
            <w:vAlign w:val="bottom"/>
          </w:tcPr>
          <w:p>
            <w:pPr>
              <w:ind w:left="100"/>
              <w:spacing w:after="0"/>
              <w:rPr>
                <w:sz w:val="20"/>
                <w:szCs w:val="20"/>
                <w:color w:val="auto"/>
              </w:rPr>
            </w:pPr>
            <w:r>
              <w:rPr>
                <w:rFonts w:ascii="Arial" w:cs="Arial" w:eastAsia="Arial" w:hAnsi="Arial"/>
                <w:sz w:val="10"/>
                <w:szCs w:val="10"/>
                <w:color w:val="auto"/>
              </w:rPr>
              <w:t>Operating profit</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105.5</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153.8</w:t>
            </w:r>
          </w:p>
        </w:tc>
        <w:tc>
          <w:tcPr>
            <w:tcW w:w="12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-31.4%</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-26.0%</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20"/>
                <w:szCs w:val="20"/>
                <w:color w:val="auto"/>
              </w:rPr>
            </w:pPr>
            <w:r>
              <w:rPr>
                <w:rFonts w:ascii="Arial" w:cs="Arial" w:eastAsia="Arial" w:hAnsi="Arial"/>
                <w:sz w:val="10"/>
                <w:szCs w:val="10"/>
                <w:color w:val="auto"/>
              </w:rPr>
              <w:t>Interest and other (expenses) income, net</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(16.1)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ind w:left="100"/>
              <w:spacing w:after="0" w:line="113" w:lineRule="exact"/>
              <w:rPr>
                <w:sz w:val="20"/>
                <w:szCs w:val="20"/>
                <w:color w:val="auto"/>
              </w:rPr>
            </w:pPr>
            <w:r>
              <w:rPr>
                <w:rFonts w:ascii="Arial" w:cs="Arial" w:eastAsia="Arial" w:hAnsi="Arial"/>
                <w:sz w:val="10"/>
                <w:szCs w:val="10"/>
                <w:color w:val="auto"/>
              </w:rPr>
              <w:t>Earnings before income taxes</w:t>
            </w:r>
          </w:p>
        </w:tc>
        <w:tc>
          <w:tcPr>
            <w:tcW w:w="4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93.6</w:t>
            </w:r>
          </w:p>
        </w:tc>
        <w:tc>
          <w:tcPr>
            <w:tcW w:w="3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137.7</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0"/>
                <w:szCs w:val="10"/>
                <w:b w:val="1"/>
                <w:bCs w:val="1"/>
                <w:color w:val="auto"/>
                <w:w w:val="93"/>
              </w:rPr>
              <w:t>Three Months Ended June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368"/>
              <w:spacing w:after="0"/>
              <w:rPr>
                <w:sz w:val="20"/>
                <w:szCs w:val="20"/>
                <w:color w:val="auto"/>
              </w:rPr>
            </w:pPr>
            <w:r>
              <w:rPr>
                <w:rFonts w:ascii="Arial" w:cs="Arial" w:eastAsia="Arial" w:hAnsi="Arial"/>
                <w:sz w:val="10"/>
                <w:szCs w:val="10"/>
                <w:b w:val="1"/>
                <w:bCs w:val="1"/>
                <w:color w:val="auto"/>
                <w:w w:val="94"/>
              </w:rPr>
              <w:t>Six Months Ended June 30</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ind w:left="420"/>
              <w:spacing w:after="0" w:line="113" w:lineRule="exact"/>
              <w:rPr>
                <w:sz w:val="20"/>
                <w:szCs w:val="20"/>
                <w:color w:val="auto"/>
              </w:rPr>
            </w:pPr>
            <w:r>
              <w:rPr>
                <w:rFonts w:ascii="Arial" w:cs="Arial" w:eastAsia="Arial" w:hAnsi="Arial"/>
                <w:sz w:val="10"/>
                <w:szCs w:val="10"/>
                <w:b w:val="1"/>
                <w:bCs w:val="1"/>
                <w:color w:val="auto"/>
              </w:rPr>
              <w:t>% Variance</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2"/>
          </w:tcPr>
          <w:p>
            <w:pPr>
              <w:jc w:val="right"/>
              <w:ind w:right="488"/>
              <w:spacing w:after="0" w:line="113" w:lineRule="exact"/>
              <w:rPr>
                <w:sz w:val="20"/>
                <w:szCs w:val="20"/>
                <w:color w:val="auto"/>
              </w:rPr>
            </w:pPr>
            <w:r>
              <w:rPr>
                <w:rFonts w:ascii="Arial" w:cs="Arial" w:eastAsia="Arial" w:hAnsi="Arial"/>
                <w:sz w:val="10"/>
                <w:szCs w:val="10"/>
                <w:b w:val="1"/>
                <w:bCs w:val="1"/>
                <w:color w:val="auto"/>
              </w:rPr>
              <w:t>% Variance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Amount</w:t>
            </w:r>
          </w:p>
        </w:tc>
        <w:tc>
          <w:tcPr>
            <w:tcW w:w="720" w:type="dxa"/>
            <w:vAlign w:val="bottom"/>
          </w:tcPr>
          <w:p>
            <w:pPr>
              <w:ind w:left="120"/>
              <w:spacing w:after="0"/>
              <w:rPr>
                <w:sz w:val="20"/>
                <w:szCs w:val="20"/>
                <w:color w:val="auto"/>
              </w:rPr>
            </w:pPr>
            <w:r>
              <w:rPr>
                <w:rFonts w:ascii="Arial" w:cs="Arial" w:eastAsia="Arial" w:hAnsi="Arial"/>
                <w:sz w:val="10"/>
                <w:szCs w:val="10"/>
                <w:b w:val="1"/>
                <w:bCs w:val="1"/>
                <w:color w:val="auto"/>
              </w:rPr>
              <w:t>Constant</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68"/>
              <w:spacing w:after="0"/>
              <w:rPr>
                <w:sz w:val="20"/>
                <w:szCs w:val="20"/>
                <w:color w:val="auto"/>
              </w:rPr>
            </w:pPr>
            <w:r>
              <w:rPr>
                <w:rFonts w:ascii="Arial" w:cs="Arial" w:eastAsia="Arial" w:hAnsi="Arial"/>
                <w:sz w:val="10"/>
                <w:szCs w:val="10"/>
                <w:b w:val="1"/>
                <w:bCs w:val="1"/>
                <w:color w:val="auto"/>
              </w:rPr>
              <w:t>Amount</w:t>
            </w:r>
          </w:p>
        </w:tc>
        <w:tc>
          <w:tcPr>
            <w:tcW w:w="780" w:type="dxa"/>
            <w:vAlign w:val="bottom"/>
          </w:tcPr>
          <w:p>
            <w:pPr>
              <w:ind w:left="180"/>
              <w:spacing w:after="0"/>
              <w:rPr>
                <w:sz w:val="20"/>
                <w:szCs w:val="20"/>
                <w:color w:val="auto"/>
              </w:rPr>
            </w:pPr>
            <w:r>
              <w:rPr>
                <w:rFonts w:ascii="Arial" w:cs="Arial" w:eastAsia="Arial" w:hAnsi="Arial"/>
                <w:sz w:val="10"/>
                <w:szCs w:val="10"/>
                <w:b w:val="1"/>
                <w:bCs w:val="1"/>
                <w:color w:val="auto"/>
              </w:rPr>
              <w:t>Constant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ind w:right="268"/>
              <w:spacing w:after="0"/>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11"/>
                <w:szCs w:val="11"/>
                <w:color w:val="auto"/>
              </w:rPr>
            </w:pPr>
          </w:p>
        </w:tc>
        <w:tc>
          <w:tcPr>
            <w:tcW w:w="620" w:type="dxa"/>
            <w:vAlign w:val="bottom"/>
          </w:tcPr>
          <w:p>
            <w:pPr>
              <w:jc w:val="right"/>
              <w:ind w:right="228"/>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5"/>
              </w:rPr>
              <w:t>Reported</w:t>
            </w:r>
          </w:p>
        </w:tc>
        <w:tc>
          <w:tcPr>
            <w:tcW w:w="900" w:type="dxa"/>
            <w:vAlign w:val="bottom"/>
            <w:gridSpan w:val="2"/>
          </w:tcPr>
          <w:p>
            <w:pPr>
              <w:ind w:left="100"/>
              <w:spacing w:after="0"/>
              <w:rPr>
                <w:sz w:val="20"/>
                <w:szCs w:val="20"/>
                <w:color w:val="auto"/>
              </w:rPr>
            </w:pPr>
            <w:r>
              <w:rPr>
                <w:rFonts w:ascii="Arial" w:cs="Arial" w:eastAsia="Arial" w:hAnsi="Arial"/>
                <w:sz w:val="10"/>
                <w:szCs w:val="10"/>
                <w:b w:val="1"/>
                <w:bCs w:val="1"/>
                <w:color w:val="auto"/>
              </w:rPr>
              <w:t>Currency</w:t>
            </w:r>
          </w:p>
        </w:tc>
        <w:tc>
          <w:tcPr>
            <w:tcW w:w="380" w:type="dxa"/>
            <w:vAlign w:val="bottom"/>
          </w:tcPr>
          <w:p>
            <w:pPr>
              <w:spacing w:after="0"/>
              <w:rPr>
                <w:sz w:val="11"/>
                <w:szCs w:val="11"/>
                <w:color w:val="auto"/>
              </w:rPr>
            </w:pPr>
          </w:p>
        </w:tc>
        <w:tc>
          <w:tcPr>
            <w:tcW w:w="700" w:type="dxa"/>
            <w:vAlign w:val="bottom"/>
          </w:tcPr>
          <w:p>
            <w:pPr>
              <w:jc w:val="right"/>
              <w:ind w:right="288"/>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1"/>
                <w:szCs w:val="11"/>
                <w:color w:val="auto"/>
              </w:rPr>
            </w:pPr>
          </w:p>
        </w:tc>
        <w:tc>
          <w:tcPr>
            <w:tcW w:w="780" w:type="dxa"/>
            <w:vAlign w:val="bottom"/>
          </w:tcPr>
          <w:p>
            <w:pPr>
              <w:jc w:val="right"/>
              <w:ind w:right="228"/>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48"/>
              <w:spacing w:after="0"/>
              <w:rPr>
                <w:sz w:val="20"/>
                <w:szCs w:val="20"/>
                <w:color w:val="auto"/>
              </w:rPr>
            </w:pPr>
            <w:r>
              <w:rPr>
                <w:rFonts w:ascii="Arial" w:cs="Arial" w:eastAsia="Arial" w:hAnsi="Arial"/>
                <w:sz w:val="10"/>
                <w:szCs w:val="10"/>
                <w:b w:val="1"/>
                <w:bCs w:val="1"/>
                <w:color w:val="auto"/>
              </w:rPr>
              <w:t>Reported</w:t>
            </w:r>
          </w:p>
        </w:tc>
        <w:tc>
          <w:tcPr>
            <w:tcW w:w="840" w:type="dxa"/>
            <w:vAlign w:val="bottom"/>
            <w:gridSpan w:val="2"/>
          </w:tcPr>
          <w:p>
            <w:pPr>
              <w:ind w:left="180"/>
              <w:spacing w:after="0"/>
              <w:rPr>
                <w:sz w:val="20"/>
                <w:szCs w:val="20"/>
                <w:color w:val="auto"/>
              </w:rPr>
            </w:pPr>
            <w:r>
              <w:rPr>
                <w:rFonts w:ascii="Arial" w:cs="Arial" w:eastAsia="Arial" w:hAnsi="Arial"/>
                <w:sz w:val="10"/>
                <w:szCs w:val="10"/>
                <w:b w:val="1"/>
                <w:bCs w:val="1"/>
                <w:color w:val="auto"/>
              </w:rPr>
              <w:t>Currency</w:t>
            </w:r>
          </w:p>
        </w:tc>
        <w:tc>
          <w:tcPr>
            <w:tcW w:w="0" w:type="dxa"/>
            <w:vAlign w:val="bottom"/>
          </w:tcPr>
          <w:p>
            <w:pPr>
              <w:spacing w:after="0"/>
              <w:rPr>
                <w:sz w:val="1"/>
                <w:szCs w:val="1"/>
                <w:color w:val="auto"/>
              </w:rPr>
            </w:pPr>
          </w:p>
        </w:tc>
      </w:tr>
      <w:tr>
        <w:trPr>
          <w:trHeight w:val="123"/>
        </w:trPr>
        <w:tc>
          <w:tcPr>
            <w:tcW w:w="4000" w:type="dxa"/>
            <w:vAlign w:val="bottom"/>
            <w:vMerge w:val="restart"/>
          </w:tcPr>
          <w:p>
            <w:pPr>
              <w:spacing w:after="0"/>
              <w:rPr>
                <w:sz w:val="20"/>
                <w:szCs w:val="20"/>
                <w:color w:val="auto"/>
              </w:rPr>
            </w:pPr>
            <w:r>
              <w:rPr>
                <w:rFonts w:ascii="Arial" w:cs="Arial" w:eastAsia="Arial" w:hAnsi="Arial"/>
                <w:sz w:val="10"/>
                <w:szCs w:val="10"/>
                <w:color w:val="auto"/>
              </w:rPr>
              <w:t>Revenues from Services:</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left="68"/>
              <w:spacing w:after="0"/>
              <w:rPr>
                <w:sz w:val="20"/>
                <w:szCs w:val="20"/>
                <w:color w:val="auto"/>
              </w:rPr>
            </w:pPr>
            <w:r>
              <w:rPr>
                <w:rFonts w:ascii="Arial" w:cs="Arial" w:eastAsia="Arial" w:hAnsi="Arial"/>
                <w:sz w:val="10"/>
                <w:szCs w:val="10"/>
                <w:color w:val="auto"/>
                <w:w w:val="95"/>
              </w:rPr>
              <w:t>(Unaudited)</w:t>
            </w: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left="208"/>
              <w:spacing w:after="0"/>
              <w:rPr>
                <w:sz w:val="20"/>
                <w:szCs w:val="20"/>
                <w:color w:val="auto"/>
              </w:rPr>
            </w:pPr>
            <w:r>
              <w:rPr>
                <w:rFonts w:ascii="Arial" w:cs="Arial" w:eastAsia="Arial" w:hAnsi="Arial"/>
                <w:sz w:val="10"/>
                <w:szCs w:val="10"/>
                <w:color w:val="auto"/>
                <w:w w:val="99"/>
              </w:rPr>
              <w:t>(Unaudited)</w:t>
            </w:r>
          </w:p>
        </w:tc>
        <w:tc>
          <w:tcPr>
            <w:tcW w:w="6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0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4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652.7</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663.4</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-1.6%</w:t>
            </w:r>
          </w:p>
        </w:tc>
        <w:tc>
          <w:tcPr>
            <w:tcW w:w="38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1,275.9</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1,301.2</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-1.9%</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415.5</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415.2</w:t>
            </w:r>
          </w:p>
        </w:tc>
        <w:tc>
          <w:tcPr>
            <w:tcW w:w="120" w:type="dxa"/>
            <w:vAlign w:val="bottom"/>
          </w:tcPr>
          <w:p>
            <w:pPr>
              <w:spacing w:after="0"/>
              <w:rPr>
                <w:sz w:val="10"/>
                <w:szCs w:val="1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0.1%</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8.7%</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822.5</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825.0</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-0.3%</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9.7%</w:t>
            </w: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1,068.2</w:t>
            </w:r>
          </w:p>
        </w:tc>
        <w:tc>
          <w:tcPr>
            <w:tcW w:w="3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1,078.6</w:t>
            </w:r>
          </w:p>
        </w:tc>
        <w:tc>
          <w:tcPr>
            <w:tcW w:w="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2.4%</w:t>
            </w:r>
          </w:p>
        </w:tc>
        <w:tc>
          <w:tcPr>
            <w:tcW w:w="3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2,098.4</w:t>
            </w:r>
          </w:p>
        </w:tc>
        <w:tc>
          <w:tcPr>
            <w:tcW w:w="1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2,126.2</w:t>
            </w: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-1.3%</w:t>
            </w:r>
          </w:p>
        </w:tc>
        <w:tc>
          <w:tcPr>
            <w:tcW w:w="8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18"/>
        </w:trPr>
        <w:tc>
          <w:tcPr>
            <w:tcW w:w="4000" w:type="dxa"/>
            <w:vAlign w:val="bottom"/>
          </w:tcPr>
          <w:p>
            <w:pPr>
              <w:ind w:left="40"/>
              <w:spacing w:after="0"/>
              <w:rPr>
                <w:sz w:val="20"/>
                <w:szCs w:val="20"/>
                <w:color w:val="auto"/>
              </w:rPr>
            </w:pPr>
            <w:r>
              <w:rPr>
                <w:rFonts w:ascii="Arial" w:cs="Arial" w:eastAsia="Arial" w:hAnsi="Arial"/>
                <w:sz w:val="10"/>
                <w:szCs w:val="10"/>
                <w:color w:val="auto"/>
              </w:rPr>
              <w:t>Southern Europe:</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1,425.3</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1,517.2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-0.3%</w:t>
            </w: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2,731.4</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2,945.8</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-7.3%</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394.4</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444.1</w:t>
            </w:r>
          </w:p>
        </w:tc>
        <w:tc>
          <w:tcPr>
            <w:tcW w:w="120" w:type="dxa"/>
            <w:vAlign w:val="bottom"/>
          </w:tcPr>
          <w:p>
            <w:pPr>
              <w:spacing w:after="0"/>
              <w:rPr>
                <w:sz w:val="11"/>
                <w:szCs w:val="1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-11.2%</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-5.8%</w:t>
            </w: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750.8</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858.6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-12.6%</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574.6</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480.1</w:t>
            </w:r>
          </w:p>
        </w:tc>
        <w:tc>
          <w:tcPr>
            <w:tcW w:w="120" w:type="dxa"/>
            <w:vAlign w:val="bottom"/>
          </w:tcPr>
          <w:p>
            <w:pPr>
              <w:spacing w:after="0"/>
              <w:rPr>
                <w:sz w:val="10"/>
                <w:szCs w:val="1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19.7%</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25.2%</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1,020.9</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956.2</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2,394.3</w:t>
            </w:r>
          </w:p>
        </w:tc>
        <w:tc>
          <w:tcPr>
            <w:tcW w:w="3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2,441.4</w:t>
            </w:r>
          </w:p>
        </w:tc>
        <w:tc>
          <w:tcPr>
            <w:tcW w:w="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3.7%</w:t>
            </w:r>
          </w:p>
        </w:tc>
        <w:tc>
          <w:tcPr>
            <w:tcW w:w="3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4,503.1</w:t>
            </w:r>
          </w:p>
        </w:tc>
        <w:tc>
          <w:tcPr>
            <w:tcW w:w="1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4,760.6</w:t>
            </w:r>
          </w:p>
        </w:tc>
        <w:tc>
          <w:tcPr>
            <w:tcW w:w="12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-5.4%</w:t>
            </w:r>
          </w:p>
        </w:tc>
        <w:tc>
          <w:tcPr>
            <w:tcW w:w="8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1,194.1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1,405.6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-15.0%</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-9.6%</w:t>
            </w:r>
          </w:p>
        </w:tc>
        <w:tc>
          <w:tcPr>
            <w:tcW w:w="38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2,394.6</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2,835.1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-15.5%</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716.5</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731.3</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1.5%</w:t>
            </w: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1,421.9</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1,457.4</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5,373.1</w:t>
            </w:r>
          </w:p>
        </w:tc>
        <w:tc>
          <w:tcPr>
            <w:tcW w:w="3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5,656.9</w:t>
            </w: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-5.0%</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-0.1%</w:t>
            </w:r>
          </w:p>
        </w:tc>
        <w:tc>
          <w:tcPr>
            <w:tcW w:w="380" w:type="dxa"/>
            <w:vAlign w:val="bottom"/>
            <w:tcBorders>
              <w:bottom w:val="single" w:sz="8" w:color="auto"/>
            </w:tcBorders>
          </w:tcPr>
          <w:p>
            <w:pPr>
              <w:jc w:val="right"/>
              <w:ind w:right="88"/>
              <w:spacing w:after="0" w:line="113"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10,418.0</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11,179.3</w:t>
            </w:r>
          </w:p>
        </w:tc>
        <w:tc>
          <w:tcPr>
            <w:tcW w:w="12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-6.8%</w:t>
            </w:r>
          </w:p>
        </w:tc>
        <w:tc>
          <w:tcPr>
            <w:tcW w:w="8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0"/>
                <w:szCs w:val="10"/>
                <w:color w:val="auto"/>
              </w:rPr>
              <w:t>Operating Unit Profit:</w:t>
            </w: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4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37.7</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44.0</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-14.2%</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-14.2%</w:t>
            </w:r>
          </w:p>
        </w:tc>
        <w:tc>
          <w:tcPr>
            <w:tcW w:w="38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54.3</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75.1</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-27.6%</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-27.6%</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17.8</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19.1</w:t>
            </w:r>
          </w:p>
        </w:tc>
        <w:tc>
          <w:tcPr>
            <w:tcW w:w="12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-6.4%</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0.4%</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33.0</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35.9</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-8.1%</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55.5</w:t>
            </w:r>
          </w:p>
        </w:tc>
        <w:tc>
          <w:tcPr>
            <w:tcW w:w="3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63.1</w:t>
            </w: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-9.8%</w:t>
            </w:r>
          </w:p>
        </w:tc>
        <w:tc>
          <w:tcPr>
            <w:tcW w:w="3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87.3</w:t>
            </w:r>
          </w:p>
        </w:tc>
        <w:tc>
          <w:tcPr>
            <w:tcW w:w="1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111.0</w:t>
            </w: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-21.3%</w:t>
            </w:r>
          </w:p>
        </w:tc>
        <w:tc>
          <w:tcPr>
            <w:tcW w:w="8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-19.7%</w:t>
            </w:r>
          </w:p>
        </w:tc>
        <w:tc>
          <w:tcPr>
            <w:tcW w:w="0" w:type="dxa"/>
            <w:vAlign w:val="bottom"/>
          </w:tcPr>
          <w:p>
            <w:pPr>
              <w:spacing w:after="0"/>
              <w:rPr>
                <w:sz w:val="1"/>
                <w:szCs w:val="1"/>
                <w:color w:val="auto"/>
              </w:rPr>
            </w:pPr>
          </w:p>
        </w:tc>
      </w:tr>
      <w:tr>
        <w:trPr>
          <w:trHeight w:val="118"/>
        </w:trPr>
        <w:tc>
          <w:tcPr>
            <w:tcW w:w="4000" w:type="dxa"/>
            <w:vAlign w:val="bottom"/>
          </w:tcPr>
          <w:p>
            <w:pPr>
              <w:ind w:left="40"/>
              <w:spacing w:after="0"/>
              <w:rPr>
                <w:sz w:val="20"/>
                <w:szCs w:val="20"/>
                <w:color w:val="auto"/>
              </w:rPr>
            </w:pPr>
            <w:r>
              <w:rPr>
                <w:rFonts w:ascii="Arial" w:cs="Arial" w:eastAsia="Arial" w:hAnsi="Arial"/>
                <w:sz w:val="10"/>
                <w:szCs w:val="10"/>
                <w:color w:val="auto"/>
              </w:rPr>
              <w:t>Southern Europe:</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75.7</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73.5</w:t>
            </w:r>
          </w:p>
        </w:tc>
        <w:tc>
          <w:tcPr>
            <w:tcW w:w="120" w:type="dxa"/>
            <w:vAlign w:val="bottom"/>
          </w:tcPr>
          <w:p>
            <w:pPr>
              <w:spacing w:after="0"/>
              <w:rPr>
                <w:sz w:val="11"/>
                <w:szCs w:val="1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3.0%</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9.0%</w:t>
            </w: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131.0</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131.2</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-0.2%</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29.8</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32.1</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-1.6%</w:t>
            </w: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50.1</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57.3</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-12.5%</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18.1</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16.9</w:t>
            </w:r>
          </w:p>
        </w:tc>
        <w:tc>
          <w:tcPr>
            <w:tcW w:w="120" w:type="dxa"/>
            <w:vAlign w:val="bottom"/>
          </w:tcPr>
          <w:p>
            <w:pPr>
              <w:spacing w:after="0"/>
              <w:rPr>
                <w:sz w:val="10"/>
                <w:szCs w:val="1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0"/>
                <w:szCs w:val="10"/>
                <w:color w:val="auto"/>
              </w:rPr>
              <w:t>6.9%</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11.1%</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29.1</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32.0</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-9.1%</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12"/>
        </w:trPr>
        <w:tc>
          <w:tcPr>
            <w:tcW w:w="4000" w:type="dxa"/>
            <w:vAlign w:val="bottom"/>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123.6</w:t>
            </w:r>
          </w:p>
        </w:tc>
        <w:tc>
          <w:tcPr>
            <w:tcW w:w="3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122.5</w:t>
            </w:r>
          </w:p>
        </w:tc>
        <w:tc>
          <w:tcPr>
            <w:tcW w:w="1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6.5%</w:t>
            </w:r>
          </w:p>
        </w:tc>
        <w:tc>
          <w:tcPr>
            <w:tcW w:w="3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210.2</w:t>
            </w:r>
          </w:p>
        </w:tc>
        <w:tc>
          <w:tcPr>
            <w:tcW w:w="1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220.5</w:t>
            </w:r>
          </w:p>
        </w:tc>
        <w:tc>
          <w:tcPr>
            <w:tcW w:w="12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-4.7%</w:t>
            </w:r>
          </w:p>
        </w:tc>
        <w:tc>
          <w:tcPr>
            <w:tcW w:w="8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25.6</w:t>
            </w:r>
          </w:p>
        </w:tc>
        <w:tc>
          <w:tcPr>
            <w:tcW w:w="3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26.7</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-3.8%</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2.3%</w:t>
            </w:r>
          </w:p>
        </w:tc>
        <w:tc>
          <w:tcPr>
            <w:tcW w:w="38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27.5</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44.2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-37.7%</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-33.4%</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29.7</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30.5</w:t>
            </w:r>
          </w:p>
        </w:tc>
        <w:tc>
          <w:tcPr>
            <w:tcW w:w="12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-0.2%</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50.3</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56.6</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-11.4%</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-8.2%</w:t>
            </w: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234.4</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242.8</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375.3</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432.3</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20"/>
                <w:szCs w:val="20"/>
                <w:color w:val="auto"/>
              </w:rPr>
            </w:pPr>
            <w:r>
              <w:rPr>
                <w:rFonts w:ascii="Arial" w:cs="Arial" w:eastAsia="Arial" w:hAnsi="Arial"/>
                <w:sz w:val="10"/>
                <w:szCs w:val="10"/>
                <w:color w:val="auto"/>
              </w:rPr>
              <w:t>Corporate expenses</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(31.9)</w:t>
            </w:r>
          </w:p>
        </w:tc>
        <w:tc>
          <w:tcPr>
            <w:tcW w:w="3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(25.9)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(59.8)</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(52.7)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20"/>
                <w:szCs w:val="20"/>
                <w:color w:val="auto"/>
              </w:rPr>
            </w:pPr>
            <w:r>
              <w:rPr>
                <w:rFonts w:ascii="Arial" w:cs="Arial" w:eastAsia="Arial" w:hAnsi="Arial"/>
                <w:sz w:val="10"/>
                <w:szCs w:val="10"/>
                <w:color w:val="auto"/>
              </w:rPr>
              <w:t>Goodwill impairment charge</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(64.0)</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(64.0)</w:t>
            </w: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Intangible asset amortization expense</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(15.2)</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(17.5)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00" w:type="dxa"/>
            <w:vAlign w:val="bottom"/>
          </w:tcPr>
          <w:p>
            <w:pPr>
              <w:ind w:left="100"/>
              <w:spacing w:after="0"/>
              <w:rPr>
                <w:sz w:val="20"/>
                <w:szCs w:val="20"/>
                <w:color w:val="auto"/>
              </w:rPr>
            </w:pPr>
            <w:r>
              <w:rPr>
                <w:rFonts w:ascii="Arial" w:cs="Arial" w:eastAsia="Arial" w:hAnsi="Arial"/>
                <w:sz w:val="10"/>
                <w:szCs w:val="10"/>
                <w:color w:val="auto"/>
              </w:rPr>
              <w:t>Operating profit</w:t>
            </w:r>
          </w:p>
        </w:tc>
        <w:tc>
          <w:tcPr>
            <w:tcW w:w="4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130.8</w:t>
            </w:r>
          </w:p>
        </w:tc>
        <w:tc>
          <w:tcPr>
            <w:tcW w:w="300" w:type="dxa"/>
            <w:vAlign w:val="bottom"/>
          </w:tcPr>
          <w:p>
            <w:pPr>
              <w:spacing w:after="0"/>
              <w:rPr>
                <w:sz w:val="10"/>
                <w:szCs w:val="1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208.3</w:t>
            </w:r>
          </w:p>
        </w:tc>
        <w:tc>
          <w:tcPr>
            <w:tcW w:w="12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-37.2%</w:t>
            </w:r>
          </w:p>
        </w:tc>
        <w:tc>
          <w:tcPr>
            <w:tcW w:w="8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-33.2%</w:t>
            </w:r>
          </w:p>
        </w:tc>
        <w:tc>
          <w:tcPr>
            <w:tcW w:w="380" w:type="dxa"/>
            <w:vAlign w:val="bottom"/>
          </w:tcPr>
          <w:p>
            <w:pPr>
              <w:spacing w:after="0"/>
              <w:rPr>
                <w:sz w:val="10"/>
                <w:szCs w:val="10"/>
                <w:color w:val="auto"/>
              </w:rPr>
            </w:pPr>
          </w:p>
        </w:tc>
        <w:tc>
          <w:tcPr>
            <w:tcW w:w="700" w:type="dxa"/>
            <w:vAlign w:val="bottom"/>
          </w:tcPr>
          <w:p>
            <w:pPr>
              <w:jc w:val="right"/>
              <w:ind w:right="8"/>
              <w:spacing w:after="0"/>
              <w:rPr>
                <w:sz w:val="20"/>
                <w:szCs w:val="20"/>
                <w:color w:val="auto"/>
              </w:rPr>
            </w:pPr>
            <w:r>
              <w:rPr>
                <w:rFonts w:ascii="Arial" w:cs="Arial" w:eastAsia="Arial" w:hAnsi="Arial"/>
                <w:sz w:val="10"/>
                <w:szCs w:val="10"/>
                <w:color w:val="auto"/>
              </w:rPr>
              <w:t>236.3</w:t>
            </w:r>
          </w:p>
        </w:tc>
        <w:tc>
          <w:tcPr>
            <w:tcW w:w="1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362.1</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-34.8%</w:t>
            </w:r>
          </w:p>
        </w:tc>
        <w:tc>
          <w:tcPr>
            <w:tcW w:w="840" w:type="dxa"/>
            <w:vAlign w:val="bottom"/>
            <w:gridSpan w:val="2"/>
          </w:tcPr>
          <w:p>
            <w:pPr>
              <w:jc w:val="right"/>
              <w:ind w:right="60"/>
              <w:spacing w:after="0"/>
              <w:rPr>
                <w:sz w:val="20"/>
                <w:szCs w:val="20"/>
                <w:color w:val="auto"/>
              </w:rPr>
            </w:pPr>
            <w:r>
              <w:rPr>
                <w:rFonts w:ascii="Arial" w:cs="Arial" w:eastAsia="Arial" w:hAnsi="Arial"/>
                <w:sz w:val="10"/>
                <w:szCs w:val="10"/>
                <w:color w:val="auto"/>
              </w:rPr>
              <w:t>-30.2%</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20"/>
                <w:szCs w:val="20"/>
                <w:color w:val="auto"/>
              </w:rPr>
            </w:pPr>
            <w:r>
              <w:rPr>
                <w:rFonts w:ascii="Arial" w:cs="Arial" w:eastAsia="Arial" w:hAnsi="Arial"/>
                <w:sz w:val="10"/>
                <w:szCs w:val="10"/>
                <w:color w:val="auto"/>
              </w:rPr>
              <w:t>Interest and other income (expenses), net</w:t>
            </w: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70.2</w:t>
            </w: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(10.5)</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58.3</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(26.6)</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00" w:type="dxa"/>
            <w:vAlign w:val="bottom"/>
          </w:tcPr>
          <w:p>
            <w:pPr>
              <w:ind w:left="100"/>
              <w:spacing w:after="0" w:line="113" w:lineRule="exact"/>
              <w:rPr>
                <w:sz w:val="20"/>
                <w:szCs w:val="20"/>
                <w:color w:val="auto"/>
              </w:rPr>
            </w:pPr>
            <w:r>
              <w:rPr>
                <w:rFonts w:ascii="Arial" w:cs="Arial" w:eastAsia="Arial" w:hAnsi="Arial"/>
                <w:sz w:val="10"/>
                <w:szCs w:val="10"/>
                <w:color w:val="auto"/>
              </w:rPr>
              <w:t>Earnings before income taxes</w:t>
            </w:r>
          </w:p>
        </w:tc>
        <w:tc>
          <w:tcPr>
            <w:tcW w:w="4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201.0</w:t>
            </w:r>
          </w:p>
        </w:tc>
        <w:tc>
          <w:tcPr>
            <w:tcW w:w="300" w:type="dxa"/>
            <w:vAlign w:val="bottom"/>
            <w:tcBorders>
              <w:bottom w:val="single" w:sz="8" w:color="auto"/>
            </w:tcBorders>
          </w:tcPr>
          <w:p>
            <w:pPr>
              <w:jc w:val="right"/>
              <w:ind w:right="68"/>
              <w:spacing w:after="0" w:line="113"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197.8</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jc w:val="right"/>
              <w:ind w:right="88"/>
              <w:spacing w:after="0" w:line="113"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294.6</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tcPr>
          <w:p>
            <w:pPr>
              <w:jc w:val="right"/>
              <w:ind w:right="40"/>
              <w:spacing w:after="0" w:line="113" w:lineRule="exact"/>
              <w:rPr>
                <w:sz w:val="20"/>
                <w:szCs w:val="20"/>
                <w:color w:val="auto"/>
              </w:rPr>
            </w:pPr>
            <w:r>
              <w:rPr>
                <w:rFonts w:ascii="Arial" w:cs="Arial" w:eastAsia="Arial" w:hAnsi="Arial"/>
                <w:sz w:val="10"/>
                <w:szCs w:val="10"/>
                <w:color w:val="auto"/>
              </w:rPr>
              <w:t>335.5</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color w:val="auto"/>
        </w:rPr>
        <w:t>ManpowerGroup</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Restated Operating Unit Results</w:t>
      </w:r>
    </w:p>
    <w:p>
      <w:pPr>
        <w:jc w:val="center"/>
        <w:ind w:right="60"/>
        <w:spacing w:after="0"/>
        <w:rPr>
          <w:sz w:val="20"/>
          <w:szCs w:val="20"/>
          <w:color w:val="auto"/>
        </w:rPr>
      </w:pPr>
      <w:r>
        <w:rPr>
          <w:rFonts w:ascii="Arial" w:cs="Arial" w:eastAsia="Arial" w:hAnsi="Arial"/>
          <w:sz w:val="9"/>
          <w:szCs w:val="9"/>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6"/>
          </w:tcPr>
          <w:p>
            <w:pPr>
              <w:jc w:val="center"/>
              <w:ind w:left="328"/>
              <w:spacing w:after="0"/>
              <w:rPr>
                <w:sz w:val="20"/>
                <w:szCs w:val="20"/>
                <w:color w:val="auto"/>
              </w:rPr>
            </w:pPr>
            <w:r>
              <w:rPr>
                <w:rFonts w:ascii="Arial" w:cs="Arial" w:eastAsia="Arial" w:hAnsi="Arial"/>
                <w:sz w:val="10"/>
                <w:szCs w:val="10"/>
                <w:b w:val="1"/>
                <w:bCs w:val="1"/>
                <w:color w:val="auto"/>
              </w:rPr>
              <w:t>Three Months Ended September 30</w:t>
            </w: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0"/>
                <w:szCs w:val="10"/>
                <w:b w:val="1"/>
                <w:bCs w:val="1"/>
                <w:color w:val="auto"/>
              </w:rPr>
              <w:t>Nine Months Ended September 30</w:t>
            </w: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tcPr>
          <w:p>
            <w:pPr>
              <w:jc w:val="right"/>
              <w:ind w:right="468"/>
              <w:spacing w:after="0" w:line="100" w:lineRule="exact"/>
              <w:rPr>
                <w:sz w:val="20"/>
                <w:szCs w:val="20"/>
                <w:color w:val="auto"/>
              </w:rPr>
            </w:pPr>
            <w:r>
              <w:rPr>
                <w:rFonts w:ascii="Arial" w:cs="Arial" w:eastAsia="Arial" w:hAnsi="Arial"/>
                <w:sz w:val="10"/>
                <w:szCs w:val="10"/>
                <w:b w:val="1"/>
                <w:bCs w:val="1"/>
                <w:color w:val="auto"/>
              </w:rPr>
              <w:t>% Variance</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jc w:val="right"/>
              <w:ind w:right="468"/>
              <w:spacing w:after="0" w:line="100" w:lineRule="exact"/>
              <w:rPr>
                <w:sz w:val="20"/>
                <w:szCs w:val="20"/>
                <w:color w:val="auto"/>
              </w:rPr>
            </w:pPr>
            <w:r>
              <w:rPr>
                <w:rFonts w:ascii="Arial" w:cs="Arial" w:eastAsia="Arial" w:hAnsi="Arial"/>
                <w:sz w:val="10"/>
                <w:szCs w:val="10"/>
                <w:b w:val="1"/>
                <w:bCs w:val="1"/>
                <w:color w:val="auto"/>
              </w:rPr>
              <w:t>% Variance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108"/>
              <w:spacing w:after="0" w:line="103" w:lineRule="exact"/>
              <w:rPr>
                <w:sz w:val="20"/>
                <w:szCs w:val="20"/>
                <w:color w:val="auto"/>
              </w:rPr>
            </w:pPr>
            <w:r>
              <w:rPr>
                <w:rFonts w:ascii="Arial" w:cs="Arial" w:eastAsia="Arial" w:hAnsi="Arial"/>
                <w:sz w:val="10"/>
                <w:szCs w:val="10"/>
                <w:b w:val="1"/>
                <w:bCs w:val="1"/>
                <w:color w:val="auto"/>
              </w:rPr>
              <w:t>Amount</w:t>
            </w:r>
          </w:p>
        </w:tc>
        <w:tc>
          <w:tcPr>
            <w:tcW w:w="740" w:type="dxa"/>
            <w:vAlign w:val="bottom"/>
          </w:tcPr>
          <w:p>
            <w:pPr>
              <w:jc w:val="right"/>
              <w:ind w:right="128"/>
              <w:spacing w:after="0" w:line="103" w:lineRule="exact"/>
              <w:rPr>
                <w:sz w:val="20"/>
                <w:szCs w:val="20"/>
                <w:color w:val="auto"/>
              </w:rPr>
            </w:pPr>
            <w:r>
              <w:rPr>
                <w:rFonts w:ascii="Arial" w:cs="Arial" w:eastAsia="Arial" w:hAnsi="Arial"/>
                <w:sz w:val="10"/>
                <w:szCs w:val="10"/>
                <w:b w:val="1"/>
                <w:bCs w:val="1"/>
                <w:color w:val="auto"/>
              </w:rPr>
              <w:t>Constant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48"/>
              <w:spacing w:after="0" w:line="103" w:lineRule="exact"/>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128"/>
              <w:spacing w:after="0" w:line="103" w:lineRule="exact"/>
              <w:rPr>
                <w:sz w:val="20"/>
                <w:szCs w:val="20"/>
                <w:color w:val="auto"/>
              </w:rPr>
            </w:pPr>
            <w:r>
              <w:rPr>
                <w:rFonts w:ascii="Arial" w:cs="Arial" w:eastAsia="Arial" w:hAnsi="Arial"/>
                <w:sz w:val="10"/>
                <w:szCs w:val="10"/>
                <w:b w:val="1"/>
                <w:bCs w:val="1"/>
                <w:color w:val="auto"/>
              </w:rPr>
              <w:t>Constant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right"/>
              <w:ind w:right="328"/>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620" w:type="dxa"/>
            <w:vAlign w:val="bottom"/>
          </w:tcPr>
          <w:p>
            <w:pPr>
              <w:jc w:val="right"/>
              <w:ind w:right="208"/>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28"/>
              <w:spacing w:after="0"/>
              <w:rPr>
                <w:sz w:val="20"/>
                <w:szCs w:val="20"/>
                <w:color w:val="auto"/>
              </w:rPr>
            </w:pPr>
            <w:r>
              <w:rPr>
                <w:rFonts w:ascii="Arial" w:cs="Arial" w:eastAsia="Arial" w:hAnsi="Arial"/>
                <w:sz w:val="10"/>
                <w:szCs w:val="10"/>
                <w:b w:val="1"/>
                <w:bCs w:val="1"/>
                <w:color w:val="auto"/>
              </w:rPr>
              <w:t>Reported</w:t>
            </w:r>
          </w:p>
        </w:tc>
        <w:tc>
          <w:tcPr>
            <w:tcW w:w="9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Currency</w:t>
            </w:r>
          </w:p>
        </w:tc>
        <w:tc>
          <w:tcPr>
            <w:tcW w:w="360" w:type="dxa"/>
            <w:vAlign w:val="bottom"/>
          </w:tcPr>
          <w:p>
            <w:pPr>
              <w:spacing w:after="0"/>
              <w:rPr>
                <w:sz w:val="11"/>
                <w:szCs w:val="11"/>
                <w:color w:val="auto"/>
              </w:rPr>
            </w:pPr>
          </w:p>
        </w:tc>
        <w:tc>
          <w:tcPr>
            <w:tcW w:w="720" w:type="dxa"/>
            <w:vAlign w:val="bottom"/>
          </w:tcPr>
          <w:p>
            <w:pPr>
              <w:jc w:val="right"/>
              <w:ind w:right="288"/>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620" w:type="dxa"/>
            <w:vAlign w:val="bottom"/>
          </w:tcPr>
          <w:p>
            <w:pPr>
              <w:jc w:val="right"/>
              <w:ind w:right="208"/>
              <w:spacing w:after="0"/>
              <w:rPr>
                <w:sz w:val="20"/>
                <w:szCs w:val="20"/>
                <w:color w:val="auto"/>
              </w:rPr>
            </w:pPr>
            <w:r>
              <w:rPr>
                <w:rFonts w:ascii="Arial" w:cs="Arial" w:eastAsia="Arial" w:hAnsi="Arial"/>
                <w:sz w:val="10"/>
                <w:szCs w:val="10"/>
                <w:b w:val="1"/>
                <w:bCs w:val="1"/>
                <w:color w:val="auto"/>
              </w:rPr>
              <w:t>2018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8"/>
              <w:spacing w:after="0"/>
              <w:rPr>
                <w:sz w:val="20"/>
                <w:szCs w:val="20"/>
                <w:color w:val="auto"/>
              </w:rPr>
            </w:pPr>
            <w:r>
              <w:rPr>
                <w:rFonts w:ascii="Arial" w:cs="Arial" w:eastAsia="Arial" w:hAnsi="Arial"/>
                <w:sz w:val="10"/>
                <w:szCs w:val="10"/>
                <w:b w:val="1"/>
                <w:bCs w:val="1"/>
                <w:color w:val="auto"/>
              </w:rPr>
              <w:t>Reported</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Currency</w:t>
            </w:r>
          </w:p>
        </w:tc>
        <w:tc>
          <w:tcPr>
            <w:tcW w:w="0" w:type="dxa"/>
            <w:vAlign w:val="bottom"/>
          </w:tcPr>
          <w:p>
            <w:pPr>
              <w:spacing w:after="0"/>
              <w:rPr>
                <w:sz w:val="1"/>
                <w:szCs w:val="1"/>
                <w:color w:val="auto"/>
              </w:rPr>
            </w:pPr>
          </w:p>
        </w:tc>
      </w:tr>
      <w:tr>
        <w:trPr>
          <w:trHeight w:val="123"/>
        </w:trPr>
        <w:tc>
          <w:tcPr>
            <w:tcW w:w="4000" w:type="dxa"/>
            <w:vAlign w:val="bottom"/>
            <w:vMerge w:val="restart"/>
          </w:tcPr>
          <w:p>
            <w:pPr>
              <w:spacing w:after="0"/>
              <w:rPr>
                <w:sz w:val="20"/>
                <w:szCs w:val="20"/>
                <w:color w:val="auto"/>
              </w:rPr>
            </w:pPr>
            <w:r>
              <w:rPr>
                <w:rFonts w:ascii="Arial" w:cs="Arial" w:eastAsia="Arial" w:hAnsi="Arial"/>
                <w:sz w:val="10"/>
                <w:szCs w:val="10"/>
                <w:color w:val="auto"/>
              </w:rPr>
              <w:t>Revenues from Services:</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ind w:left="88"/>
              <w:spacing w:after="0"/>
              <w:rPr>
                <w:sz w:val="20"/>
                <w:szCs w:val="20"/>
                <w:color w:val="auto"/>
              </w:rPr>
            </w:pPr>
            <w:r>
              <w:rPr>
                <w:rFonts w:ascii="Arial" w:cs="Arial" w:eastAsia="Arial" w:hAnsi="Arial"/>
                <w:sz w:val="10"/>
                <w:szCs w:val="10"/>
                <w:color w:val="auto"/>
                <w:w w:val="95"/>
              </w:rPr>
              <w:t>(Unaudited)</w:t>
            </w:r>
          </w:p>
        </w:tc>
        <w:tc>
          <w:tcPr>
            <w:tcW w:w="7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left="68"/>
              <w:spacing w:after="0"/>
              <w:rPr>
                <w:sz w:val="20"/>
                <w:szCs w:val="20"/>
                <w:color w:val="auto"/>
              </w:rPr>
            </w:pPr>
            <w:r>
              <w:rPr>
                <w:rFonts w:ascii="Arial" w:cs="Arial" w:eastAsia="Arial" w:hAnsi="Arial"/>
                <w:sz w:val="10"/>
                <w:szCs w:val="10"/>
                <w:color w:val="auto"/>
                <w:w w:val="95"/>
              </w:rPr>
              <w:t>(Unaudited)</w:t>
            </w:r>
          </w:p>
        </w:tc>
        <w:tc>
          <w:tcPr>
            <w:tcW w:w="6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3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666.4</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654.5</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1.8%</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1.8%</w:t>
            </w:r>
          </w:p>
        </w:tc>
        <w:tc>
          <w:tcPr>
            <w:tcW w:w="3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1,942.3</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1,955.7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-0.7%</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428.1</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409.6</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4.5%</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11.1%</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1,250.6</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1,234.6</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10.1%</w:t>
            </w:r>
          </w:p>
        </w:tc>
        <w:tc>
          <w:tcPr>
            <w:tcW w:w="0" w:type="dxa"/>
            <w:vAlign w:val="bottom"/>
          </w:tcPr>
          <w:p>
            <w:pPr>
              <w:spacing w:after="0"/>
              <w:rPr>
                <w:sz w:val="1"/>
                <w:szCs w:val="1"/>
                <w:color w:val="auto"/>
              </w:rPr>
            </w:pPr>
          </w:p>
        </w:tc>
      </w:tr>
      <w:tr>
        <w:trPr>
          <w:trHeight w:val="100"/>
        </w:trPr>
        <w:tc>
          <w:tcPr>
            <w:tcW w:w="4000" w:type="dxa"/>
            <w:vAlign w:val="bottom"/>
            <w:vMerge w:val="restart"/>
          </w:tcPr>
          <w:p>
            <w:pPr>
              <w:ind w:left="40"/>
              <w:spacing w:after="0"/>
              <w:rPr>
                <w:sz w:val="20"/>
                <w:szCs w:val="20"/>
                <w:color w:val="auto"/>
              </w:rPr>
            </w:pPr>
            <w:r>
              <w:rPr>
                <w:rFonts w:ascii="Arial" w:cs="Arial" w:eastAsia="Arial" w:hAnsi="Arial"/>
                <w:sz w:val="10"/>
                <w:szCs w:val="10"/>
                <w:color w:val="auto"/>
              </w:rPr>
              <w:t>Southern Europe:</w:t>
            </w: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1,094.5</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1,064.1</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2.9%</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5.4%</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3,192.9</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3,190.3</w:t>
            </w: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0.1%</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06"/>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1,386.4</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1,464.5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-5.3%</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-0.9%</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4,117.8</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4,410.3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376.9</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411.1</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-8.3%</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-4.0%</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1,127.7</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1,269.7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-11.2%</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594.5</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462.1</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28.7%</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31.8%</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1,615.4</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1,418.3</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19.4%</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2,357.8</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2,337.7</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0.9%</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5.0%</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6,860.9</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7,098.3</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-3.3%</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3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1,166.8</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1,297.6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-10.1%</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-5.2%</w:t>
            </w:r>
          </w:p>
        </w:tc>
        <w:tc>
          <w:tcPr>
            <w:tcW w:w="36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3,561.4</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4,132.7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-13.8%</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629.8</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719.3</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-12.5%</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-12.3%</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2,051.7</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2,176.7</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jc w:val="right"/>
              <w:ind w:right="108"/>
              <w:spacing w:after="0" w:line="100" w:lineRule="exact"/>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5,248.9</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5,418.7</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-3.1%</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0.3%</w:t>
            </w:r>
          </w:p>
        </w:tc>
        <w:tc>
          <w:tcPr>
            <w:tcW w:w="3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15,666.9</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16,598.0</w:t>
            </w: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-5.6%</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0"/>
                <w:szCs w:val="10"/>
                <w:color w:val="auto"/>
              </w:rPr>
              <w:t>Operating Unit Profit:</w:t>
            </w: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3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39.8</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37.7</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5.4%</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5.4%</w:t>
            </w:r>
          </w:p>
        </w:tc>
        <w:tc>
          <w:tcPr>
            <w:tcW w:w="3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94.1</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112.8</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19.5</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18.4</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6.1%</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11.2%</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52.5</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54.3</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0"/>
        </w:trPr>
        <w:tc>
          <w:tcPr>
            <w:tcW w:w="4000" w:type="dxa"/>
            <w:vAlign w:val="bottom"/>
            <w:vMerge w:val="restart"/>
          </w:tcPr>
          <w:p>
            <w:pPr>
              <w:ind w:left="40"/>
              <w:spacing w:after="0"/>
              <w:rPr>
                <w:sz w:val="20"/>
                <w:szCs w:val="20"/>
                <w:color w:val="auto"/>
              </w:rPr>
            </w:pPr>
            <w:r>
              <w:rPr>
                <w:rFonts w:ascii="Arial" w:cs="Arial" w:eastAsia="Arial" w:hAnsi="Arial"/>
                <w:sz w:val="10"/>
                <w:szCs w:val="10"/>
                <w:color w:val="auto"/>
              </w:rPr>
              <w:t>Southern Europe:</w:t>
            </w: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59.3</w:t>
            </w: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56.1</w:t>
            </w: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5.6%</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7.3%</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146.6</w:t>
            </w: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167.1</w:t>
            </w: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-12.3%</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06"/>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70.3</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78.3</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-10.2%</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-5.9%</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201.3</w:t>
            </w:r>
          </w:p>
        </w:tc>
        <w:tc>
          <w:tcPr>
            <w:tcW w:w="2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209.5</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23.3</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25.7</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-9.6%</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-5.2%</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73.4</w:t>
            </w:r>
          </w:p>
        </w:tc>
        <w:tc>
          <w:tcPr>
            <w:tcW w:w="2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83.0</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22.8</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17.2</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33.1%</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35.8%</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51.9</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49.2</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9.7%</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116.4</w:t>
            </w: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121.2</w:t>
            </w: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-3.9%</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0.2%</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326.6</w:t>
            </w: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341.7</w:t>
            </w: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-4.4%</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3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22.8</w:t>
            </w:r>
          </w:p>
        </w:tc>
        <w:tc>
          <w:tcPr>
            <w:tcW w:w="2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41.6</w:t>
            </w:r>
          </w:p>
        </w:tc>
        <w:tc>
          <w:tcPr>
            <w:tcW w:w="140" w:type="dxa"/>
            <w:vAlign w:val="bottom"/>
          </w:tcPr>
          <w:p>
            <w:pPr>
              <w:spacing w:after="0"/>
              <w:rPr>
                <w:sz w:val="19"/>
                <w:szCs w:val="19"/>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-45.2%</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-42.1%</w:t>
            </w:r>
          </w:p>
        </w:tc>
        <w:tc>
          <w:tcPr>
            <w:tcW w:w="36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50.3</w:t>
            </w: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85.8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-41.3%</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-37.7%</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54.9</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33.4</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64.9%</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63.9%</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105.2</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90.0</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jc w:val="right"/>
              <w:ind w:right="28"/>
              <w:spacing w:after="0" w:line="108" w:lineRule="exact"/>
              <w:rPr>
                <w:sz w:val="20"/>
                <w:szCs w:val="20"/>
                <w:color w:val="auto"/>
              </w:rPr>
            </w:pPr>
            <w:r>
              <w:rPr>
                <w:rFonts w:ascii="Arial" w:cs="Arial" w:eastAsia="Arial" w:hAnsi="Arial"/>
                <w:sz w:val="10"/>
                <w:szCs w:val="10"/>
                <w:color w:val="auto"/>
              </w:rPr>
              <w:t>253.4</w:t>
            </w:r>
          </w:p>
        </w:tc>
        <w:tc>
          <w:tcPr>
            <w:tcW w:w="260" w:type="dxa"/>
            <w:vAlign w:val="bottom"/>
          </w:tcPr>
          <w:p>
            <w:pPr>
              <w:spacing w:after="0"/>
              <w:rPr>
                <w:sz w:val="9"/>
                <w:szCs w:val="9"/>
                <w:color w:val="auto"/>
              </w:rPr>
            </w:pP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252.3</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jc w:val="right"/>
              <w:ind w:right="8"/>
              <w:spacing w:after="0" w:line="108" w:lineRule="exact"/>
              <w:rPr>
                <w:sz w:val="20"/>
                <w:szCs w:val="20"/>
                <w:color w:val="auto"/>
              </w:rPr>
            </w:pPr>
            <w:r>
              <w:rPr>
                <w:rFonts w:ascii="Arial" w:cs="Arial" w:eastAsia="Arial" w:hAnsi="Arial"/>
                <w:sz w:val="10"/>
                <w:szCs w:val="10"/>
                <w:color w:val="auto"/>
              </w:rPr>
              <w:t>628.7</w:t>
            </w:r>
          </w:p>
        </w:tc>
        <w:tc>
          <w:tcPr>
            <w:tcW w:w="260" w:type="dxa"/>
            <w:vAlign w:val="bottom"/>
          </w:tcPr>
          <w:p>
            <w:pPr>
              <w:spacing w:after="0"/>
              <w:rPr>
                <w:sz w:val="9"/>
                <w:szCs w:val="9"/>
                <w:color w:val="auto"/>
              </w:rPr>
            </w:pPr>
          </w:p>
        </w:tc>
        <w:tc>
          <w:tcPr>
            <w:tcW w:w="6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684.6</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20"/>
                <w:szCs w:val="20"/>
                <w:color w:val="auto"/>
              </w:rPr>
            </w:pPr>
            <w:r>
              <w:rPr>
                <w:rFonts w:ascii="Arial" w:cs="Arial" w:eastAsia="Arial" w:hAnsi="Arial"/>
                <w:sz w:val="10"/>
                <w:szCs w:val="10"/>
                <w:color w:val="auto"/>
              </w:rPr>
              <w:t>Corporate expenses</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(29.2)</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(26.3)</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(89.0)</w:t>
            </w:r>
          </w:p>
        </w:tc>
        <w:tc>
          <w:tcPr>
            <w:tcW w:w="2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20"/>
                <w:szCs w:val="20"/>
                <w:color w:val="auto"/>
              </w:rPr>
            </w:pPr>
            <w:r>
              <w:rPr>
                <w:rFonts w:ascii="Arial" w:cs="Arial" w:eastAsia="Arial" w:hAnsi="Arial"/>
                <w:sz w:val="10"/>
                <w:szCs w:val="10"/>
                <w:color w:val="auto"/>
              </w:rPr>
              <w:t>Goodwill impairment charge</w:t>
            </w:r>
          </w:p>
        </w:tc>
        <w:tc>
          <w:tcPr>
            <w:tcW w:w="340" w:type="dxa"/>
            <w:vAlign w:val="bottom"/>
          </w:tcPr>
          <w:p>
            <w:pPr>
              <w:spacing w:after="0"/>
              <w:rPr>
                <w:sz w:val="11"/>
                <w:szCs w:val="11"/>
                <w:color w:val="auto"/>
              </w:rPr>
            </w:pPr>
          </w:p>
        </w:tc>
        <w:tc>
          <w:tcPr>
            <w:tcW w:w="74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(64.0)</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Intangible asset amortization expense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(7.2)</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(9.3)</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(22.4)</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(26.8)</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0" w:type="dxa"/>
            <w:vAlign w:val="bottom"/>
          </w:tcPr>
          <w:p>
            <w:pPr>
              <w:ind w:left="100"/>
              <w:spacing w:after="0" w:line="108" w:lineRule="exact"/>
              <w:rPr>
                <w:sz w:val="20"/>
                <w:szCs w:val="20"/>
                <w:color w:val="auto"/>
              </w:rPr>
            </w:pPr>
            <w:r>
              <w:rPr>
                <w:rFonts w:ascii="Arial" w:cs="Arial" w:eastAsia="Arial" w:hAnsi="Arial"/>
                <w:sz w:val="10"/>
                <w:szCs w:val="10"/>
                <w:color w:val="auto"/>
              </w:rPr>
              <w:t>Operating profit</w:t>
            </w:r>
          </w:p>
        </w:tc>
        <w:tc>
          <w:tcPr>
            <w:tcW w:w="340" w:type="dxa"/>
            <w:vAlign w:val="bottom"/>
          </w:tcPr>
          <w:p>
            <w:pPr>
              <w:spacing w:after="0"/>
              <w:rPr>
                <w:sz w:val="9"/>
                <w:szCs w:val="9"/>
                <w:color w:val="auto"/>
              </w:rPr>
            </w:pPr>
          </w:p>
        </w:tc>
        <w:tc>
          <w:tcPr>
            <w:tcW w:w="740" w:type="dxa"/>
            <w:vAlign w:val="bottom"/>
          </w:tcPr>
          <w:p>
            <w:pPr>
              <w:jc w:val="right"/>
              <w:ind w:right="28"/>
              <w:spacing w:after="0" w:line="108" w:lineRule="exact"/>
              <w:rPr>
                <w:sz w:val="20"/>
                <w:szCs w:val="20"/>
                <w:color w:val="auto"/>
              </w:rPr>
            </w:pPr>
            <w:r>
              <w:rPr>
                <w:rFonts w:ascii="Arial" w:cs="Arial" w:eastAsia="Arial" w:hAnsi="Arial"/>
                <w:sz w:val="10"/>
                <w:szCs w:val="10"/>
                <w:color w:val="auto"/>
              </w:rPr>
              <w:t>217.0</w:t>
            </w:r>
          </w:p>
        </w:tc>
        <w:tc>
          <w:tcPr>
            <w:tcW w:w="260" w:type="dxa"/>
            <w:vAlign w:val="bottom"/>
          </w:tcPr>
          <w:p>
            <w:pPr>
              <w:spacing w:after="0"/>
              <w:rPr>
                <w:sz w:val="9"/>
                <w:szCs w:val="9"/>
                <w:color w:val="auto"/>
              </w:rPr>
            </w:pP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216.7</w:t>
            </w:r>
          </w:p>
        </w:tc>
        <w:tc>
          <w:tcPr>
            <w:tcW w:w="140" w:type="dxa"/>
            <w:vAlign w:val="bottom"/>
          </w:tcPr>
          <w:p>
            <w:pPr>
              <w:spacing w:after="0"/>
              <w:rPr>
                <w:sz w:val="9"/>
                <w:szCs w:val="9"/>
                <w:color w:val="auto"/>
              </w:rPr>
            </w:pPr>
          </w:p>
        </w:tc>
        <w:tc>
          <w:tcPr>
            <w:tcW w:w="760" w:type="dxa"/>
            <w:vAlign w:val="bottom"/>
          </w:tcPr>
          <w:p>
            <w:pPr>
              <w:jc w:val="right"/>
              <w:ind w:right="28"/>
              <w:spacing w:after="0" w:line="108" w:lineRule="exact"/>
              <w:rPr>
                <w:sz w:val="20"/>
                <w:szCs w:val="20"/>
                <w:color w:val="auto"/>
              </w:rPr>
            </w:pPr>
            <w:r>
              <w:rPr>
                <w:rFonts w:ascii="Arial" w:cs="Arial" w:eastAsia="Arial" w:hAnsi="Arial"/>
                <w:sz w:val="10"/>
                <w:szCs w:val="10"/>
                <w:color w:val="auto"/>
              </w:rPr>
              <w:t>0.2%</w:t>
            </w:r>
          </w:p>
        </w:tc>
        <w:tc>
          <w:tcPr>
            <w:tcW w:w="9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w:t>
            </w:r>
          </w:p>
        </w:tc>
        <w:tc>
          <w:tcPr>
            <w:tcW w:w="360" w:type="dxa"/>
            <w:vAlign w:val="bottom"/>
          </w:tcPr>
          <w:p>
            <w:pPr>
              <w:spacing w:after="0"/>
              <w:rPr>
                <w:sz w:val="9"/>
                <w:szCs w:val="9"/>
                <w:color w:val="auto"/>
              </w:rPr>
            </w:pPr>
          </w:p>
        </w:tc>
        <w:tc>
          <w:tcPr>
            <w:tcW w:w="720" w:type="dxa"/>
            <w:vAlign w:val="bottom"/>
          </w:tcPr>
          <w:p>
            <w:pPr>
              <w:jc w:val="right"/>
              <w:ind w:right="8"/>
              <w:spacing w:after="0" w:line="108" w:lineRule="exact"/>
              <w:rPr>
                <w:sz w:val="20"/>
                <w:szCs w:val="20"/>
                <w:color w:val="auto"/>
              </w:rPr>
            </w:pPr>
            <w:r>
              <w:rPr>
                <w:rFonts w:ascii="Arial" w:cs="Arial" w:eastAsia="Arial" w:hAnsi="Arial"/>
                <w:sz w:val="10"/>
                <w:szCs w:val="10"/>
                <w:color w:val="auto"/>
              </w:rPr>
              <w:t>453.3</w:t>
            </w:r>
          </w:p>
        </w:tc>
        <w:tc>
          <w:tcPr>
            <w:tcW w:w="260" w:type="dxa"/>
            <w:vAlign w:val="bottom"/>
          </w:tcPr>
          <w:p>
            <w:pPr>
              <w:spacing w:after="0"/>
              <w:rPr>
                <w:sz w:val="9"/>
                <w:szCs w:val="9"/>
                <w:color w:val="auto"/>
              </w:rPr>
            </w:pPr>
          </w:p>
        </w:tc>
        <w:tc>
          <w:tcPr>
            <w:tcW w:w="6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578.8</w:t>
            </w: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-21.7%</w:t>
            </w:r>
          </w:p>
        </w:tc>
        <w:tc>
          <w:tcPr>
            <w:tcW w:w="8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20"/>
                <w:szCs w:val="20"/>
                <w:color w:val="auto"/>
              </w:rPr>
            </w:pPr>
            <w:r>
              <w:rPr>
                <w:rFonts w:ascii="Arial" w:cs="Arial" w:eastAsia="Arial" w:hAnsi="Arial"/>
                <w:sz w:val="10"/>
                <w:szCs w:val="10"/>
                <w:color w:val="auto"/>
              </w:rPr>
              <w:t>Interest and other (expenses) income, net</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(12.2)</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(11.8)</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46.1</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(38.4)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00" w:type="dxa"/>
            <w:vAlign w:val="bottom"/>
          </w:tcPr>
          <w:p>
            <w:pPr>
              <w:ind w:left="100"/>
              <w:spacing w:after="0" w:line="100" w:lineRule="exact"/>
              <w:rPr>
                <w:sz w:val="20"/>
                <w:szCs w:val="20"/>
                <w:color w:val="auto"/>
              </w:rPr>
            </w:pPr>
            <w:r>
              <w:rPr>
                <w:rFonts w:ascii="Arial" w:cs="Arial" w:eastAsia="Arial" w:hAnsi="Arial"/>
                <w:sz w:val="10"/>
                <w:szCs w:val="10"/>
                <w:color w:val="auto"/>
              </w:rPr>
              <w:t>Earnings before income taxes</w:t>
            </w:r>
          </w:p>
        </w:tc>
        <w:tc>
          <w:tcPr>
            <w:tcW w:w="340" w:type="dxa"/>
            <w:vAlign w:val="bottom"/>
            <w:tcBorders>
              <w:bottom w:val="single" w:sz="8" w:color="auto"/>
            </w:tcBorders>
          </w:tcPr>
          <w:p>
            <w:pPr>
              <w:jc w:val="right"/>
              <w:ind w:right="108"/>
              <w:spacing w:after="0" w:line="100" w:lineRule="exact"/>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204.8</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204.9</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499.4</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540.4</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328"/>
              <w:spacing w:after="0"/>
              <w:rPr>
                <w:sz w:val="20"/>
                <w:szCs w:val="20"/>
                <w:color w:val="auto"/>
              </w:rPr>
            </w:pPr>
            <w:r>
              <w:rPr>
                <w:rFonts w:ascii="Arial" w:cs="Arial" w:eastAsia="Arial" w:hAnsi="Arial"/>
                <w:sz w:val="10"/>
                <w:szCs w:val="10"/>
                <w:b w:val="1"/>
                <w:bCs w:val="1"/>
                <w:color w:val="auto"/>
              </w:rPr>
              <w:t>Three Months Ended December 31</w:t>
            </w: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228"/>
              <w:spacing w:after="0"/>
              <w:rPr>
                <w:sz w:val="20"/>
                <w:szCs w:val="20"/>
                <w:color w:val="auto"/>
              </w:rPr>
            </w:pPr>
            <w:r>
              <w:rPr>
                <w:rFonts w:ascii="Arial" w:cs="Arial" w:eastAsia="Arial" w:hAnsi="Arial"/>
                <w:sz w:val="10"/>
                <w:szCs w:val="10"/>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tcPr>
          <w:p>
            <w:pPr>
              <w:jc w:val="right"/>
              <w:ind w:right="468"/>
              <w:spacing w:after="0" w:line="100" w:lineRule="exact"/>
              <w:rPr>
                <w:sz w:val="20"/>
                <w:szCs w:val="20"/>
                <w:color w:val="auto"/>
              </w:rPr>
            </w:pPr>
            <w:r>
              <w:rPr>
                <w:rFonts w:ascii="Arial" w:cs="Arial" w:eastAsia="Arial" w:hAnsi="Arial"/>
                <w:sz w:val="10"/>
                <w:szCs w:val="10"/>
                <w:b w:val="1"/>
                <w:bCs w:val="1"/>
                <w:color w:val="auto"/>
              </w:rPr>
              <w:t>% Variance</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jc w:val="right"/>
              <w:ind w:right="468"/>
              <w:spacing w:after="0" w:line="100" w:lineRule="exact"/>
              <w:rPr>
                <w:sz w:val="20"/>
                <w:szCs w:val="20"/>
                <w:color w:val="auto"/>
              </w:rPr>
            </w:pPr>
            <w:r>
              <w:rPr>
                <w:rFonts w:ascii="Arial" w:cs="Arial" w:eastAsia="Arial" w:hAnsi="Arial"/>
                <w:sz w:val="10"/>
                <w:szCs w:val="10"/>
                <w:b w:val="1"/>
                <w:bCs w:val="1"/>
                <w:color w:val="auto"/>
              </w:rPr>
              <w:t>% Variance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108"/>
              <w:spacing w:after="0" w:line="103" w:lineRule="exact"/>
              <w:rPr>
                <w:sz w:val="20"/>
                <w:szCs w:val="20"/>
                <w:color w:val="auto"/>
              </w:rPr>
            </w:pPr>
            <w:r>
              <w:rPr>
                <w:rFonts w:ascii="Arial" w:cs="Arial" w:eastAsia="Arial" w:hAnsi="Arial"/>
                <w:sz w:val="10"/>
                <w:szCs w:val="10"/>
                <w:b w:val="1"/>
                <w:bCs w:val="1"/>
                <w:color w:val="auto"/>
              </w:rPr>
              <w:t>Amount</w:t>
            </w:r>
          </w:p>
        </w:tc>
        <w:tc>
          <w:tcPr>
            <w:tcW w:w="740" w:type="dxa"/>
            <w:vAlign w:val="bottom"/>
          </w:tcPr>
          <w:p>
            <w:pPr>
              <w:jc w:val="right"/>
              <w:ind w:right="128"/>
              <w:spacing w:after="0" w:line="103" w:lineRule="exact"/>
              <w:rPr>
                <w:sz w:val="20"/>
                <w:szCs w:val="20"/>
                <w:color w:val="auto"/>
              </w:rPr>
            </w:pPr>
            <w:r>
              <w:rPr>
                <w:rFonts w:ascii="Arial" w:cs="Arial" w:eastAsia="Arial" w:hAnsi="Arial"/>
                <w:sz w:val="10"/>
                <w:szCs w:val="10"/>
                <w:b w:val="1"/>
                <w:bCs w:val="1"/>
                <w:color w:val="auto"/>
              </w:rPr>
              <w:t>Constant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48"/>
              <w:spacing w:after="0" w:line="103" w:lineRule="exact"/>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128"/>
              <w:spacing w:after="0" w:line="103" w:lineRule="exact"/>
              <w:rPr>
                <w:sz w:val="20"/>
                <w:szCs w:val="20"/>
                <w:color w:val="auto"/>
              </w:rPr>
            </w:pPr>
            <w:r>
              <w:rPr>
                <w:rFonts w:ascii="Arial" w:cs="Arial" w:eastAsia="Arial" w:hAnsi="Arial"/>
                <w:sz w:val="10"/>
                <w:szCs w:val="10"/>
                <w:b w:val="1"/>
                <w:bCs w:val="1"/>
                <w:color w:val="auto"/>
              </w:rPr>
              <w:t>Constant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right"/>
              <w:ind w:right="328"/>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620" w:type="dxa"/>
            <w:vAlign w:val="bottom"/>
          </w:tcPr>
          <w:p>
            <w:pPr>
              <w:jc w:val="right"/>
              <w:ind w:right="208"/>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28"/>
              <w:spacing w:after="0"/>
              <w:rPr>
                <w:sz w:val="20"/>
                <w:szCs w:val="20"/>
                <w:color w:val="auto"/>
              </w:rPr>
            </w:pPr>
            <w:r>
              <w:rPr>
                <w:rFonts w:ascii="Arial" w:cs="Arial" w:eastAsia="Arial" w:hAnsi="Arial"/>
                <w:sz w:val="10"/>
                <w:szCs w:val="10"/>
                <w:b w:val="1"/>
                <w:bCs w:val="1"/>
                <w:color w:val="auto"/>
              </w:rPr>
              <w:t>Reported</w:t>
            </w:r>
          </w:p>
        </w:tc>
        <w:tc>
          <w:tcPr>
            <w:tcW w:w="9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Currency</w:t>
            </w:r>
          </w:p>
        </w:tc>
        <w:tc>
          <w:tcPr>
            <w:tcW w:w="360" w:type="dxa"/>
            <w:vAlign w:val="bottom"/>
          </w:tcPr>
          <w:p>
            <w:pPr>
              <w:spacing w:after="0"/>
              <w:rPr>
                <w:sz w:val="11"/>
                <w:szCs w:val="11"/>
                <w:color w:val="auto"/>
              </w:rPr>
            </w:pPr>
          </w:p>
        </w:tc>
        <w:tc>
          <w:tcPr>
            <w:tcW w:w="720" w:type="dxa"/>
            <w:vAlign w:val="bottom"/>
          </w:tcPr>
          <w:p>
            <w:pPr>
              <w:jc w:val="right"/>
              <w:ind w:right="288"/>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620" w:type="dxa"/>
            <w:vAlign w:val="bottom"/>
          </w:tcPr>
          <w:p>
            <w:pPr>
              <w:jc w:val="right"/>
              <w:ind w:right="208"/>
              <w:spacing w:after="0"/>
              <w:rPr>
                <w:sz w:val="20"/>
                <w:szCs w:val="20"/>
                <w:color w:val="auto"/>
              </w:rPr>
            </w:pPr>
            <w:r>
              <w:rPr>
                <w:rFonts w:ascii="Arial" w:cs="Arial" w:eastAsia="Arial" w:hAnsi="Arial"/>
                <w:sz w:val="10"/>
                <w:szCs w:val="10"/>
                <w:b w:val="1"/>
                <w:bCs w:val="1"/>
                <w:color w:val="auto"/>
              </w:rPr>
              <w:t>2018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8"/>
              <w:spacing w:after="0"/>
              <w:rPr>
                <w:sz w:val="20"/>
                <w:szCs w:val="20"/>
                <w:color w:val="auto"/>
              </w:rPr>
            </w:pPr>
            <w:r>
              <w:rPr>
                <w:rFonts w:ascii="Arial" w:cs="Arial" w:eastAsia="Arial" w:hAnsi="Arial"/>
                <w:sz w:val="10"/>
                <w:szCs w:val="10"/>
                <w:b w:val="1"/>
                <w:bCs w:val="1"/>
                <w:color w:val="auto"/>
              </w:rPr>
              <w:t>Reported</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Currency</w:t>
            </w:r>
          </w:p>
        </w:tc>
        <w:tc>
          <w:tcPr>
            <w:tcW w:w="0" w:type="dxa"/>
            <w:vAlign w:val="bottom"/>
          </w:tcPr>
          <w:p>
            <w:pPr>
              <w:spacing w:after="0"/>
              <w:rPr>
                <w:sz w:val="1"/>
                <w:szCs w:val="1"/>
                <w:color w:val="auto"/>
              </w:rPr>
            </w:pPr>
          </w:p>
        </w:tc>
      </w:tr>
      <w:tr>
        <w:trPr>
          <w:trHeight w:val="123"/>
        </w:trPr>
        <w:tc>
          <w:tcPr>
            <w:tcW w:w="4000" w:type="dxa"/>
            <w:vAlign w:val="bottom"/>
            <w:vMerge w:val="restart"/>
          </w:tcPr>
          <w:p>
            <w:pPr>
              <w:spacing w:after="0"/>
              <w:rPr>
                <w:sz w:val="20"/>
                <w:szCs w:val="20"/>
                <w:color w:val="auto"/>
              </w:rPr>
            </w:pPr>
            <w:r>
              <w:rPr>
                <w:rFonts w:ascii="Arial" w:cs="Arial" w:eastAsia="Arial" w:hAnsi="Arial"/>
                <w:sz w:val="10"/>
                <w:szCs w:val="10"/>
                <w:color w:val="auto"/>
              </w:rPr>
              <w:t>Revenues from Services:</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ind w:left="88"/>
              <w:spacing w:after="0"/>
              <w:rPr>
                <w:sz w:val="20"/>
                <w:szCs w:val="20"/>
                <w:color w:val="auto"/>
              </w:rPr>
            </w:pPr>
            <w:r>
              <w:rPr>
                <w:rFonts w:ascii="Arial" w:cs="Arial" w:eastAsia="Arial" w:hAnsi="Arial"/>
                <w:sz w:val="10"/>
                <w:szCs w:val="10"/>
                <w:color w:val="auto"/>
                <w:w w:val="95"/>
              </w:rPr>
              <w:t>(Unaudited)</w:t>
            </w:r>
          </w:p>
        </w:tc>
        <w:tc>
          <w:tcPr>
            <w:tcW w:w="7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left="68"/>
              <w:spacing w:after="0"/>
              <w:rPr>
                <w:sz w:val="20"/>
                <w:szCs w:val="20"/>
                <w:color w:val="auto"/>
              </w:rPr>
            </w:pPr>
            <w:r>
              <w:rPr>
                <w:rFonts w:ascii="Arial" w:cs="Arial" w:eastAsia="Arial" w:hAnsi="Arial"/>
                <w:sz w:val="10"/>
                <w:szCs w:val="10"/>
                <w:color w:val="auto"/>
                <w:w w:val="95"/>
              </w:rPr>
              <w:t>(Unaudited)</w:t>
            </w:r>
          </w:p>
        </w:tc>
        <w:tc>
          <w:tcPr>
            <w:tcW w:w="6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3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648.3</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653.2</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-0.7%</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-0.7%</w:t>
            </w:r>
          </w:p>
        </w:tc>
        <w:tc>
          <w:tcPr>
            <w:tcW w:w="3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2,590.6</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2,608.9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-0.7%</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437.4</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415.4</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5.3%</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9.4%</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1,688.0</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1,650.0</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00"/>
        </w:trPr>
        <w:tc>
          <w:tcPr>
            <w:tcW w:w="4000" w:type="dxa"/>
            <w:vAlign w:val="bottom"/>
            <w:vMerge w:val="restart"/>
          </w:tcPr>
          <w:p>
            <w:pPr>
              <w:ind w:left="40"/>
              <w:spacing w:after="0"/>
              <w:rPr>
                <w:sz w:val="20"/>
                <w:szCs w:val="20"/>
                <w:color w:val="auto"/>
              </w:rPr>
            </w:pPr>
            <w:r>
              <w:rPr>
                <w:rFonts w:ascii="Arial" w:cs="Arial" w:eastAsia="Arial" w:hAnsi="Arial"/>
                <w:sz w:val="10"/>
                <w:szCs w:val="10"/>
                <w:color w:val="auto"/>
              </w:rPr>
              <w:t>Southern Europe:</w:t>
            </w: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1,085.7</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1,068.6</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1.6%</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3.2%</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4,278.6</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4,258.9</w:t>
            </w: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0.5%</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06"/>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1,361.8</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1,436.1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-5.2%</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-2.3%</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5,479.6</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5,846.4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-6.3%</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380.6</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404.2</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-5.9%</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-3.0%</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1,508.3</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1,673.9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-9.9%</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591.1</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461.3</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28.1%</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29.2%</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2,206.5</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1,879.6</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21.8%</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2,333.5</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2,301.6</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1.4%</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3.9%</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9,194.4</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9,399.9</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-2.2%</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3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1,174.1</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1,284.8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-8.6%</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-6.3%</w:t>
            </w:r>
          </w:p>
        </w:tc>
        <w:tc>
          <w:tcPr>
            <w:tcW w:w="36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4,735.5</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5,417.5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603.3</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738.2</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-18.3%</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-19.1%</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2,655.0</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2,914.9</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jc w:val="right"/>
              <w:ind w:right="108"/>
              <w:spacing w:after="0" w:line="100" w:lineRule="exact"/>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5,196.6</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5,393.2</w:t>
            </w: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-3.6%</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-1.8%</w:t>
            </w:r>
          </w:p>
        </w:tc>
        <w:tc>
          <w:tcPr>
            <w:tcW w:w="3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20,863.5</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21,991.2</w:t>
            </w: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-5.1%</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0"/>
                <w:szCs w:val="10"/>
                <w:color w:val="auto"/>
              </w:rPr>
              <w:t>Operating Unit Profit:</w:t>
            </w: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40"/>
              <w:spacing w:after="0"/>
              <w:rPr>
                <w:sz w:val="20"/>
                <w:szCs w:val="20"/>
                <w:color w:val="auto"/>
              </w:rPr>
            </w:pPr>
            <w:r>
              <w:rPr>
                <w:rFonts w:ascii="Arial" w:cs="Arial" w:eastAsia="Arial" w:hAnsi="Arial"/>
                <w:sz w:val="10"/>
                <w:szCs w:val="10"/>
                <w:color w:val="auto"/>
              </w:rPr>
              <w:t>Americas: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United States</w:t>
            </w:r>
          </w:p>
        </w:tc>
        <w:tc>
          <w:tcPr>
            <w:tcW w:w="3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33.9</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37.1</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-8.5%</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-8.5%</w:t>
            </w:r>
          </w:p>
        </w:tc>
        <w:tc>
          <w:tcPr>
            <w:tcW w:w="3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128.0</w:t>
            </w:r>
          </w:p>
        </w:tc>
        <w:tc>
          <w:tcPr>
            <w:tcW w:w="26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149.9</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Americas</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22.9</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20.7</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10.5%</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15.5%</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75.4</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75.0</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00"/>
        </w:trPr>
        <w:tc>
          <w:tcPr>
            <w:tcW w:w="4000" w:type="dxa"/>
            <w:vAlign w:val="bottom"/>
            <w:vMerge w:val="restart"/>
          </w:tcPr>
          <w:p>
            <w:pPr>
              <w:ind w:left="40"/>
              <w:spacing w:after="0"/>
              <w:rPr>
                <w:sz w:val="20"/>
                <w:szCs w:val="20"/>
                <w:color w:val="auto"/>
              </w:rPr>
            </w:pPr>
            <w:r>
              <w:rPr>
                <w:rFonts w:ascii="Arial" w:cs="Arial" w:eastAsia="Arial" w:hAnsi="Arial"/>
                <w:sz w:val="10"/>
                <w:szCs w:val="10"/>
                <w:color w:val="auto"/>
              </w:rPr>
              <w:t>Southern Europe:</w:t>
            </w: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56.8</w:t>
            </w: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57.8</w:t>
            </w: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-1.7%</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0.1%</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203.4</w:t>
            </w: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224.9</w:t>
            </w:r>
          </w:p>
        </w:tc>
        <w:tc>
          <w:tcPr>
            <w:tcW w:w="10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0"/>
                <w:szCs w:val="10"/>
                <w:color w:val="auto"/>
              </w:rPr>
              <w:t>-9.5%</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06"/>
        </w:trPr>
        <w:tc>
          <w:tcPr>
            <w:tcW w:w="4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France</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83.6</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81.4</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2.7%</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5.9%</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284.9</w:t>
            </w:r>
          </w:p>
        </w:tc>
        <w:tc>
          <w:tcPr>
            <w:tcW w:w="2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290.9</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32"/>
        </w:trPr>
        <w:tc>
          <w:tcPr>
            <w:tcW w:w="4000" w:type="dxa"/>
            <w:vAlign w:val="bottom"/>
          </w:tcPr>
          <w:p>
            <w:pPr>
              <w:ind w:left="180"/>
              <w:spacing w:after="0"/>
              <w:rPr>
                <w:sz w:val="20"/>
                <w:szCs w:val="20"/>
                <w:color w:val="auto"/>
              </w:rPr>
            </w:pPr>
            <w:r>
              <w:rPr>
                <w:rFonts w:ascii="Arial" w:cs="Arial" w:eastAsia="Arial" w:hAnsi="Arial"/>
                <w:sz w:val="10"/>
                <w:szCs w:val="10"/>
                <w:color w:val="auto"/>
              </w:rPr>
              <w:t>Italy</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29.1</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28.3</w:t>
            </w:r>
          </w:p>
        </w:tc>
        <w:tc>
          <w:tcPr>
            <w:tcW w:w="140" w:type="dxa"/>
            <w:vAlign w:val="bottom"/>
          </w:tcPr>
          <w:p>
            <w:pPr>
              <w:spacing w:after="0"/>
              <w:rPr>
                <w:sz w:val="11"/>
                <w:szCs w:val="11"/>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2.8%</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5.9%</w:t>
            </w: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102.5</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-7.9%</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26"/>
        </w:trPr>
        <w:tc>
          <w:tcPr>
            <w:tcW w:w="4000" w:type="dxa"/>
            <w:vAlign w:val="bottom"/>
          </w:tcPr>
          <w:p>
            <w:pPr>
              <w:ind w:left="180"/>
              <w:spacing w:after="0"/>
              <w:rPr>
                <w:sz w:val="20"/>
                <w:szCs w:val="20"/>
                <w:color w:val="auto"/>
              </w:rPr>
            </w:pPr>
            <w:r>
              <w:rPr>
                <w:rFonts w:ascii="Arial" w:cs="Arial" w:eastAsia="Arial" w:hAnsi="Arial"/>
                <w:sz w:val="10"/>
                <w:szCs w:val="10"/>
                <w:color w:val="auto"/>
              </w:rPr>
              <w:t>Other Southern Europe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16.0</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17.3</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-7.8%</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-7.9%</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67.9</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66.5</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128.7</w:t>
            </w: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127.0</w:t>
            </w:r>
          </w:p>
        </w:tc>
        <w:tc>
          <w:tcPr>
            <w:tcW w:w="140" w:type="dxa"/>
            <w:vAlign w:val="bottom"/>
          </w:tcPr>
          <w:p>
            <w:pPr>
              <w:spacing w:after="0"/>
              <w:rPr>
                <w:sz w:val="8"/>
                <w:szCs w:val="8"/>
                <w:color w:val="auto"/>
              </w:rPr>
            </w:pPr>
          </w:p>
        </w:tc>
        <w:tc>
          <w:tcPr>
            <w:tcW w:w="760" w:type="dxa"/>
            <w:vAlign w:val="bottom"/>
          </w:tcPr>
          <w:p>
            <w:pPr>
              <w:jc w:val="right"/>
              <w:ind w:right="28"/>
              <w:spacing w:after="0" w:line="100" w:lineRule="exact"/>
              <w:rPr>
                <w:sz w:val="20"/>
                <w:szCs w:val="20"/>
                <w:color w:val="auto"/>
              </w:rPr>
            </w:pPr>
            <w:r>
              <w:rPr>
                <w:rFonts w:ascii="Arial" w:cs="Arial" w:eastAsia="Arial" w:hAnsi="Arial"/>
                <w:sz w:val="10"/>
                <w:szCs w:val="10"/>
                <w:color w:val="auto"/>
              </w:rPr>
              <w:t>1.3%</w:t>
            </w:r>
          </w:p>
        </w:tc>
        <w:tc>
          <w:tcPr>
            <w:tcW w:w="920" w:type="dxa"/>
            <w:vAlign w:val="bottom"/>
            <w:gridSpan w:val="2"/>
          </w:tcPr>
          <w:p>
            <w:pPr>
              <w:jc w:val="right"/>
              <w:ind w:right="180"/>
              <w:spacing w:after="0" w:line="100" w:lineRule="exact"/>
              <w:rPr>
                <w:sz w:val="20"/>
                <w:szCs w:val="20"/>
                <w:color w:val="auto"/>
              </w:rPr>
            </w:pPr>
            <w:r>
              <w:rPr>
                <w:rFonts w:ascii="Arial" w:cs="Arial" w:eastAsia="Arial" w:hAnsi="Arial"/>
                <w:sz w:val="10"/>
                <w:szCs w:val="10"/>
                <w:color w:val="auto"/>
              </w:rPr>
              <w:t>4.0%</w:t>
            </w: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455.3</w:t>
            </w: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468.7</w:t>
            </w: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color w:val="auto"/>
              </w:rPr>
              <w:t>-2.9%</w:t>
            </w:r>
          </w:p>
        </w:tc>
        <w:tc>
          <w:tcPr>
            <w:tcW w:w="820" w:type="dxa"/>
            <w:vAlign w:val="bottom"/>
            <w:gridSpan w:val="2"/>
          </w:tcPr>
          <w:p>
            <w:pPr>
              <w:jc w:val="right"/>
              <w:ind w:right="20"/>
              <w:spacing w:after="0" w:line="100"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226"/>
        </w:trPr>
        <w:tc>
          <w:tcPr>
            <w:tcW w:w="4000" w:type="dxa"/>
            <w:vAlign w:val="bottom"/>
          </w:tcPr>
          <w:p>
            <w:pPr>
              <w:ind w:left="40"/>
              <w:spacing w:after="0"/>
              <w:rPr>
                <w:sz w:val="20"/>
                <w:szCs w:val="20"/>
                <w:color w:val="auto"/>
              </w:rPr>
            </w:pPr>
            <w:r>
              <w:rPr>
                <w:rFonts w:ascii="Arial" w:cs="Arial" w:eastAsia="Arial" w:hAnsi="Arial"/>
                <w:sz w:val="10"/>
                <w:szCs w:val="10"/>
                <w:color w:val="auto"/>
              </w:rPr>
              <w:t>Northern Europe</w:t>
            </w:r>
          </w:p>
        </w:tc>
        <w:tc>
          <w:tcPr>
            <w:tcW w:w="3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24.1</w:t>
            </w:r>
          </w:p>
        </w:tc>
        <w:tc>
          <w:tcPr>
            <w:tcW w:w="2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44.1</w:t>
            </w:r>
          </w:p>
        </w:tc>
        <w:tc>
          <w:tcPr>
            <w:tcW w:w="140" w:type="dxa"/>
            <w:vAlign w:val="bottom"/>
          </w:tcPr>
          <w:p>
            <w:pPr>
              <w:spacing w:after="0"/>
              <w:rPr>
                <w:sz w:val="19"/>
                <w:szCs w:val="19"/>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-45.3%</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-43.8%</w:t>
            </w:r>
          </w:p>
        </w:tc>
        <w:tc>
          <w:tcPr>
            <w:tcW w:w="36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74.4</w:t>
            </w: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129.9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-42.7%</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-39.7%</w:t>
            </w:r>
          </w:p>
        </w:tc>
        <w:tc>
          <w:tcPr>
            <w:tcW w:w="0" w:type="dxa"/>
            <w:vAlign w:val="bottom"/>
          </w:tcPr>
          <w:p>
            <w:pPr>
              <w:spacing w:after="0"/>
              <w:rPr>
                <w:sz w:val="1"/>
                <w:szCs w:val="1"/>
                <w:color w:val="auto"/>
              </w:rPr>
            </w:pPr>
          </w:p>
        </w:tc>
      </w:tr>
      <w:tr>
        <w:trPr>
          <w:trHeight w:val="126"/>
        </w:trPr>
        <w:tc>
          <w:tcPr>
            <w:tcW w:w="4000" w:type="dxa"/>
            <w:vAlign w:val="bottom"/>
          </w:tcPr>
          <w:p>
            <w:pPr>
              <w:ind w:left="40"/>
              <w:spacing w:after="0"/>
              <w:rPr>
                <w:sz w:val="20"/>
                <w:szCs w:val="20"/>
                <w:color w:val="auto"/>
              </w:rPr>
            </w:pPr>
            <w:r>
              <w:rPr>
                <w:rFonts w:ascii="Arial" w:cs="Arial" w:eastAsia="Arial" w:hAnsi="Arial"/>
                <w:sz w:val="10"/>
                <w:szCs w:val="10"/>
                <w:color w:val="auto"/>
              </w:rPr>
              <w:t>APME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22.3</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28.3</w:t>
            </w:r>
          </w:p>
        </w:tc>
        <w:tc>
          <w:tcPr>
            <w:tcW w:w="140" w:type="dxa"/>
            <w:vAlign w:val="bottom"/>
          </w:tcPr>
          <w:p>
            <w:pPr>
              <w:spacing w:after="0"/>
              <w:rPr>
                <w:sz w:val="10"/>
                <w:szCs w:val="10"/>
                <w:color w:val="auto"/>
              </w:rPr>
            </w:pPr>
          </w:p>
        </w:tc>
        <w:tc>
          <w:tcPr>
            <w:tcW w:w="760" w:type="dxa"/>
            <w:vAlign w:val="bottom"/>
          </w:tcPr>
          <w:p>
            <w:pPr>
              <w:jc w:val="right"/>
              <w:ind w:right="28"/>
              <w:spacing w:after="0"/>
              <w:rPr>
                <w:sz w:val="20"/>
                <w:szCs w:val="20"/>
                <w:color w:val="auto"/>
              </w:rPr>
            </w:pPr>
            <w:r>
              <w:rPr>
                <w:rFonts w:ascii="Arial" w:cs="Arial" w:eastAsia="Arial" w:hAnsi="Arial"/>
                <w:sz w:val="10"/>
                <w:szCs w:val="10"/>
                <w:color w:val="auto"/>
              </w:rPr>
              <w:t>-21.5%</w:t>
            </w: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-23.7%</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127.5</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118.3</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w:t>
            </w:r>
          </w:p>
        </w:tc>
        <w:tc>
          <w:tcPr>
            <w:tcW w:w="820" w:type="dxa"/>
            <w:vAlign w:val="bottom"/>
            <w:gridSpan w:val="2"/>
          </w:tcPr>
          <w:p>
            <w:pPr>
              <w:jc w:val="right"/>
              <w:ind w:right="20"/>
              <w:spacing w:after="0"/>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jc w:val="right"/>
              <w:ind w:right="28"/>
              <w:spacing w:after="0" w:line="108" w:lineRule="exact"/>
              <w:rPr>
                <w:sz w:val="20"/>
                <w:szCs w:val="20"/>
                <w:color w:val="auto"/>
              </w:rPr>
            </w:pPr>
            <w:r>
              <w:rPr>
                <w:rFonts w:ascii="Arial" w:cs="Arial" w:eastAsia="Arial" w:hAnsi="Arial"/>
                <w:sz w:val="10"/>
                <w:szCs w:val="10"/>
                <w:color w:val="auto"/>
              </w:rPr>
              <w:t>231.9</w:t>
            </w:r>
          </w:p>
        </w:tc>
        <w:tc>
          <w:tcPr>
            <w:tcW w:w="260" w:type="dxa"/>
            <w:vAlign w:val="bottom"/>
          </w:tcPr>
          <w:p>
            <w:pPr>
              <w:spacing w:after="0"/>
              <w:rPr>
                <w:sz w:val="9"/>
                <w:szCs w:val="9"/>
                <w:color w:val="auto"/>
              </w:rPr>
            </w:pP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257.2</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jc w:val="right"/>
              <w:ind w:right="8"/>
              <w:spacing w:after="0" w:line="108" w:lineRule="exact"/>
              <w:rPr>
                <w:sz w:val="20"/>
                <w:szCs w:val="20"/>
                <w:color w:val="auto"/>
              </w:rPr>
            </w:pPr>
            <w:r>
              <w:rPr>
                <w:rFonts w:ascii="Arial" w:cs="Arial" w:eastAsia="Arial" w:hAnsi="Arial"/>
                <w:sz w:val="10"/>
                <w:szCs w:val="10"/>
                <w:color w:val="auto"/>
              </w:rPr>
              <w:t>860.6</w:t>
            </w:r>
          </w:p>
        </w:tc>
        <w:tc>
          <w:tcPr>
            <w:tcW w:w="260" w:type="dxa"/>
            <w:vAlign w:val="bottom"/>
          </w:tcPr>
          <w:p>
            <w:pPr>
              <w:spacing w:after="0"/>
              <w:rPr>
                <w:sz w:val="9"/>
                <w:szCs w:val="9"/>
                <w:color w:val="auto"/>
              </w:rPr>
            </w:pPr>
          </w:p>
        </w:tc>
        <w:tc>
          <w:tcPr>
            <w:tcW w:w="6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941.8</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20"/>
                <w:szCs w:val="20"/>
                <w:color w:val="auto"/>
              </w:rPr>
            </w:pPr>
            <w:r>
              <w:rPr>
                <w:rFonts w:ascii="Arial" w:cs="Arial" w:eastAsia="Arial" w:hAnsi="Arial"/>
                <w:sz w:val="10"/>
                <w:szCs w:val="10"/>
                <w:color w:val="auto"/>
              </w:rPr>
              <w:t>Corporate expenses</w:t>
            </w:r>
          </w:p>
        </w:tc>
        <w:tc>
          <w:tcPr>
            <w:tcW w:w="34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Arial" w:cs="Arial" w:eastAsia="Arial" w:hAnsi="Arial"/>
                <w:sz w:val="10"/>
                <w:szCs w:val="10"/>
                <w:color w:val="auto"/>
              </w:rPr>
              <w:t>(32.9)</w:t>
            </w:r>
          </w:p>
        </w:tc>
        <w:tc>
          <w:tcPr>
            <w:tcW w:w="2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(31.0)</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(121.9)</w:t>
            </w:r>
          </w:p>
        </w:tc>
        <w:tc>
          <w:tcPr>
            <w:tcW w:w="2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(110.0)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20"/>
                <w:szCs w:val="20"/>
                <w:color w:val="auto"/>
              </w:rPr>
            </w:pPr>
            <w:r>
              <w:rPr>
                <w:rFonts w:ascii="Arial" w:cs="Arial" w:eastAsia="Arial" w:hAnsi="Arial"/>
                <w:sz w:val="10"/>
                <w:szCs w:val="10"/>
                <w:color w:val="auto"/>
              </w:rPr>
              <w:t>Goodwill impairment charge</w:t>
            </w:r>
          </w:p>
        </w:tc>
        <w:tc>
          <w:tcPr>
            <w:tcW w:w="340" w:type="dxa"/>
            <w:vAlign w:val="bottom"/>
          </w:tcPr>
          <w:p>
            <w:pPr>
              <w:spacing w:after="0"/>
              <w:rPr>
                <w:sz w:val="11"/>
                <w:szCs w:val="11"/>
                <w:color w:val="auto"/>
              </w:rPr>
            </w:pPr>
          </w:p>
        </w:tc>
        <w:tc>
          <w:tcPr>
            <w:tcW w:w="74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Arial" w:cs="Arial" w:eastAsia="Arial" w:hAnsi="Arial"/>
                <w:sz w:val="10"/>
                <w:szCs w:val="10"/>
                <w:color w:val="auto"/>
              </w:rPr>
              <w:t>(64.0)</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20"/>
                <w:szCs w:val="20"/>
                <w:color w:val="auto"/>
              </w:rPr>
            </w:pPr>
            <w:r>
              <w:rPr>
                <w:rFonts w:ascii="Arial" w:cs="Arial" w:eastAsia="Arial" w:hAnsi="Arial"/>
                <w:sz w:val="10"/>
                <w:szCs w:val="10"/>
                <w:color w:val="auto"/>
              </w:rPr>
              <w:t>Intangible asset amortization expense</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(7.4)</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(8.3)</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(29.8)</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(35.1)</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0" w:type="dxa"/>
            <w:vAlign w:val="bottom"/>
          </w:tcPr>
          <w:p>
            <w:pPr>
              <w:ind w:left="100"/>
              <w:spacing w:after="0" w:line="108" w:lineRule="exact"/>
              <w:rPr>
                <w:sz w:val="20"/>
                <w:szCs w:val="20"/>
                <w:color w:val="auto"/>
              </w:rPr>
            </w:pPr>
            <w:r>
              <w:rPr>
                <w:rFonts w:ascii="Arial" w:cs="Arial" w:eastAsia="Arial" w:hAnsi="Arial"/>
                <w:sz w:val="10"/>
                <w:szCs w:val="10"/>
                <w:color w:val="auto"/>
              </w:rPr>
              <w:t>Operating profit</w:t>
            </w:r>
          </w:p>
        </w:tc>
        <w:tc>
          <w:tcPr>
            <w:tcW w:w="340" w:type="dxa"/>
            <w:vAlign w:val="bottom"/>
          </w:tcPr>
          <w:p>
            <w:pPr>
              <w:spacing w:after="0"/>
              <w:rPr>
                <w:sz w:val="9"/>
                <w:szCs w:val="9"/>
                <w:color w:val="auto"/>
              </w:rPr>
            </w:pPr>
          </w:p>
        </w:tc>
        <w:tc>
          <w:tcPr>
            <w:tcW w:w="740" w:type="dxa"/>
            <w:vAlign w:val="bottom"/>
          </w:tcPr>
          <w:p>
            <w:pPr>
              <w:jc w:val="right"/>
              <w:ind w:right="28"/>
              <w:spacing w:after="0" w:line="108" w:lineRule="exact"/>
              <w:rPr>
                <w:sz w:val="20"/>
                <w:szCs w:val="20"/>
                <w:color w:val="auto"/>
              </w:rPr>
            </w:pPr>
            <w:r>
              <w:rPr>
                <w:rFonts w:ascii="Arial" w:cs="Arial" w:eastAsia="Arial" w:hAnsi="Arial"/>
                <w:sz w:val="10"/>
                <w:szCs w:val="10"/>
                <w:color w:val="auto"/>
              </w:rPr>
              <w:t>191.6</w:t>
            </w:r>
          </w:p>
        </w:tc>
        <w:tc>
          <w:tcPr>
            <w:tcW w:w="260" w:type="dxa"/>
            <w:vAlign w:val="bottom"/>
          </w:tcPr>
          <w:p>
            <w:pPr>
              <w:spacing w:after="0"/>
              <w:rPr>
                <w:sz w:val="9"/>
                <w:szCs w:val="9"/>
                <w:color w:val="auto"/>
              </w:rPr>
            </w:pP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217.9</w:t>
            </w:r>
          </w:p>
        </w:tc>
        <w:tc>
          <w:tcPr>
            <w:tcW w:w="140" w:type="dxa"/>
            <w:vAlign w:val="bottom"/>
          </w:tcPr>
          <w:p>
            <w:pPr>
              <w:spacing w:after="0"/>
              <w:rPr>
                <w:sz w:val="9"/>
                <w:szCs w:val="9"/>
                <w:color w:val="auto"/>
              </w:rPr>
            </w:pPr>
          </w:p>
        </w:tc>
        <w:tc>
          <w:tcPr>
            <w:tcW w:w="760" w:type="dxa"/>
            <w:vAlign w:val="bottom"/>
          </w:tcPr>
          <w:p>
            <w:pPr>
              <w:jc w:val="right"/>
              <w:ind w:right="28"/>
              <w:spacing w:after="0" w:line="108" w:lineRule="exact"/>
              <w:rPr>
                <w:sz w:val="20"/>
                <w:szCs w:val="20"/>
                <w:color w:val="auto"/>
              </w:rPr>
            </w:pPr>
            <w:r>
              <w:rPr>
                <w:rFonts w:ascii="Arial" w:cs="Arial" w:eastAsia="Arial" w:hAnsi="Arial"/>
                <w:sz w:val="10"/>
                <w:szCs w:val="10"/>
                <w:color w:val="auto"/>
              </w:rPr>
              <w:t>-12.1%</w:t>
            </w:r>
          </w:p>
        </w:tc>
        <w:tc>
          <w:tcPr>
            <w:tcW w:w="9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w:t>
            </w:r>
          </w:p>
        </w:tc>
        <w:tc>
          <w:tcPr>
            <w:tcW w:w="360" w:type="dxa"/>
            <w:vAlign w:val="bottom"/>
          </w:tcPr>
          <w:p>
            <w:pPr>
              <w:spacing w:after="0"/>
              <w:rPr>
                <w:sz w:val="9"/>
                <w:szCs w:val="9"/>
                <w:color w:val="auto"/>
              </w:rPr>
            </w:pPr>
          </w:p>
        </w:tc>
        <w:tc>
          <w:tcPr>
            <w:tcW w:w="720" w:type="dxa"/>
            <w:vAlign w:val="bottom"/>
          </w:tcPr>
          <w:p>
            <w:pPr>
              <w:jc w:val="right"/>
              <w:ind w:right="8"/>
              <w:spacing w:after="0" w:line="108" w:lineRule="exact"/>
              <w:rPr>
                <w:sz w:val="20"/>
                <w:szCs w:val="20"/>
                <w:color w:val="auto"/>
              </w:rPr>
            </w:pPr>
            <w:r>
              <w:rPr>
                <w:rFonts w:ascii="Arial" w:cs="Arial" w:eastAsia="Arial" w:hAnsi="Arial"/>
                <w:sz w:val="10"/>
                <w:szCs w:val="10"/>
                <w:color w:val="auto"/>
              </w:rPr>
              <w:t>644.9</w:t>
            </w:r>
          </w:p>
        </w:tc>
        <w:tc>
          <w:tcPr>
            <w:tcW w:w="260" w:type="dxa"/>
            <w:vAlign w:val="bottom"/>
          </w:tcPr>
          <w:p>
            <w:pPr>
              <w:spacing w:after="0"/>
              <w:rPr>
                <w:sz w:val="9"/>
                <w:szCs w:val="9"/>
                <w:color w:val="auto"/>
              </w:rPr>
            </w:pPr>
          </w:p>
        </w:tc>
        <w:tc>
          <w:tcPr>
            <w:tcW w:w="6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796.7</w:t>
            </w: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-19.1%</w:t>
            </w:r>
          </w:p>
        </w:tc>
        <w:tc>
          <w:tcPr>
            <w:tcW w:w="8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20"/>
                <w:szCs w:val="20"/>
                <w:color w:val="auto"/>
              </w:rPr>
            </w:pPr>
            <w:r>
              <w:rPr>
                <w:rFonts w:ascii="Arial" w:cs="Arial" w:eastAsia="Arial" w:hAnsi="Arial"/>
                <w:sz w:val="10"/>
                <w:szCs w:val="10"/>
                <w:color w:val="auto"/>
              </w:rPr>
              <w:t>Interest and other income (expenses), net</w:t>
            </w: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(5.5)</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(3.6)</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40.6</w:t>
            </w: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(42.0)</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00" w:type="dxa"/>
            <w:vAlign w:val="bottom"/>
          </w:tcPr>
          <w:p>
            <w:pPr>
              <w:ind w:left="100"/>
              <w:spacing w:after="0" w:line="100" w:lineRule="exact"/>
              <w:rPr>
                <w:sz w:val="20"/>
                <w:szCs w:val="20"/>
                <w:color w:val="auto"/>
              </w:rPr>
            </w:pPr>
            <w:r>
              <w:rPr>
                <w:rFonts w:ascii="Arial" w:cs="Arial" w:eastAsia="Arial" w:hAnsi="Arial"/>
                <w:sz w:val="10"/>
                <w:szCs w:val="10"/>
                <w:color w:val="auto"/>
              </w:rPr>
              <w:t>Earnings before income taxes</w:t>
            </w:r>
          </w:p>
        </w:tc>
        <w:tc>
          <w:tcPr>
            <w:tcW w:w="340" w:type="dxa"/>
            <w:vAlign w:val="bottom"/>
            <w:tcBorders>
              <w:bottom w:val="single" w:sz="8" w:color="auto"/>
            </w:tcBorders>
          </w:tcPr>
          <w:p>
            <w:pPr>
              <w:jc w:val="right"/>
              <w:ind w:right="108"/>
              <w:spacing w:after="0" w:line="100" w:lineRule="exact"/>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8"/>
              <w:spacing w:after="0" w:line="100" w:lineRule="exact"/>
              <w:rPr>
                <w:sz w:val="20"/>
                <w:szCs w:val="20"/>
                <w:color w:val="auto"/>
              </w:rPr>
            </w:pPr>
            <w:r>
              <w:rPr>
                <w:rFonts w:ascii="Arial" w:cs="Arial" w:eastAsia="Arial" w:hAnsi="Arial"/>
                <w:sz w:val="10"/>
                <w:szCs w:val="10"/>
                <w:color w:val="auto"/>
              </w:rPr>
              <w:t>186.1</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gridSpan w:val="2"/>
          </w:tcPr>
          <w:p>
            <w:pPr>
              <w:jc w:val="right"/>
              <w:ind w:right="40"/>
              <w:spacing w:after="0" w:line="100" w:lineRule="exact"/>
              <w:rPr>
                <w:sz w:val="20"/>
                <w:szCs w:val="20"/>
                <w:color w:val="auto"/>
              </w:rPr>
            </w:pPr>
            <w:r>
              <w:rPr>
                <w:rFonts w:ascii="Arial" w:cs="Arial" w:eastAsia="Arial" w:hAnsi="Arial"/>
                <w:sz w:val="10"/>
                <w:szCs w:val="10"/>
                <w:color w:val="auto"/>
              </w:rPr>
              <w:t>214.3</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8"/>
              <w:spacing w:after="0" w:line="100" w:lineRule="exact"/>
              <w:rPr>
                <w:sz w:val="20"/>
                <w:szCs w:val="20"/>
                <w:color w:val="auto"/>
              </w:rPr>
            </w:pPr>
            <w:r>
              <w:rPr>
                <w:rFonts w:ascii="Arial" w:cs="Arial" w:eastAsia="Arial" w:hAnsi="Arial"/>
                <w:sz w:val="10"/>
                <w:szCs w:val="10"/>
                <w:color w:val="auto"/>
              </w:rPr>
              <w:t>685.5</w:t>
            </w:r>
          </w:p>
        </w:tc>
        <w:tc>
          <w:tcPr>
            <w:tcW w:w="260" w:type="dxa"/>
            <w:vAlign w:val="bottom"/>
            <w:tcBorders>
              <w:bottom w:val="single" w:sz="8" w:color="auto"/>
            </w:tcBorders>
          </w:tcPr>
          <w:p>
            <w:pPr>
              <w:jc w:val="right"/>
              <w:ind w:right="88"/>
              <w:spacing w:after="0" w:line="100"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gridSpan w:val="2"/>
          </w:tcPr>
          <w:p>
            <w:pPr>
              <w:jc w:val="right"/>
              <w:ind w:right="60"/>
              <w:spacing w:after="0" w:line="100" w:lineRule="exact"/>
              <w:rPr>
                <w:sz w:val="20"/>
                <w:szCs w:val="20"/>
                <w:color w:val="auto"/>
              </w:rPr>
            </w:pPr>
            <w:r>
              <w:rPr>
                <w:rFonts w:ascii="Arial" w:cs="Arial" w:eastAsia="Arial" w:hAnsi="Arial"/>
                <w:sz w:val="10"/>
                <w:szCs w:val="10"/>
                <w:color w:val="auto"/>
              </w:rPr>
              <w:t>754.7</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2020-01-31T13:55:50Z</dcterms:created>
  <dcterms:modified xsi:type="dcterms:W3CDTF">2020-01-31T13:55:50Z</dcterms:modified>
</cp:coreProperties>
</file>