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tabs>
          <w:tab w:leader="none" w:pos="1360" w:val="left"/>
          <w:tab w:leader="none" w:pos="2200" w:val="left"/>
        </w:tabs>
        <w:rPr>
          <w:sz w:val="20"/>
          <w:szCs w:val="20"/>
          <w:color w:val="auto"/>
        </w:rPr>
      </w:pPr>
      <w:r>
        <w:rPr>
          <w:rFonts w:ascii="Courier New" w:cs="Courier New" w:eastAsia="Courier New" w:hAnsi="Courier New"/>
          <w:sz w:val="18"/>
          <w:szCs w:val="18"/>
          <w:color w:val="auto"/>
        </w:rPr>
        <w:t>Washington,</w:t>
        <w:tab/>
        <w:t>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38"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 fee is being paid with this statement.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w:t>
      </w:r>
    </w:p>
    <w:p>
      <w:pPr>
        <w:spacing w:after="0" w:line="238" w:lineRule="auto"/>
        <w:tabs>
          <w:tab w:leader="none" w:pos="1460" w:val="left"/>
        </w:tabs>
        <w:rPr>
          <w:sz w:val="20"/>
          <w:szCs w:val="20"/>
          <w:color w:val="auto"/>
        </w:rPr>
      </w:pPr>
      <w:r>
        <w:rPr>
          <w:rFonts w:ascii="Courier New" w:cs="Courier New" w:eastAsia="Courier New" w:hAnsi="Courier New"/>
          <w:sz w:val="18"/>
          <w:szCs w:val="18"/>
          <w:color w:val="auto"/>
        </w:rPr>
        <w:t>Issuer:</w:t>
      </w:r>
      <w:r>
        <w:rPr>
          <w:sz w:val="20"/>
          <w:szCs w:val="20"/>
          <w:color w:val="auto"/>
        </w:rPr>
        <w:tab/>
      </w:r>
      <w:r>
        <w:rPr>
          <w:rFonts w:ascii="Courier New" w:cs="Courier New" w:eastAsia="Courier New" w:hAnsi="Courier New"/>
          <w:sz w:val="18"/>
          <w:szCs w:val="18"/>
          <w:color w:val="auto"/>
        </w:rPr>
        <w:t>MANPOWER INC</w:t>
      </w:r>
    </w:p>
    <w:p>
      <w:pPr>
        <w:spacing w:after="0"/>
        <w:rPr>
          <w:sz w:val="20"/>
          <w:szCs w:val="20"/>
          <w:color w:val="auto"/>
        </w:rPr>
      </w:pPr>
      <w:r>
        <w:rPr>
          <w:rFonts w:ascii="Courier New" w:cs="Courier New" w:eastAsia="Courier New" w:hAnsi="Courier New"/>
          <w:sz w:val="18"/>
          <w:szCs w:val="18"/>
          <w:color w:val="auto"/>
        </w:rPr>
        <w:t>________________________________________________</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w:t>
      </w:r>
    </w:p>
    <w:p>
      <w:pPr>
        <w:spacing w:after="0"/>
        <w:tabs>
          <w:tab w:leader="none" w:pos="1680" w:val="left"/>
        </w:tabs>
        <w:rPr>
          <w:sz w:val="20"/>
          <w:szCs w:val="20"/>
          <w:color w:val="auto"/>
        </w:rPr>
      </w:pPr>
      <w:r>
        <w:rPr>
          <w:rFonts w:ascii="Courier New" w:cs="Courier New" w:eastAsia="Courier New" w:hAnsi="Courier New"/>
          <w:sz w:val="18"/>
          <w:szCs w:val="18"/>
          <w:color w:val="auto"/>
        </w:rPr>
        <w:t>of Securities:</w:t>
      </w:r>
      <w:r>
        <w:rPr>
          <w:sz w:val="20"/>
          <w:szCs w:val="20"/>
          <w:color w:val="auto"/>
        </w:rPr>
        <w:tab/>
      </w:r>
      <w:r>
        <w:rPr>
          <w:rFonts w:ascii="Courier New" w:cs="Courier New" w:eastAsia="Courier New" w:hAnsi="Courier New"/>
          <w:sz w:val="16"/>
          <w:szCs w:val="16"/>
          <w:color w:val="auto"/>
        </w:rPr>
        <w:t>Common Stock</w:t>
      </w:r>
    </w:p>
    <w:p>
      <w:pPr>
        <w:spacing w:after="0" w:line="202" w:lineRule="exact"/>
        <w:rPr>
          <w:sz w:val="24"/>
          <w:szCs w:val="24"/>
          <w:color w:val="auto"/>
        </w:rPr>
      </w:pPr>
    </w:p>
    <w:p>
      <w:pPr>
        <w:spacing w:after="0"/>
        <w:tabs>
          <w:tab w:leader="none" w:pos="17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56418H100</w:t>
      </w:r>
    </w:p>
    <w:p>
      <w:pPr>
        <w:spacing w:after="0" w:line="201" w:lineRule="exact"/>
        <w:rPr>
          <w:sz w:val="24"/>
          <w:szCs w:val="24"/>
          <w:color w:val="auto"/>
        </w:rPr>
      </w:pPr>
    </w:p>
    <w:p>
      <w:pPr>
        <w:ind w:left="420" w:hanging="412"/>
        <w:spacing w:after="0"/>
        <w:tabs>
          <w:tab w:leader="none" w:pos="42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I.R.S. IDENTIFICATION NO. OF REPORTING PERSON</w:t>
      </w:r>
    </w:p>
    <w:p>
      <w:pPr>
        <w:spacing w:after="0" w:line="201" w:lineRule="exact"/>
        <w:rPr>
          <w:sz w:val="24"/>
          <w:szCs w:val="24"/>
          <w:color w:val="auto"/>
        </w:rPr>
      </w:pPr>
    </w:p>
    <w:tbl>
      <w:tblPr>
        <w:tblLayout w:type="fixed"/>
        <w:tblInd w:w="860" w:type="dxa"/>
        <w:tblCellMar>
          <w:top w:w="0" w:type="dxa"/>
          <w:left w:w="0" w:type="dxa"/>
          <w:bottom w:w="0" w:type="dxa"/>
          <w:right w:w="0" w:type="dxa"/>
        </w:tblCellMar>
      </w:tblPr>
      <w:tr>
        <w:trPr>
          <w:trHeight w:val="204"/>
        </w:trPr>
        <w:tc>
          <w:tcPr>
            <w:tcW w:w="4780" w:type="dxa"/>
            <w:vAlign w:val="bottom"/>
          </w:tcPr>
          <w:p>
            <w:pPr>
              <w:spacing w:after="0"/>
              <w:rPr>
                <w:sz w:val="20"/>
                <w:szCs w:val="20"/>
                <w:color w:val="auto"/>
              </w:rPr>
            </w:pPr>
            <w:r>
              <w:rPr>
                <w:rFonts w:ascii="Courier New" w:cs="Courier New" w:eastAsia="Courier New" w:hAnsi="Courier New"/>
                <w:sz w:val="18"/>
                <w:szCs w:val="18"/>
                <w:color w:val="auto"/>
              </w:rPr>
              <w:t>The Prudential Insurance Company of America</w:t>
            </w:r>
          </w:p>
        </w:tc>
        <w:tc>
          <w:tcPr>
            <w:tcW w:w="1320" w:type="dxa"/>
            <w:vAlign w:val="bottom"/>
          </w:tcPr>
          <w:p>
            <w:pPr>
              <w:jc w:val="right"/>
              <w:spacing w:after="0"/>
              <w:rPr>
                <w:sz w:val="20"/>
                <w:szCs w:val="20"/>
                <w:color w:val="auto"/>
              </w:rPr>
            </w:pPr>
            <w:r>
              <w:rPr>
                <w:rFonts w:ascii="Courier New" w:cs="Courier New" w:eastAsia="Courier New" w:hAnsi="Courier New"/>
                <w:sz w:val="18"/>
                <w:szCs w:val="18"/>
                <w:color w:val="auto"/>
              </w:rPr>
              <w:t>22-1211670</w:t>
            </w:r>
          </w:p>
        </w:tc>
      </w:tr>
    </w:tbl>
    <w:p>
      <w:pPr>
        <w:spacing w:after="0" w:line="201" w:lineRule="exact"/>
        <w:rPr>
          <w:sz w:val="24"/>
          <w:szCs w:val="24"/>
          <w:color w:val="auto"/>
        </w:rPr>
      </w:pPr>
    </w:p>
    <w:p>
      <w:pPr>
        <w:spacing w:after="0"/>
        <w:tabs>
          <w:tab w:leader="none" w:pos="2620" w:val="left"/>
          <w:tab w:leader="none" w:pos="3140" w:val="left"/>
        </w:tabs>
        <w:rPr>
          <w:sz w:val="20"/>
          <w:szCs w:val="20"/>
          <w:color w:val="auto"/>
        </w:rPr>
      </w:pPr>
      <w:r>
        <w:rPr>
          <w:rFonts w:ascii="Courier New" w:cs="Courier New" w:eastAsia="Courier New" w:hAnsi="Courier New"/>
          <w:sz w:val="18"/>
          <w:szCs w:val="18"/>
          <w:color w:val="auto"/>
        </w:rPr>
        <w:t>2.) MEMBER OF A GROUP:</w:t>
      </w:r>
      <w:r>
        <w:rPr>
          <w:sz w:val="20"/>
          <w:szCs w:val="20"/>
          <w:color w:val="auto"/>
        </w:rPr>
        <w:tab/>
      </w: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N/A</w:t>
      </w:r>
    </w:p>
    <w:p>
      <w:pPr>
        <w:ind w:left="6120"/>
        <w:spacing w:after="0" w:line="238" w:lineRule="auto"/>
        <w:tabs>
          <w:tab w:leader="none" w:pos="6620" w:val="left"/>
        </w:tabs>
        <w:rPr>
          <w:sz w:val="20"/>
          <w:szCs w:val="20"/>
          <w:color w:val="auto"/>
        </w:rPr>
      </w:pPr>
      <w:r>
        <w:rPr>
          <w:rFonts w:ascii="Courier New" w:cs="Courier New" w:eastAsia="Courier New" w:hAnsi="Courier New"/>
          <w:sz w:val="18"/>
          <w:szCs w:val="18"/>
          <w:color w:val="auto"/>
        </w:rPr>
        <w:t>(b)</w:t>
        <w:tab/>
        <w:t>N/A</w:t>
      </w:r>
    </w:p>
    <w:p>
      <w:pPr>
        <w:spacing w:after="0" w:line="202"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32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2900" w:type="dxa"/>
            <w:vAlign w:val="bottom"/>
          </w:tcPr>
          <w:p>
            <w:pPr>
              <w:ind w:left="100"/>
              <w:spacing w:after="0"/>
              <w:rPr>
                <w:sz w:val="20"/>
                <w:szCs w:val="20"/>
                <w:color w:val="auto"/>
              </w:rPr>
            </w:pPr>
            <w:r>
              <w:rPr>
                <w:rFonts w:ascii="Courier New" w:cs="Courier New" w:eastAsia="Courier New" w:hAnsi="Courier New"/>
                <w:sz w:val="18"/>
                <w:szCs w:val="18"/>
                <w:color w:val="auto"/>
              </w:rPr>
              <w:t>PLACE OF ORGANIZATION:</w:t>
            </w:r>
          </w:p>
        </w:tc>
        <w:tc>
          <w:tcPr>
            <w:tcW w:w="40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 mutual insurance company organized</w:t>
            </w:r>
          </w:p>
        </w:tc>
      </w:tr>
      <w:tr>
        <w:trPr>
          <w:trHeight w:val="203"/>
        </w:trPr>
        <w:tc>
          <w:tcPr>
            <w:tcW w:w="320" w:type="dxa"/>
            <w:vAlign w:val="bottom"/>
          </w:tcPr>
          <w:p>
            <w:pPr>
              <w:spacing w:after="0"/>
              <w:rPr>
                <w:sz w:val="17"/>
                <w:szCs w:val="17"/>
                <w:color w:val="auto"/>
              </w:rPr>
            </w:pPr>
          </w:p>
        </w:tc>
        <w:tc>
          <w:tcPr>
            <w:tcW w:w="6960" w:type="dxa"/>
            <w:vAlign w:val="bottom"/>
            <w:gridSpan w:val="3"/>
          </w:tcPr>
          <w:p>
            <w:pPr>
              <w:jc w:val="center"/>
              <w:ind w:left="32"/>
              <w:spacing w:after="0" w:line="203" w:lineRule="exact"/>
              <w:rPr>
                <w:sz w:val="20"/>
                <w:szCs w:val="20"/>
                <w:color w:val="auto"/>
              </w:rPr>
            </w:pPr>
            <w:r>
              <w:rPr>
                <w:rFonts w:ascii="Courier New" w:cs="Courier New" w:eastAsia="Courier New" w:hAnsi="Courier New"/>
                <w:sz w:val="18"/>
                <w:szCs w:val="18"/>
                <w:color w:val="auto"/>
                <w:w w:val="97"/>
              </w:rPr>
              <w:t>under the laws of the State of New Jersey</w:t>
            </w:r>
          </w:p>
        </w:tc>
      </w:tr>
      <w:tr>
        <w:trPr>
          <w:trHeight w:val="405"/>
        </w:trPr>
        <w:tc>
          <w:tcPr>
            <w:tcW w:w="5860" w:type="dxa"/>
            <w:vAlign w:val="bottom"/>
            <w:gridSpan w:val="3"/>
          </w:tcPr>
          <w:p>
            <w:pPr>
              <w:spacing w:after="0"/>
              <w:rPr>
                <w:sz w:val="20"/>
                <w:szCs w:val="20"/>
                <w:color w:val="auto"/>
              </w:rPr>
            </w:pPr>
            <w:r>
              <w:rPr>
                <w:rFonts w:ascii="Courier New" w:cs="Courier New" w:eastAsia="Courier New" w:hAnsi="Courier New"/>
                <w:sz w:val="18"/>
                <w:szCs w:val="18"/>
                <w:color w:val="auto"/>
                <w:w w:val="98"/>
              </w:rPr>
              <w:t>NUMBER OF SHARES BENEFICIALLY OWNED BY REPORTING PERSON</w:t>
            </w:r>
          </w:p>
        </w:tc>
        <w:tc>
          <w:tcPr>
            <w:tcW w:w="14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WITH:</w:t>
            </w:r>
          </w:p>
        </w:tc>
      </w:tr>
      <w:tr>
        <w:trPr>
          <w:trHeight w:val="405"/>
        </w:trPr>
        <w:tc>
          <w:tcPr>
            <w:tcW w:w="320" w:type="dxa"/>
            <w:vAlign w:val="bottom"/>
          </w:tcPr>
          <w:p>
            <w:pPr>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2640" w:type="dxa"/>
            <w:vAlign w:val="bottom"/>
          </w:tcPr>
          <w:p>
            <w:pPr>
              <w:ind w:left="1000"/>
              <w:spacing w:after="0"/>
              <w:rPr>
                <w:sz w:val="20"/>
                <w:szCs w:val="20"/>
                <w:color w:val="auto"/>
              </w:rPr>
            </w:pPr>
            <w:r>
              <w:rPr>
                <w:rFonts w:ascii="Courier New" w:cs="Courier New" w:eastAsia="Courier New" w:hAnsi="Courier New"/>
                <w:sz w:val="18"/>
                <w:szCs w:val="18"/>
                <w:color w:val="auto"/>
              </w:rPr>
              <w:t>666,600</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w w:val="99"/>
              </w:rPr>
              <w:t>See Exhibit A</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2640" w:type="dxa"/>
            <w:vAlign w:val="bottom"/>
          </w:tcPr>
          <w:p>
            <w:pPr>
              <w:jc w:val="right"/>
              <w:ind w:right="1452"/>
              <w:spacing w:after="0" w:line="203" w:lineRule="exact"/>
              <w:rPr>
                <w:sz w:val="20"/>
                <w:szCs w:val="20"/>
                <w:color w:val="auto"/>
              </w:rPr>
            </w:pPr>
            <w:r>
              <w:rPr>
                <w:rFonts w:ascii="Courier New" w:cs="Courier New" w:eastAsia="Courier New" w:hAnsi="Courier New"/>
                <w:sz w:val="18"/>
                <w:szCs w:val="18"/>
                <w:color w:val="auto"/>
              </w:rPr>
              <w:t>4,738,650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See Exhibit A</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264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666,600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See Exhibit A</w:t>
            </w:r>
          </w:p>
        </w:tc>
      </w:tr>
      <w:tr>
        <w:trPr>
          <w:trHeight w:val="203"/>
        </w:trPr>
        <w:tc>
          <w:tcPr>
            <w:tcW w:w="320" w:type="dxa"/>
            <w:vAlign w:val="bottom"/>
          </w:tcPr>
          <w:p>
            <w:pPr>
              <w:spacing w:after="0" w:line="203" w:lineRule="exact"/>
              <w:rPr>
                <w:sz w:val="20"/>
                <w:szCs w:val="20"/>
                <w:color w:val="auto"/>
              </w:rPr>
            </w:pPr>
            <w:r>
              <w:rPr>
                <w:rFonts w:ascii="Courier New" w:cs="Courier New" w:eastAsia="Courier New" w:hAnsi="Courier New"/>
                <w:sz w:val="18"/>
                <w:szCs w:val="18"/>
                <w:color w:val="auto"/>
              </w:rPr>
              <w:t>8)</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Dispositive Power:</w:t>
            </w:r>
          </w:p>
        </w:tc>
        <w:tc>
          <w:tcPr>
            <w:tcW w:w="264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5,338,450</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See Exhibit A</w:t>
            </w:r>
          </w:p>
        </w:tc>
      </w:tr>
    </w:tbl>
    <w:p>
      <w:pPr>
        <w:spacing w:after="0" w:line="201" w:lineRule="exact"/>
        <w:rPr>
          <w:sz w:val="24"/>
          <w:szCs w:val="24"/>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p>
      <w:pPr>
        <w:sectPr>
          <w:pgSz w:w="11900" w:h="16838" w:orient="portrait"/>
          <w:cols w:equalWidth="0" w:num="1">
            <w:col w:w="10219"/>
          </w:cols>
          <w:pgMar w:left="240" w:top="649" w:right="1440" w:bottom="0" w:gutter="0" w:footer="0" w:header="0"/>
        </w:sectPr>
      </w:pPr>
    </w:p>
    <w:p>
      <w:pPr>
        <w:spacing w:after="0" w:line="4" w:lineRule="exact"/>
        <w:rPr>
          <w:sz w:val="24"/>
          <w:szCs w:val="24"/>
          <w:color w:val="auto"/>
        </w:rPr>
      </w:pPr>
    </w:p>
    <w:p>
      <w:pPr>
        <w:ind w:left="2540"/>
        <w:spacing w:after="0"/>
        <w:rPr>
          <w:sz w:val="20"/>
          <w:szCs w:val="20"/>
          <w:color w:val="auto"/>
        </w:rPr>
      </w:pPr>
      <w:r>
        <w:rPr>
          <w:rFonts w:ascii="Courier New" w:cs="Courier New" w:eastAsia="Courier New" w:hAnsi="Courier New"/>
          <w:sz w:val="16"/>
          <w:szCs w:val="16"/>
          <w:color w:val="auto"/>
        </w:rPr>
        <w:t>6,005,050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See Exhibit A</w:t>
      </w:r>
    </w:p>
    <w:p>
      <w:pPr>
        <w:spacing w:after="0" w:line="200" w:lineRule="exact"/>
        <w:rPr>
          <w:sz w:val="24"/>
          <w:szCs w:val="24"/>
          <w:color w:val="auto"/>
        </w:rPr>
      </w:pPr>
    </w:p>
    <w:p>
      <w:pPr>
        <w:sectPr>
          <w:pgSz w:w="11900" w:h="16838" w:orient="portrait"/>
          <w:cols w:equalWidth="0" w:num="2">
            <w:col w:w="3500" w:space="720"/>
            <w:col w:w="5999"/>
          </w:cols>
          <w:pgMar w:left="240" w:top="649" w:right="1440" w:bottom="0" w:gutter="0" w:footer="0" w:header="0"/>
          <w:type w:val="continuous"/>
        </w:sectPr>
      </w:pPr>
    </w:p>
    <w:p>
      <w:pPr>
        <w:spacing w:after="0" w:line="24"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6"/>
          <w:szCs w:val="16"/>
          <w:color w:val="auto"/>
        </w:rPr>
        <w:t>10)</w:t>
        <w:tab/>
        <w:t>AGGREGATE AMOUNT IN ROW (9) EXCLUDES SHARES: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Not Applicable</w:t>
      </w:r>
    </w:p>
    <w:p>
      <w:pPr>
        <w:spacing w:after="0" w:line="200" w:lineRule="exact"/>
        <w:rPr>
          <w:sz w:val="24"/>
          <w:szCs w:val="24"/>
          <w:color w:val="auto"/>
        </w:rPr>
      </w:pPr>
    </w:p>
    <w:p>
      <w:pPr>
        <w:sectPr>
          <w:pgSz w:w="11900" w:h="16838" w:orient="portrait"/>
          <w:cols w:equalWidth="0" w:num="2">
            <w:col w:w="5180" w:space="720"/>
            <w:col w:w="4319"/>
          </w:cols>
          <w:pgMar w:left="240" w:top="649" w:right="1440" w:bottom="0" w:gutter="0" w:footer="0" w:header="0"/>
          <w:type w:val="continuous"/>
        </w:sectPr>
      </w:pPr>
    </w:p>
    <w:p>
      <w:pPr>
        <w:spacing w:after="0" w:line="24" w:lineRule="exact"/>
        <w:rPr>
          <w:sz w:val="24"/>
          <w:szCs w:val="24"/>
          <w:color w:val="auto"/>
        </w:rPr>
      </w:pPr>
    </w:p>
    <w:p>
      <w:pPr>
        <w:ind w:left="2540" w:right="4519" w:hanging="2532"/>
        <w:spacing w:after="0" w:line="235" w:lineRule="auto"/>
        <w:tabs>
          <w:tab w:leader="none" w:pos="43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7.32 See Exhibit A</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IC, IA</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MANPOWER INC</w:t>
      </w:r>
    </w:p>
    <w:p>
      <w:pPr>
        <w:spacing w:after="0" w:line="20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EXECUTIVE OFFICES:</w:t>
      </w:r>
    </w:p>
    <w:p>
      <w:pPr>
        <w:spacing w:after="0" w:line="20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MANPOWER INC</w:t>
      </w:r>
    </w:p>
    <w:p>
      <w:pPr>
        <w:ind w:left="2320"/>
        <w:spacing w:after="0" w:line="238" w:lineRule="auto"/>
        <w:rPr>
          <w:sz w:val="20"/>
          <w:szCs w:val="20"/>
          <w:color w:val="auto"/>
        </w:rPr>
      </w:pPr>
      <w:r>
        <w:rPr>
          <w:rFonts w:ascii="Courier New" w:cs="Courier New" w:eastAsia="Courier New" w:hAnsi="Courier New"/>
          <w:sz w:val="18"/>
          <w:szCs w:val="18"/>
          <w:color w:val="auto"/>
        </w:rPr>
        <w:t>5301 N. Ironwood Road</w:t>
      </w:r>
    </w:p>
    <w:p>
      <w:pPr>
        <w:ind w:left="2320"/>
        <w:spacing w:after="0"/>
        <w:rPr>
          <w:sz w:val="20"/>
          <w:szCs w:val="20"/>
          <w:color w:val="auto"/>
        </w:rPr>
      </w:pPr>
      <w:r>
        <w:rPr>
          <w:rFonts w:ascii="Courier New" w:cs="Courier New" w:eastAsia="Courier New" w:hAnsi="Courier New"/>
          <w:sz w:val="18"/>
          <w:szCs w:val="18"/>
          <w:color w:val="auto"/>
        </w:rPr>
        <w:t>Box 2053</w:t>
      </w:r>
    </w:p>
    <w:p>
      <w:pPr>
        <w:ind w:left="2320"/>
        <w:spacing w:after="0" w:line="237" w:lineRule="auto"/>
        <w:rPr>
          <w:sz w:val="20"/>
          <w:szCs w:val="20"/>
          <w:color w:val="auto"/>
        </w:rPr>
      </w:pPr>
      <w:r>
        <w:rPr>
          <w:rFonts w:ascii="Courier New" w:cs="Courier New" w:eastAsia="Courier New" w:hAnsi="Courier New"/>
          <w:sz w:val="18"/>
          <w:szCs w:val="18"/>
          <w:color w:val="auto"/>
        </w:rPr>
        <w:t>Milwaukee, WI 53201</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The Prudential Insurance Company of America</w:t>
      </w:r>
    </w:p>
    <w:p>
      <w:pPr>
        <w:spacing w:after="0" w:line="201" w:lineRule="exact"/>
        <w:rPr>
          <w:sz w:val="24"/>
          <w:szCs w:val="24"/>
          <w:color w:val="auto"/>
        </w:rPr>
      </w:pPr>
    </w:p>
    <w:p>
      <w:pPr>
        <w:jc w:val="center"/>
        <w:ind w:right="5059"/>
        <w:spacing w:after="0"/>
        <w:tabs>
          <w:tab w:leader="none" w:pos="20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751 Broad Street</w:t>
      </w:r>
    </w:p>
    <w:p>
      <w:pPr>
        <w:ind w:left="1700"/>
        <w:spacing w:after="0"/>
        <w:tabs>
          <w:tab w:leader="none" w:pos="3780" w:val="left"/>
        </w:tabs>
        <w:rPr>
          <w:sz w:val="20"/>
          <w:szCs w:val="20"/>
          <w:color w:val="auto"/>
        </w:rPr>
      </w:pPr>
      <w:r>
        <w:rPr>
          <w:rFonts w:ascii="Courier New" w:cs="Courier New" w:eastAsia="Courier New" w:hAnsi="Courier New"/>
          <w:sz w:val="18"/>
          <w:szCs w:val="18"/>
          <w:color w:val="auto"/>
        </w:rPr>
        <w:t>Newark, New Jersey</w:t>
      </w:r>
      <w:r>
        <w:rPr>
          <w:sz w:val="20"/>
          <w:szCs w:val="20"/>
          <w:color w:val="auto"/>
        </w:rPr>
        <w:tab/>
      </w:r>
      <w:r>
        <w:rPr>
          <w:rFonts w:ascii="Courier New" w:cs="Courier New" w:eastAsia="Courier New" w:hAnsi="Courier New"/>
          <w:sz w:val="16"/>
          <w:szCs w:val="16"/>
          <w:color w:val="auto"/>
        </w:rPr>
        <w:t>07102-3777</w:t>
      </w:r>
    </w:p>
    <w:p>
      <w:pPr>
        <w:spacing w:after="0" w:line="202"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right"/>
        <w:ind w:right="3159"/>
        <w:spacing w:after="0"/>
        <w:rPr>
          <w:sz w:val="20"/>
          <w:szCs w:val="20"/>
          <w:color w:val="auto"/>
        </w:rPr>
      </w:pPr>
      <w:r>
        <w:rPr>
          <w:rFonts w:ascii="Courier New" w:cs="Courier New" w:eastAsia="Courier New" w:hAnsi="Courier New"/>
          <w:sz w:val="18"/>
          <w:szCs w:val="18"/>
          <w:color w:val="auto"/>
        </w:rPr>
        <w:t>A mutual insurance company organized under the laws</w:t>
      </w:r>
    </w:p>
    <w:p>
      <w:pPr>
        <w:spacing w:after="0" w:line="238" w:lineRule="auto"/>
        <w:rPr>
          <w:sz w:val="20"/>
          <w:szCs w:val="20"/>
          <w:color w:val="auto"/>
        </w:rPr>
      </w:pPr>
      <w:r>
        <w:rPr>
          <w:rFonts w:ascii="Courier New" w:cs="Courier New" w:eastAsia="Courier New" w:hAnsi="Courier New"/>
          <w:sz w:val="18"/>
          <w:szCs w:val="18"/>
          <w:color w:val="auto"/>
        </w:rPr>
        <w:t>of the</w:t>
      </w:r>
    </w:p>
    <w:p>
      <w:pPr>
        <w:ind w:left="1700"/>
        <w:spacing w:after="0"/>
        <w:rPr>
          <w:sz w:val="20"/>
          <w:szCs w:val="20"/>
          <w:color w:val="auto"/>
        </w:rPr>
      </w:pPr>
      <w:r>
        <w:rPr>
          <w:rFonts w:ascii="Courier New" w:cs="Courier New" w:eastAsia="Courier New" w:hAnsi="Courier New"/>
          <w:sz w:val="18"/>
          <w:szCs w:val="18"/>
          <w:color w:val="auto"/>
        </w:rPr>
        <w:t>State of New Jersey</w:t>
      </w:r>
    </w:p>
    <w:p>
      <w:pPr>
        <w:spacing w:after="0" w:line="20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ectPr>
          <w:pgSz w:w="11900" w:h="16838" w:orient="portrait"/>
          <w:cols w:equalWidth="0" w:num="1">
            <w:col w:w="10219"/>
          </w:cols>
          <w:pgMar w:left="240" w:top="649" w:right="1440" w:bottom="0" w:gutter="0" w:footer="0" w:header="0"/>
          <w:type w:val="continuous"/>
        </w:sectPr>
      </w:pPr>
    </w:p>
    <w:bookmarkStart w:id="1" w:name="page2"/>
    <w:bookmarkEnd w:id="1"/>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56418H100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 The Person filing this statement is an Insurance Company</w:t>
      </w:r>
    </w:p>
    <w:p>
      <w:pPr>
        <w:ind w:left="2540"/>
        <w:spacing w:after="0" w:line="238" w:lineRule="auto"/>
        <w:rPr>
          <w:sz w:val="20"/>
          <w:szCs w:val="20"/>
          <w:color w:val="auto"/>
        </w:rPr>
      </w:pPr>
      <w:r>
        <w:rPr>
          <w:rFonts w:ascii="Courier New" w:cs="Courier New" w:eastAsia="Courier New" w:hAnsi="Courier New"/>
          <w:sz w:val="18"/>
          <w:szCs w:val="18"/>
          <w:color w:val="auto"/>
        </w:rPr>
        <w:t>as defined in Section 3(a) (19) of the Securities</w:t>
      </w:r>
    </w:p>
    <w:p>
      <w:pPr>
        <w:spacing w:after="0"/>
        <w:rPr>
          <w:sz w:val="20"/>
          <w:szCs w:val="20"/>
          <w:color w:val="auto"/>
        </w:rPr>
      </w:pPr>
      <w:r>
        <w:rPr>
          <w:rFonts w:ascii="Courier New" w:cs="Courier New" w:eastAsia="Courier New" w:hAnsi="Courier New"/>
          <w:sz w:val="18"/>
          <w:szCs w:val="18"/>
          <w:color w:val="auto"/>
        </w:rPr>
        <w:t>Exchange</w:t>
      </w:r>
    </w:p>
    <w:p>
      <w:pPr>
        <w:jc w:val="center"/>
        <w:spacing w:after="0" w:line="237" w:lineRule="auto"/>
        <w:rPr>
          <w:sz w:val="20"/>
          <w:szCs w:val="20"/>
          <w:color w:val="auto"/>
        </w:rPr>
      </w:pPr>
      <w:r>
        <w:rPr>
          <w:rFonts w:ascii="Courier New" w:cs="Courier New" w:eastAsia="Courier New" w:hAnsi="Courier New"/>
          <w:sz w:val="18"/>
          <w:szCs w:val="18"/>
          <w:color w:val="auto"/>
        </w:rPr>
        <w:t>Act of 1934, and an Investment Adviser registered</w:t>
      </w:r>
    </w:p>
    <w:p>
      <w:pPr>
        <w:spacing w:after="0" w:line="238" w:lineRule="auto"/>
        <w:rPr>
          <w:sz w:val="20"/>
          <w:szCs w:val="20"/>
          <w:color w:val="auto"/>
        </w:rPr>
      </w:pPr>
      <w:r>
        <w:rPr>
          <w:rFonts w:ascii="Courier New" w:cs="Courier New" w:eastAsia="Courier New" w:hAnsi="Courier New"/>
          <w:sz w:val="18"/>
          <w:szCs w:val="18"/>
          <w:color w:val="auto"/>
        </w:rPr>
        <w:t>under</w:t>
      </w:r>
    </w:p>
    <w:p>
      <w:pPr>
        <w:spacing w:after="0" w:line="5"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6"/>
          <w:szCs w:val="16"/>
          <w:color w:val="auto"/>
        </w:rPr>
        <w:t>Section 203 of the Investment Advisers Act of 1940.</w:t>
      </w:r>
    </w:p>
    <w:p>
      <w:pPr>
        <w:sectPr>
          <w:pgSz w:w="11900" w:h="16838" w:orient="portrait"/>
          <w:cols w:equalWidth="0" w:num="1">
            <w:col w:w="10219"/>
          </w:cols>
          <w:pgMar w:left="240" w:top="136" w:right="1440" w:bottom="0" w:gutter="0" w:footer="0" w:header="0"/>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4.</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OWNERSHIP:</w:t>
      </w:r>
    </w:p>
    <w:p>
      <w:pPr>
        <w:spacing w:after="0" w:line="200" w:lineRule="exact"/>
        <w:rPr>
          <w:sz w:val="20"/>
          <w:szCs w:val="20"/>
          <w:color w:val="auto"/>
        </w:rPr>
      </w:pPr>
    </w:p>
    <w:p>
      <w:pPr>
        <w:sectPr>
          <w:pgSz w:w="11900" w:h="16838" w:orient="portrait"/>
          <w:cols w:equalWidth="0" w:num="2">
            <w:col w:w="740" w:space="220"/>
            <w:col w:w="9259"/>
          </w:cols>
          <w:pgMar w:left="240" w:top="136" w:right="1440" w:bottom="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(a) Number of Shares</w:t>
      </w:r>
    </w:p>
    <w:p>
      <w:pPr>
        <w:sectPr>
          <w:pgSz w:w="11900" w:h="16838" w:orient="portrait"/>
          <w:cols w:equalWidth="0" w:num="1">
            <w:col w:w="10219"/>
          </w:cols>
          <w:pgMar w:left="240" w:top="136" w:right="1440" w:bottom="0" w:gutter="0" w:footer="0" w:header="0"/>
          <w:type w:val="continuous"/>
        </w:sectPr>
      </w:pPr>
    </w:p>
    <w:p>
      <w:pPr>
        <w:spacing w:after="0" w:line="2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Beneficially Owned:</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6,005,050</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200" w:lineRule="exact"/>
        <w:rPr>
          <w:sz w:val="20"/>
          <w:szCs w:val="20"/>
          <w:color w:val="auto"/>
        </w:rPr>
      </w:pPr>
    </w:p>
    <w:p>
      <w:pPr>
        <w:sectPr>
          <w:pgSz w:w="11900" w:h="16838" w:orient="portrait"/>
          <w:cols w:equalWidth="0" w:num="3">
            <w:col w:w="4340" w:space="720"/>
            <w:col w:w="960" w:space="200"/>
            <w:col w:w="3999"/>
          </w:cols>
          <w:pgMar w:left="240" w:top="136" w:right="1440" w:bottom="0" w:gutter="0" w:footer="0" w:header="0"/>
          <w:type w:val="continuous"/>
        </w:sectPr>
      </w:pPr>
    </w:p>
    <w:p>
      <w:pPr>
        <w:spacing w:after="0" w:line="24"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7.32</w:t>
      </w:r>
    </w:p>
    <w:p>
      <w:pPr>
        <w:spacing w:after="0" w:line="200" w:lineRule="exact"/>
        <w:rPr>
          <w:sz w:val="20"/>
          <w:szCs w:val="20"/>
          <w:color w:val="auto"/>
        </w:rPr>
      </w:pPr>
    </w:p>
    <w:p>
      <w:pPr>
        <w:sectPr>
          <w:pgSz w:w="11900" w:h="16838" w:orient="portrait"/>
          <w:cols w:equalWidth="0" w:num="2">
            <w:col w:w="4340" w:space="720"/>
            <w:col w:w="5159"/>
          </w:cols>
          <w:pgMar w:left="240" w:top="136" w:right="1440" w:bottom="0" w:gutter="0" w:footer="0" w:header="0"/>
          <w:type w:val="continuous"/>
        </w:sectPr>
      </w:pPr>
    </w:p>
    <w:p>
      <w:pPr>
        <w:spacing w:after="0" w:line="226" w:lineRule="exact"/>
        <w:rPr>
          <w:sz w:val="20"/>
          <w:szCs w:val="20"/>
          <w:color w:val="auto"/>
        </w:rPr>
      </w:pPr>
    </w:p>
    <w:p>
      <w:pPr>
        <w:ind w:left="1700"/>
        <w:spacing w:after="0"/>
        <w:rPr>
          <w:sz w:val="20"/>
          <w:szCs w:val="20"/>
          <w:color w:val="auto"/>
        </w:rPr>
      </w:pPr>
      <w:r>
        <w:rPr>
          <w:rFonts w:ascii="Courier New" w:cs="Courier New" w:eastAsia="Courier New" w:hAnsi="Courier New"/>
          <w:sz w:val="16"/>
          <w:szCs w:val="16"/>
          <w:color w:val="auto"/>
        </w:rPr>
        <w:t>(c) Powers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Number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Shares</w:t>
      </w:r>
    </w:p>
    <w:p>
      <w:pPr>
        <w:spacing w:after="0" w:line="200" w:lineRule="exact"/>
        <w:rPr>
          <w:sz w:val="20"/>
          <w:szCs w:val="20"/>
          <w:color w:val="auto"/>
        </w:rPr>
      </w:pPr>
    </w:p>
    <w:p>
      <w:pPr>
        <w:sectPr>
          <w:pgSz w:w="11900" w:h="16838" w:orient="portrait"/>
          <w:cols w:equalWidth="0" w:num="2">
            <w:col w:w="5180" w:space="720"/>
            <w:col w:w="4319"/>
          </w:cols>
          <w:pgMar w:left="240" w:top="136" w:right="1440" w:bottom="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 --------------------------</w:t>
      </w:r>
    </w:p>
    <w:p>
      <w:pPr>
        <w:ind w:left="2220"/>
        <w:spacing w:after="0"/>
        <w:tabs>
          <w:tab w:leader="none" w:pos="5880" w:val="left"/>
        </w:tabs>
        <w:rPr>
          <w:sz w:val="20"/>
          <w:szCs w:val="20"/>
          <w:color w:val="auto"/>
        </w:rPr>
      </w:pPr>
      <w:r>
        <w:rPr>
          <w:rFonts w:ascii="Courier New" w:cs="Courier New" w:eastAsia="Courier New" w:hAnsi="Courier New"/>
          <w:sz w:val="18"/>
          <w:szCs w:val="18"/>
          <w:color w:val="auto"/>
        </w:rPr>
        <w:t>Sole power to vote or</w:t>
      </w:r>
      <w:r>
        <w:rPr>
          <w:sz w:val="20"/>
          <w:szCs w:val="20"/>
          <w:color w:val="auto"/>
        </w:rPr>
        <w:tab/>
      </w:r>
      <w:r>
        <w:rPr>
          <w:rFonts w:ascii="Courier New" w:cs="Courier New" w:eastAsia="Courier New" w:hAnsi="Courier New"/>
          <w:sz w:val="16"/>
          <w:szCs w:val="16"/>
          <w:color w:val="auto"/>
        </w:rPr>
        <w:t>666,600 See Exhibit A</w:t>
      </w:r>
    </w:p>
    <w:p>
      <w:pPr>
        <w:ind w:left="2220"/>
        <w:spacing w:after="0"/>
        <w:rPr>
          <w:sz w:val="20"/>
          <w:szCs w:val="20"/>
          <w:color w:val="auto"/>
        </w:rPr>
      </w:pPr>
      <w:r>
        <w:rPr>
          <w:rFonts w:ascii="Courier New" w:cs="Courier New" w:eastAsia="Courier New" w:hAnsi="Courier New"/>
          <w:sz w:val="18"/>
          <w:szCs w:val="18"/>
          <w:color w:val="auto"/>
        </w:rPr>
        <w:t>to direct the vote</w:t>
      </w:r>
    </w:p>
    <w:p>
      <w:pPr>
        <w:sectPr>
          <w:pgSz w:w="11900" w:h="16838" w:orient="portrait"/>
          <w:cols w:equalWidth="0" w:num="1">
            <w:col w:w="10219"/>
          </w:cols>
          <w:pgMar w:left="240" w:top="136" w:right="1440" w:bottom="0" w:gutter="0" w:footer="0" w:header="0"/>
          <w:type w:val="continuous"/>
        </w:sectPr>
      </w:pPr>
    </w:p>
    <w:p>
      <w:pPr>
        <w:spacing w:after="0" w:line="206"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Shared power to vote or</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4,738,650</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Exhibit A</w:t>
      </w:r>
    </w:p>
    <w:p>
      <w:pPr>
        <w:spacing w:after="0" w:line="21" w:lineRule="exact"/>
        <w:rPr>
          <w:sz w:val="20"/>
          <w:szCs w:val="20"/>
          <w:color w:val="auto"/>
        </w:rPr>
      </w:pPr>
    </w:p>
    <w:p>
      <w:pPr>
        <w:sectPr>
          <w:pgSz w:w="11900" w:h="16838" w:orient="portrait"/>
          <w:cols w:equalWidth="0" w:num="3">
            <w:col w:w="4640" w:space="420"/>
            <w:col w:w="980" w:space="720"/>
            <w:col w:w="3459"/>
          </w:cols>
          <w:pgMar w:left="240" w:top="136" w:right="1440" w:bottom="0" w:gutter="0" w:footer="0" w:header="0"/>
          <w:type w:val="continuous"/>
        </w:sectPr>
      </w:pPr>
    </w:p>
    <w:p>
      <w:pPr>
        <w:ind w:left="2220"/>
        <w:spacing w:after="0"/>
        <w:rPr>
          <w:sz w:val="20"/>
          <w:szCs w:val="20"/>
          <w:color w:val="auto"/>
        </w:rPr>
      </w:pPr>
      <w:r>
        <w:rPr>
          <w:rFonts w:ascii="Courier New" w:cs="Courier New" w:eastAsia="Courier New" w:hAnsi="Courier New"/>
          <w:sz w:val="16"/>
          <w:szCs w:val="16"/>
          <w:color w:val="auto"/>
        </w:rPr>
        <w:t>to direct the vote</w:t>
      </w:r>
    </w:p>
    <w:p>
      <w:pPr>
        <w:sectPr>
          <w:pgSz w:w="11900" w:h="16838" w:orient="portrait"/>
          <w:cols w:equalWidth="0" w:num="1">
            <w:col w:w="10219"/>
          </w:cols>
          <w:pgMar w:left="240" w:top="136" w:right="1440" w:bottom="0" w:gutter="0" w:footer="0" w:header="0"/>
          <w:type w:val="continuous"/>
        </w:sectPr>
      </w:pPr>
    </w:p>
    <w:p>
      <w:pPr>
        <w:spacing w:after="0" w:line="22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Sole power to dispose or</w:t>
      </w:r>
    </w:p>
    <w:p>
      <w:pPr>
        <w:spacing w:after="0" w:line="16" w:lineRule="exact"/>
        <w:rPr>
          <w:sz w:val="20"/>
          <w:szCs w:val="20"/>
          <w:color w:val="auto"/>
        </w:rPr>
      </w:pPr>
    </w:p>
    <w:p>
      <w:pPr>
        <w:ind w:left="2220"/>
        <w:spacing w:after="0"/>
        <w:rPr>
          <w:sz w:val="20"/>
          <w:szCs w:val="20"/>
          <w:color w:val="auto"/>
        </w:rPr>
      </w:pPr>
      <w:r>
        <w:rPr>
          <w:rFonts w:ascii="Courier New" w:cs="Courier New" w:eastAsia="Courier New" w:hAnsi="Courier New"/>
          <w:sz w:val="18"/>
          <w:szCs w:val="18"/>
          <w:color w:val="auto"/>
        </w:rPr>
        <w:t>to direct disposition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666,600 See Exhibit A</w:t>
      </w:r>
    </w:p>
    <w:p>
      <w:pPr>
        <w:spacing w:after="0" w:line="419" w:lineRule="exact"/>
        <w:rPr>
          <w:sz w:val="20"/>
          <w:szCs w:val="20"/>
          <w:color w:val="auto"/>
        </w:rPr>
      </w:pPr>
    </w:p>
    <w:p>
      <w:pPr>
        <w:sectPr>
          <w:pgSz w:w="11900" w:h="16838" w:orient="portrait"/>
          <w:cols w:equalWidth="0" w:num="2">
            <w:col w:w="4740" w:space="320"/>
            <w:col w:w="5159"/>
          </w:cols>
          <w:pgMar w:left="240" w:top="136" w:right="1440" w:bottom="0" w:gutter="0" w:footer="0" w:header="0"/>
          <w:type w:val="continuous"/>
        </w:sectPr>
      </w:pPr>
    </w:p>
    <w:p>
      <w:pPr>
        <w:spacing w:after="0" w:line="7"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Shared power to dispose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5,338,450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Exhibit A</w:t>
      </w:r>
    </w:p>
    <w:p>
      <w:pPr>
        <w:spacing w:after="0" w:line="16" w:lineRule="exact"/>
        <w:rPr>
          <w:sz w:val="20"/>
          <w:szCs w:val="20"/>
          <w:color w:val="auto"/>
        </w:rPr>
      </w:pPr>
    </w:p>
    <w:p>
      <w:pPr>
        <w:sectPr>
          <w:pgSz w:w="11900" w:h="16838" w:orient="portrait"/>
          <w:cols w:equalWidth="0" w:num="3">
            <w:col w:w="4640" w:space="420"/>
            <w:col w:w="980" w:space="720"/>
            <w:col w:w="3459"/>
          </w:cols>
          <w:pgMar w:left="240" w:top="136" w:right="1440" w:bottom="0" w:gutter="0" w:footer="0" w:header="0"/>
          <w:type w:val="continuous"/>
        </w:sectPr>
      </w:pPr>
    </w:p>
    <w:p>
      <w:pPr>
        <w:ind w:left="2220"/>
        <w:spacing w:after="0"/>
        <w:rPr>
          <w:sz w:val="20"/>
          <w:szCs w:val="20"/>
          <w:color w:val="auto"/>
        </w:rPr>
      </w:pPr>
      <w:r>
        <w:rPr>
          <w:rFonts w:ascii="Courier New" w:cs="Courier New" w:eastAsia="Courier New" w:hAnsi="Courier New"/>
          <w:sz w:val="18"/>
          <w:szCs w:val="18"/>
          <w:color w:val="auto"/>
        </w:rPr>
        <w:t>or to direct disposition</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5% OR LESS OF A CLASS: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0" w:lineRule="exact"/>
        <w:rPr>
          <w:sz w:val="20"/>
          <w:szCs w:val="20"/>
          <w:color w:val="auto"/>
        </w:rPr>
      </w:pPr>
    </w:p>
    <w:p>
      <w:pPr>
        <w:spacing w:after="0" w:line="204"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5% ON BEHALF</w:t>
      </w:r>
    </w:p>
    <w:p>
      <w:pPr>
        <w:ind w:left="1060"/>
        <w:spacing w:after="0" w:line="238" w:lineRule="auto"/>
        <w:rPr>
          <w:sz w:val="20"/>
          <w:szCs w:val="20"/>
          <w:color w:val="auto"/>
        </w:rPr>
      </w:pPr>
      <w:r>
        <w:rPr>
          <w:rFonts w:ascii="Courier New" w:cs="Courier New" w:eastAsia="Courier New" w:hAnsi="Courier New"/>
          <w:sz w:val="18"/>
          <w:szCs w:val="18"/>
          <w:color w:val="auto"/>
        </w:rPr>
        <w:t>OF ANOTHER PERSON:</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See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7. IDENTIFICATION AND CLASSIFICATION OF THE</w:t>
      </w:r>
    </w:p>
    <w:p>
      <w:pPr>
        <w:ind w:left="860"/>
        <w:spacing w:after="0" w:line="238" w:lineRule="auto"/>
        <w:rPr>
          <w:sz w:val="20"/>
          <w:szCs w:val="20"/>
          <w:color w:val="auto"/>
        </w:rPr>
      </w:pPr>
      <w:r>
        <w:rPr>
          <w:rFonts w:ascii="Courier New" w:cs="Courier New" w:eastAsia="Courier New" w:hAnsi="Courier New"/>
          <w:sz w:val="18"/>
          <w:szCs w:val="18"/>
          <w:color w:val="auto"/>
        </w:rPr>
        <w:t>SUBSIDIARY WHICH ACQUIRED THE SECURITY BEING</w:t>
      </w:r>
    </w:p>
    <w:p>
      <w:pPr>
        <w:ind w:left="860"/>
        <w:spacing w:after="0"/>
        <w:rPr>
          <w:sz w:val="20"/>
          <w:szCs w:val="20"/>
          <w:color w:val="auto"/>
        </w:rPr>
      </w:pPr>
      <w:r>
        <w:rPr>
          <w:rFonts w:ascii="Courier New" w:cs="Courier New" w:eastAsia="Courier New" w:hAnsi="Courier New"/>
          <w:sz w:val="18"/>
          <w:szCs w:val="18"/>
          <w:color w:val="auto"/>
        </w:rPr>
        <w:t>REPORTED ON BY THE ULTIMATE PARENT COMPANY:</w:t>
      </w:r>
    </w:p>
    <w:p>
      <w:pPr>
        <w:spacing w:after="0" w:line="200"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w:t>
      </w:r>
    </w:p>
    <w:p>
      <w:pPr>
        <w:ind w:left="960"/>
        <w:spacing w:after="0" w:line="238" w:lineRule="auto"/>
        <w:rPr>
          <w:sz w:val="20"/>
          <w:szCs w:val="20"/>
          <w:color w:val="auto"/>
        </w:rPr>
      </w:pPr>
      <w:r>
        <w:rPr>
          <w:rFonts w:ascii="Courier New" w:cs="Courier New" w:eastAsia="Courier New" w:hAnsi="Courier New"/>
          <w:sz w:val="18"/>
          <w:szCs w:val="18"/>
          <w:color w:val="auto"/>
        </w:rPr>
        <w:t>OF THE GROUP:</w:t>
      </w:r>
    </w:p>
    <w:p>
      <w:pPr>
        <w:spacing w:after="0" w:line="202"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left="860" w:right="2519"/>
        <w:spacing w:after="0" w:line="237" w:lineRule="auto"/>
        <w:rPr>
          <w:sz w:val="20"/>
          <w:szCs w:val="20"/>
          <w:color w:val="auto"/>
        </w:rPr>
      </w:pPr>
      <w:r>
        <w:rPr>
          <w:rFonts w:ascii="Courier New" w:cs="Courier New" w:eastAsia="Courier New" w:hAnsi="Courier New"/>
          <w:sz w:val="18"/>
          <w:szCs w:val="18"/>
          <w:color w:val="auto"/>
        </w:rPr>
        <w:t>By signing below, the Prudential Insurance Company of America certifies that, to the best of its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212" w:lineRule="exact"/>
        <w:rPr>
          <w:sz w:val="20"/>
          <w:szCs w:val="20"/>
          <w:color w:val="auto"/>
        </w:rPr>
      </w:pPr>
    </w:p>
    <w:p>
      <w:pPr>
        <w:ind w:right="2519"/>
        <w:spacing w:after="0" w:line="236" w:lineRule="auto"/>
        <w:rPr>
          <w:sz w:val="20"/>
          <w:szCs w:val="20"/>
          <w:color w:val="auto"/>
        </w:rPr>
      </w:pPr>
      <w:r>
        <w:rPr>
          <w:rFonts w:ascii="Courier New" w:cs="Courier New" w:eastAsia="Courier New" w:hAnsi="Courier New"/>
          <w:sz w:val="18"/>
          <w:szCs w:val="18"/>
          <w:color w:val="auto"/>
        </w:rPr>
        <w:t>The filing of this statement should not be construed as an admission that Prudential is, for purposes of Sections 13 or 16 of the Securities Exchange Act of 1934, the beneficial owner of such shares.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After reasonable inquiry and to the best of its knowledge and</w:t>
      </w:r>
    </w:p>
    <w:p>
      <w:pPr>
        <w:sectPr>
          <w:pgSz w:w="11900" w:h="16838" w:orient="portrait"/>
          <w:cols w:equalWidth="0" w:num="1">
            <w:col w:w="10219"/>
          </w:cols>
          <w:pgMar w:left="240" w:top="136" w:right="1440" w:bottom="0" w:gutter="0" w:footer="0" w:header="0"/>
          <w:type w:val="continuous"/>
        </w:sectPr>
      </w:pPr>
    </w:p>
    <w:bookmarkStart w:id="2" w:name="page3"/>
    <w:bookmarkEnd w:id="2"/>
    <w:p>
      <w:pPr>
        <w:ind w:left="860" w:right="2419"/>
        <w:spacing w:after="0" w:line="236" w:lineRule="auto"/>
        <w:rPr>
          <w:sz w:val="20"/>
          <w:szCs w:val="20"/>
          <w:color w:val="auto"/>
        </w:rPr>
      </w:pPr>
      <w:r>
        <w:rPr>
          <w:rFonts w:ascii="Courier New" w:cs="Courier New" w:eastAsia="Courier New" w:hAnsi="Courier New"/>
          <w:sz w:val="18"/>
          <w:szCs w:val="18"/>
          <w:color w:val="auto"/>
        </w:rPr>
        <w:t>belief, The Prudential Insurance Company of America certifies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PRUDENTIAL INSURANCE COMPANY OF AMERICA</w:t>
      </w:r>
    </w:p>
    <w:p>
      <w:pPr>
        <w:sectPr>
          <w:pgSz w:w="11900" w:h="16838" w:orient="portrait"/>
          <w:cols w:equalWidth="0" w:num="1">
            <w:col w:w="10219"/>
          </w:cols>
          <w:pgMar w:left="240" w:top="142" w:right="1440" w:bottom="1440"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By:</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S. Biegen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Securities Law Compliance</w:t>
      </w:r>
    </w:p>
    <w:p>
      <w:pPr>
        <w:spacing w:after="0" w:line="200" w:lineRule="exact"/>
        <w:rPr>
          <w:sz w:val="20"/>
          <w:szCs w:val="20"/>
          <w:color w:val="auto"/>
        </w:rPr>
      </w:pPr>
    </w:p>
    <w:p>
      <w:pPr>
        <w:sectPr>
          <w:pgSz w:w="11900" w:h="16838" w:orient="portrait"/>
          <w:cols w:equalWidth="0" w:num="2">
            <w:col w:w="1160" w:space="540"/>
            <w:col w:w="8519"/>
          </w:cols>
          <w:pgMar w:left="240" w:top="142" w:right="1440" w:bottom="1440" w:gutter="0" w:footer="0" w:header="0"/>
          <w:type w:val="continuous"/>
        </w:sectPr>
      </w:pPr>
    </w:p>
    <w:p>
      <w:pPr>
        <w:spacing w:after="0" w:line="18"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Date:</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As of:</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01/30/97</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12/31/96</w:t>
      </w:r>
    </w:p>
    <w:p>
      <w:pPr>
        <w:spacing w:after="0" w:line="200" w:lineRule="exact"/>
        <w:rPr>
          <w:sz w:val="20"/>
          <w:szCs w:val="20"/>
          <w:color w:val="auto"/>
        </w:rPr>
      </w:pPr>
    </w:p>
    <w:p>
      <w:pPr>
        <w:sectPr>
          <w:pgSz w:w="11900" w:h="16838" w:orient="portrait"/>
          <w:cols w:equalWidth="0" w:num="2">
            <w:col w:w="1480" w:space="220"/>
            <w:col w:w="8519"/>
          </w:cols>
          <w:pgMar w:left="240" w:top="142" w:right="1440" w:bottom="1440" w:gutter="0" w:footer="0" w:header="0"/>
          <w:type w:val="continuous"/>
        </w:sectPr>
      </w:pPr>
    </w:p>
    <w:p>
      <w:pPr>
        <w:spacing w:after="0" w:line="22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Exhibit A</w:t>
      </w:r>
    </w:p>
    <w:p>
      <w:pPr>
        <w:spacing w:after="0" w:line="4" w:lineRule="exact"/>
        <w:rPr>
          <w:sz w:val="20"/>
          <w:szCs w:val="20"/>
          <w:color w:val="auto"/>
        </w:rPr>
      </w:pPr>
    </w:p>
    <w:p>
      <w:pPr>
        <w:ind w:left="3380"/>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219"/>
          </w:cols>
          <w:pgMar w:left="240" w:top="142" w:right="1440" w:bottom="1440" w:gutter="0" w:footer="0" w:header="0"/>
          <w:type w:val="continuous"/>
        </w:sectPr>
      </w:pPr>
    </w:p>
    <w:p>
      <w:pPr>
        <w:spacing w:after="0" w:line="218"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The Prudential Insurance Company of America ('Prudential') may have direct or indirect voting and/or investment discretion over 6,005,050 shares of the Issuer's common stock which are held for the benefit of its clients by its separate accounts, externally managed accounts, registered investment companies, subsidiaries and/or other affiliates. Prudential is reporting the combined holdings of these entities for the purpose of administrative convenience.</w:t>
      </w:r>
    </w:p>
    <w:p>
      <w:pPr>
        <w:spacing w:after="0" w:line="211" w:lineRule="exact"/>
        <w:rPr>
          <w:sz w:val="20"/>
          <w:szCs w:val="20"/>
          <w:color w:val="auto"/>
        </w:rPr>
      </w:pPr>
    </w:p>
    <w:p>
      <w:pPr>
        <w:ind w:right="2519"/>
        <w:spacing w:after="0" w:line="273"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or effect of changing or influencing control of the Issuer. The filing of this statement should not be construed as an admission that Prudential is, for the purposes of Section 13 or 16 of the Securities Exchange Act of 1934, the beneficial owner of these shares.</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3"/>
    </w:lvl>
  </w:abstractNum>
  <w:abstractNum w:abstractNumId="2">
    <w:nsid w:val="2AE8944A"/>
    <w:multiLevelType w:val="hybridMultilevel"/>
    <w:lvl w:ilvl="0">
      <w:lvlJc w:val="left"/>
      <w:lvlText w:val="%1)"/>
      <w:numFmt w:val="decimal"/>
      <w:start w:val="9"/>
    </w:lvl>
  </w:abstractNum>
  <w:abstractNum w:abstractNumId="3">
    <w:nsid w:val="625558EC"/>
    <w:multiLevelType w:val="hybridMultilevel"/>
    <w:lvl w:ilvl="0">
      <w:lvlJc w:val="left"/>
      <w:lvlText w:val="%1)"/>
      <w:numFmt w:val="decimal"/>
      <w:start w:val="1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2019-12-12T07:24:30Z</dcterms:created>
  <dcterms:modified xsi:type="dcterms:W3CDTF">2019-12-12T07:24:30Z</dcterms:modified>
</cp:coreProperties>
</file>