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ind w:left="600" w:hanging="592"/>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w:t>
      </w:r>
    </w:p>
    <w:p>
      <w:pPr>
        <w:spacing w:after="0" w:line="23" w:lineRule="exact"/>
        <w:rPr>
          <w:rFonts w:ascii="Arial" w:cs="Arial" w:eastAsia="Arial" w:hAnsi="Arial"/>
          <w:sz w:val="18"/>
          <w:szCs w:val="18"/>
          <w:color w:val="auto"/>
        </w:rPr>
      </w:pPr>
    </w:p>
    <w:p>
      <w:pPr>
        <w:ind w:left="4960"/>
        <w:spacing w:after="0"/>
        <w:rPr>
          <w:rFonts w:ascii="Arial" w:cs="Arial" w:eastAsia="Arial" w:hAnsi="Arial"/>
          <w:sz w:val="18"/>
          <w:szCs w:val="18"/>
          <w:color w:val="auto"/>
        </w:rPr>
      </w:pPr>
      <w:r>
        <w:rPr>
          <w:rFonts w:ascii="Arial" w:cs="Arial" w:eastAsia="Arial" w:hAnsi="Arial"/>
          <w:sz w:val="18"/>
          <w:szCs w:val="18"/>
          <w:b w:val="1"/>
          <w:bCs w:val="1"/>
          <w:color w:val="auto"/>
        </w:rPr>
        <w:t>September 30, 2015</w:t>
      </w:r>
    </w:p>
    <w:p>
      <w:pPr>
        <w:spacing w:after="0" w:line="9" w:lineRule="exact"/>
        <w:rPr>
          <w:rFonts w:ascii="Arial" w:cs="Arial" w:eastAsia="Arial" w:hAnsi="Arial"/>
          <w:sz w:val="18"/>
          <w:szCs w:val="18"/>
          <w:color w:val="auto"/>
        </w:rPr>
      </w:pPr>
    </w:p>
    <w:p>
      <w:pPr>
        <w:ind w:left="564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4"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______to______</w:t>
      </w:r>
    </w:p>
    <w:p>
      <w:pPr>
        <w:spacing w:after="0" w:line="238" w:lineRule="exact"/>
        <w:rPr>
          <w:rFonts w:ascii="MS PGothic" w:cs="MS PGothic" w:eastAsia="MS PGothic" w:hAnsi="MS PGothic"/>
          <w:sz w:val="16"/>
          <w:szCs w:val="16"/>
          <w:color w:val="auto"/>
        </w:rPr>
      </w:pPr>
    </w:p>
    <w:p>
      <w:pPr>
        <w:ind w:left="4480"/>
        <w:spacing w:after="0"/>
        <w:rPr>
          <w:rFonts w:ascii="MS PGothic" w:cs="MS PGothic" w:eastAsia="MS PGothic" w:hAnsi="MS PGothic"/>
          <w:sz w:val="16"/>
          <w:szCs w:val="16"/>
          <w:color w:val="auto"/>
        </w:rPr>
      </w:pPr>
      <w:r>
        <w:rPr>
          <w:rFonts w:ascii="Arial" w:cs="Arial" w:eastAsia="Arial" w:hAnsi="Arial"/>
          <w:sz w:val="18"/>
          <w:szCs w:val="18"/>
          <w:color w:val="auto"/>
        </w:rPr>
        <w:t>Commission file number: 1-10686</w:t>
      </w:r>
    </w:p>
    <w:p>
      <w:pPr>
        <w:spacing w:after="0" w:line="212" w:lineRule="exact"/>
        <w:rPr>
          <w:sz w:val="24"/>
          <w:szCs w:val="24"/>
          <w:color w:val="auto"/>
        </w:rPr>
      </w:pPr>
    </w:p>
    <w:p>
      <w:pPr>
        <w:ind w:left="3760"/>
        <w:spacing w:after="0"/>
        <w:rPr>
          <w:sz w:val="20"/>
          <w:szCs w:val="20"/>
          <w:color w:val="auto"/>
        </w:rPr>
      </w:pPr>
      <w:r>
        <w:rPr>
          <w:rFonts w:ascii="Arial" w:cs="Arial" w:eastAsia="Arial" w:hAnsi="Arial"/>
          <w:sz w:val="32"/>
          <w:szCs w:val="32"/>
          <w:b w:val="1"/>
          <w:bCs w:val="1"/>
          <w:color w:val="auto"/>
        </w:rPr>
        <w:t>MANPOWERGROUP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463" w:right="239" w:bottom="1440" w:gutter="0" w:footer="0" w:header="0"/>
        </w:sectPr>
      </w:pPr>
    </w:p>
    <w:p>
      <w:pPr>
        <w:spacing w:after="0" w:line="367" w:lineRule="exact"/>
        <w:rPr>
          <w:sz w:val="24"/>
          <w:szCs w:val="24"/>
          <w:color w:val="auto"/>
        </w:rPr>
      </w:pPr>
    </w:p>
    <w:p>
      <w:pPr>
        <w:ind w:left="290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39-1672779</w:t>
      </w:r>
    </w:p>
    <w:p>
      <w:pPr>
        <w:spacing w:after="0" w:line="90" w:lineRule="exact"/>
        <w:rPr>
          <w:sz w:val="24"/>
          <w:szCs w:val="24"/>
          <w:color w:val="auto"/>
        </w:rPr>
      </w:pPr>
    </w:p>
    <w:p>
      <w:pPr>
        <w:sectPr>
          <w:pgSz w:w="11900" w:h="16838" w:orient="portrait"/>
          <w:cols w:equalWidth="0" w:num="2">
            <w:col w:w="6740" w:space="720"/>
            <w:col w:w="3960"/>
          </w:cols>
          <w:pgMar w:left="240" w:top="463" w:right="239" w:bottom="1440" w:gutter="0" w:footer="0" w:header="0"/>
          <w:type w:val="continuous"/>
        </w:sectPr>
      </w:pPr>
    </w:p>
    <w:p>
      <w:pPr>
        <w:ind w:left="29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740" w:space="720"/>
            <w:col w:w="3960"/>
          </w:cols>
          <w:pgMar w:left="240" w:top="463" w:right="239" w:bottom="1440" w:gutter="0" w:footer="0" w:header="0"/>
          <w:type w:val="continuous"/>
        </w:sectPr>
      </w:pPr>
    </w:p>
    <w:p>
      <w:pPr>
        <w:spacing w:after="0" w:line="168" w:lineRule="exact"/>
        <w:rPr>
          <w:sz w:val="24"/>
          <w:szCs w:val="24"/>
          <w:color w:val="auto"/>
        </w:rPr>
      </w:pPr>
    </w:p>
    <w:p>
      <w:pPr>
        <w:ind w:left="2900"/>
        <w:spacing w:after="0"/>
        <w:rPr>
          <w:sz w:val="20"/>
          <w:szCs w:val="20"/>
          <w:color w:val="auto"/>
        </w:rPr>
      </w:pPr>
      <w:r>
        <w:rPr>
          <w:rFonts w:ascii="Arial" w:cs="Arial" w:eastAsia="Arial" w:hAnsi="Arial"/>
          <w:sz w:val="16"/>
          <w:szCs w:val="16"/>
          <w:b w:val="1"/>
          <w:bCs w:val="1"/>
          <w:color w:val="auto"/>
        </w:rPr>
        <w:t>100 Manpower Place</w:t>
      </w:r>
    </w:p>
    <w:p>
      <w:pPr>
        <w:sectPr>
          <w:pgSz w:w="11900" w:h="16838" w:orient="portrait"/>
          <w:cols w:equalWidth="0" w:num="1">
            <w:col w:w="11420"/>
          </w:cols>
          <w:pgMar w:left="240" w:top="463" w:right="239" w:bottom="1440" w:gutter="0" w:footer="0" w:header="0"/>
          <w:type w:val="continuous"/>
        </w:sectPr>
      </w:pPr>
    </w:p>
    <w:p>
      <w:pPr>
        <w:spacing w:after="0" w:line="86" w:lineRule="exact"/>
        <w:rPr>
          <w:sz w:val="24"/>
          <w:szCs w:val="24"/>
          <w:color w:val="auto"/>
        </w:rPr>
      </w:pPr>
    </w:p>
    <w:p>
      <w:pPr>
        <w:jc w:val="center"/>
        <w:ind w:left="780"/>
        <w:spacing w:after="0"/>
        <w:rPr>
          <w:sz w:val="20"/>
          <w:szCs w:val="20"/>
          <w:color w:val="auto"/>
        </w:rPr>
      </w:pPr>
      <w:r>
        <w:rPr>
          <w:rFonts w:ascii="Arial" w:cs="Arial" w:eastAsia="Arial" w:hAnsi="Arial"/>
          <w:sz w:val="16"/>
          <w:szCs w:val="16"/>
          <w:b w:val="1"/>
          <w:bCs w:val="1"/>
          <w:color w:val="auto"/>
        </w:rPr>
        <w:t>Milwaukee, Wisconsin</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53212</w:t>
      </w:r>
    </w:p>
    <w:p>
      <w:pPr>
        <w:spacing w:after="0" w:line="90" w:lineRule="exact"/>
        <w:rPr>
          <w:sz w:val="24"/>
          <w:szCs w:val="24"/>
          <w:color w:val="auto"/>
        </w:rPr>
      </w:pPr>
    </w:p>
    <w:p>
      <w:pPr>
        <w:sectPr>
          <w:pgSz w:w="11900" w:h="16838" w:orient="portrait"/>
          <w:cols w:equalWidth="0" w:num="2">
            <w:col w:w="6740" w:space="720"/>
            <w:col w:w="3960"/>
          </w:cols>
          <w:pgMar w:left="240" w:top="463" w:right="239" w:bottom="1440" w:gutter="0" w:footer="0" w:header="0"/>
          <w:type w:val="continuous"/>
        </w:sectPr>
      </w:pPr>
    </w:p>
    <w:p>
      <w:pPr>
        <w:ind w:left="29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740" w:space="720"/>
            <w:col w:w="3960"/>
          </w:cols>
          <w:pgMar w:left="240" w:top="463" w:right="239" w:bottom="1440" w:gutter="0" w:footer="0" w:header="0"/>
          <w:type w:val="continuous"/>
        </w:sectPr>
      </w:pP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961-1000</w:t>
      </w:r>
    </w:p>
    <w:p>
      <w:pPr>
        <w:spacing w:after="0" w:line="229"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xNo </w:t>
      </w:r>
      <w:r>
        <w:rPr>
          <w:rFonts w:ascii="MS PGothic" w:cs="MS PGothic" w:eastAsia="MS PGothic" w:hAnsi="MS PGothic"/>
          <w:sz w:val="18"/>
          <w:szCs w:val="18"/>
          <w:color w:val="auto"/>
        </w:rPr>
        <w:t>☐</w:t>
      </w:r>
    </w:p>
    <w:p>
      <w:pPr>
        <w:spacing w:after="0" w:line="400" w:lineRule="exact"/>
        <w:rPr>
          <w:sz w:val="24"/>
          <w:szCs w:val="24"/>
          <w:color w:val="auto"/>
        </w:rPr>
      </w:pPr>
    </w:p>
    <w:p>
      <w:pPr>
        <w:jc w:val="both"/>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xNo </w:t>
      </w:r>
      <w:r>
        <w:rPr>
          <w:rFonts w:ascii="MS PGothic" w:cs="MS PGothic" w:eastAsia="MS PGothic" w:hAnsi="MS PGothic"/>
          <w:sz w:val="18"/>
          <w:szCs w:val="18"/>
          <w:color w:val="auto"/>
        </w:rPr>
        <w:t>☐</w:t>
      </w:r>
    </w:p>
    <w:p>
      <w:pPr>
        <w:spacing w:after="0" w:line="184" w:lineRule="exact"/>
        <w:rPr>
          <w:sz w:val="24"/>
          <w:szCs w:val="24"/>
          <w:color w:val="auto"/>
        </w:rPr>
      </w:pPr>
    </w:p>
    <w:p>
      <w:pPr>
        <w:ind w:right="3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463" w:right="239" w:bottom="1440" w:gutter="0" w:footer="0" w:header="0"/>
          <w:type w:val="continuous"/>
        </w:sectPr>
      </w:pPr>
    </w:p>
    <w:p>
      <w:pPr>
        <w:spacing w:after="0" w:line="286"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3">
            <w:col w:w="5020" w:space="720"/>
            <w:col w:w="1220" w:space="80"/>
            <w:col w:w="4380"/>
          </w:cols>
          <w:pgMar w:left="240" w:top="463" w:right="23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09" w:lineRule="exact"/>
        <w:rPr>
          <w:sz w:val="24"/>
          <w:szCs w:val="24"/>
          <w:color w:val="auto"/>
        </w:rPr>
      </w:pPr>
    </w:p>
    <w:p>
      <w:pPr>
        <w:sectPr>
          <w:pgSz w:w="11900" w:h="16838" w:orient="portrait"/>
          <w:cols w:equalWidth="0" w:num="4">
            <w:col w:w="1560" w:space="80"/>
            <w:col w:w="3380" w:space="720"/>
            <w:col w:w="1980" w:space="80"/>
            <w:col w:w="3620"/>
          </w:cols>
          <w:pgMar w:left="240" w:top="463" w:right="239" w:bottom="1440" w:gutter="0" w:footer="0" w:header="0"/>
          <w:type w:val="continuous"/>
        </w:sectPr>
      </w:pPr>
    </w:p>
    <w:p>
      <w:pPr>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463" w:right="239" w:bottom="1440" w:gutter="0" w:footer="0" w:header="0"/>
          <w:type w:val="continuous"/>
        </w:sectPr>
      </w:pPr>
    </w:p>
    <w:p>
      <w:pPr>
        <w:spacing w:after="0" w:line="20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8"/>
              </w:rPr>
              <w:t>Shares Outstanding</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b w:val="1"/>
                <w:bCs w:val="1"/>
                <w:color w:val="auto"/>
              </w:rPr>
              <w:t>Class</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0"/>
              </w:rPr>
              <w:t>at October 28, 2015</w:t>
            </w:r>
          </w:p>
        </w:tc>
      </w:tr>
      <w:tr>
        <w:trPr>
          <w:trHeight w:val="27"/>
        </w:trPr>
        <w:tc>
          <w:tcPr>
            <w:tcW w:w="5380" w:type="dxa"/>
            <w:vAlign w:val="bottom"/>
            <w:tcBorders>
              <w:bottom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37"/>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Common Stock, $.01 par value</w:t>
            </w:r>
          </w:p>
        </w:tc>
        <w:tc>
          <w:tcPr>
            <w:tcW w:w="2960" w:type="dxa"/>
            <w:vAlign w:val="bottom"/>
          </w:tcPr>
          <w:p>
            <w:pPr>
              <w:jc w:val="center"/>
              <w:spacing w:after="0"/>
              <w:rPr>
                <w:sz w:val="20"/>
                <w:szCs w:val="20"/>
                <w:color w:val="auto"/>
              </w:rPr>
            </w:pPr>
            <w:r>
              <w:rPr>
                <w:rFonts w:ascii="Arial" w:cs="Arial" w:eastAsia="Arial" w:hAnsi="Arial"/>
                <w:sz w:val="18"/>
                <w:szCs w:val="18"/>
                <w:color w:val="auto"/>
                <w:w w:val="88"/>
              </w:rPr>
              <w:t>73,615,821</w:t>
            </w:r>
          </w:p>
        </w:tc>
      </w:tr>
    </w:tbl>
    <w:p>
      <w:pPr>
        <w:sectPr>
          <w:pgSz w:w="11900" w:h="16838" w:orient="portrait"/>
          <w:cols w:equalWidth="0" w:num="1">
            <w:col w:w="11420"/>
          </w:cols>
          <w:pgMar w:left="240" w:top="463"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u w:val="single" w:color="auto"/>
          <w:color w:val="auto"/>
        </w:rPr>
        <w:t>ManpowerGroup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Page</w:t>
            </w:r>
          </w:p>
        </w:tc>
      </w:tr>
      <w:tr>
        <w:trPr>
          <w:trHeight w:val="234"/>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w:t>
            </w: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2200" w:type="dxa"/>
            <w:vAlign w:val="bottom"/>
            <w:gridSpan w:val="3"/>
            <w:shd w:val="clear" w:color="auto" w:fill="CCEEFF"/>
          </w:tcPr>
          <w:p>
            <w:pPr>
              <w:ind w:left="40"/>
              <w:spacing w:after="0" w:line="196" w:lineRule="exact"/>
              <w:rPr>
                <w:rFonts w:ascii="Arial" w:cs="Arial" w:eastAsia="Arial" w:hAnsi="Arial"/>
                <w:sz w:val="18"/>
                <w:szCs w:val="18"/>
                <w:b w:val="1"/>
                <w:bCs w:val="1"/>
                <w:color w:val="auto"/>
              </w:rPr>
            </w:pPr>
            <w:hyperlink w:anchor="page2">
              <w:r>
                <w:rPr>
                  <w:rFonts w:ascii="Arial" w:cs="Arial" w:eastAsia="Arial" w:hAnsi="Arial"/>
                  <w:sz w:val="18"/>
                  <w:szCs w:val="18"/>
                  <w:b w:val="1"/>
                  <w:bCs w:val="1"/>
                  <w:color w:val="auto"/>
                </w:rPr>
                <w:t>PART I</w:t>
              </w:r>
            </w:hyperlink>
          </w:p>
        </w:tc>
        <w:tc>
          <w:tcPr>
            <w:tcW w:w="8200" w:type="dxa"/>
            <w:vAlign w:val="bottom"/>
            <w:gridSpan w:val="2"/>
            <w:shd w:val="clear" w:color="auto" w:fill="CCEEFF"/>
          </w:tcPr>
          <w:p>
            <w:pPr>
              <w:spacing w:after="0" w:line="196" w:lineRule="exact"/>
              <w:rPr>
                <w:rFonts w:ascii="Arial" w:cs="Arial" w:eastAsia="Arial" w:hAnsi="Arial"/>
                <w:sz w:val="18"/>
                <w:szCs w:val="18"/>
                <w:b w:val="1"/>
                <w:bCs w:val="1"/>
                <w:color w:val="auto"/>
              </w:rPr>
            </w:pPr>
            <w:hyperlink w:anchor="page2">
              <w:r>
                <w:rPr>
                  <w:rFonts w:ascii="Arial" w:cs="Arial" w:eastAsia="Arial" w:hAnsi="Arial"/>
                  <w:sz w:val="18"/>
                  <w:szCs w:val="18"/>
                  <w:b w:val="1"/>
                  <w:bCs w:val="1"/>
                  <w:color w:val="auto"/>
                </w:rPr>
                <w:t>FINANCIAL INFORMATION</w:t>
              </w:r>
            </w:hyperlink>
          </w:p>
        </w:tc>
        <w:tc>
          <w:tcPr>
            <w:tcW w:w="10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2400" w:type="dxa"/>
            <w:vAlign w:val="bottom"/>
            <w:tcBorders>
              <w:top w:val="single" w:sz="8" w:color="auto"/>
            </w:tcBorders>
            <w:shd w:val="clear" w:color="auto" w:fill="CCEEFF"/>
          </w:tcPr>
          <w:p>
            <w:pPr>
              <w:spacing w:after="0"/>
              <w:rPr>
                <w:sz w:val="4"/>
                <w:szCs w:val="4"/>
                <w:color w:val="auto"/>
              </w:rPr>
            </w:pPr>
          </w:p>
        </w:tc>
        <w:tc>
          <w:tcPr>
            <w:tcW w:w="58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43"/>
        </w:trPr>
        <w:tc>
          <w:tcPr>
            <w:tcW w:w="2200" w:type="dxa"/>
            <w:vAlign w:val="bottom"/>
            <w:gridSpan w:val="3"/>
          </w:tcPr>
          <w:p>
            <w:pPr>
              <w:ind w:left="40"/>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8200" w:type="dxa"/>
            <w:vAlign w:val="bottom"/>
            <w:gridSpan w:val="2"/>
          </w:tcPr>
          <w:p>
            <w:pPr>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 (unaudited)</w:t>
              </w:r>
            </w:hyperlink>
          </w:p>
        </w:tc>
        <w:tc>
          <w:tcPr>
            <w:tcW w:w="10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spacing w:after="0"/>
              <w:rPr>
                <w:rFonts w:ascii="Arial" w:cs="Arial" w:eastAsia="Arial" w:hAnsi="Arial"/>
                <w:sz w:val="18"/>
                <w:szCs w:val="18"/>
                <w:color w:val="auto"/>
              </w:rPr>
            </w:pPr>
            <w:hyperlink w:anchor="page3">
              <w:r>
                <w:rPr>
                  <w:rFonts w:ascii="Arial" w:cs="Arial" w:eastAsia="Arial" w:hAnsi="Arial"/>
                  <w:sz w:val="18"/>
                  <w:szCs w:val="18"/>
                  <w:color w:val="auto"/>
                </w:rPr>
                <w:t>Consolidated Balance Sheets</w:t>
              </w:r>
            </w:hyperlink>
          </w:p>
        </w:tc>
        <w:tc>
          <w:tcPr>
            <w:tcW w:w="102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3-4</w:t>
              </w:r>
            </w:hyperlink>
          </w:p>
        </w:tc>
      </w:tr>
      <w:tr>
        <w:trPr>
          <w:trHeight w:val="243"/>
        </w:trPr>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200" w:type="dxa"/>
            <w:vAlign w:val="bottom"/>
            <w:gridSpan w:val="2"/>
          </w:tcPr>
          <w:p>
            <w:pPr>
              <w:spacing w:after="0"/>
              <w:rPr>
                <w:rFonts w:ascii="Arial" w:cs="Arial" w:eastAsia="Arial" w:hAnsi="Arial"/>
                <w:sz w:val="18"/>
                <w:szCs w:val="18"/>
                <w:color w:val="auto"/>
              </w:rPr>
            </w:pPr>
            <w:hyperlink w:anchor="page4">
              <w:r>
                <w:rPr>
                  <w:rFonts w:ascii="Arial" w:cs="Arial" w:eastAsia="Arial" w:hAnsi="Arial"/>
                  <w:sz w:val="18"/>
                  <w:szCs w:val="18"/>
                  <w:color w:val="auto"/>
                </w:rPr>
                <w:t>Consolidated Statements of Operations</w:t>
              </w:r>
            </w:hyperlink>
          </w:p>
        </w:tc>
        <w:tc>
          <w:tcPr>
            <w:tcW w:w="102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5</w:t>
              </w:r>
            </w:hyperlink>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spacing w:after="0"/>
              <w:rPr>
                <w:rFonts w:ascii="Arial" w:cs="Arial" w:eastAsia="Arial" w:hAnsi="Arial"/>
                <w:sz w:val="18"/>
                <w:szCs w:val="18"/>
                <w:color w:val="auto"/>
              </w:rPr>
            </w:pPr>
            <w:hyperlink w:anchor="page5">
              <w:r>
                <w:rPr>
                  <w:rFonts w:ascii="Arial" w:cs="Arial" w:eastAsia="Arial" w:hAnsi="Arial"/>
                  <w:sz w:val="18"/>
                  <w:szCs w:val="18"/>
                  <w:color w:val="auto"/>
                </w:rPr>
                <w:t xml:space="preserve">Consolidated Statements of Comprehensive Income </w:t>
              </w:r>
            </w:hyperlink>
            <w:r>
              <w:rPr>
                <w:rFonts w:ascii="Arial" w:cs="Arial" w:eastAsia="Arial" w:hAnsi="Arial"/>
                <w:sz w:val="18"/>
                <w:szCs w:val="18"/>
                <w:color w:val="auto"/>
              </w:rPr>
              <w:t>(Loss)</w:t>
            </w:r>
          </w:p>
        </w:tc>
        <w:tc>
          <w:tcPr>
            <w:tcW w:w="102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43"/>
        </w:trPr>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200" w:type="dxa"/>
            <w:vAlign w:val="bottom"/>
            <w:gridSpan w:val="2"/>
          </w:tcPr>
          <w:p>
            <w:pPr>
              <w:spacing w:after="0"/>
              <w:rPr>
                <w:rFonts w:ascii="Arial" w:cs="Arial" w:eastAsia="Arial" w:hAnsi="Arial"/>
                <w:sz w:val="18"/>
                <w:szCs w:val="18"/>
                <w:color w:val="auto"/>
              </w:rPr>
            </w:pPr>
            <w:hyperlink w:anchor="page5">
              <w:r>
                <w:rPr>
                  <w:rFonts w:ascii="Arial" w:cs="Arial" w:eastAsia="Arial" w:hAnsi="Arial"/>
                  <w:sz w:val="18"/>
                  <w:szCs w:val="18"/>
                  <w:color w:val="auto"/>
                </w:rPr>
                <w:t>Consolidated Statements of Cash Flows</w:t>
              </w:r>
            </w:hyperlink>
          </w:p>
        </w:tc>
        <w:tc>
          <w:tcPr>
            <w:tcW w:w="10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spacing w:after="0"/>
              <w:rPr>
                <w:rFonts w:ascii="Arial" w:cs="Arial" w:eastAsia="Arial" w:hAnsi="Arial"/>
                <w:sz w:val="18"/>
                <w:szCs w:val="18"/>
                <w:color w:val="auto"/>
              </w:rPr>
            </w:pPr>
            <w:hyperlink w:anchor="page6">
              <w:r>
                <w:rPr>
                  <w:rFonts w:ascii="Arial" w:cs="Arial" w:eastAsia="Arial" w:hAnsi="Arial"/>
                  <w:sz w:val="18"/>
                  <w:szCs w:val="18"/>
                  <w:color w:val="auto"/>
                </w:rPr>
                <w:t>Notes to Consolidated Financial Statements</w:t>
              </w:r>
            </w:hyperlink>
          </w:p>
        </w:tc>
        <w:tc>
          <w:tcPr>
            <w:tcW w:w="102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r>
              <w:rPr>
                <w:rFonts w:ascii="Arial" w:cs="Arial" w:eastAsia="Arial" w:hAnsi="Arial"/>
                <w:sz w:val="18"/>
                <w:szCs w:val="18"/>
                <w:color w:val="auto"/>
              </w:rPr>
              <w:t>16</w:t>
            </w:r>
          </w:p>
        </w:tc>
      </w:tr>
      <w:tr>
        <w:trPr>
          <w:trHeight w:val="243"/>
        </w:trPr>
        <w:tc>
          <w:tcPr>
            <w:tcW w:w="2200" w:type="dxa"/>
            <w:vAlign w:val="bottom"/>
            <w:gridSpan w:val="3"/>
          </w:tcPr>
          <w:p>
            <w:pPr>
              <w:ind w:left="40"/>
              <w:spacing w:after="0"/>
              <w:rPr>
                <w:rFonts w:ascii="Arial" w:cs="Arial" w:eastAsia="Arial" w:hAnsi="Arial"/>
                <w:sz w:val="18"/>
                <w:szCs w:val="18"/>
                <w:color w:val="auto"/>
              </w:rPr>
            </w:pPr>
            <w:hyperlink w:anchor="page16">
              <w:r>
                <w:rPr>
                  <w:rFonts w:ascii="Arial" w:cs="Arial" w:eastAsia="Arial" w:hAnsi="Arial"/>
                  <w:sz w:val="18"/>
                  <w:szCs w:val="18"/>
                  <w:color w:val="auto"/>
                </w:rPr>
                <w:t>Item 2</w:t>
              </w:r>
            </w:hyperlink>
          </w:p>
        </w:tc>
        <w:tc>
          <w:tcPr>
            <w:tcW w:w="8200" w:type="dxa"/>
            <w:vAlign w:val="bottom"/>
            <w:gridSpan w:val="2"/>
          </w:tcPr>
          <w:p>
            <w:pPr>
              <w:spacing w:after="0"/>
              <w:rPr>
                <w:rFonts w:ascii="Arial" w:cs="Arial" w:eastAsia="Arial" w:hAnsi="Arial"/>
                <w:sz w:val="18"/>
                <w:szCs w:val="18"/>
                <w:color w:val="auto"/>
              </w:rPr>
            </w:pPr>
            <w:hyperlink w:anchor="page16">
              <w:r>
                <w:rPr>
                  <w:rFonts w:ascii="Arial" w:cs="Arial" w:eastAsia="Arial" w:hAnsi="Arial"/>
                  <w:sz w:val="18"/>
                  <w:szCs w:val="18"/>
                  <w:color w:val="auto"/>
                </w:rPr>
                <w:t>Management’s Discussion and Analysis of Financial Condition and Results of Operations</w:t>
              </w:r>
            </w:hyperlink>
          </w:p>
        </w:tc>
        <w:tc>
          <w:tcPr>
            <w:tcW w:w="1020" w:type="dxa"/>
            <w:vAlign w:val="bottom"/>
          </w:tcPr>
          <w:p>
            <w:pPr>
              <w:jc w:val="right"/>
              <w:spacing w:after="0"/>
              <w:rPr>
                <w:rFonts w:ascii="Arial" w:cs="Arial" w:eastAsia="Arial" w:hAnsi="Arial"/>
                <w:sz w:val="18"/>
                <w:szCs w:val="18"/>
                <w:color w:val="auto"/>
              </w:rPr>
            </w:pPr>
            <w:hyperlink w:anchor="page16">
              <w:r>
                <w:rPr>
                  <w:rFonts w:ascii="Arial" w:cs="Arial" w:eastAsia="Arial" w:hAnsi="Arial"/>
                  <w:sz w:val="18"/>
                  <w:szCs w:val="18"/>
                  <w:color w:val="auto"/>
                </w:rPr>
                <w:t>17</w:t>
              </w:r>
            </w:hyperlink>
            <w:r>
              <w:rPr>
                <w:rFonts w:ascii="Arial" w:cs="Arial" w:eastAsia="Arial" w:hAnsi="Arial"/>
                <w:sz w:val="18"/>
                <w:szCs w:val="18"/>
                <w:color w:val="auto"/>
              </w:rPr>
              <w:t>-30</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3"/>
            <w:shd w:val="clear" w:color="auto" w:fill="CCEEFF"/>
          </w:tcPr>
          <w:p>
            <w:pPr>
              <w:ind w:left="40"/>
              <w:spacing w:after="0"/>
              <w:rPr>
                <w:rFonts w:ascii="Arial" w:cs="Arial" w:eastAsia="Arial" w:hAnsi="Arial"/>
                <w:sz w:val="18"/>
                <w:szCs w:val="18"/>
                <w:color w:val="auto"/>
              </w:rPr>
            </w:pPr>
            <w:hyperlink w:anchor="page30">
              <w:r>
                <w:rPr>
                  <w:rFonts w:ascii="Arial" w:cs="Arial" w:eastAsia="Arial" w:hAnsi="Arial"/>
                  <w:sz w:val="18"/>
                  <w:szCs w:val="18"/>
                  <w:color w:val="auto"/>
                </w:rPr>
                <w:t>Item 3</w:t>
              </w:r>
            </w:hyperlink>
          </w:p>
        </w:tc>
        <w:tc>
          <w:tcPr>
            <w:tcW w:w="8200" w:type="dxa"/>
            <w:vAlign w:val="bottom"/>
            <w:tcBorders>
              <w:bottom w:val="single" w:sz="8" w:color="CCEEFF"/>
            </w:tcBorders>
            <w:gridSpan w:val="2"/>
            <w:shd w:val="clear" w:color="auto" w:fill="CCEEFF"/>
          </w:tcPr>
          <w:p>
            <w:pPr>
              <w:spacing w:after="0"/>
              <w:rPr>
                <w:rFonts w:ascii="Arial" w:cs="Arial" w:eastAsia="Arial" w:hAnsi="Arial"/>
                <w:sz w:val="18"/>
                <w:szCs w:val="18"/>
                <w:color w:val="auto"/>
              </w:rPr>
            </w:pPr>
            <w:hyperlink w:anchor="page30">
              <w:r>
                <w:rPr>
                  <w:rFonts w:ascii="Arial" w:cs="Arial" w:eastAsia="Arial" w:hAnsi="Arial"/>
                  <w:sz w:val="18"/>
                  <w:szCs w:val="18"/>
                  <w:color w:val="auto"/>
                </w:rPr>
                <w:t>Quantitative and Qualitative Disclosures About Market Risk</w:t>
              </w:r>
            </w:hyperlink>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2200" w:type="dxa"/>
            <w:vAlign w:val="bottom"/>
            <w:gridSpan w:val="3"/>
          </w:tcPr>
          <w:p>
            <w:pPr>
              <w:ind w:left="40"/>
              <w:spacing w:after="0"/>
              <w:rPr>
                <w:rFonts w:ascii="Arial" w:cs="Arial" w:eastAsia="Arial" w:hAnsi="Arial"/>
                <w:sz w:val="18"/>
                <w:szCs w:val="18"/>
                <w:color w:val="auto"/>
              </w:rPr>
            </w:pPr>
            <w:hyperlink w:anchor="page30">
              <w:r>
                <w:rPr>
                  <w:rFonts w:ascii="Arial" w:cs="Arial" w:eastAsia="Arial" w:hAnsi="Arial"/>
                  <w:sz w:val="18"/>
                  <w:szCs w:val="18"/>
                  <w:color w:val="auto"/>
                </w:rPr>
                <w:t>Item 4</w:t>
              </w:r>
            </w:hyperlink>
          </w:p>
        </w:tc>
        <w:tc>
          <w:tcPr>
            <w:tcW w:w="8200" w:type="dxa"/>
            <w:vAlign w:val="bottom"/>
            <w:gridSpan w:val="2"/>
          </w:tcPr>
          <w:p>
            <w:pPr>
              <w:spacing w:after="0"/>
              <w:rPr>
                <w:rFonts w:ascii="Arial" w:cs="Arial" w:eastAsia="Arial" w:hAnsi="Arial"/>
                <w:sz w:val="18"/>
                <w:szCs w:val="18"/>
                <w:color w:val="auto"/>
              </w:rPr>
            </w:pPr>
            <w:hyperlink w:anchor="page30">
              <w:r>
                <w:rPr>
                  <w:rFonts w:ascii="Arial" w:cs="Arial" w:eastAsia="Arial" w:hAnsi="Arial"/>
                  <w:sz w:val="18"/>
                  <w:szCs w:val="18"/>
                  <w:color w:val="auto"/>
                </w:rPr>
                <w:t>Controls and Procedures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c>
          <w:tcPr>
            <w:tcW w:w="58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tcPr>
          <w:p>
            <w:pPr>
              <w:ind w:left="40"/>
              <w:spacing w:after="0"/>
              <w:rPr>
                <w:rFonts w:ascii="Arial" w:cs="Arial" w:eastAsia="Arial" w:hAnsi="Arial"/>
                <w:sz w:val="18"/>
                <w:szCs w:val="18"/>
                <w:b w:val="1"/>
                <w:bCs w:val="1"/>
                <w:color w:val="auto"/>
              </w:rPr>
            </w:pPr>
            <w:hyperlink w:anchor="page30">
              <w:r>
                <w:rPr>
                  <w:rFonts w:ascii="Arial" w:cs="Arial" w:eastAsia="Arial" w:hAnsi="Arial"/>
                  <w:sz w:val="18"/>
                  <w:szCs w:val="18"/>
                  <w:b w:val="1"/>
                  <w:bCs w:val="1"/>
                  <w:color w:val="auto"/>
                </w:rPr>
                <w:t>PART II</w:t>
              </w:r>
            </w:hyperlink>
          </w:p>
        </w:tc>
        <w:tc>
          <w:tcPr>
            <w:tcW w:w="7060" w:type="dxa"/>
            <w:vAlign w:val="bottom"/>
          </w:tcPr>
          <w:p>
            <w:pPr>
              <w:ind w:left="380"/>
              <w:spacing w:after="0"/>
              <w:rPr>
                <w:rFonts w:ascii="Arial" w:cs="Arial" w:eastAsia="Arial" w:hAnsi="Arial"/>
                <w:sz w:val="18"/>
                <w:szCs w:val="18"/>
                <w:b w:val="1"/>
                <w:bCs w:val="1"/>
                <w:color w:val="auto"/>
              </w:rPr>
            </w:pPr>
            <w:hyperlink w:anchor="page30">
              <w:r>
                <w:rPr>
                  <w:rFonts w:ascii="Arial" w:cs="Arial" w:eastAsia="Arial" w:hAnsi="Arial"/>
                  <w:sz w:val="18"/>
                  <w:szCs w:val="18"/>
                  <w:b w:val="1"/>
                  <w:bCs w:val="1"/>
                  <w:color w:val="auto"/>
                </w:rPr>
                <w:t>OTHER INFORMATION</w:t>
              </w:r>
            </w:hyperlink>
          </w:p>
        </w:tc>
        <w:tc>
          <w:tcPr>
            <w:tcW w:w="2540" w:type="dxa"/>
            <w:vAlign w:val="bottom"/>
          </w:tcPr>
          <w:p>
            <w:pPr>
              <w:spacing w:after="0"/>
              <w:rPr>
                <w:sz w:val="20"/>
                <w:szCs w:val="20"/>
                <w:color w:val="auto"/>
              </w:rPr>
            </w:pPr>
          </w:p>
        </w:tc>
      </w:tr>
      <w:tr>
        <w:trPr>
          <w:trHeight w:val="27"/>
        </w:trPr>
        <w:tc>
          <w:tcPr>
            <w:tcW w:w="18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1820" w:type="dxa"/>
            <w:vAlign w:val="bottom"/>
            <w:tcBorders>
              <w:bottom w:val="single" w:sz="8" w:color="CCEEFF"/>
            </w:tcBorders>
            <w:shd w:val="clear" w:color="auto" w:fill="CCEEFF"/>
          </w:tcPr>
          <w:p>
            <w:pPr>
              <w:ind w:left="40"/>
              <w:spacing w:after="0"/>
              <w:rPr>
                <w:rFonts w:ascii="Arial" w:cs="Arial" w:eastAsia="Arial" w:hAnsi="Arial"/>
                <w:sz w:val="18"/>
                <w:szCs w:val="18"/>
                <w:color w:val="auto"/>
              </w:rPr>
            </w:pPr>
            <w:hyperlink w:anchor="page31">
              <w:r>
                <w:rPr>
                  <w:rFonts w:ascii="Arial" w:cs="Arial" w:eastAsia="Arial" w:hAnsi="Arial"/>
                  <w:sz w:val="18"/>
                  <w:szCs w:val="18"/>
                  <w:color w:val="auto"/>
                </w:rPr>
                <w:t>Item 2</w:t>
              </w:r>
            </w:hyperlink>
          </w:p>
        </w:tc>
        <w:tc>
          <w:tcPr>
            <w:tcW w:w="70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1">
              <w:r>
                <w:rPr>
                  <w:rFonts w:ascii="Arial" w:cs="Arial" w:eastAsia="Arial" w:hAnsi="Arial"/>
                  <w:sz w:val="18"/>
                  <w:szCs w:val="18"/>
                  <w:color w:val="auto"/>
                </w:rPr>
                <w:t>Unregistered Sales of Equity Securities and Use of Proceeds</w:t>
              </w:r>
            </w:hyperlink>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1820" w:type="dxa"/>
            <w:vAlign w:val="bottom"/>
          </w:tcPr>
          <w:p>
            <w:pPr>
              <w:ind w:left="40"/>
              <w:spacing w:after="0"/>
              <w:rPr>
                <w:rFonts w:ascii="Arial" w:cs="Arial" w:eastAsia="Arial" w:hAnsi="Arial"/>
                <w:sz w:val="18"/>
                <w:szCs w:val="18"/>
                <w:color w:val="auto"/>
              </w:rPr>
            </w:pPr>
            <w:hyperlink w:anchor="page31">
              <w:r>
                <w:rPr>
                  <w:rFonts w:ascii="Arial" w:cs="Arial" w:eastAsia="Arial" w:hAnsi="Arial"/>
                  <w:sz w:val="18"/>
                  <w:szCs w:val="18"/>
                  <w:color w:val="auto"/>
                </w:rPr>
                <w:t>Item 5</w:t>
              </w:r>
            </w:hyperlink>
          </w:p>
        </w:tc>
        <w:tc>
          <w:tcPr>
            <w:tcW w:w="7060" w:type="dxa"/>
            <w:vAlign w:val="bottom"/>
          </w:tcPr>
          <w:p>
            <w:pPr>
              <w:ind w:left="380"/>
              <w:spacing w:after="0"/>
              <w:rPr>
                <w:rFonts w:ascii="Arial" w:cs="Arial" w:eastAsia="Arial" w:hAnsi="Arial"/>
                <w:sz w:val="18"/>
                <w:szCs w:val="18"/>
                <w:color w:val="auto"/>
              </w:rPr>
            </w:pPr>
            <w:hyperlink w:anchor="page31">
              <w:r>
                <w:rPr>
                  <w:rFonts w:ascii="Arial" w:cs="Arial" w:eastAsia="Arial" w:hAnsi="Arial"/>
                  <w:sz w:val="18"/>
                  <w:szCs w:val="18"/>
                  <w:color w:val="auto"/>
                </w:rPr>
                <w:t>Other Information</w:t>
              </w:r>
            </w:hyperlink>
          </w:p>
        </w:tc>
        <w:tc>
          <w:tcPr>
            <w:tcW w:w="25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18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1820" w:type="dxa"/>
            <w:vAlign w:val="bottom"/>
            <w:tcBorders>
              <w:bottom w:val="single" w:sz="8" w:color="CCEEFF"/>
            </w:tcBorders>
            <w:shd w:val="clear" w:color="auto" w:fill="CCEEFF"/>
          </w:tcPr>
          <w:p>
            <w:pPr>
              <w:ind w:left="40"/>
              <w:spacing w:after="0"/>
              <w:rPr>
                <w:rFonts w:ascii="Arial" w:cs="Arial" w:eastAsia="Arial" w:hAnsi="Arial"/>
                <w:sz w:val="18"/>
                <w:szCs w:val="18"/>
                <w:color w:val="auto"/>
              </w:rPr>
            </w:pPr>
            <w:hyperlink w:anchor="page31">
              <w:r>
                <w:rPr>
                  <w:rFonts w:ascii="Arial" w:cs="Arial" w:eastAsia="Arial" w:hAnsi="Arial"/>
                  <w:sz w:val="18"/>
                  <w:szCs w:val="18"/>
                  <w:color w:val="auto"/>
                </w:rPr>
                <w:t>Item 6</w:t>
              </w:r>
            </w:hyperlink>
          </w:p>
        </w:tc>
        <w:tc>
          <w:tcPr>
            <w:tcW w:w="70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1">
              <w:r>
                <w:rPr>
                  <w:rFonts w:ascii="Arial" w:cs="Arial" w:eastAsia="Arial" w:hAnsi="Arial"/>
                  <w:sz w:val="18"/>
                  <w:szCs w:val="18"/>
                  <w:color w:val="auto"/>
                </w:rPr>
                <w:t>Exhibits</w:t>
              </w:r>
            </w:hyperlink>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97"/>
        </w:trPr>
        <w:tc>
          <w:tcPr>
            <w:tcW w:w="18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50"/>
        </w:trPr>
        <w:tc>
          <w:tcPr>
            <w:tcW w:w="1820" w:type="dxa"/>
            <w:vAlign w:val="bottom"/>
            <w:tcBorders>
              <w:bottom w:val="single" w:sz="8" w:color="CCEEFF"/>
            </w:tcBorders>
            <w:shd w:val="clear" w:color="auto" w:fill="CCEEFF"/>
          </w:tcPr>
          <w:p>
            <w:pPr>
              <w:ind w:left="40"/>
              <w:spacing w:after="0"/>
              <w:rPr>
                <w:rFonts w:ascii="Arial" w:cs="Arial" w:eastAsia="Arial" w:hAnsi="Arial"/>
                <w:sz w:val="18"/>
                <w:szCs w:val="18"/>
                <w:b w:val="1"/>
                <w:bCs w:val="1"/>
                <w:color w:val="auto"/>
              </w:rPr>
            </w:pPr>
            <w:hyperlink w:anchor="page32">
              <w:r>
                <w:rPr>
                  <w:rFonts w:ascii="Arial" w:cs="Arial" w:eastAsia="Arial" w:hAnsi="Arial"/>
                  <w:sz w:val="18"/>
                  <w:szCs w:val="18"/>
                  <w:b w:val="1"/>
                  <w:bCs w:val="1"/>
                  <w:color w:val="auto"/>
                </w:rPr>
                <w:t>SIGNATURES</w:t>
              </w:r>
            </w:hyperlink>
          </w:p>
        </w:tc>
        <w:tc>
          <w:tcPr>
            <w:tcW w:w="706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97"/>
        </w:trPr>
        <w:tc>
          <w:tcPr>
            <w:tcW w:w="18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43"/>
        </w:trPr>
        <w:tc>
          <w:tcPr>
            <w:tcW w:w="1820" w:type="dxa"/>
            <w:vAlign w:val="bottom"/>
            <w:shd w:val="clear" w:color="auto" w:fill="CCEEFF"/>
          </w:tcPr>
          <w:p>
            <w:pPr>
              <w:ind w:left="40"/>
              <w:spacing w:after="0"/>
              <w:rPr>
                <w:rFonts w:ascii="Arial" w:cs="Arial" w:eastAsia="Arial" w:hAnsi="Arial"/>
                <w:sz w:val="18"/>
                <w:szCs w:val="18"/>
                <w:b w:val="1"/>
                <w:bCs w:val="1"/>
                <w:color w:val="auto"/>
              </w:rPr>
            </w:pPr>
            <w:hyperlink w:anchor="page33">
              <w:r>
                <w:rPr>
                  <w:rFonts w:ascii="Arial" w:cs="Arial" w:eastAsia="Arial" w:hAnsi="Arial"/>
                  <w:sz w:val="18"/>
                  <w:szCs w:val="18"/>
                  <w:b w:val="1"/>
                  <w:bCs w:val="1"/>
                  <w:color w:val="auto"/>
                </w:rPr>
                <w:t>EXHIBIT INDEX</w:t>
              </w:r>
            </w:hyperlink>
          </w:p>
        </w:tc>
        <w:tc>
          <w:tcPr>
            <w:tcW w:w="7060" w:type="dxa"/>
            <w:vAlign w:val="bottom"/>
            <w:shd w:val="clear" w:color="auto" w:fill="CCEEFF"/>
          </w:tcPr>
          <w:p>
            <w:pPr>
              <w:spacing w:after="0"/>
              <w:rPr>
                <w:sz w:val="21"/>
                <w:szCs w:val="21"/>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1820" w:type="dxa"/>
            <w:vAlign w:val="bottom"/>
            <w:shd w:val="clear" w:color="auto" w:fill="CCEEFF"/>
          </w:tcPr>
          <w:p>
            <w:pPr>
              <w:spacing w:after="0"/>
              <w:rPr>
                <w:sz w:val="2"/>
                <w:szCs w:val="2"/>
                <w:color w:val="auto"/>
              </w:rPr>
            </w:pPr>
          </w:p>
        </w:tc>
        <w:tc>
          <w:tcPr>
            <w:tcW w:w="706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1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PART I - FINANCIAL INFORMATION</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28"/>
        </w:trPr>
        <w:tc>
          <w:tcPr>
            <w:tcW w:w="8460" w:type="dxa"/>
            <w:vAlign w:val="bottom"/>
            <w:gridSpan w:val="4"/>
          </w:tcPr>
          <w:p>
            <w:pPr>
              <w:spacing w:after="0"/>
              <w:rPr>
                <w:sz w:val="20"/>
                <w:szCs w:val="20"/>
                <w:color w:val="auto"/>
              </w:rPr>
            </w:pPr>
            <w:r>
              <w:rPr>
                <w:rFonts w:ascii="Arial" w:cs="Arial" w:eastAsia="Arial" w:hAnsi="Arial"/>
                <w:sz w:val="18"/>
                <w:szCs w:val="18"/>
                <w:color w:val="auto"/>
              </w:rPr>
              <w:t>Item 1 – Financial Statements (unaudited)</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53"/>
        </w:trPr>
        <w:tc>
          <w:tcPr>
            <w:tcW w:w="304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300" w:type="dxa"/>
            <w:vAlign w:val="bottom"/>
            <w:gridSpan w:val="2"/>
          </w:tcPr>
          <w:p>
            <w:pPr>
              <w:jc w:val="center"/>
              <w:ind w:right="1180"/>
              <w:spacing w:after="0"/>
              <w:rPr>
                <w:sz w:val="20"/>
                <w:szCs w:val="20"/>
                <w:color w:val="auto"/>
              </w:rPr>
            </w:pPr>
            <w:r>
              <w:rPr>
                <w:rFonts w:ascii="Arial" w:cs="Arial" w:eastAsia="Arial" w:hAnsi="Arial"/>
                <w:sz w:val="18"/>
                <w:szCs w:val="18"/>
                <w:b w:val="1"/>
                <w:bCs w:val="1"/>
                <w:color w:val="auto"/>
                <w:w w:val="93"/>
              </w:rPr>
              <w:t>ManpowerGroup Inc.</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4"/>
        </w:trPr>
        <w:tc>
          <w:tcPr>
            <w:tcW w:w="3040" w:type="dxa"/>
            <w:vAlign w:val="bottom"/>
          </w:tcPr>
          <w:p>
            <w:pPr>
              <w:spacing w:after="0"/>
              <w:rPr>
                <w:sz w:val="24"/>
                <w:szCs w:val="24"/>
                <w:color w:val="auto"/>
              </w:rPr>
            </w:pPr>
          </w:p>
        </w:tc>
        <w:tc>
          <w:tcPr>
            <w:tcW w:w="54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Consolidated Balance Sheets (Unaudited)</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4"/>
        </w:trPr>
        <w:tc>
          <w:tcPr>
            <w:tcW w:w="3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300" w:type="dxa"/>
            <w:vAlign w:val="bottom"/>
            <w:gridSpan w:val="2"/>
          </w:tcPr>
          <w:p>
            <w:pPr>
              <w:jc w:val="center"/>
              <w:ind w:right="1180"/>
              <w:spacing w:after="0"/>
              <w:rPr>
                <w:sz w:val="20"/>
                <w:szCs w:val="20"/>
                <w:color w:val="auto"/>
              </w:rPr>
            </w:pPr>
            <w:r>
              <w:rPr>
                <w:rFonts w:ascii="Arial" w:cs="Arial" w:eastAsia="Arial" w:hAnsi="Arial"/>
                <w:sz w:val="18"/>
                <w:szCs w:val="18"/>
                <w:b w:val="1"/>
                <w:bCs w:val="1"/>
                <w:color w:val="auto"/>
                <w:w w:val="91"/>
              </w:rPr>
              <w:t>(in millions)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30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w w:val="91"/>
              </w:rPr>
              <w:t>ASSETS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594"/>
        </w:trPr>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4"/>
                <w:szCs w:val="24"/>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December 31,</w:t>
            </w:r>
          </w:p>
        </w:tc>
      </w:tr>
      <w:tr>
        <w:trPr>
          <w:trHeight w:val="270"/>
        </w:trPr>
        <w:tc>
          <w:tcPr>
            <w:tcW w:w="30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7"/>
        </w:trPr>
        <w:tc>
          <w:tcPr>
            <w:tcW w:w="30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gridSpan w:val="4"/>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652.5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699.2</w:t>
            </w:r>
          </w:p>
        </w:tc>
      </w:tr>
      <w:tr>
        <w:trPr>
          <w:trHeight w:val="27"/>
        </w:trPr>
        <w:tc>
          <w:tcPr>
            <w:tcW w:w="3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Accounts receivable, less allowance for doubtful accounts of $106.1 and $111.4,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4,134.5</w:t>
            </w:r>
          </w:p>
        </w:tc>
      </w:tr>
      <w:tr>
        <w:trPr>
          <w:trHeight w:val="243"/>
        </w:trPr>
        <w:tc>
          <w:tcPr>
            <w:tcW w:w="8460" w:type="dxa"/>
            <w:vAlign w:val="bottom"/>
            <w:gridSpan w:val="4"/>
          </w:tcPr>
          <w:p>
            <w:pPr>
              <w:ind w:left="4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147.8</w:t>
            </w:r>
          </w:p>
        </w:tc>
      </w:tr>
      <w:tr>
        <w:trPr>
          <w:trHeight w:val="27"/>
        </w:trPr>
        <w:tc>
          <w:tcPr>
            <w:tcW w:w="3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Future income tax benefits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w:t>
            </w:r>
          </w:p>
        </w:tc>
      </w:tr>
      <w:tr>
        <w:trPr>
          <w:trHeight w:val="237"/>
        </w:trPr>
        <w:tc>
          <w:tcPr>
            <w:tcW w:w="8460" w:type="dxa"/>
            <w:vAlign w:val="bottom"/>
            <w:gridSpan w:val="4"/>
          </w:tcPr>
          <w:p>
            <w:pPr>
              <w:ind w:left="6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5,107.6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5,033.7</w:t>
            </w:r>
          </w:p>
        </w:tc>
      </w:tr>
      <w:tr>
        <w:trPr>
          <w:trHeight w:val="27"/>
        </w:trPr>
        <w:tc>
          <w:tcPr>
            <w:tcW w:w="3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30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460" w:type="dxa"/>
            <w:vAlign w:val="bottom"/>
            <w:gridSpan w:val="4"/>
          </w:tcPr>
          <w:p>
            <w:pPr>
              <w:ind w:left="40"/>
              <w:spacing w:after="0"/>
              <w:rPr>
                <w:sz w:val="20"/>
                <w:szCs w:val="20"/>
                <w:color w:val="auto"/>
              </w:rPr>
            </w:pPr>
            <w:r>
              <w:rPr>
                <w:rFonts w:ascii="Arial" w:cs="Arial" w:eastAsia="Arial" w:hAnsi="Arial"/>
                <w:sz w:val="18"/>
                <w:szCs w:val="18"/>
                <w:b w:val="1"/>
                <w:bCs w:val="1"/>
                <w:color w:val="auto"/>
              </w:rPr>
              <w:t>OTHER ASSETS: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1,075.2</w:t>
            </w:r>
          </w:p>
        </w:tc>
      </w:tr>
      <w:tr>
        <w:trPr>
          <w:trHeight w:val="243"/>
        </w:trPr>
        <w:tc>
          <w:tcPr>
            <w:tcW w:w="8460" w:type="dxa"/>
            <w:vAlign w:val="bottom"/>
            <w:gridSpan w:val="4"/>
          </w:tcPr>
          <w:p>
            <w:pPr>
              <w:ind w:left="40"/>
              <w:spacing w:after="0"/>
              <w:rPr>
                <w:sz w:val="20"/>
                <w:szCs w:val="20"/>
                <w:color w:val="auto"/>
              </w:rPr>
            </w:pPr>
            <w:r>
              <w:rPr>
                <w:rFonts w:ascii="Arial" w:cs="Arial" w:eastAsia="Arial" w:hAnsi="Arial"/>
                <w:sz w:val="18"/>
                <w:szCs w:val="18"/>
                <w:color w:val="auto"/>
              </w:rPr>
              <w:t>Intangible assets, less accumulated amortization of $258.0 and $276.2, respectively</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331.7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286.8</w:t>
            </w:r>
          </w:p>
        </w:tc>
      </w:tr>
      <w:tr>
        <w:trPr>
          <w:trHeight w:val="27"/>
        </w:trPr>
        <w:tc>
          <w:tcPr>
            <w:tcW w:w="3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636.4</w:t>
            </w:r>
          </w:p>
        </w:tc>
      </w:tr>
      <w:tr>
        <w:trPr>
          <w:trHeight w:val="237"/>
        </w:trPr>
        <w:tc>
          <w:tcPr>
            <w:tcW w:w="8460" w:type="dxa"/>
            <w:vAlign w:val="bottom"/>
            <w:gridSpan w:val="4"/>
          </w:tcPr>
          <w:p>
            <w:pPr>
              <w:ind w:left="680"/>
              <w:spacing w:after="0"/>
              <w:rPr>
                <w:sz w:val="20"/>
                <w:szCs w:val="20"/>
                <w:color w:val="auto"/>
              </w:rPr>
            </w:pPr>
            <w:r>
              <w:rPr>
                <w:rFonts w:ascii="Arial" w:cs="Arial" w:eastAsia="Arial" w:hAnsi="Arial"/>
                <w:sz w:val="18"/>
                <w:szCs w:val="18"/>
                <w:color w:val="auto"/>
              </w:rPr>
              <w:t>Total other assets</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2,194.0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1,998.4</w:t>
            </w:r>
          </w:p>
        </w:tc>
      </w:tr>
      <w:tr>
        <w:trPr>
          <w:trHeight w:val="27"/>
        </w:trPr>
        <w:tc>
          <w:tcPr>
            <w:tcW w:w="3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30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460" w:type="dxa"/>
            <w:vAlign w:val="bottom"/>
            <w:gridSpan w:val="4"/>
          </w:tcPr>
          <w:p>
            <w:pPr>
              <w:ind w:left="40"/>
              <w:spacing w:after="0"/>
              <w:rPr>
                <w:sz w:val="20"/>
                <w:szCs w:val="20"/>
                <w:color w:val="auto"/>
              </w:rPr>
            </w:pPr>
            <w:r>
              <w:rPr>
                <w:rFonts w:ascii="Arial" w:cs="Arial" w:eastAsia="Arial" w:hAnsi="Arial"/>
                <w:sz w:val="18"/>
                <w:szCs w:val="18"/>
                <w:b w:val="1"/>
                <w:bCs w:val="1"/>
                <w:color w:val="auto"/>
              </w:rPr>
              <w:t>PROPERTY AND EQUIPMENT:</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Land, buildings, leasehold improvements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633.5</w:t>
            </w:r>
          </w:p>
        </w:tc>
      </w:tr>
      <w:tr>
        <w:trPr>
          <w:trHeight w:val="243"/>
        </w:trPr>
        <w:tc>
          <w:tcPr>
            <w:tcW w:w="8460" w:type="dxa"/>
            <w:vAlign w:val="bottom"/>
            <w:gridSpan w:val="4"/>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453.1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484.4</w:t>
            </w:r>
          </w:p>
        </w:tc>
      </w:tr>
      <w:tr>
        <w:trPr>
          <w:trHeight w:val="27"/>
        </w:trPr>
        <w:tc>
          <w:tcPr>
            <w:tcW w:w="30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460" w:type="dxa"/>
            <w:vAlign w:val="bottom"/>
            <w:tcBorders>
              <w:bottom w:val="single" w:sz="8" w:color="CCEEFF"/>
            </w:tcBorders>
            <w:gridSpan w:val="4"/>
            <w:shd w:val="clear" w:color="auto" w:fill="CCEEFF"/>
          </w:tcPr>
          <w:p>
            <w:pPr>
              <w:ind w:left="680"/>
              <w:spacing w:after="0"/>
              <w:rPr>
                <w:sz w:val="20"/>
                <w:szCs w:val="20"/>
                <w:color w:val="auto"/>
              </w:rPr>
            </w:pPr>
            <w:r>
              <w:rPr>
                <w:rFonts w:ascii="Arial" w:cs="Arial" w:eastAsia="Arial" w:hAnsi="Arial"/>
                <w:sz w:val="18"/>
                <w:szCs w:val="18"/>
                <w:color w:val="auto"/>
              </w:rPr>
              <w:t>Net property and equipment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149.1</w:t>
            </w:r>
          </w:p>
        </w:tc>
      </w:tr>
      <w:tr>
        <w:trPr>
          <w:trHeight w:val="257"/>
        </w:trPr>
        <w:tc>
          <w:tcPr>
            <w:tcW w:w="8460" w:type="dxa"/>
            <w:vAlign w:val="bottom"/>
            <w:gridSpan w:val="4"/>
          </w:tcPr>
          <w:p>
            <w:pPr>
              <w:ind w:left="86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7,444.4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7,181.2</w:t>
            </w:r>
          </w:p>
        </w:tc>
      </w:tr>
      <w:tr>
        <w:trPr>
          <w:trHeight w:val="20"/>
        </w:trPr>
        <w:tc>
          <w:tcPr>
            <w:tcW w:w="3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67" w:right="239" w:bottom="1440" w:gutter="0" w:footer="0" w:header="0"/>
        </w:sectPr>
      </w:pPr>
    </w:p>
    <w:bookmarkStart w:id="3" w:name="page4"/>
    <w:bookmarkEnd w:id="3"/>
    <w:tbl>
      <w:tblPr>
        <w:tblLayout w:type="fixed"/>
        <w:tblInd w:w="40" w:type="dxa"/>
        <w:tblCellMar>
          <w:top w:w="0" w:type="dxa"/>
          <w:left w:w="0" w:type="dxa"/>
          <w:bottom w:w="0" w:type="dxa"/>
          <w:right w:w="0" w:type="dxa"/>
        </w:tblCellMar>
      </w:tblPr>
      <w:tr>
        <w:trPr>
          <w:trHeight w:val="234"/>
        </w:trPr>
        <w:tc>
          <w:tcPr>
            <w:tcW w:w="8280" w:type="dxa"/>
            <w:vAlign w:val="bottom"/>
          </w:tcPr>
          <w:p>
            <w:pPr>
              <w:jc w:val="center"/>
              <w:ind w:left="2990"/>
              <w:spacing w:after="0"/>
              <w:rPr>
                <w:sz w:val="20"/>
                <w:szCs w:val="20"/>
                <w:color w:val="auto"/>
              </w:rPr>
            </w:pPr>
            <w:r>
              <w:rPr>
                <w:rFonts w:ascii="Arial" w:cs="Arial" w:eastAsia="Arial" w:hAnsi="Arial"/>
                <w:sz w:val="18"/>
                <w:szCs w:val="18"/>
                <w:b w:val="1"/>
                <w:bCs w:val="1"/>
                <w:color w:val="auto"/>
                <w:w w:val="93"/>
              </w:rPr>
              <w:t>ManpowerGroup Inc.</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14"/>
        </w:trPr>
        <w:tc>
          <w:tcPr>
            <w:tcW w:w="8280" w:type="dxa"/>
            <w:vAlign w:val="bottom"/>
          </w:tcPr>
          <w:p>
            <w:pPr>
              <w:jc w:val="center"/>
              <w:ind w:left="2970"/>
              <w:spacing w:after="0"/>
              <w:rPr>
                <w:sz w:val="20"/>
                <w:szCs w:val="20"/>
                <w:color w:val="auto"/>
              </w:rPr>
            </w:pPr>
            <w:r>
              <w:rPr>
                <w:rFonts w:ascii="Arial" w:cs="Arial" w:eastAsia="Arial" w:hAnsi="Arial"/>
                <w:sz w:val="18"/>
                <w:szCs w:val="18"/>
                <w:b w:val="1"/>
                <w:bCs w:val="1"/>
                <w:color w:val="auto"/>
                <w:w w:val="89"/>
              </w:rPr>
              <w:t>Consolidated Balance Sheets (Unaudited)</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4"/>
        </w:trPr>
        <w:tc>
          <w:tcPr>
            <w:tcW w:w="8280" w:type="dxa"/>
            <w:vAlign w:val="bottom"/>
          </w:tcPr>
          <w:p>
            <w:pPr>
              <w:jc w:val="center"/>
              <w:ind w:left="2970"/>
              <w:spacing w:after="0"/>
              <w:rPr>
                <w:sz w:val="20"/>
                <w:szCs w:val="20"/>
                <w:color w:val="auto"/>
              </w:rPr>
            </w:pPr>
            <w:r>
              <w:rPr>
                <w:rFonts w:ascii="Arial" w:cs="Arial" w:eastAsia="Arial" w:hAnsi="Arial"/>
                <w:sz w:val="18"/>
                <w:szCs w:val="18"/>
                <w:b w:val="1"/>
                <w:bCs w:val="1"/>
                <w:color w:val="auto"/>
                <w:w w:val="89"/>
              </w:rPr>
              <w:t>(in millions, except share and per share data)</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8280" w:type="dxa"/>
            <w:vAlign w:val="bottom"/>
          </w:tcPr>
          <w:p>
            <w:pPr>
              <w:jc w:val="center"/>
              <w:ind w:left="2970"/>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8"/>
        </w:trPr>
        <w:tc>
          <w:tcPr>
            <w:tcW w:w="8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4"/>
                <w:szCs w:val="24"/>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r>
      <w:tr>
        <w:trPr>
          <w:trHeight w:val="270"/>
        </w:trPr>
        <w:tc>
          <w:tcPr>
            <w:tcW w:w="8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7"/>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1,647.3</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1,542.7</w:t>
            </w: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compensation payable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205.0</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204.5</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544.3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493.3</w:t>
            </w: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payroll taxes and insurance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564.4</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622.4</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Value added taxes payable</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465.8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466.3</w:t>
            </w: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borrowings and current maturities of long-term debt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45.2</w:t>
            </w:r>
          </w:p>
        </w:tc>
      </w:tr>
      <w:tr>
        <w:trPr>
          <w:trHeight w:val="237"/>
        </w:trPr>
        <w:tc>
          <w:tcPr>
            <w:tcW w:w="828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3,464.7</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3,374.4</w:t>
            </w: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7"/>
        </w:trPr>
        <w:tc>
          <w:tcPr>
            <w:tcW w:w="8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840.8</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422.6</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453.7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441.2</w:t>
            </w:r>
          </w:p>
        </w:tc>
      </w:tr>
      <w:tr>
        <w:trPr>
          <w:trHeight w:val="27"/>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other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1,294.5</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863.8</w:t>
            </w:r>
          </w:p>
        </w:tc>
      </w:tr>
      <w:tr>
        <w:trPr>
          <w:trHeight w:val="297"/>
        </w:trPr>
        <w:tc>
          <w:tcPr>
            <w:tcW w:w="8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ManpowerGroup shareholders' equity</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Preferred stock, $.01 par value, authorized 25,000,000 shares, none issued</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8280" w:type="dxa"/>
            <w:vAlign w:val="bottom"/>
          </w:tcPr>
          <w:p>
            <w:pPr>
              <w:ind w:left="160"/>
              <w:spacing w:after="0"/>
              <w:rPr>
                <w:sz w:val="20"/>
                <w:szCs w:val="20"/>
                <w:color w:val="auto"/>
              </w:rPr>
            </w:pPr>
            <w:r>
              <w:rPr>
                <w:rFonts w:ascii="Arial" w:cs="Arial" w:eastAsia="Arial" w:hAnsi="Arial"/>
                <w:sz w:val="18"/>
                <w:szCs w:val="18"/>
                <w:color w:val="auto"/>
              </w:rPr>
              <w:t>Common stock, $.01 par value, authorized 125,000,000 shares, issued 114,398,190 and</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112,876,552 shares, respectively</w:t>
            </w:r>
          </w:p>
        </w:tc>
        <w:tc>
          <w:tcPr>
            <w:tcW w:w="16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Capital in excess of par value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3,170.4</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3,084.2</w:t>
            </w:r>
          </w:p>
        </w:tc>
      </w:tr>
      <w:tr>
        <w:trPr>
          <w:trHeight w:val="243"/>
        </w:trPr>
        <w:tc>
          <w:tcPr>
            <w:tcW w:w="828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1,901.0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1,667.8</w:t>
            </w: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(155.2)</w:t>
            </w:r>
          </w:p>
        </w:tc>
      </w:tr>
      <w:tr>
        <w:trPr>
          <w:trHeight w:val="243"/>
        </w:trPr>
        <w:tc>
          <w:tcPr>
            <w:tcW w:w="8280" w:type="dxa"/>
            <w:vAlign w:val="bottom"/>
          </w:tcPr>
          <w:p>
            <w:pPr>
              <w:ind w:left="160"/>
              <w:spacing w:after="0"/>
              <w:rPr>
                <w:sz w:val="20"/>
                <w:szCs w:val="20"/>
                <w:color w:val="auto"/>
              </w:rPr>
            </w:pPr>
            <w:r>
              <w:rPr>
                <w:rFonts w:ascii="Arial" w:cs="Arial" w:eastAsia="Arial" w:hAnsi="Arial"/>
                <w:sz w:val="18"/>
                <w:szCs w:val="18"/>
                <w:color w:val="auto"/>
              </w:rPr>
              <w:t>Treasury stock at cost, 40,799,029 and 34,762,316 shares, respectively</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(2,184.5)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(1,654.9)</w:t>
            </w:r>
          </w:p>
        </w:tc>
      </w:tr>
      <w:tr>
        <w:trPr>
          <w:trHeight w:val="27"/>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ManpowerGroup 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2,620.2</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2,943.0</w:t>
            </w:r>
          </w:p>
        </w:tc>
      </w:tr>
      <w:tr>
        <w:trPr>
          <w:trHeight w:val="237"/>
        </w:trPr>
        <w:tc>
          <w:tcPr>
            <w:tcW w:w="828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65.0</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2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2,685.2</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2,943.0</w:t>
            </w:r>
          </w:p>
        </w:tc>
      </w:tr>
      <w:tr>
        <w:trPr>
          <w:trHeight w:val="257"/>
        </w:trPr>
        <w:tc>
          <w:tcPr>
            <w:tcW w:w="8280" w:type="dxa"/>
            <w:vAlign w:val="bottom"/>
          </w:tcPr>
          <w:p>
            <w:pPr>
              <w:ind w:left="90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7,444.4</w:t>
            </w:r>
          </w:p>
        </w:tc>
        <w:tc>
          <w:tcPr>
            <w:tcW w:w="2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7,181.2</w:t>
            </w:r>
          </w:p>
        </w:tc>
      </w:tr>
      <w:tr>
        <w:trPr>
          <w:trHeight w:val="20"/>
        </w:trPr>
        <w:tc>
          <w:tcPr>
            <w:tcW w:w="8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64" w:right="2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ManpowerGroup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data)</w:t>
      </w:r>
    </w:p>
    <w:p>
      <w:pPr>
        <w:spacing w:after="0" w:line="36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3 Months Ended</w:t>
            </w:r>
          </w:p>
        </w:tc>
        <w:tc>
          <w:tcPr>
            <w:tcW w:w="260" w:type="dxa"/>
            <w:vAlign w:val="bottom"/>
          </w:tcPr>
          <w:p>
            <w:pPr>
              <w:spacing w:after="0"/>
              <w:rPr>
                <w:sz w:val="20"/>
                <w:szCs w:val="20"/>
                <w:color w:val="auto"/>
              </w:rPr>
            </w:pPr>
          </w:p>
        </w:tc>
        <w:tc>
          <w:tcPr>
            <w:tcW w:w="21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9 Months Ended</w:t>
            </w:r>
          </w:p>
        </w:tc>
      </w:tr>
      <w:tr>
        <w:trPr>
          <w:trHeight w:val="270"/>
        </w:trPr>
        <w:tc>
          <w:tcPr>
            <w:tcW w:w="6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23"/>
                <w:szCs w:val="23"/>
                <w:color w:val="auto"/>
              </w:rPr>
            </w:pPr>
          </w:p>
        </w:tc>
        <w:tc>
          <w:tcPr>
            <w:tcW w:w="21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from services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14,376.0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15,641.7</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4,120.4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4,510.4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11,931.3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13,022.3</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2,619.4</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Selling and administrative expenses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645.8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693.3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1,936.9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2,092.8</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Operating profit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526.6</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Interest and other expenses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27.0</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Earnings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499.6</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189.2</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295.3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310.4</w:t>
            </w: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91"/>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earnings per share – basic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3.89</w:t>
            </w:r>
          </w:p>
        </w:tc>
      </w:tr>
      <w:tr>
        <w:trPr>
          <w:trHeight w:val="251"/>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per share – 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3.82</w:t>
            </w: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91"/>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shares – basic</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77.7</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79.8</w:t>
            </w:r>
          </w:p>
        </w:tc>
      </w:tr>
      <w:tr>
        <w:trPr>
          <w:trHeight w:val="251"/>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 diluted</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81.3</w:t>
            </w: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ManpowerGroup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 (Loss)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3 Months Ended</w:t>
            </w:r>
          </w:p>
        </w:tc>
        <w:tc>
          <w:tcPr>
            <w:tcW w:w="240" w:type="dxa"/>
            <w:vAlign w:val="bottom"/>
          </w:tcPr>
          <w:p>
            <w:pPr>
              <w:spacing w:after="0"/>
              <w:rPr>
                <w:sz w:val="20"/>
                <w:szCs w:val="20"/>
                <w:color w:val="auto"/>
              </w:rPr>
            </w:pPr>
          </w:p>
        </w:tc>
        <w:tc>
          <w:tcPr>
            <w:tcW w:w="21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9 Months Ended</w:t>
            </w:r>
          </w:p>
        </w:tc>
      </w:tr>
      <w:tr>
        <w:trPr>
          <w:trHeight w:val="270"/>
        </w:trPr>
        <w:tc>
          <w:tcPr>
            <w:tcW w:w="6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3"/>
                <w:szCs w:val="23"/>
                <w:color w:val="auto"/>
              </w:rPr>
            </w:pPr>
          </w:p>
        </w:tc>
        <w:tc>
          <w:tcPr>
            <w:tcW w:w="21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310.4</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r>
      <w:tr>
        <w:trPr>
          <w:trHeight w:val="229"/>
        </w:trPr>
        <w:tc>
          <w:tcPr>
            <w:tcW w:w="6500" w:type="dxa"/>
            <w:vAlign w:val="bottom"/>
          </w:tcPr>
          <w:p>
            <w:pPr>
              <w:ind w:left="560"/>
              <w:spacing w:after="0"/>
              <w:rPr>
                <w:sz w:val="20"/>
                <w:szCs w:val="20"/>
                <w:color w:val="auto"/>
              </w:rPr>
            </w:pPr>
            <w:r>
              <w:rPr>
                <w:rFonts w:ascii="Arial" w:cs="Arial" w:eastAsia="Arial" w:hAnsi="Arial"/>
                <w:sz w:val="18"/>
                <w:szCs w:val="18"/>
                <w:color w:val="auto"/>
                <w:w w:val="93"/>
              </w:rPr>
              <w:t>Translation adjustments on net investment hedge, net of income taxes of $(0.4),</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500" w:type="dxa"/>
            <w:vAlign w:val="bottom"/>
          </w:tcPr>
          <w:p>
            <w:pPr>
              <w:ind w:left="840"/>
              <w:spacing w:after="0"/>
              <w:rPr>
                <w:sz w:val="20"/>
                <w:szCs w:val="20"/>
                <w:color w:val="auto"/>
              </w:rPr>
            </w:pPr>
            <w:r>
              <w:rPr>
                <w:rFonts w:ascii="Arial" w:cs="Arial" w:eastAsia="Arial" w:hAnsi="Arial"/>
                <w:sz w:val="18"/>
                <w:szCs w:val="18"/>
                <w:color w:val="auto"/>
              </w:rPr>
              <w:t>$13.1, $11.4 and $13.7, respectively</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24.4</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Translation adjustments of long-term intercompany loans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r>
      <w:tr>
        <w:trPr>
          <w:trHeight w:val="229"/>
        </w:trPr>
        <w:tc>
          <w:tcPr>
            <w:tcW w:w="6500" w:type="dxa"/>
            <w:vAlign w:val="bottom"/>
          </w:tcPr>
          <w:p>
            <w:pPr>
              <w:ind w:left="560"/>
              <w:spacing w:after="0"/>
              <w:rPr>
                <w:sz w:val="20"/>
                <w:szCs w:val="20"/>
                <w:color w:val="auto"/>
              </w:rPr>
            </w:pPr>
            <w:r>
              <w:rPr>
                <w:rFonts w:ascii="Arial" w:cs="Arial" w:eastAsia="Arial" w:hAnsi="Arial"/>
                <w:sz w:val="18"/>
                <w:szCs w:val="18"/>
                <w:color w:val="auto"/>
                <w:w w:val="92"/>
              </w:rPr>
              <w:t>Unrealized (loss) gain on investments, net of income taxes of $(0.1), $0.4, $(0.4)</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500" w:type="dxa"/>
            <w:vAlign w:val="bottom"/>
          </w:tcPr>
          <w:p>
            <w:pPr>
              <w:ind w:left="840"/>
              <w:spacing w:after="0"/>
              <w:rPr>
                <w:sz w:val="20"/>
                <w:szCs w:val="20"/>
                <w:color w:val="auto"/>
              </w:rPr>
            </w:pPr>
            <w:r>
              <w:rPr>
                <w:rFonts w:ascii="Arial" w:cs="Arial" w:eastAsia="Arial" w:hAnsi="Arial"/>
                <w:sz w:val="18"/>
                <w:szCs w:val="18"/>
                <w:color w:val="auto"/>
              </w:rPr>
              <w:t>and $1.7, respectively</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3.4</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650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1"/>
              </w:rPr>
              <w:t>Defined benefit pension plans and retiree health care plan, net of income taxes of</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57"/>
        </w:trPr>
        <w:tc>
          <w:tcPr>
            <w:tcW w:w="65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$0.2, $0.1, $0.7 and $0.5, respectively</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Total other comprehensive loss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(127.0)</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183.4</w:t>
            </w: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796"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ManpowerGroup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9 Months Ended</w:t>
            </w:r>
          </w:p>
        </w:tc>
      </w:tr>
      <w:tr>
        <w:trPr>
          <w:trHeight w:val="270"/>
        </w:trPr>
        <w:tc>
          <w:tcPr>
            <w:tcW w:w="9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9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9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295.3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310.4</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64.3</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43"/>
        </w:trPr>
        <w:tc>
          <w:tcPr>
            <w:tcW w:w="9260" w:type="dxa"/>
            <w:vAlign w:val="bottom"/>
          </w:tcPr>
          <w:p>
            <w:pPr>
              <w:ind w:left="200"/>
              <w:spacing w:after="0"/>
              <w:rPr>
                <w:sz w:val="20"/>
                <w:szCs w:val="20"/>
                <w:color w:val="auto"/>
              </w:rPr>
            </w:pPr>
            <w:r>
              <w:rPr>
                <w:rFonts w:ascii="Arial" w:cs="Arial" w:eastAsia="Arial" w:hAnsi="Arial"/>
                <w:sz w:val="18"/>
                <w:szCs w:val="18"/>
                <w:color w:val="auto"/>
              </w:rPr>
              <w:t>Provision for doubtful accounts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w:t>
            </w:r>
          </w:p>
        </w:tc>
      </w:tr>
      <w:tr>
        <w:trPr>
          <w:trHeight w:val="243"/>
        </w:trPr>
        <w:tc>
          <w:tcPr>
            <w:tcW w:w="9260" w:type="dxa"/>
            <w:vAlign w:val="bottom"/>
          </w:tcPr>
          <w:p>
            <w:pPr>
              <w:ind w:left="200"/>
              <w:spacing w:after="0"/>
              <w:rPr>
                <w:sz w:val="20"/>
                <w:szCs w:val="20"/>
                <w:color w:val="auto"/>
              </w:rPr>
            </w:pPr>
            <w:r>
              <w:rPr>
                <w:rFonts w:ascii="Arial" w:cs="Arial" w:eastAsia="Arial" w:hAnsi="Arial"/>
                <w:sz w:val="18"/>
                <w:szCs w:val="18"/>
                <w:color w:val="auto"/>
              </w:rPr>
              <w:t>Excess tax benefit on exercise of share-based awards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 excluding the impact of 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(355.4)</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r>
      <w:tr>
        <w:trPr>
          <w:trHeight w:val="243"/>
        </w:trPr>
        <w:tc>
          <w:tcPr>
            <w:tcW w:w="9260" w:type="dxa"/>
            <w:vAlign w:val="bottom"/>
          </w:tcPr>
          <w:p>
            <w:pPr>
              <w:ind w:left="40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169.5</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9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Cash provided by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w:t>
            </w:r>
          </w:p>
        </w:tc>
      </w:tr>
      <w:tr>
        <w:trPr>
          <w:trHeight w:val="291"/>
        </w:trPr>
        <w:tc>
          <w:tcPr>
            <w:tcW w:w="9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(32.8)</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of businesses, net of cash acquired</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Proceeds from the sale of property and equipment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9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Cash used in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r>
      <w:tr>
        <w:trPr>
          <w:trHeight w:val="291"/>
        </w:trPr>
        <w:tc>
          <w:tcPr>
            <w:tcW w:w="9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Net change in short-term borrowings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Repayments of long-term debt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for debt issuance costs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Proceeds from share-based awards and other equity transactions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24.3</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share-based award transactions, net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Repurchases of common stock</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(72.6)</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r>
      <w:tr>
        <w:trPr>
          <w:trHeight w:val="237"/>
        </w:trPr>
        <w:tc>
          <w:tcPr>
            <w:tcW w:w="9260" w:type="dxa"/>
            <w:vAlign w:val="bottom"/>
          </w:tcPr>
          <w:p>
            <w:pPr>
              <w:ind w:left="680"/>
              <w:spacing w:after="0"/>
              <w:rPr>
                <w:sz w:val="20"/>
                <w:szCs w:val="20"/>
                <w:color w:val="auto"/>
              </w:rPr>
            </w:pPr>
            <w:r>
              <w:rPr>
                <w:rFonts w:ascii="Arial" w:cs="Arial" w:eastAsia="Arial" w:hAnsi="Arial"/>
                <w:sz w:val="18"/>
                <w:szCs w:val="18"/>
                <w:color w:val="auto"/>
              </w:rPr>
              <w:t>Cash used in financing activities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(84.2)</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91"/>
        </w:trPr>
        <w:tc>
          <w:tcPr>
            <w:tcW w:w="9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699.2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737.6</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652.5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660.7</w:t>
            </w:r>
          </w:p>
        </w:tc>
      </w:tr>
      <w:tr>
        <w:trPr>
          <w:trHeight w:val="20"/>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84"/>
        </w:trPr>
        <w:tc>
          <w:tcPr>
            <w:tcW w:w="9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304"/>
        </w:trPr>
        <w:tc>
          <w:tcPr>
            <w:tcW w:w="9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paid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33.2</w:t>
            </w:r>
          </w:p>
        </w:tc>
      </w:tr>
      <w:tr>
        <w:trPr>
          <w:trHeight w:val="251"/>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paid,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69.8</w:t>
            </w:r>
          </w:p>
        </w:tc>
      </w:tr>
      <w:tr>
        <w:trPr>
          <w:trHeight w:val="20"/>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96" w:right="239" w:bottom="1018"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and Nine Months Ended September 30, 2015 and 2014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00" w:lineRule="exact"/>
        <w:rPr>
          <w:sz w:val="20"/>
          <w:szCs w:val="20"/>
          <w:color w:val="auto"/>
        </w:rPr>
      </w:pPr>
    </w:p>
    <w:p>
      <w:pPr>
        <w:spacing w:after="0" w:line="227"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Certain information and footnote disclosures normally included in the financial statements prepared in accordance with generally accepted accounting principles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2014 Annual Report to Shareholders.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information furnished reflects all adjustments that, in the opinion of management, were necessary for a fair statement of the results of operations for the periods presented. Such adjustments were of a normal recurring nature, unless otherwise disclosed.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225"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In accordance with the current accounting guidance for goodwill and other intangible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performed our annual impairment test of our goodwill and indefinite-lived intangible assets during the third quarter of 2015 and determined that there was no impairment of our goodwill or our indefinite-lived intangible assets.</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Significant assumptions used in our annual goodwill impairment test during the third quarter of 2015 included: expected future revenue growth rates, operating unit profit margins, working capital levels, discount rates ranging from 11.8% to 17.1%, and a terminal value multiple. The expected future revenue growth rates and operating unit profit margins were determined after taking into consideration our historical revenue growth rates and operating unit profit margins, our assessment of future market potential, and our expectations of future business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Payroll Tax Credit</w:t>
      </w:r>
    </w:p>
    <w:p>
      <w:pPr>
        <w:spacing w:after="0" w:line="225" w:lineRule="exact"/>
        <w:rPr>
          <w:sz w:val="20"/>
          <w:szCs w:val="20"/>
          <w:color w:val="auto"/>
        </w:rPr>
      </w:pPr>
    </w:p>
    <w:p>
      <w:pPr>
        <w:jc w:val="both"/>
        <w:ind w:right="640"/>
        <w:spacing w:after="0" w:line="264" w:lineRule="auto"/>
        <w:rPr>
          <w:sz w:val="20"/>
          <w:szCs w:val="20"/>
          <w:color w:val="auto"/>
        </w:rPr>
      </w:pPr>
      <w:r>
        <w:rPr>
          <w:rFonts w:ascii="Arial" w:cs="Arial" w:eastAsia="Arial" w:hAnsi="Arial"/>
          <w:sz w:val="18"/>
          <w:szCs w:val="18"/>
          <w:color w:val="auto"/>
        </w:rPr>
        <w:t>We entered into an agreement in July 2015 to sell a portion of our French payroll tax credits earned in 2014 for net proceeds of approximately $130.0 (€120.1). We derecognized these receivables upon the sale date as the terms of the agreement are such that the transaction qualifies for sale treatment according to the accounting guidance on the transfer and servicing of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connection with the adoption in the third quarter of 2015 of the new accounting guidance on debt issuance costs, we have reclassified certain amounts in prior-period financial statements to conform to the current period's presentation. On our consolidated balance sheets, we have reclassified debt issuance costs associated with our long-term debt from other assets to long-term debt (see Note 9 to the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have evaluated events and transactions occurring after the balance sheet date through our filing date and noted no events that are subject to recognition or disclosure.</w:t>
      </w:r>
    </w:p>
    <w:p>
      <w:pPr>
        <w:spacing w:after="0" w:line="387"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April 2014, the Financial Accounting Standards Board (“FASB”) issued new accounting guidance on reporting discontinued operations and disclosures of disposals of components of an entity. The new guidance changes the requirements for reporting discontinued operations. A discontinued operation may include a component of an entity or a group of components of an entity. A disposal of a component of an entity or a group of components of an entity is required to be reported in discontinued operations if the disposal represents a strategic shift that has (or will have) a major effect on an entity's operations and financial results and when the component or group of components meets the criteria to be classified as held for sale, is disposed by sale, or is disposed of other than by sale. We adopted this guidance effective January 1, 2015. There was no impact of this adoption on our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364" w:right="259" w:bottom="1440" w:gutter="0" w:footer="0" w:header="0"/>
        </w:sectPr>
      </w:pPr>
    </w:p>
    <w:bookmarkStart w:id="7" w:name="page8"/>
    <w:bookmarkEnd w:id="7"/>
    <w:p>
      <w:pPr>
        <w:ind w:right="120"/>
        <w:spacing w:after="0" w:line="257" w:lineRule="auto"/>
        <w:rPr>
          <w:sz w:val="20"/>
          <w:szCs w:val="20"/>
          <w:color w:val="auto"/>
        </w:rPr>
      </w:pPr>
      <w:r>
        <w:rPr>
          <w:rFonts w:ascii="Arial" w:cs="Arial" w:eastAsia="Arial" w:hAnsi="Arial"/>
          <w:sz w:val="18"/>
          <w:szCs w:val="18"/>
          <w:color w:val="auto"/>
        </w:rPr>
        <w:t>In May 2014, the FASB issued new accounting guidance on revenue from contracts with customers. The core principle of this guidance is that an entity should recognize revenue to depict the transfer of promised goods or services to customers in an amount that reflects the consideration to which the entity expects to be entitled in exchange for those goods or services. The guidance is effective for us in the first quarter of 2018 and can be adopted either retrospectively to each prior reporting period presented or as a cumulative-effect adjustment as of the date of adoption. We are currently assessing the impact of the adoption of this guidance on our Consolidated Financial Statements.</w:t>
      </w:r>
    </w:p>
    <w:p>
      <w:pPr>
        <w:spacing w:after="0" w:line="18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September 2014, the FASB issued new accounting guidance on disclosure of uncertainties about an entity’s ability to continue as a going concern. The new guidance requires an entity’s management to evaluate whether there are conditions or events, considered in the aggregate, that raise substantial doubt about the entity’s ability to continue as a going concern within one year after the date that the financial statements are issued, and if so, disclose that fact. Management is also required to evaluate and disclose whether its plans alleviate that doubt. The guidance is effective for us in 2017 and will be applicable to both annual and interim reporting periods. We do not expect the adoption of this guidance to have an impact on our Consolidated Financial Statements.</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January 2015, the FASB issued new accounting guidance on presentation of extraordinary items. The new guidance eliminates the separate presentation of extraordinary items, net of tax and the related earnings per share, but does not affect the requirement to disclose material items that are unusual in nature or infrequently occurring. The guidance is effective for us in 2016. We do not expect the adoption of this guidance to have a material impact on our Consolidated Financial Statements.</w:t>
      </w:r>
    </w:p>
    <w:p>
      <w:pPr>
        <w:spacing w:after="0" w:line="18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February 2015, the FASB issued new accounting guidance on consolidation. The new guidance changes the way an entity evaluates whether (1) it should consolidate limited partnerships and similar entities, (2) fees paid to a decision maker or service provider are variable interests in a variable interest entity (“VIE”), and (3) variable interests in a VIE held by related parties of an entity require the entity to consolidate the VIE. The guidance is effective for us in 2016. We do not expect the adoption of this guidance to have a material impact on our Consolidated Financial Statements.</w:t>
      </w:r>
    </w:p>
    <w:p>
      <w:pPr>
        <w:spacing w:after="0" w:line="17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 April 2015, the FASB issued new accounting guidance on debt issuance costs. The new guidance requires debt issuance costs related to a recognized debt liability to be presented in the balance sheet as a direct deduction from the associated liability, consistent with debt discounts. We adopted this guidance effective as of September 2015. The impact of the adoption of this guidance is disclosed in Note 9 to the Consolidated Financial Statements.</w:t>
      </w:r>
    </w:p>
    <w:p>
      <w:pPr>
        <w:spacing w:after="0" w:line="14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May 2015, the FASB issued new accounting guidance on customer’s accounting for fees paid in a cloud computing arrangement. If a cloud computing arrangement includes a software license,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guidance is effective for us in 2016. We do not expect the adoption of this guidance to have a material impact on our Consolidated Financial Statements.</w:t>
      </w:r>
    </w:p>
    <w:p>
      <w:pPr>
        <w:spacing w:after="0" w:line="18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September 2015, the FASB issued new accounting guidance on business combinations. The new guidance eliminates the requirement to restate prior period financial statements for measurement period adjustments following a business combination. It requires that the cumulative impact of a measurement period adjustment (including the impact on prior periods) be recognized in the reporting period in which the adjustment is identified. The prior period impact of the adjustment should be either presented separately on the face of the income statement or disclosed in the notes. The guidance is effective for us in 2016. We do not expect the adoption of this guidance to have a material impact on our Consolidated Financial Statements.</w:t>
      </w:r>
    </w:p>
    <w:p>
      <w:pPr>
        <w:spacing w:after="0" w:line="374"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Share-Based Compensation Plans</w:t>
      </w:r>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During the three months ended September 30, 2015 and 2014, we recognized share-based compensation expense of $8.1 and $10.4, respectively, and $22.9 and $34.3 for the nine months ended September 30, 2015 and 2014, respectively. The expense relates to stock options, deferred stock, restricted stock and performance share units. Consideration received from share-based awards was $65.8 and $24.3 for the nine months ended September 30, 2015 and 2014, respectively. We recognize share-based compensation expense in selling and administrative expenses on a straight-line basis over the service period of each award.</w:t>
      </w:r>
    </w:p>
    <w:p>
      <w:pPr>
        <w:spacing w:after="0" w:line="200" w:lineRule="exact"/>
        <w:rPr>
          <w:sz w:val="20"/>
          <w:szCs w:val="20"/>
          <w:color w:val="auto"/>
        </w:rPr>
      </w:pPr>
    </w:p>
    <w:p>
      <w:pPr>
        <w:spacing w:after="0" w:line="204"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September 3, 2015, we completed our previously announced acquisition of 7S Group GmbH (“7S”), for total consideration, net of cash acquired, of</w:t>
      </w:r>
    </w:p>
    <w:p>
      <w:pPr>
        <w:spacing w:after="0" w:line="35"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$140.4 (€125.3). In addition, we incurred approximately $2.2 and $3.4 of transaction costs associated with the acquisition during the three and nine months ended September 30, 2015, respectively, which have been recorded in selling and administrative expenses. Based primarily in Germany, 7S is a highly specialized provider of human resource services focusing on a number of core sectors including skilled trades, engineering and IT.</w:t>
      </w:r>
    </w:p>
    <w:p>
      <w:pPr>
        <w:spacing w:after="0" w:line="1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Of the $153.0 (€136.5) of net acquired assets, $49.1 (€43.8) was recorded as finite-lived intangible assets, of which $44.2 (€39.4) was assigned to customer relationships and will be amortized over 10 years using the straight line method. As of September 30,</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8" w:name="page9"/>
    <w:bookmarkEnd w:id="8"/>
    <w:p>
      <w:pPr>
        <w:ind w:right="220"/>
        <w:spacing w:after="0" w:line="277" w:lineRule="auto"/>
        <w:rPr>
          <w:sz w:val="20"/>
          <w:szCs w:val="20"/>
          <w:color w:val="auto"/>
        </w:rPr>
      </w:pPr>
      <w:r>
        <w:rPr>
          <w:rFonts w:ascii="Arial" w:cs="Arial" w:eastAsia="Arial" w:hAnsi="Arial"/>
          <w:sz w:val="18"/>
          <w:szCs w:val="18"/>
          <w:color w:val="auto"/>
        </w:rPr>
        <w:t>2015, the customer relationships were $43.6 (€39.0). Total amortization expense related to this intangible asset for the remainder of 2015 and in each of the next five years is $1.0 and $4.5, respectively.</w:t>
      </w:r>
    </w:p>
    <w:p>
      <w:pPr>
        <w:spacing w:after="0" w:line="13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fair value of $118.3 (€105.6), which was not directly attributable to any specific assets or liabilities, was assigned to goodwill as part of the Germany reporting unit.</w:t>
      </w:r>
    </w:p>
    <w:p>
      <w:pPr>
        <w:spacing w:after="0" w:line="13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September 30, 2015, the purchase accounting and figures associated with the above acquisition are preliminary based on the timing of the transaction and will be finalized in early 2016.</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From time to time, we acquire and invest in companies throughout the world, including franchises. The total cash consideration for acquisitions excluding 7S, net of cash acquired, was $100.3 for the nine months ended September 30, 2015, the majority of which took place in Australia, Canada and the Netherlands. The total cash consideration for acquisitions, net of cash acquired, was $25.1 for the nine months ended September 30, 2014.</w:t>
      </w:r>
    </w:p>
    <w:p>
      <w:pPr>
        <w:spacing w:after="0" w:line="382"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Restructuring Costs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nine months ended September 30, 2015, we made payments of $6.1 out of our restructuring reserve that was created in 2012 and 2013. We expect a majority of the remaining $6.8 reserve will be paid by the end of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restructuring reserve by reportable segment and Corporate are shown below.</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Southern</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Northern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Right</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61"/>
        </w:trPr>
        <w:tc>
          <w:tcPr>
            <w:tcW w:w="2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Americas</w:t>
            </w:r>
            <w:r>
              <w:rPr>
                <w:rFonts w:ascii="Arial" w:cs="Arial" w:eastAsia="Arial" w:hAnsi="Arial"/>
                <w:sz w:val="21"/>
                <w:szCs w:val="21"/>
                <w:color w:val="auto"/>
                <w:vertAlign w:val="superscript"/>
              </w:rPr>
              <w:t>(1)</w:t>
            </w:r>
          </w:p>
        </w:tc>
        <w:tc>
          <w:tcPr>
            <w:tcW w:w="160" w:type="dxa"/>
            <w:vAlign w:val="bottom"/>
          </w:tcPr>
          <w:p>
            <w:pPr>
              <w:spacing w:after="0"/>
              <w:rPr>
                <w:sz w:val="22"/>
                <w:szCs w:val="22"/>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Europe</w:t>
            </w:r>
            <w:r>
              <w:rPr>
                <w:rFonts w:ascii="Arial" w:cs="Arial" w:eastAsia="Arial" w:hAnsi="Arial"/>
                <w:sz w:val="21"/>
                <w:szCs w:val="21"/>
                <w:color w:val="auto"/>
                <w:vertAlign w:val="superscript"/>
              </w:rPr>
              <w:t>(2)</w:t>
            </w:r>
          </w:p>
        </w:tc>
        <w:tc>
          <w:tcPr>
            <w:tcW w:w="160" w:type="dxa"/>
            <w:vAlign w:val="bottom"/>
          </w:tcPr>
          <w:p>
            <w:pPr>
              <w:spacing w:after="0"/>
              <w:rPr>
                <w:sz w:val="22"/>
                <w:szCs w:val="2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Europe</w:t>
            </w:r>
          </w:p>
        </w:tc>
        <w:tc>
          <w:tcPr>
            <w:tcW w:w="22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APME</w:t>
            </w:r>
          </w:p>
        </w:tc>
        <w:tc>
          <w:tcPr>
            <w:tcW w:w="140" w:type="dxa"/>
            <w:vAlign w:val="bottom"/>
          </w:tcPr>
          <w:p>
            <w:pPr>
              <w:spacing w:after="0"/>
              <w:rPr>
                <w:sz w:val="22"/>
                <w:szCs w:val="22"/>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Management</w:t>
            </w: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Corporate</w:t>
            </w:r>
          </w:p>
        </w:tc>
        <w:tc>
          <w:tcPr>
            <w:tcW w:w="240" w:type="dxa"/>
            <w:vAlign w:val="bottom"/>
          </w:tcPr>
          <w:p>
            <w:pPr>
              <w:spacing w:after="0"/>
              <w:rPr>
                <w:sz w:val="22"/>
                <w:szCs w:val="22"/>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44"/>
        </w:trPr>
        <w:tc>
          <w:tcPr>
            <w:tcW w:w="2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 2015</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Costs paid or utilized</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2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30, 2015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0"/>
        </w:trPr>
        <w:tc>
          <w:tcPr>
            <w:tcW w:w="2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Balances related to the United States were $1.0 and $0.3 as of January 1, 2015 and September 30, 2015, respectively.</w:t>
      </w:r>
    </w:p>
    <w:p>
      <w:pPr>
        <w:spacing w:after="0" w:line="23" w:lineRule="exact"/>
        <w:rPr>
          <w:rFonts w:ascii="Arial" w:cs="Arial" w:eastAsia="Arial" w:hAnsi="Arial"/>
          <w:sz w:val="18"/>
          <w:szCs w:val="18"/>
          <w:color w:val="auto"/>
        </w:rPr>
      </w:pPr>
    </w:p>
    <w:p>
      <w:pPr>
        <w:ind w:right="100" w:firstLine="8"/>
        <w:spacing w:after="0" w:line="261"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Balances related to France were $2.1 and $1.6 as of January 1, 2015 and September 30, 2015, respectively. Italy had no restructuring reserves recorded as of either January 1, 2015 or September 30, 2015.</w:t>
      </w:r>
    </w:p>
    <w:p>
      <w:pPr>
        <w:spacing w:after="0" w:line="400"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recorded income tax expense at an effective rate of 37.1% for the three months ended September 30, 2015, as compared to an effective rate of 35.5% for the three months ended September 30, 2014. The 2015 rate was unfavorably impacted by the change in the mix of earnings due to the strengthening of the United States dollar as well as a decrease in non-U.S. income. The 37.1% effective tax rate in the quarter was higher than the United States Federal statutory rate of 35%, and we currently expect an annual effective tax rate of approximately 38%, due primarily to the French business tax, expected repatriations, valuation allowances and other permanent items.</w:t>
      </w:r>
    </w:p>
    <w:p>
      <w:pPr>
        <w:spacing w:after="0" w:line="188"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We recorded income tax expense at an effective rate of 38.6% for the nine months ended September 30, 2015, as compared to an effective rate of 37.9% for the nine months ended September 30, 2014. The 38.6% effective tax rate for the nine months ended September 30, 2015 was higher than the United States Federal statutory rate of 35% due primarily to the French business tax, expected repatriations, valuation allowances and other permanent items.</w:t>
      </w:r>
    </w:p>
    <w:p>
      <w:pPr>
        <w:spacing w:after="0" w:line="14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As of September 30, 2015, we had gross unrecognized tax benefits related to various tax jurisdictions, including interest and penalties, of $32.7. We had related tax benefits of $1.4, and the net amount of $31.3 would favorably impact the effective tax rate if recognized. As of December 31, 2014, we had gross unrecognized tax benefits related to various tax jurisdictions, including interest and penalties, of $30.8. We had related tax benefits of $1.4 for a net amount of $29.4. We do not expect our unrecognized tax benefits to change significantly over the next 12 months.</w:t>
      </w:r>
    </w:p>
    <w:p>
      <w:pPr>
        <w:spacing w:after="0" w:line="171"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We conduct business globally in 80 countries and territories. We are routinely audited by the tax authorities of the various tax jurisdictions in which we operate. Generally, the tax years that could be subject to examination are 2008 through 2014 for our major operations in France, Germany, Italy, Japan, the United Kingdom and the United States. As of September 30, 2015, we are subject to tax audits in Austria, Canada, Denmark, France, Germany, Japan, Netherlands, Norway, Russia and Spain. We believe that the resolution of these audits will not have a material impact on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8" w:right="239" w:bottom="1440" w:gutter="0" w:footer="0" w:header="0"/>
        </w:sectPr>
      </w:pPr>
    </w:p>
    <w:bookmarkStart w:id="9" w:name="page10"/>
    <w:bookmarkEnd w:id="9"/>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Net Earnings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of net earnings per share – basic and net earnings per share – diluted were as follows:</w:t>
      </w:r>
    </w:p>
    <w:p>
      <w:pPr>
        <w:spacing w:after="0" w:line="167"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3 Months Ended</w:t>
            </w:r>
          </w:p>
        </w:tc>
        <w:tc>
          <w:tcPr>
            <w:tcW w:w="260" w:type="dxa"/>
            <w:vAlign w:val="bottom"/>
          </w:tcPr>
          <w:p>
            <w:pPr>
              <w:spacing w:after="0"/>
              <w:rPr>
                <w:sz w:val="20"/>
                <w:szCs w:val="20"/>
                <w:color w:val="auto"/>
              </w:rPr>
            </w:pPr>
          </w:p>
        </w:tc>
        <w:tc>
          <w:tcPr>
            <w:tcW w:w="208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9 Months Ended</w:t>
            </w:r>
          </w:p>
        </w:tc>
      </w:tr>
      <w:tr>
        <w:trPr>
          <w:trHeight w:val="270"/>
        </w:trPr>
        <w:tc>
          <w:tcPr>
            <w:tcW w:w="6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23"/>
                <w:szCs w:val="23"/>
                <w:color w:val="auto"/>
              </w:rPr>
            </w:pPr>
          </w:p>
        </w:tc>
        <w:tc>
          <w:tcPr>
            <w:tcW w:w="208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27"/>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available to common shareholders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310.4</w:t>
            </w: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11"/>
        </w:trPr>
        <w:tc>
          <w:tcPr>
            <w:tcW w:w="6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(in millions)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160"/>
              <w:spacing w:after="0"/>
              <w:rPr>
                <w:sz w:val="20"/>
                <w:szCs w:val="20"/>
                <w:color w:val="auto"/>
              </w:rPr>
            </w:pPr>
            <w:r>
              <w:rPr>
                <w:rFonts w:ascii="Arial" w:cs="Arial" w:eastAsia="Arial" w:hAnsi="Arial"/>
                <w:sz w:val="18"/>
                <w:szCs w:val="18"/>
                <w:color w:val="auto"/>
              </w:rPr>
              <w:t>Weighted-average common shares outstanding - basic</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79.8</w:t>
            </w: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dilutive securities - stock options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Effect of other share-based awards</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0.8</w:t>
            </w:r>
          </w:p>
        </w:tc>
      </w:tr>
      <w:tr>
        <w:trPr>
          <w:trHeight w:val="27"/>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Weighted-average common shares outstanding - diluted</w:t>
            </w: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81.3</w:t>
            </w: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11"/>
        </w:trPr>
        <w:tc>
          <w:tcPr>
            <w:tcW w:w="6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64"/>
        </w:trPr>
        <w:tc>
          <w:tcPr>
            <w:tcW w:w="62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Net earnings per share - 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3.89</w:t>
            </w: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1"/>
        </w:trPr>
        <w:tc>
          <w:tcPr>
            <w:tcW w:w="6280" w:type="dxa"/>
            <w:vAlign w:val="bottom"/>
          </w:tcPr>
          <w:p>
            <w:pPr>
              <w:ind w:left="60"/>
              <w:spacing w:after="0"/>
              <w:rPr>
                <w:sz w:val="20"/>
                <w:szCs w:val="20"/>
                <w:color w:val="auto"/>
              </w:rPr>
            </w:pPr>
            <w:r>
              <w:rPr>
                <w:rFonts w:ascii="Arial" w:cs="Arial" w:eastAsia="Arial" w:hAnsi="Arial"/>
                <w:sz w:val="18"/>
                <w:szCs w:val="18"/>
                <w:color w:val="auto"/>
              </w:rPr>
              <w:t>Net earnings per share - diluted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3.82</w:t>
            </w: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There were 0.2 million and 0.1 million share-based awards excluded from the calculation of net earnings per share – diluted for the three months ended September 30, 2015 and 2014, respectively, and 0.3 million and 0.2 million share-based awards excluded from the calculation of net earnings per share – diluted for the nine months ended September 30, 2015 and 2014, respectively, as the exercise price for these awards was greater than the average market price of the common shares during the period.</w:t>
      </w:r>
    </w:p>
    <w:p>
      <w:pPr>
        <w:spacing w:after="0" w:line="200" w:lineRule="exact"/>
        <w:rPr>
          <w:sz w:val="20"/>
          <w:szCs w:val="20"/>
          <w:color w:val="auto"/>
        </w:rPr>
      </w:pPr>
    </w:p>
    <w:p>
      <w:pPr>
        <w:spacing w:after="0" w:line="203"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Goodwill and 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goodwill, amortizable intangible assets and intangible assets that do not require amortization,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8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9"/>
              </w:rPr>
              <w:t>September 30, 2015</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December 31, 2014</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Amortization</w:t>
            </w:r>
          </w:p>
        </w:tc>
        <w:tc>
          <w:tcPr>
            <w:tcW w:w="300" w:type="dxa"/>
            <w:vAlign w:val="bottom"/>
          </w:tcPr>
          <w:p>
            <w:pPr>
              <w:spacing w:after="0"/>
              <w:rPr>
                <w:sz w:val="20"/>
                <w:szCs w:val="20"/>
                <w:color w:val="auto"/>
              </w:rPr>
            </w:pPr>
          </w:p>
        </w:tc>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w:t>
            </w:r>
          </w:p>
        </w:tc>
        <w:tc>
          <w:tcPr>
            <w:tcW w:w="26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Gross</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30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1,243.4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1,243.4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1,075.2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1,075.2</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Intangible assets: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9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Finite-lived:</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300"/>
              <w:spacing w:after="0"/>
              <w:rPr>
                <w:sz w:val="20"/>
                <w:szCs w:val="20"/>
                <w:color w:val="auto"/>
              </w:rPr>
            </w:pPr>
            <w:r>
              <w:rPr>
                <w:rFonts w:ascii="Arial" w:cs="Arial" w:eastAsia="Arial" w:hAnsi="Arial"/>
                <w:sz w:val="18"/>
                <w:szCs w:val="18"/>
                <w:color w:val="auto"/>
              </w:rPr>
              <w:t>Technology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Franchise agreements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80" w:type="dxa"/>
            <w:vAlign w:val="bottom"/>
          </w:tcPr>
          <w:p>
            <w:pPr>
              <w:ind w:left="30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420.8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359.9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438.9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258.0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180.9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411.7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276.2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Indefinite-lived:</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980" w:type="dxa"/>
            <w:vAlign w:val="bottom"/>
          </w:tcPr>
          <w:p>
            <w:pPr>
              <w:ind w:left="380"/>
              <w:spacing w:after="0"/>
              <w:rPr>
                <w:sz w:val="20"/>
                <w:szCs w:val="20"/>
                <w:color w:val="auto"/>
              </w:rPr>
            </w:pPr>
            <w:r>
              <w:rPr>
                <w:rFonts w:ascii="Arial" w:cs="Arial" w:eastAsia="Arial" w:hAnsi="Arial"/>
                <w:sz w:val="18"/>
                <w:szCs w:val="18"/>
                <w:color w:val="auto"/>
              </w:rPr>
              <w:t>Tradenames</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70"/>
        </w:trPr>
        <w:tc>
          <w:tcPr>
            <w:tcW w:w="2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Reacquired franchise rights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151.3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589.7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331.7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563.0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276.2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$513.4 as of both September 30, 2015 and December 31, 2014.</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$139.5 as of both September 30, 2015 and December 31, 2014.</w:t>
      </w:r>
    </w:p>
    <w:p>
      <w:pPr>
        <w:spacing w:after="0" w:line="2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Total consolidated amortization expense related to intangible assets for the remainder of 2015 is expected to be $9.7 and in each of the next five years is expected to be as follows: 2016 - $34.9, 2017 - $31.8, 2018 - $28.7, 2019 - $24.1 and 2020 - $19.6.</w:t>
      </w:r>
    </w:p>
    <w:p>
      <w:pPr>
        <w:sectPr>
          <w:pgSz w:w="11900" w:h="16838" w:orient="portrait"/>
          <w:cols w:equalWidth="0" w:num="1">
            <w:col w:w="11420"/>
          </w:cols>
          <w:pgMar w:left="240" w:top="800"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800"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color w:val="auto"/>
        </w:rPr>
        <w:t>Changes in the carrying value of goodwill by reportable segment and Corporate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Southern</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Northern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Right</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61"/>
        </w:trPr>
        <w:tc>
          <w:tcPr>
            <w:tcW w:w="2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Americas</w:t>
            </w:r>
            <w:r>
              <w:rPr>
                <w:rFonts w:ascii="Arial" w:cs="Arial" w:eastAsia="Arial" w:hAnsi="Arial"/>
                <w:sz w:val="21"/>
                <w:szCs w:val="21"/>
                <w:color w:val="auto"/>
                <w:vertAlign w:val="superscript"/>
              </w:rPr>
              <w:t>(1)</w:t>
            </w:r>
          </w:p>
        </w:tc>
        <w:tc>
          <w:tcPr>
            <w:tcW w:w="180" w:type="dxa"/>
            <w:vAlign w:val="bottom"/>
          </w:tcPr>
          <w:p>
            <w:pPr>
              <w:spacing w:after="0"/>
              <w:rPr>
                <w:sz w:val="22"/>
                <w:szCs w:val="22"/>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Europe</w:t>
            </w:r>
            <w:r>
              <w:rPr>
                <w:rFonts w:ascii="Arial" w:cs="Arial" w:eastAsia="Arial" w:hAnsi="Arial"/>
                <w:sz w:val="21"/>
                <w:szCs w:val="21"/>
                <w:color w:val="auto"/>
                <w:vertAlign w:val="superscript"/>
              </w:rPr>
              <w:t>(2)</w:t>
            </w:r>
          </w:p>
        </w:tc>
        <w:tc>
          <w:tcPr>
            <w:tcW w:w="160" w:type="dxa"/>
            <w:vAlign w:val="bottom"/>
          </w:tcPr>
          <w:p>
            <w:pPr>
              <w:spacing w:after="0"/>
              <w:rPr>
                <w:sz w:val="22"/>
                <w:szCs w:val="2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Europe</w:t>
            </w:r>
          </w:p>
        </w:tc>
        <w:tc>
          <w:tcPr>
            <w:tcW w:w="220" w:type="dxa"/>
            <w:vAlign w:val="bottom"/>
          </w:tcPr>
          <w:p>
            <w:pPr>
              <w:spacing w:after="0"/>
              <w:rPr>
                <w:sz w:val="22"/>
                <w:szCs w:val="22"/>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APME</w:t>
            </w:r>
          </w:p>
        </w:tc>
        <w:tc>
          <w:tcPr>
            <w:tcW w:w="160" w:type="dxa"/>
            <w:vAlign w:val="bottom"/>
          </w:tcPr>
          <w:p>
            <w:pPr>
              <w:spacing w:after="0"/>
              <w:rPr>
                <w:sz w:val="22"/>
                <w:szCs w:val="22"/>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Management</w:t>
            </w:r>
          </w:p>
        </w:tc>
        <w:tc>
          <w:tcPr>
            <w:tcW w:w="14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Corporate</w:t>
            </w:r>
            <w:r>
              <w:rPr>
                <w:rFonts w:ascii="Arial" w:cs="Arial" w:eastAsia="Arial" w:hAnsi="Arial"/>
                <w:sz w:val="21"/>
                <w:szCs w:val="21"/>
                <w:color w:val="auto"/>
                <w:vertAlign w:val="superscript"/>
              </w:rPr>
              <w:t>(3)</w:t>
            </w:r>
          </w:p>
        </w:tc>
        <w:tc>
          <w:tcPr>
            <w:tcW w:w="240" w:type="dxa"/>
            <w:vAlign w:val="bottom"/>
          </w:tcPr>
          <w:p>
            <w:pPr>
              <w:spacing w:after="0"/>
              <w:rPr>
                <w:sz w:val="22"/>
                <w:szCs w:val="22"/>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44"/>
        </w:trPr>
        <w:tc>
          <w:tcPr>
            <w:tcW w:w="2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 2015</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1,075.2</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Goodwill acquired</w:t>
            </w: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199.6</w:t>
            </w: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and other impacts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57"/>
        </w:trPr>
        <w:tc>
          <w:tcPr>
            <w:tcW w:w="2420" w:type="dxa"/>
            <w:vAlign w:val="bottom"/>
          </w:tcPr>
          <w:p>
            <w:pPr>
              <w:ind w:left="40"/>
              <w:spacing w:after="0"/>
              <w:rPr>
                <w:sz w:val="20"/>
                <w:szCs w:val="20"/>
                <w:color w:val="auto"/>
              </w:rPr>
            </w:pPr>
            <w:r>
              <w:rPr>
                <w:rFonts w:ascii="Arial" w:cs="Arial" w:eastAsia="Arial" w:hAnsi="Arial"/>
                <w:sz w:val="18"/>
                <w:szCs w:val="18"/>
                <w:color w:val="auto"/>
                <w:w w:val="99"/>
              </w:rPr>
              <w:t>Balance, September 30, 2015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515.4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430.5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1,243.4</w:t>
            </w: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Balances related to the United States were $450.4 and $477.1 as of January 1, 2015 and September 30, 2015, respectively.</w:t>
      </w:r>
    </w:p>
    <w:p>
      <w:pPr>
        <w:spacing w:after="0" w:line="23" w:lineRule="exact"/>
        <w:rPr>
          <w:rFonts w:ascii="Arial" w:cs="Arial" w:eastAsia="Arial" w:hAnsi="Arial"/>
          <w:sz w:val="18"/>
          <w:szCs w:val="18"/>
          <w:color w:val="auto"/>
        </w:rPr>
      </w:pPr>
    </w:p>
    <w:p>
      <w:pPr>
        <w:ind w:right="80" w:firstLine="8"/>
        <w:spacing w:after="0" w:line="250"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Balances related to France were $76.9 and $71.0 as of January 1, 2015 and September 30, 2015, respectively. Balances related to Italy were $5.0 and $4.6 as of January 1, 2015 and September 30, 2015, respectively.</w:t>
      </w:r>
    </w:p>
    <w:p>
      <w:pPr>
        <w:jc w:val="both"/>
        <w:ind w:right="140" w:firstLine="8"/>
        <w:spacing w:after="0" w:line="254"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majority of the Corporate balance relates to goodwill attributable to our acquisition of Jefferson Wells ($55.5) which is now part of the United States reporting unit. For purposes of monitoring our total assets by segment, we do not allocate the Corporate balance to the respective reportable segments as this is commensurate with how we operate our business. We do, however, include these balances within the appropriate reporting units for our goodwill impairment testing. See table below for the breakout of goodwill balances by reporting unit.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Goodwill balances by reporting unit were as follows:</w:t>
      </w:r>
    </w:p>
    <w:p>
      <w:pPr>
        <w:spacing w:after="0" w:line="383"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January 1,</w:t>
            </w:r>
          </w:p>
        </w:tc>
      </w:tr>
      <w:tr>
        <w:trPr>
          <w:trHeight w:val="270"/>
        </w:trPr>
        <w:tc>
          <w:tcPr>
            <w:tcW w:w="8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505.9</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Germany</w:t>
            </w:r>
          </w:p>
        </w:tc>
        <w:tc>
          <w:tcPr>
            <w:tcW w:w="1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12.1</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Netherlands</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85.9</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1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85.9</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France</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76.9</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Right Management</w:t>
            </w:r>
          </w:p>
        </w:tc>
        <w:tc>
          <w:tcPr>
            <w:tcW w:w="1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62.1</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reporting units</w:t>
            </w: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246.4</w:t>
            </w:r>
          </w:p>
        </w:tc>
      </w:tr>
      <w:tr>
        <w:trPr>
          <w:trHeight w:val="257"/>
        </w:trPr>
        <w:tc>
          <w:tcPr>
            <w:tcW w:w="8100" w:type="dxa"/>
            <w:vAlign w:val="bottom"/>
          </w:tcPr>
          <w:p>
            <w:pPr>
              <w:ind w:left="600"/>
              <w:spacing w:after="0"/>
              <w:rPr>
                <w:sz w:val="20"/>
                <w:szCs w:val="20"/>
                <w:color w:val="auto"/>
              </w:rPr>
            </w:pPr>
            <w:r>
              <w:rPr>
                <w:rFonts w:ascii="Arial" w:cs="Arial" w:eastAsia="Arial" w:hAnsi="Arial"/>
                <w:sz w:val="18"/>
                <w:szCs w:val="18"/>
                <w:color w:val="auto"/>
              </w:rPr>
              <w:t>Total goodwill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1,243.4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1,075.2</w:t>
            </w:r>
          </w:p>
        </w:tc>
      </w:tr>
      <w:tr>
        <w:trPr>
          <w:trHeight w:val="20"/>
        </w:trPr>
        <w:tc>
          <w:tcPr>
            <w:tcW w:w="8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Debt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September 11, 2015, we offered and sold €400.0 aggregate principal amount of the Company's 1.875% notes due September 11, 2022 (the "Notes"). The net proceeds from the Notes of €397.4 will be used for general corporate purposes, which may include share repurchases and the acquisition of or investment in complementary businesses or other assets. The Notes were issued at a price of 99.753% to yield an effective interest rate of 1.913%. Interest on the Notes is payable in arrears on September 11 of each year. The Notes are unsecured senior obligations and rank equally with all of our existing and future senior unsecured debt and other liabilities.</w:t>
      </w:r>
    </w:p>
    <w:p>
      <w:pPr>
        <w:spacing w:after="0" w:line="14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September 16, 2015, we amended and restated our Five Year Credit Agreement (the “Amended Agreement”) with a syndicate of commercial banks primarily to revise the termination date of the facility from October 15, 2018 to September 16, 2020. The remaining material terms and conditions of the Amended Agreement are substantially similar to the material terms and conditions of our Amended and Restated Five Year Credit Agreement dated October 15, 2013.</w:t>
      </w:r>
    </w:p>
    <w:p>
      <w:pPr>
        <w:spacing w:after="0" w:line="14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April 2015, the FASB issued new accounting guidance on debt issuance costs. The new guidance requires debt issuance costs related to a recognized debt liability to be presented in the balance sheet as a direct deduction from the associated liability, consistent with debt discounts. It does not affect the recognition and measurement of debt issuance costs. We elected to early adopt this guidance in the third quarter of 2015 on a retrospective basis, which required the restatement of prior periods. The adoption was not material to the Consolidated Financial Statements. Our revolving credit agreement is not in scope of the new accounting guidance and, therefore, the related debt issuance costs will continue to be presented in other assets.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1" w:name="page12"/>
    <w:bookmarkEnd w:id="11"/>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Retirement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periodic benefit cost for our plans were as follows:</w:t>
      </w: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6"/>
          </w:tcPr>
          <w:p>
            <w:pPr>
              <w:ind w:left="40"/>
              <w:spacing w:after="0"/>
              <w:rPr>
                <w:sz w:val="20"/>
                <w:szCs w:val="20"/>
                <w:color w:val="auto"/>
              </w:rPr>
            </w:pPr>
            <w:r>
              <w:rPr>
                <w:rFonts w:ascii="Arial" w:cs="Arial" w:eastAsia="Arial" w:hAnsi="Arial"/>
                <w:sz w:val="18"/>
                <w:szCs w:val="18"/>
                <w:b w:val="1"/>
                <w:bCs w:val="1"/>
                <w:color w:val="auto"/>
                <w:w w:val="93"/>
              </w:rPr>
              <w:t>Defined Benefit Pension Plans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1960" w:type="dxa"/>
            <w:vAlign w:val="bottom"/>
            <w:tcBorders>
              <w:bottom w:val="single" w:sz="8" w:color="auto"/>
            </w:tcBorders>
            <w:gridSpan w:val="4"/>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r>
      <w:tr>
        <w:trPr>
          <w:trHeight w:val="237"/>
        </w:trPr>
        <w:tc>
          <w:tcPr>
            <w:tcW w:w="6500" w:type="dxa"/>
            <w:vAlign w:val="bottom"/>
          </w:tcPr>
          <w:p>
            <w:pPr>
              <w:spacing w:after="0"/>
              <w:rPr>
                <w:sz w:val="20"/>
                <w:szCs w:val="20"/>
                <w:color w:val="auto"/>
              </w:rPr>
            </w:pPr>
          </w:p>
        </w:tc>
        <w:tc>
          <w:tcPr>
            <w:tcW w:w="196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90"/>
              </w:rPr>
              <w:t>3 Months Ended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0"/>
              </w:rPr>
              <w:t>9 Months Ended</w:t>
            </w:r>
          </w:p>
        </w:tc>
      </w:tr>
      <w:tr>
        <w:trPr>
          <w:trHeight w:val="270"/>
        </w:trPr>
        <w:tc>
          <w:tcPr>
            <w:tcW w:w="6500" w:type="dxa"/>
            <w:vAlign w:val="bottom"/>
          </w:tcPr>
          <w:p>
            <w:pPr>
              <w:spacing w:after="0"/>
              <w:rPr>
                <w:sz w:val="23"/>
                <w:szCs w:val="23"/>
                <w:color w:val="auto"/>
              </w:rPr>
            </w:pPr>
          </w:p>
        </w:tc>
        <w:tc>
          <w:tcPr>
            <w:tcW w:w="196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89"/>
              </w:rPr>
              <w:t>September 30,</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89"/>
              </w:rPr>
              <w:t>September 30,</w:t>
            </w:r>
          </w:p>
        </w:tc>
      </w:tr>
      <w:tr>
        <w:trPr>
          <w:trHeight w:val="27"/>
        </w:trPr>
        <w:tc>
          <w:tcPr>
            <w:tcW w:w="65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27"/>
        </w:trPr>
        <w:tc>
          <w:tcPr>
            <w:tcW w:w="65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7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6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Other</w:t>
            </w:r>
          </w:p>
        </w:tc>
        <w:tc>
          <w:tcPr>
            <w:tcW w:w="7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65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5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benefit cost</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r>
      <w:tr>
        <w:trPr>
          <w:trHeight w:val="20"/>
        </w:trPr>
        <w:tc>
          <w:tcPr>
            <w:tcW w:w="65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797"/>
        </w:trPr>
        <w:tc>
          <w:tcPr>
            <w:tcW w:w="6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6"/>
          </w:tcPr>
          <w:p>
            <w:pPr>
              <w:ind w:left="220"/>
              <w:spacing w:after="0"/>
              <w:rPr>
                <w:sz w:val="20"/>
                <w:szCs w:val="20"/>
                <w:color w:val="auto"/>
              </w:rPr>
            </w:pPr>
            <w:r>
              <w:rPr>
                <w:rFonts w:ascii="Arial" w:cs="Arial" w:eastAsia="Arial" w:hAnsi="Arial"/>
                <w:sz w:val="18"/>
                <w:szCs w:val="18"/>
                <w:b w:val="1"/>
                <w:bCs w:val="1"/>
                <w:color w:val="auto"/>
              </w:rPr>
              <w:t>Retiree Health Care Plan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
        </w:trPr>
        <w:tc>
          <w:tcPr>
            <w:tcW w:w="6500" w:type="dxa"/>
            <w:vAlign w:val="bottom"/>
          </w:tcPr>
          <w:p>
            <w:pPr>
              <w:spacing w:after="0"/>
              <w:rPr>
                <w:sz w:val="2"/>
                <w:szCs w:val="2"/>
                <w:color w:val="auto"/>
              </w:rPr>
            </w:pPr>
          </w:p>
        </w:tc>
        <w:tc>
          <w:tcPr>
            <w:tcW w:w="1960" w:type="dxa"/>
            <w:vAlign w:val="bottom"/>
            <w:tcBorders>
              <w:bottom w:val="single" w:sz="8" w:color="auto"/>
            </w:tcBorders>
            <w:gridSpan w:val="4"/>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r>
      <w:tr>
        <w:trPr>
          <w:trHeight w:val="237"/>
        </w:trPr>
        <w:tc>
          <w:tcPr>
            <w:tcW w:w="6500" w:type="dxa"/>
            <w:vAlign w:val="bottom"/>
          </w:tcPr>
          <w:p>
            <w:pPr>
              <w:spacing w:after="0"/>
              <w:rPr>
                <w:sz w:val="20"/>
                <w:szCs w:val="20"/>
                <w:color w:val="auto"/>
              </w:rPr>
            </w:pPr>
          </w:p>
        </w:tc>
        <w:tc>
          <w:tcPr>
            <w:tcW w:w="196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90"/>
              </w:rPr>
              <w:t>3 Months Ended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0"/>
              </w:rPr>
              <w:t>9 Months Ended</w:t>
            </w:r>
          </w:p>
        </w:tc>
      </w:tr>
      <w:tr>
        <w:trPr>
          <w:trHeight w:val="270"/>
        </w:trPr>
        <w:tc>
          <w:tcPr>
            <w:tcW w:w="6500" w:type="dxa"/>
            <w:vAlign w:val="bottom"/>
          </w:tcPr>
          <w:p>
            <w:pPr>
              <w:spacing w:after="0"/>
              <w:rPr>
                <w:sz w:val="23"/>
                <w:szCs w:val="23"/>
                <w:color w:val="auto"/>
              </w:rPr>
            </w:pPr>
          </w:p>
        </w:tc>
        <w:tc>
          <w:tcPr>
            <w:tcW w:w="196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89"/>
              </w:rPr>
              <w:t>September 30,</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89"/>
              </w:rPr>
              <w:t>September 30,</w:t>
            </w:r>
          </w:p>
        </w:tc>
      </w:tr>
      <w:tr>
        <w:trPr>
          <w:trHeight w:val="27"/>
        </w:trPr>
        <w:tc>
          <w:tcPr>
            <w:tcW w:w="65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27"/>
        </w:trPr>
        <w:tc>
          <w:tcPr>
            <w:tcW w:w="65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Net loss</w:t>
            </w:r>
          </w:p>
        </w:tc>
        <w:tc>
          <w:tcPr>
            <w:tcW w:w="7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6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Prior service credit</w:t>
            </w:r>
          </w:p>
        </w:tc>
        <w:tc>
          <w:tcPr>
            <w:tcW w:w="7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(0.6)</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500" w:type="dxa"/>
            <w:vAlign w:val="bottom"/>
          </w:tcPr>
          <w:p>
            <w:pPr>
              <w:ind w:left="520"/>
              <w:spacing w:after="0"/>
              <w:rPr>
                <w:sz w:val="20"/>
                <w:szCs w:val="20"/>
                <w:color w:val="auto"/>
              </w:rPr>
            </w:pPr>
            <w:r>
              <w:rPr>
                <w:rFonts w:ascii="Arial" w:cs="Arial" w:eastAsia="Arial" w:hAnsi="Arial"/>
                <w:sz w:val="18"/>
                <w:szCs w:val="18"/>
                <w:color w:val="auto"/>
              </w:rPr>
              <w:t>Total benefit cost</w:t>
            </w: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0.7</w:t>
            </w:r>
          </w:p>
        </w:tc>
      </w:tr>
      <w:tr>
        <w:trPr>
          <w:trHeight w:val="20"/>
        </w:trPr>
        <w:tc>
          <w:tcPr>
            <w:tcW w:w="65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During the three and nine months ended September 30, 2015, contributions made to our pension plans were $2.8 and $8.1, respectively, and contributions made to our retiree health care plan were $0.2 and $0.9, respectively. During 2015, we expect to make total contributions of approximately $12.4 to our pension plans and to fund our retiree health care payments as incurred.</w:t>
      </w:r>
    </w:p>
    <w:p>
      <w:pPr>
        <w:spacing w:after="0" w:line="397"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Shareholders’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net of tax,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December 31,</w:t>
            </w:r>
          </w:p>
        </w:tc>
      </w:tr>
      <w:tr>
        <w:trPr>
          <w:trHeight w:val="270"/>
        </w:trPr>
        <w:tc>
          <w:tcPr>
            <w:tcW w:w="8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7"/>
        </w:trPr>
        <w:tc>
          <w:tcPr>
            <w:tcW w:w="8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Translation loss on net investment hedge, net of income taxes of $(5.0) and $(16.4), respectively</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7"/>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loss on long-term intercompany loans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Unrealized gain on investments, net of income taxes of $3.3 and $3.7, respectively</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16.7</w:t>
            </w:r>
          </w:p>
        </w:tc>
      </w:tr>
      <w:tr>
        <w:trPr>
          <w:trHeight w:val="27"/>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benefit pension plans, net of income taxes of $(29.2) and $(30.1),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Retiree health care plan, net of income taxes of $2.2 and $2.4, respectively</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8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4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w:t>
            </w:r>
          </w:p>
        </w:tc>
      </w:tr>
      <w:tr>
        <w:trPr>
          <w:trHeight w:val="20"/>
        </w:trPr>
        <w:tc>
          <w:tcPr>
            <w:tcW w:w="8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225"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During the third quarter of 2015, we entered into a joint venture to expand our business in the Greater China region. We contributed a majority of the net assets of our China, Hong Kong, Macau and Taiwan operations and the noncontrolling shareholder contributed cash. The joint venture is included in our Consolidated Balance Sheets as of September 30, 2015 as we have a controlling financial interest. The noncontrolling equity interest is included in noncontrolling interests in total shareholders’ equity in our Consolidated Balance Sheets as of September 30, 2015.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Noncontrolling interests also includes amounts related to other majority-owned subsidiaries for which we have a controlling financial interest.</w:t>
      </w:r>
    </w:p>
    <w:p>
      <w:pPr>
        <w:sectPr>
          <w:pgSz w:w="11900" w:h="16838" w:orient="portrait"/>
          <w:cols w:equalWidth="0" w:num="1">
            <w:col w:w="11420"/>
          </w:cols>
          <w:pgMar w:left="240" w:top="368" w:right="2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368" w:right="239" w:bottom="1440" w:gutter="0" w:footer="0" w:header="0"/>
          <w:type w:val="continuous"/>
        </w:sectPr>
      </w:pPr>
    </w:p>
    <w:bookmarkStart w:id="12" w:name="page13"/>
    <w:bookmarkEnd w:id="12"/>
    <w:p>
      <w:pPr>
        <w:ind w:right="880"/>
        <w:spacing w:after="0" w:line="277" w:lineRule="auto"/>
        <w:rPr>
          <w:sz w:val="20"/>
          <w:szCs w:val="20"/>
          <w:color w:val="auto"/>
        </w:rPr>
      </w:pPr>
      <w:r>
        <w:rPr>
          <w:rFonts w:ascii="Arial" w:cs="Arial" w:eastAsia="Arial" w:hAnsi="Arial"/>
          <w:sz w:val="18"/>
          <w:szCs w:val="18"/>
          <w:color w:val="auto"/>
        </w:rPr>
        <w:t>Net earnings, net of tax, attributable to these noncontrolling interests were $1.9 and $3.5 for the three and nine months ended September 30, 2015,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April 28, 2015 and April 29, 2014, the Board of Directors declared a semi-annual cash dividend of $0.80 and $0.49 per share, respectively. The 2015 dividends were paid on June 15, 2015 to shareholders of record on June 1, 2015. The 2014 dividends were paid on June 16, 2014 to shareholders of record on June 2, 2014.</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October 29, 2015 and October 29, 2014, the Board of Directors declared a semi-annual cash dividend of $0.80 and $0.49 per share, respectively. The 2015 dividends are payable on December 15, 2015 to shareholders of record on December 1, 2015. The 2014 dividends were paid on December 15, 2014 to shareholders of record on December 1,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October 2015 and December 2012, the Board of Directors authorized the repurchase of 6.0 million and 8.0 million shares of our common stock, respectively. Share repurchases may be made from time to time through a variety of methods, including open market purchases, block transactions, privately negotiated transactions or similar facilities. During the first nine months of 2015, we repurchased 6.0 million shares at a cost of $523.2 under the 2012 authorization. As of September 30, 2015, there were no shares remaining authorized for repurchase under the 2012 authorization.</w:t>
      </w:r>
    </w:p>
    <w:p>
      <w:pPr>
        <w:spacing w:after="0" w:line="388"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Interest and Other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expenses consisted of the following: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1960" w:type="dxa"/>
            <w:vAlign w:val="bottom"/>
            <w:gridSpan w:val="4"/>
          </w:tcPr>
          <w:p>
            <w:pPr>
              <w:jc w:val="right"/>
              <w:spacing w:after="0"/>
              <w:rPr>
                <w:sz w:val="20"/>
                <w:szCs w:val="20"/>
                <w:color w:val="auto"/>
              </w:rPr>
            </w:pPr>
            <w:r>
              <w:rPr>
                <w:rFonts w:ascii="Arial" w:cs="Arial" w:eastAsia="Arial" w:hAnsi="Arial"/>
                <w:sz w:val="18"/>
                <w:szCs w:val="18"/>
                <w:b w:val="1"/>
                <w:bCs w:val="1"/>
                <w:color w:val="auto"/>
              </w:rPr>
              <w:t>3 Months Ended</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9 Months Ended</w:t>
            </w:r>
          </w:p>
        </w:tc>
      </w:tr>
      <w:tr>
        <w:trPr>
          <w:trHeight w:val="270"/>
        </w:trPr>
        <w:tc>
          <w:tcPr>
            <w:tcW w:w="6520" w:type="dxa"/>
            <w:vAlign w:val="bottom"/>
          </w:tcPr>
          <w:p>
            <w:pPr>
              <w:spacing w:after="0"/>
              <w:rPr>
                <w:sz w:val="23"/>
                <w:szCs w:val="23"/>
                <w:color w:val="auto"/>
              </w:rPr>
            </w:pPr>
          </w:p>
        </w:tc>
        <w:tc>
          <w:tcPr>
            <w:tcW w:w="196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September 30,</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5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27"/>
        </w:trPr>
        <w:tc>
          <w:tcPr>
            <w:tcW w:w="65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(0.7)</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6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(gain) loss</w:t>
            </w: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Miscellaneous expenses, net</w:t>
            </w:r>
          </w:p>
        </w:tc>
        <w:tc>
          <w:tcPr>
            <w:tcW w:w="7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65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Interest and other expenses</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r>
      <w:tr>
        <w:trPr>
          <w:trHeight w:val="20"/>
        </w:trPr>
        <w:tc>
          <w:tcPr>
            <w:tcW w:w="6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 and Fair Value Measurements</w:t>
      </w:r>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are exposed to various risks relating to our ongoing business operations. Among these risks are foreign currency exchange rate risk and interest rate risk, which can be managed through the use of derivative instruments. In certain circumstances, we enter into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 and interest rate swap agreements. In accordance with accounting guidance on derivative instruments and hedging activities, we record all of our derivative instruments as either an asset or liability measured at their fair value.</w:t>
      </w:r>
    </w:p>
    <w:p>
      <w:pPr>
        <w:spacing w:after="0" w:line="16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A portion of the €350.0 ($390.1) notes due June 2018 and the €400.0 ($443.5) notes due September 2022 were designated as an economic hedge of our net investment in our foreign subsidiaries with a Euro functional currency as of September 30, 2015. For instruments designated as an economic hedge of the foreign currency exposure of a net investment in a foreign operation, the gain or loss associated with foreign currency translation is recorded as a component of accumulated other comprehensive loss, net of taxes. We had no unrealized translation gain or loss as of September 30, 2015 and an unrealized translation loss of $24.5 as of December 31, 2014, included in accumulated other comprehensive loss, net of taxes, as the net investment hedge was deemed effective.</w:t>
      </w:r>
    </w:p>
    <w:p>
      <w:pPr>
        <w:spacing w:after="0" w:line="15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For our forward contracts that are not designated as hedges, any gain or loss resulting from the change in fair value is recognized in the current period earnings. These gains or losses are offset by the exposure related to receivables and payables with our foreign subsidiaries and to interest due on our Euro-denominated notes, which is paid annually in June. We recorded a loss in interest and other expenses of $0.9 and $0.1 for the three months ended September 30, 2015 and 2014, respectively, and a gain of $0.9 and $0.1 for the nine months ended September 30, 2015 and 2014, respectively, associated with those forward contracts, which offset the loss and gain recorded for the items noted above.</w:t>
      </w:r>
    </w:p>
    <w:p>
      <w:pPr>
        <w:sectPr>
          <w:pgSz w:w="11900" w:h="16838" w:orient="portrait"/>
          <w:cols w:equalWidth="0" w:num="1">
            <w:col w:w="11420"/>
          </w:cols>
          <w:pgMar w:left="240" w:top="368" w:right="2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368" w:right="239" w:bottom="1440" w:gutter="0" w:footer="0" w:header="0"/>
          <w:type w:val="continuous"/>
        </w:sectPr>
      </w:pPr>
    </w:p>
    <w:bookmarkStart w:id="13" w:name="page14"/>
    <w:bookmarkEnd w:id="13"/>
    <w:p>
      <w:pPr>
        <w:ind w:right="260"/>
        <w:spacing w:after="0" w:line="342" w:lineRule="auto"/>
        <w:rPr>
          <w:sz w:val="20"/>
          <w:szCs w:val="20"/>
          <w:color w:val="auto"/>
        </w:rPr>
      </w:pPr>
      <w:r>
        <w:rPr>
          <w:rFonts w:ascii="Arial" w:cs="Arial" w:eastAsia="Arial" w:hAnsi="Arial"/>
          <w:sz w:val="16"/>
          <w:szCs w:val="16"/>
          <w:color w:val="auto"/>
        </w:rPr>
        <w:t>On occasion, forward contracts are designated as an economic hedge of our net investment in our foreign subsidiaries. As of September 30, 2015, we had a translation loss of $4.2 included in accumulated other comprehensive loss, net of taxes, as the net investment hedge was deemed effective.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measurements of those items recorded in our Consolidated Balance Sheets as of September 30, 2015 and December 31, 2014 were as follows: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60" w:type="dxa"/>
            <w:vAlign w:val="bottom"/>
            <w:gridSpan w:val="6"/>
          </w:tcPr>
          <w:p>
            <w:pPr>
              <w:jc w:val="center"/>
              <w:ind w:left="1150"/>
              <w:spacing w:after="0"/>
              <w:rPr>
                <w:sz w:val="20"/>
                <w:szCs w:val="20"/>
                <w:color w:val="auto"/>
              </w:rPr>
            </w:pPr>
            <w:r>
              <w:rPr>
                <w:rFonts w:ascii="Arial" w:cs="Arial" w:eastAsia="Arial" w:hAnsi="Arial"/>
                <w:sz w:val="18"/>
                <w:szCs w:val="18"/>
                <w:b w:val="1"/>
                <w:bCs w:val="1"/>
                <w:color w:val="auto"/>
                <w:w w:val="90"/>
              </w:rPr>
              <w:t>Fair Value Measurements Using</w:t>
            </w:r>
          </w:p>
        </w:tc>
        <w:tc>
          <w:tcPr>
            <w:tcW w:w="134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Quoted Prices in</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Active Markets for</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Significant Other</w:t>
            </w:r>
          </w:p>
        </w:tc>
        <w:tc>
          <w:tcPr>
            <w:tcW w:w="360" w:type="dxa"/>
            <w:vAlign w:val="bottom"/>
          </w:tcPr>
          <w:p>
            <w:pPr>
              <w:spacing w:after="0"/>
              <w:rPr>
                <w:sz w:val="18"/>
                <w:szCs w:val="18"/>
                <w:color w:val="auto"/>
              </w:rPr>
            </w:pPr>
          </w:p>
        </w:tc>
        <w:tc>
          <w:tcPr>
            <w:tcW w:w="134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Significant</w:t>
            </w:r>
          </w:p>
        </w:tc>
      </w:tr>
      <w:tr>
        <w:trPr>
          <w:trHeight w:val="216"/>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Identical Assets</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Observable Inputs</w:t>
            </w: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Unobservable Inputs</w:t>
            </w:r>
          </w:p>
        </w:tc>
      </w:tr>
      <w:tr>
        <w:trPr>
          <w:trHeight w:val="234"/>
        </w:trPr>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(Level 1)</w:t>
            </w:r>
          </w:p>
        </w:tc>
        <w:tc>
          <w:tcPr>
            <w:tcW w:w="14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(Level 2)</w:t>
            </w:r>
          </w:p>
        </w:tc>
        <w:tc>
          <w:tcPr>
            <w:tcW w:w="360" w:type="dxa"/>
            <w:vAlign w:val="bottom"/>
          </w:tcPr>
          <w:p>
            <w:pPr>
              <w:spacing w:after="0"/>
              <w:rPr>
                <w:sz w:val="20"/>
                <w:szCs w:val="20"/>
                <w:color w:val="auto"/>
              </w:rPr>
            </w:pPr>
          </w:p>
        </w:tc>
        <w:tc>
          <w:tcPr>
            <w:tcW w:w="134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(Level 3)</w:t>
            </w:r>
          </w:p>
        </w:tc>
      </w:tr>
      <w:tr>
        <w:trPr>
          <w:trHeight w:val="27"/>
        </w:trPr>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Deferred compensation plan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37"/>
        </w:trPr>
        <w:tc>
          <w:tcPr>
            <w:tcW w:w="43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ind w:left="1060"/>
              <w:spacing w:after="0"/>
              <w:rPr>
                <w:sz w:val="20"/>
                <w:szCs w:val="20"/>
                <w:color w:val="auto"/>
              </w:rPr>
            </w:pPr>
            <w:r>
              <w:rPr>
                <w:rFonts w:ascii="Arial" w:cs="Arial" w:eastAsia="Arial" w:hAnsi="Arial"/>
                <w:sz w:val="18"/>
                <w:szCs w:val="18"/>
                <w:color w:val="auto"/>
              </w:rPr>
              <w:t>—</w:t>
            </w:r>
          </w:p>
        </w:tc>
      </w:tr>
      <w:tr>
        <w:trPr>
          <w:trHeight w:val="67"/>
        </w:trPr>
        <w:tc>
          <w:tcPr>
            <w:tcW w:w="43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305"/>
        </w:trPr>
        <w:tc>
          <w:tcPr>
            <w:tcW w:w="43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37"/>
        </w:trPr>
        <w:tc>
          <w:tcPr>
            <w:tcW w:w="43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75"/>
        </w:trPr>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gridSpan w:val="6"/>
          </w:tcPr>
          <w:p>
            <w:pPr>
              <w:jc w:val="center"/>
              <w:ind w:left="1150"/>
              <w:spacing w:after="0"/>
              <w:rPr>
                <w:sz w:val="20"/>
                <w:szCs w:val="20"/>
                <w:color w:val="auto"/>
              </w:rPr>
            </w:pPr>
            <w:r>
              <w:rPr>
                <w:rFonts w:ascii="Arial" w:cs="Arial" w:eastAsia="Arial" w:hAnsi="Arial"/>
                <w:sz w:val="18"/>
                <w:szCs w:val="18"/>
                <w:b w:val="1"/>
                <w:bCs w:val="1"/>
                <w:color w:val="auto"/>
                <w:w w:val="90"/>
              </w:rPr>
              <w:t>Fair Value Measurements Using</w:t>
            </w:r>
          </w:p>
        </w:tc>
        <w:tc>
          <w:tcPr>
            <w:tcW w:w="1340" w:type="dxa"/>
            <w:vAlign w:val="bottom"/>
          </w:tcPr>
          <w:p>
            <w:pPr>
              <w:spacing w:after="0"/>
              <w:rPr>
                <w:sz w:val="24"/>
                <w:szCs w:val="24"/>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Quoted Prices in</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Active Markets for</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Significant Other</w:t>
            </w:r>
          </w:p>
        </w:tc>
        <w:tc>
          <w:tcPr>
            <w:tcW w:w="360" w:type="dxa"/>
            <w:vAlign w:val="bottom"/>
          </w:tcPr>
          <w:p>
            <w:pPr>
              <w:spacing w:after="0"/>
              <w:rPr>
                <w:sz w:val="18"/>
                <w:szCs w:val="18"/>
                <w:color w:val="auto"/>
              </w:rPr>
            </w:pPr>
          </w:p>
        </w:tc>
        <w:tc>
          <w:tcPr>
            <w:tcW w:w="134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Significant</w:t>
            </w:r>
          </w:p>
        </w:tc>
      </w:tr>
      <w:tr>
        <w:trPr>
          <w:trHeight w:val="216"/>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Identical Assets</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Observable Inputs</w:t>
            </w: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Unobservable Inputs</w:t>
            </w:r>
          </w:p>
        </w:tc>
      </w:tr>
      <w:tr>
        <w:trPr>
          <w:trHeight w:val="234"/>
        </w:trPr>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(Level 1)</w:t>
            </w:r>
          </w:p>
        </w:tc>
        <w:tc>
          <w:tcPr>
            <w:tcW w:w="14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(Level 2)</w:t>
            </w:r>
          </w:p>
        </w:tc>
        <w:tc>
          <w:tcPr>
            <w:tcW w:w="360" w:type="dxa"/>
            <w:vAlign w:val="bottom"/>
          </w:tcPr>
          <w:p>
            <w:pPr>
              <w:spacing w:after="0"/>
              <w:rPr>
                <w:sz w:val="20"/>
                <w:szCs w:val="20"/>
                <w:color w:val="auto"/>
              </w:rPr>
            </w:pPr>
          </w:p>
        </w:tc>
        <w:tc>
          <w:tcPr>
            <w:tcW w:w="134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(Level 3)</w:t>
            </w:r>
          </w:p>
        </w:tc>
      </w:tr>
      <w:tr>
        <w:trPr>
          <w:trHeight w:val="27"/>
        </w:trPr>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Deferred compensation plan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37"/>
        </w:trPr>
        <w:tc>
          <w:tcPr>
            <w:tcW w:w="43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We determine the fair value of our deferred compensation plan assets, comprised of publicly traded securities, by using market quotes as of the last day of the period. The fair value of the foreign currency forward contracts is measured at the value from either directly or indirectly observable inputs from third parties.</w:t>
      </w:r>
    </w:p>
    <w:p>
      <w:pPr>
        <w:spacing w:after="0" w:line="12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carrying value of long-term debt approximates fair value, except for the Euro-denominated notes. The fair value of the Euro-denominated notes, as observable at commonly quoted intervals (level 2 inputs), was $876.7 and $471.6 as of September 30, 2015 and December 31, 2014, respectively, compared to a carrying value of $833.6 and $422.1, respectively.</w:t>
      </w:r>
    </w:p>
    <w:p>
      <w:pPr>
        <w:spacing w:after="0" w:line="397"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Segment Data</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are organized and managed primarily on a geographic basis, with Right Management currently operating as a separate global business unit. Each country and business unit generally has its own distinct operations and management team, providing services under our global brands, and maintains its own financial reports. We have an executive sponsor for each global brand who is responsible for ensuring the integrity and consistency of delivery locally. We develop and implement global workforce solutions for our clients that deliver the outcomes that help them achieve their business strategy. Each operation reports directly or indirectly through a regional manager, to a member of executive management. Given this reporting structure, all of our operations have been segregated into the following reporting segments: Americas, which includes United States and Other Americas; Southern Europe, which includes France, Italy and Other Southern Europe; Northern Europe; APME; and Right Management.</w:t>
      </w:r>
    </w:p>
    <w:p>
      <w:pPr>
        <w:spacing w:after="0" w:line="178"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The Americas, Southern Europe, Northern Europe and APME segments derive a significant majority of their revenues from the placement of contingent workers. The remaining revenues within these segments are derived from other workforce solutions and services, including recruitment and assessment, training and development, and ManpowerGroup Solutions. ManpowerGroup Solutions includes Talent Based Outsourcing (TBO), TAPFIN — Managed Service Provider (MSP) and Recruitment Process Outsourcing (RPO). The Right Management segment revenues are derived from career management and workforce consulting services. Segment revenues represent sales to external clients. Due to the nature of our business, we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14" w:name="page15"/>
    <w:bookmarkEnd w:id="14"/>
    <w:p>
      <w:pPr>
        <w:ind w:right="80"/>
        <w:spacing w:after="0" w:line="277" w:lineRule="auto"/>
        <w:rPr>
          <w:sz w:val="20"/>
          <w:szCs w:val="20"/>
          <w:color w:val="auto"/>
        </w:rPr>
      </w:pPr>
      <w:r>
        <w:rPr>
          <w:rFonts w:ascii="Arial" w:cs="Arial" w:eastAsia="Arial" w:hAnsi="Arial"/>
          <w:sz w:val="18"/>
          <w:szCs w:val="18"/>
          <w:color w:val="auto"/>
        </w:rPr>
        <w:t>generally do not have export sales. We provide services to a wide variety of clients, none of which individually comprise a significant portion of revenues for us as a whole.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3 Months Ended</w:t>
            </w:r>
          </w:p>
        </w:tc>
        <w:tc>
          <w:tcPr>
            <w:tcW w:w="260" w:type="dxa"/>
            <w:vAlign w:val="bottom"/>
          </w:tcPr>
          <w:p>
            <w:pPr>
              <w:spacing w:after="0"/>
              <w:rPr>
                <w:sz w:val="20"/>
                <w:szCs w:val="20"/>
                <w:color w:val="auto"/>
              </w:rPr>
            </w:pPr>
          </w:p>
        </w:tc>
        <w:tc>
          <w:tcPr>
            <w:tcW w:w="21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9 Months Ended</w:t>
            </w: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23"/>
                <w:szCs w:val="23"/>
                <w:color w:val="auto"/>
              </w:rPr>
            </w:pPr>
          </w:p>
        </w:tc>
        <w:tc>
          <w:tcPr>
            <w:tcW w:w="21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services:</w:t>
            </w:r>
          </w:p>
        </w:tc>
        <w:tc>
          <w:tcPr>
            <w:tcW w:w="2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120"/>
              <w:spacing w:after="0"/>
              <w:rPr>
                <w:sz w:val="20"/>
                <w:szCs w:val="20"/>
                <w:color w:val="auto"/>
              </w:rPr>
            </w:pPr>
            <w:r>
              <w:rPr>
                <w:rFonts w:ascii="Arial" w:cs="Arial" w:eastAsia="Arial" w:hAnsi="Arial"/>
                <w:sz w:val="18"/>
                <w:szCs w:val="18"/>
                <w:color w:val="auto"/>
              </w:rPr>
              <w:t>Americas:</w:t>
            </w:r>
          </w:p>
        </w:tc>
        <w:tc>
          <w:tcPr>
            <w:tcW w:w="2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United States (a)</w:t>
            </w:r>
          </w:p>
        </w:tc>
        <w:tc>
          <w:tcPr>
            <w:tcW w:w="24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2,296.9</w:t>
            </w:r>
          </w:p>
        </w:tc>
        <w:tc>
          <w:tcPr>
            <w:tcW w:w="0" w:type="dxa"/>
            <w:vAlign w:val="bottom"/>
          </w:tcPr>
          <w:p>
            <w:pPr>
              <w:spacing w:after="0"/>
              <w:rPr>
                <w:sz w:val="1"/>
                <w:szCs w:val="1"/>
                <w:color w:val="auto"/>
              </w:rPr>
            </w:pPr>
          </w:p>
        </w:tc>
      </w:tr>
      <w:tr>
        <w:trPr>
          <w:trHeight w:val="243"/>
        </w:trPr>
        <w:tc>
          <w:tcPr>
            <w:tcW w:w="4320" w:type="dxa"/>
            <w:vAlign w:val="bottom"/>
          </w:tcPr>
          <w:p>
            <w:pPr>
              <w:ind w:left="540"/>
              <w:spacing w:after="0"/>
              <w:rPr>
                <w:sz w:val="20"/>
                <w:szCs w:val="20"/>
                <w:color w:val="auto"/>
              </w:rPr>
            </w:pPr>
            <w:r>
              <w:rPr>
                <w:rFonts w:ascii="Arial" w:cs="Arial" w:eastAsia="Arial" w:hAnsi="Arial"/>
                <w:sz w:val="18"/>
                <w:szCs w:val="18"/>
                <w:color w:val="auto"/>
              </w:rPr>
              <w:t>Other Americas</w:t>
            </w:r>
          </w:p>
        </w:tc>
        <w:tc>
          <w:tcPr>
            <w:tcW w:w="2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367.0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388.5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1,094.4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1,114.3</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2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3,411.2</w:t>
            </w:r>
          </w:p>
        </w:tc>
        <w:tc>
          <w:tcPr>
            <w:tcW w:w="0" w:type="dxa"/>
            <w:vAlign w:val="bottom"/>
          </w:tcPr>
          <w:p>
            <w:pPr>
              <w:spacing w:after="0"/>
              <w:rPr>
                <w:sz w:val="1"/>
                <w:szCs w:val="1"/>
                <w:color w:val="auto"/>
              </w:rPr>
            </w:pPr>
          </w:p>
        </w:tc>
      </w:tr>
      <w:tr>
        <w:trPr>
          <w:trHeight w:val="237"/>
        </w:trPr>
        <w:tc>
          <w:tcPr>
            <w:tcW w:w="4320" w:type="dxa"/>
            <w:vAlign w:val="bottom"/>
          </w:tcPr>
          <w:p>
            <w:pPr>
              <w:ind w:left="120"/>
              <w:spacing w:after="0"/>
              <w:rPr>
                <w:sz w:val="20"/>
                <w:szCs w:val="20"/>
                <w:color w:val="auto"/>
              </w:rPr>
            </w:pPr>
            <w:r>
              <w:rPr>
                <w:rFonts w:ascii="Arial" w:cs="Arial" w:eastAsia="Arial" w:hAnsi="Arial"/>
                <w:sz w:val="18"/>
                <w:szCs w:val="18"/>
                <w:color w:val="auto"/>
              </w:rPr>
              <w:t>Southern Europe:</w:t>
            </w:r>
          </w:p>
        </w:tc>
        <w:tc>
          <w:tcPr>
            <w:tcW w:w="2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France</w:t>
            </w:r>
          </w:p>
        </w:tc>
        <w:tc>
          <w:tcPr>
            <w:tcW w:w="2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4,083.7</w:t>
            </w:r>
          </w:p>
        </w:tc>
        <w:tc>
          <w:tcPr>
            <w:tcW w:w="0" w:type="dxa"/>
            <w:vAlign w:val="bottom"/>
          </w:tcPr>
          <w:p>
            <w:pPr>
              <w:spacing w:after="0"/>
              <w:rPr>
                <w:sz w:val="1"/>
                <w:szCs w:val="1"/>
                <w:color w:val="auto"/>
              </w:rPr>
            </w:pPr>
          </w:p>
        </w:tc>
      </w:tr>
      <w:tr>
        <w:trPr>
          <w:trHeight w:val="243"/>
        </w:trPr>
        <w:tc>
          <w:tcPr>
            <w:tcW w:w="4320" w:type="dxa"/>
            <w:vAlign w:val="bottom"/>
          </w:tcPr>
          <w:p>
            <w:pPr>
              <w:ind w:left="540"/>
              <w:spacing w:after="0"/>
              <w:rPr>
                <w:sz w:val="20"/>
                <w:szCs w:val="20"/>
                <w:color w:val="auto"/>
              </w:rPr>
            </w:pPr>
            <w:r>
              <w:rPr>
                <w:rFonts w:ascii="Arial" w:cs="Arial" w:eastAsia="Arial" w:hAnsi="Arial"/>
                <w:sz w:val="18"/>
                <w:szCs w:val="18"/>
                <w:color w:val="auto"/>
              </w:rPr>
              <w:t>Italy</w:t>
            </w:r>
          </w:p>
        </w:tc>
        <w:tc>
          <w:tcPr>
            <w:tcW w:w="2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294.1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913.8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882.7</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Other Southern Europe</w:t>
            </w:r>
          </w:p>
        </w:tc>
        <w:tc>
          <w:tcPr>
            <w:tcW w:w="2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729.0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732.9</w:t>
            </w: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1,825.4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2,008.3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5,128.7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5,699.3</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32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120"/>
              <w:spacing w:after="0"/>
              <w:rPr>
                <w:sz w:val="20"/>
                <w:szCs w:val="20"/>
                <w:color w:val="auto"/>
              </w:rPr>
            </w:pPr>
            <w:r>
              <w:rPr>
                <w:rFonts w:ascii="Arial" w:cs="Arial" w:eastAsia="Arial" w:hAnsi="Arial"/>
                <w:sz w:val="18"/>
                <w:szCs w:val="18"/>
                <w:color w:val="auto"/>
              </w:rPr>
              <w:t>Northern Europe</w:t>
            </w:r>
          </w:p>
        </w:tc>
        <w:tc>
          <w:tcPr>
            <w:tcW w:w="2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1,373.4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1,554.6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4,032.3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4,546.3</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APME</w:t>
            </w:r>
          </w:p>
        </w:tc>
        <w:tc>
          <w:tcPr>
            <w:tcW w:w="2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1,760.2</w:t>
            </w:r>
          </w:p>
        </w:tc>
        <w:tc>
          <w:tcPr>
            <w:tcW w:w="0" w:type="dxa"/>
            <w:vAlign w:val="bottom"/>
          </w:tcPr>
          <w:p>
            <w:pPr>
              <w:spacing w:after="0"/>
              <w:rPr>
                <w:sz w:val="1"/>
                <w:szCs w:val="1"/>
                <w:color w:val="auto"/>
              </w:rPr>
            </w:pPr>
          </w:p>
        </w:tc>
      </w:tr>
      <w:tr>
        <w:trPr>
          <w:trHeight w:val="243"/>
        </w:trPr>
        <w:tc>
          <w:tcPr>
            <w:tcW w:w="4320" w:type="dxa"/>
            <w:vAlign w:val="bottom"/>
          </w:tcPr>
          <w:p>
            <w:pPr>
              <w:ind w:left="120"/>
              <w:spacing w:after="0"/>
              <w:rPr>
                <w:sz w:val="20"/>
                <w:szCs w:val="20"/>
                <w:color w:val="auto"/>
              </w:rPr>
            </w:pPr>
            <w:r>
              <w:rPr>
                <w:rFonts w:ascii="Arial" w:cs="Arial" w:eastAsia="Arial" w:hAnsi="Arial"/>
                <w:sz w:val="18"/>
                <w:szCs w:val="18"/>
                <w:color w:val="auto"/>
              </w:rPr>
              <w:t>Right Management</w:t>
            </w:r>
          </w:p>
        </w:tc>
        <w:tc>
          <w:tcPr>
            <w:tcW w:w="2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Consolidated (b)</w:t>
            </w:r>
          </w:p>
        </w:tc>
        <w:tc>
          <w:tcPr>
            <w:tcW w:w="2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4,972.5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5,416.0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14,376.0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15,641.7</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3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unit profit: (c)</w:t>
            </w:r>
          </w:p>
        </w:tc>
        <w:tc>
          <w:tcPr>
            <w:tcW w:w="2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120"/>
              <w:spacing w:after="0"/>
              <w:rPr>
                <w:sz w:val="20"/>
                <w:szCs w:val="20"/>
                <w:color w:val="auto"/>
              </w:rPr>
            </w:pPr>
            <w:r>
              <w:rPr>
                <w:rFonts w:ascii="Arial" w:cs="Arial" w:eastAsia="Arial" w:hAnsi="Arial"/>
                <w:sz w:val="18"/>
                <w:szCs w:val="18"/>
                <w:color w:val="auto"/>
              </w:rPr>
              <w:t>Americas:</w:t>
            </w:r>
          </w:p>
        </w:tc>
        <w:tc>
          <w:tcPr>
            <w:tcW w:w="2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United States</w:t>
            </w:r>
          </w:p>
        </w:tc>
        <w:tc>
          <w:tcPr>
            <w:tcW w:w="24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43"/>
        </w:trPr>
        <w:tc>
          <w:tcPr>
            <w:tcW w:w="4320" w:type="dxa"/>
            <w:vAlign w:val="bottom"/>
          </w:tcPr>
          <w:p>
            <w:pPr>
              <w:ind w:left="540"/>
              <w:spacing w:after="0"/>
              <w:rPr>
                <w:sz w:val="20"/>
                <w:szCs w:val="20"/>
                <w:color w:val="auto"/>
              </w:rPr>
            </w:pPr>
            <w:r>
              <w:rPr>
                <w:rFonts w:ascii="Arial" w:cs="Arial" w:eastAsia="Arial" w:hAnsi="Arial"/>
                <w:sz w:val="18"/>
                <w:szCs w:val="18"/>
                <w:color w:val="auto"/>
              </w:rPr>
              <w:t>Other Americas</w:t>
            </w:r>
          </w:p>
        </w:tc>
        <w:tc>
          <w:tcPr>
            <w:tcW w:w="2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2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37"/>
        </w:trPr>
        <w:tc>
          <w:tcPr>
            <w:tcW w:w="4320" w:type="dxa"/>
            <w:vAlign w:val="bottom"/>
          </w:tcPr>
          <w:p>
            <w:pPr>
              <w:ind w:left="120"/>
              <w:spacing w:after="0"/>
              <w:rPr>
                <w:sz w:val="20"/>
                <w:szCs w:val="20"/>
                <w:color w:val="auto"/>
              </w:rPr>
            </w:pPr>
            <w:r>
              <w:rPr>
                <w:rFonts w:ascii="Arial" w:cs="Arial" w:eastAsia="Arial" w:hAnsi="Arial"/>
                <w:sz w:val="18"/>
                <w:szCs w:val="18"/>
                <w:color w:val="auto"/>
              </w:rPr>
              <w:t>Southern Europe:</w:t>
            </w:r>
          </w:p>
        </w:tc>
        <w:tc>
          <w:tcPr>
            <w:tcW w:w="2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France</w:t>
            </w:r>
          </w:p>
        </w:tc>
        <w:tc>
          <w:tcPr>
            <w:tcW w:w="2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43"/>
        </w:trPr>
        <w:tc>
          <w:tcPr>
            <w:tcW w:w="4320" w:type="dxa"/>
            <w:vAlign w:val="bottom"/>
          </w:tcPr>
          <w:p>
            <w:pPr>
              <w:ind w:left="540"/>
              <w:spacing w:after="0"/>
              <w:rPr>
                <w:sz w:val="20"/>
                <w:szCs w:val="20"/>
                <w:color w:val="auto"/>
              </w:rPr>
            </w:pPr>
            <w:r>
              <w:rPr>
                <w:rFonts w:ascii="Arial" w:cs="Arial" w:eastAsia="Arial" w:hAnsi="Arial"/>
                <w:sz w:val="18"/>
                <w:szCs w:val="18"/>
                <w:color w:val="auto"/>
              </w:rPr>
              <w:t>Italy</w:t>
            </w:r>
          </w:p>
        </w:tc>
        <w:tc>
          <w:tcPr>
            <w:tcW w:w="2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Other Southern Europe</w:t>
            </w:r>
          </w:p>
        </w:tc>
        <w:tc>
          <w:tcPr>
            <w:tcW w:w="2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261.7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269.3</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32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120"/>
              <w:spacing w:after="0"/>
              <w:rPr>
                <w:sz w:val="20"/>
                <w:szCs w:val="20"/>
                <w:color w:val="auto"/>
              </w:rPr>
            </w:pPr>
            <w:r>
              <w:rPr>
                <w:rFonts w:ascii="Arial" w:cs="Arial" w:eastAsia="Arial" w:hAnsi="Arial"/>
                <w:sz w:val="18"/>
                <w:szCs w:val="18"/>
                <w:color w:val="auto"/>
              </w:rPr>
              <w:t>Northern Europe</w:t>
            </w:r>
          </w:p>
        </w:tc>
        <w:tc>
          <w:tcPr>
            <w:tcW w:w="2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APME</w:t>
            </w:r>
          </w:p>
        </w:tc>
        <w:tc>
          <w:tcPr>
            <w:tcW w:w="2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43"/>
        </w:trPr>
        <w:tc>
          <w:tcPr>
            <w:tcW w:w="4320" w:type="dxa"/>
            <w:vAlign w:val="bottom"/>
          </w:tcPr>
          <w:p>
            <w:pPr>
              <w:ind w:left="120"/>
              <w:spacing w:after="0"/>
              <w:rPr>
                <w:sz w:val="20"/>
                <w:szCs w:val="20"/>
                <w:color w:val="auto"/>
              </w:rPr>
            </w:pPr>
            <w:r>
              <w:rPr>
                <w:rFonts w:ascii="Arial" w:cs="Arial" w:eastAsia="Arial" w:hAnsi="Arial"/>
                <w:sz w:val="18"/>
                <w:szCs w:val="18"/>
                <w:color w:val="auto"/>
              </w:rPr>
              <w:t>Right Management</w:t>
            </w:r>
          </w:p>
        </w:tc>
        <w:tc>
          <w:tcPr>
            <w:tcW w:w="2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629.8</w:t>
            </w:r>
          </w:p>
        </w:tc>
        <w:tc>
          <w:tcPr>
            <w:tcW w:w="0" w:type="dxa"/>
            <w:vAlign w:val="bottom"/>
          </w:tcPr>
          <w:p>
            <w:pPr>
              <w:spacing w:after="0"/>
              <w:rPr>
                <w:sz w:val="1"/>
                <w:szCs w:val="1"/>
                <w:color w:val="auto"/>
              </w:rPr>
            </w:pPr>
          </w:p>
        </w:tc>
      </w:tr>
      <w:tr>
        <w:trPr>
          <w:trHeight w:val="243"/>
        </w:trPr>
        <w:tc>
          <w:tcPr>
            <w:tcW w:w="4320" w:type="dxa"/>
            <w:vAlign w:val="bottom"/>
          </w:tcPr>
          <w:p>
            <w:pPr>
              <w:ind w:left="80"/>
              <w:spacing w:after="0"/>
              <w:rPr>
                <w:sz w:val="20"/>
                <w:szCs w:val="20"/>
                <w:color w:val="auto"/>
              </w:rPr>
            </w:pPr>
            <w:r>
              <w:rPr>
                <w:rFonts w:ascii="Arial" w:cs="Arial" w:eastAsia="Arial" w:hAnsi="Arial"/>
                <w:sz w:val="18"/>
                <w:szCs w:val="18"/>
                <w:color w:val="auto"/>
              </w:rPr>
              <w:t>Corporate expenses</w:t>
            </w:r>
          </w:p>
        </w:tc>
        <w:tc>
          <w:tcPr>
            <w:tcW w:w="2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Intangible asset amortization expense (c)</w:t>
            </w:r>
          </w:p>
        </w:tc>
        <w:tc>
          <w:tcPr>
            <w:tcW w:w="2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7"/>
        </w:trPr>
        <w:tc>
          <w:tcPr>
            <w:tcW w:w="4320" w:type="dxa"/>
            <w:vAlign w:val="bottom"/>
          </w:tcPr>
          <w:p>
            <w:pPr>
              <w:ind w:left="540"/>
              <w:spacing w:after="0"/>
              <w:rPr>
                <w:sz w:val="20"/>
                <w:szCs w:val="20"/>
                <w:color w:val="auto"/>
              </w:rPr>
            </w:pPr>
            <w:r>
              <w:rPr>
                <w:rFonts w:ascii="Arial" w:cs="Arial" w:eastAsia="Arial" w:hAnsi="Arial"/>
                <w:sz w:val="18"/>
                <w:szCs w:val="18"/>
                <w:color w:val="auto"/>
              </w:rPr>
              <w:t>Operating profit</w:t>
            </w:r>
          </w:p>
        </w:tc>
        <w:tc>
          <w:tcPr>
            <w:tcW w:w="2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206.3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212.3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507.8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526.6</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Interest and other expenses</w:t>
            </w:r>
          </w:p>
        </w:tc>
        <w:tc>
          <w:tcPr>
            <w:tcW w:w="2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57"/>
        </w:trPr>
        <w:tc>
          <w:tcPr>
            <w:tcW w:w="4320" w:type="dxa"/>
            <w:vAlign w:val="bottom"/>
          </w:tcPr>
          <w:p>
            <w:pPr>
              <w:ind w:left="120"/>
              <w:spacing w:after="0"/>
              <w:rPr>
                <w:sz w:val="20"/>
                <w:szCs w:val="20"/>
                <w:color w:val="auto"/>
              </w:rPr>
            </w:pPr>
            <w:r>
              <w:rPr>
                <w:rFonts w:ascii="Arial" w:cs="Arial" w:eastAsia="Arial" w:hAnsi="Arial"/>
                <w:sz w:val="18"/>
                <w:szCs w:val="18"/>
                <w:color w:val="auto"/>
              </w:rPr>
              <w:t>Earnings before income taxes</w:t>
            </w:r>
          </w:p>
        </w:tc>
        <w:tc>
          <w:tcPr>
            <w:tcW w:w="22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196.9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480.6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499.6</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200" w:type="dxa"/>
            <w:vAlign w:val="bottom"/>
            <w:vMerge w:val="restart"/>
          </w:tcPr>
          <w:p>
            <w:pPr>
              <w:jc w:val="right"/>
              <w:ind w:right="630"/>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32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15" w:name="page16"/>
    <w:bookmarkEnd w:id="15"/>
    <w:p>
      <w:pPr>
        <w:ind w:left="412" w:hanging="412"/>
        <w:spacing w:after="0" w:line="302" w:lineRule="auto"/>
        <w:tabs>
          <w:tab w:leader="none" w:pos="412"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the United States, where a majority of our franchises operate, revenues from services included fees received from the related franchise offices of $4.2 and $4.4 for the three months ended September 30, 2015 and 2014, respectively, and $11.5 and $11.7 for the nine months ended September 30, 2015 and 2014, respectively. These fees are primarily based on revenues generated by the franchise offices, which were $186.3 and $196.3 for the three months ended September 30, 2015 and 2014, respectively, and $539.6 and $555.7 for the nine months ended September 30, 2015 and 2014, respectively.</w:t>
      </w:r>
    </w:p>
    <w:p>
      <w:pPr>
        <w:spacing w:after="0" w:line="154" w:lineRule="exact"/>
        <w:rPr>
          <w:rFonts w:ascii="Arial" w:cs="Arial" w:eastAsia="Arial" w:hAnsi="Arial"/>
          <w:sz w:val="16"/>
          <w:szCs w:val="16"/>
          <w:color w:val="auto"/>
        </w:rPr>
      </w:pPr>
    </w:p>
    <w:p>
      <w:pPr>
        <w:ind w:left="412" w:right="80" w:hanging="412"/>
        <w:spacing w:after="0" w:line="279" w:lineRule="auto"/>
        <w:tabs>
          <w:tab w:leader="none" w:pos="412"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consolidated revenues from services include fees received from our franchise offices of $6.6 and $6.9 for the three months ended September 30, 2015 and 2014, respectively, and $18.1 and $18.8 for the nine months ended September 30, 2015 and 2014, respectively. These fees are primarily based on revenues generated by the franchise offices, which were $286.4 and $302.0 for the three months ended September 30, 2015 and 2014, respectively, and $812.6 and $845.2 for the nine months ended September 30, 2015 and 2014, respectively.</w:t>
      </w:r>
    </w:p>
    <w:p>
      <w:pPr>
        <w:spacing w:after="0" w:line="171" w:lineRule="exact"/>
        <w:rPr>
          <w:rFonts w:ascii="Arial" w:cs="Arial" w:eastAsia="Arial" w:hAnsi="Arial"/>
          <w:sz w:val="17"/>
          <w:szCs w:val="17"/>
          <w:color w:val="auto"/>
        </w:rPr>
      </w:pPr>
    </w:p>
    <w:p>
      <w:pPr>
        <w:ind w:left="412" w:right="400" w:hanging="412"/>
        <w:spacing w:after="0" w:line="286" w:lineRule="auto"/>
        <w:tabs>
          <w:tab w:leader="none" w:pos="412"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evaluate segment performance based on operating unit profit (“OUP”), which is equal to segment revenues less cost of services and branch and national headquarters operating costs. This profit measure does not include goodwill and intangible asset impairment charges or amortization of intangibles related to acquisitions, interest and other income and expense amounts or income taxes.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12"/>
          </w:cols>
          <w:pgMar w:left="248" w:top="58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Item 2 –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the financial measures section on pages 25 through 27 for further information on constant currency and organic constant currency.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Overview</w:t>
      </w:r>
    </w:p>
    <w:p>
      <w:pPr>
        <w:spacing w:after="0" w:line="225"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Client demand for workforce solutions and services is dependent on the overall strength of the labor market and secular trends toward greater workforce flexibility within each of the countries and territories in which we operate. Improving economic growth typically results in increasing demand for labor, resulting in greater demand for our staffing services. During these periods of increasing demand as we saw in the first nine months of 2015, we are able to improve our profitability and operating leverage as our cost base can support some increase in business without a similar increase in selling and administrative expenses.</w:t>
      </w:r>
    </w:p>
    <w:p>
      <w:pPr>
        <w:spacing w:after="0" w:line="18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the first nine months of 2015, the United States dollar was stronger relative to the currencies in most of our major markets, having a significant unfavorable impact on our reported results. While our reported revenues from services declined 8.2% from the third quarter of 2014 and our reported operating profit declined 2.8%, these results were significantly impacted by the changes in foreign currency exchange rates and do not reflect the performance of our underlying business. The changes in the foreign currency exchange rates had a 14.0% unfavorable impact on revenues from services, a 15.5% unfavorable impact on operating profit and an approximately $0.25 per share unfavorable impact on net earnings per share – diluted. Substantially all of our subsidiaries derive revenues from services and incur expenses within the same currency and generally do not have cross-currency transactions, and, therefore, changes in foreign currency exchange rates primarily impact reported earnings and not our actual cash flow unless earnings are repatriated. To understand the performance of our underlying business, we utilize constant currency or organic constant currency variances for our consolidated and segment results.</w:t>
      </w:r>
    </w:p>
    <w:p>
      <w:pPr>
        <w:spacing w:after="0" w:line="16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the three months ended September 30, 2015, we experienced constant currency revenue growth in most of our markets. Our consolidated revenues were up 5.8% in constant currency (-8.2% as reported) in the quarter, a slight decline from the 6.6% constant currency growth (-8.7% as reported) in the second quarter of 2015 due primarily to some softening in the United States and parts of Europe. We continue to experience uneven economic conditions in Europe and certain of our major markets, and further recovery may be slow or somewhat volatile. Our staffing/interim business had solid growth in the quarter, along with a 14.6% constant currency increase (1.6% as reported) in our permanent recruitment business and strong growth in all of our ManpowerGroup Solutions offerings. At Right Management, we have seen some improvement as we experienced slight revenue growth compared to declines seen in the past few quarters as the demand for our counter-cyclical outplacement services increased 4.1% in constant currency (-4.5% as reported), while revenues from our talent management services decreased 5.0% in constant currency (-11.3% as reported).</w:t>
      </w:r>
    </w:p>
    <w:p>
      <w:pPr>
        <w:spacing w:after="0" w:line="1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gross profit margin in the third quarter of 2015 compared to 2014 increased mostly due to growth in our permanent recruitment business and a favorable mix impact due to the changes in currency exchange rates. Our staffing gross profit margin increased slightly in the third quarter of 2015 compared to 2014 primarily due to a favorable mix impact due to the changes in currency exchange rates.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profitability improved in the quarter with operating profit up 12.7% in constant currency (-2.8% as reported) and operating profit margin up 30 basis points in constant currency (20 basis points as reported) compared to the third quarter of 2014. We continue to monitor expenses closely to ensure we maintain the full benefit of the simplification and cost recalibration plan initiatives that resulted in a lower cost base as we streamlined our organization, while investing appropriately to support the growth in the business. During the third quarter of 2015, we added recruiters and certain other staff to support the increased demand for our services. We have also seen an increase in our variable incentive costs due to the improved profitability. Even with these investments, we saw improved operational leverage in the quarter as we were able to support the higher revenue level without a similar increase in expenses in constant currency.</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368"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Operating Results - Three Months Ended September 30, 2015 and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the three months ended September 30, 2015 as compared to 2014.</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rPr>
              <w:t>Constant</w:t>
            </w:r>
          </w:p>
        </w:tc>
      </w:tr>
      <w:tr>
        <w:trPr>
          <w:trHeight w:val="216"/>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ind w:left="300"/>
              <w:spacing w:after="0"/>
              <w:rPr>
                <w:sz w:val="20"/>
                <w:szCs w:val="20"/>
                <w:color w:val="auto"/>
              </w:rPr>
            </w:pPr>
            <w:r>
              <w:rPr>
                <w:rFonts w:ascii="Arial" w:cs="Arial" w:eastAsia="Arial" w:hAnsi="Arial"/>
                <w:sz w:val="18"/>
                <w:szCs w:val="18"/>
                <w:b w:val="1"/>
                <w:bCs w:val="1"/>
                <w:color w:val="auto"/>
              </w:rPr>
              <w:t>Currency</w:t>
            </w:r>
          </w:p>
        </w:tc>
      </w:tr>
      <w:tr>
        <w:trPr>
          <w:trHeight w:val="234"/>
        </w:trPr>
        <w:tc>
          <w:tcPr>
            <w:tcW w:w="5780" w:type="dxa"/>
            <w:vAlign w:val="bottom"/>
          </w:tcPr>
          <w:p>
            <w:pPr>
              <w:ind w:left="40"/>
              <w:spacing w:after="0"/>
              <w:rPr>
                <w:sz w:val="20"/>
                <w:szCs w:val="20"/>
                <w:color w:val="auto"/>
              </w:rPr>
            </w:pPr>
            <w:r>
              <w:rPr>
                <w:rFonts w:ascii="Arial" w:cs="Arial" w:eastAsia="Arial" w:hAnsi="Arial"/>
                <w:sz w:val="18"/>
                <w:szCs w:val="18"/>
                <w:b w:val="1"/>
                <w:bCs w:val="1"/>
                <w:color w:val="auto"/>
              </w:rPr>
              <w:t>(in millions, except per share data</w:t>
            </w: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440" w:type="dxa"/>
            <w:vAlign w:val="bottom"/>
            <w:gridSpan w:val="2"/>
          </w:tcPr>
          <w:p>
            <w:pPr>
              <w:ind w:left="320"/>
              <w:spacing w:after="0"/>
              <w:rPr>
                <w:sz w:val="20"/>
                <w:szCs w:val="20"/>
                <w:color w:val="auto"/>
              </w:rPr>
            </w:pPr>
            <w:r>
              <w:rPr>
                <w:rFonts w:ascii="Arial" w:cs="Arial" w:eastAsia="Arial" w:hAnsi="Arial"/>
                <w:sz w:val="18"/>
                <w:szCs w:val="18"/>
                <w:b w:val="1"/>
                <w:bCs w:val="1"/>
                <w:color w:val="auto"/>
              </w:rPr>
              <w:t>Variance</w:t>
            </w: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services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4,972.5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5,416.0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Cost of services</w:t>
            </w:r>
          </w:p>
        </w:tc>
        <w:tc>
          <w:tcPr>
            <w:tcW w:w="30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4,120.4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4,510.4</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5.5</w:t>
            </w: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852.1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905.6</w:t>
            </w:r>
          </w:p>
        </w:tc>
        <w:tc>
          <w:tcPr>
            <w:tcW w:w="1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w:t>
            </w:r>
          </w:p>
        </w:tc>
      </w:tr>
      <w:tr>
        <w:trPr>
          <w:trHeight w:val="243"/>
        </w:trPr>
        <w:tc>
          <w:tcPr>
            <w:tcW w:w="5780" w:type="dxa"/>
            <w:vAlign w:val="bottom"/>
          </w:tcPr>
          <w:p>
            <w:pPr>
              <w:ind w:left="220"/>
              <w:spacing w:after="0"/>
              <w:rPr>
                <w:sz w:val="20"/>
                <w:szCs w:val="20"/>
                <w:color w:val="auto"/>
              </w:rPr>
            </w:pPr>
            <w:r>
              <w:rPr>
                <w:rFonts w:ascii="Arial" w:cs="Arial" w:eastAsia="Arial" w:hAnsi="Arial"/>
                <w:sz w:val="18"/>
                <w:szCs w:val="18"/>
                <w:i w:val="1"/>
                <w:iCs w:val="1"/>
                <w:color w:val="auto"/>
              </w:rPr>
              <w:t>Gross profit margin</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17.1%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16.7%</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645.8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693.3</w:t>
            </w:r>
          </w:p>
        </w:tc>
        <w:tc>
          <w:tcPr>
            <w:tcW w:w="1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w:t>
            </w:r>
          </w:p>
        </w:tc>
      </w:tr>
      <w:tr>
        <w:trPr>
          <w:trHeight w:val="237"/>
        </w:trPr>
        <w:tc>
          <w:tcPr>
            <w:tcW w:w="5780" w:type="dxa"/>
            <w:vAlign w:val="bottom"/>
          </w:tcPr>
          <w:p>
            <w:pPr>
              <w:ind w:left="220"/>
              <w:spacing w:after="0"/>
              <w:rPr>
                <w:sz w:val="20"/>
                <w:szCs w:val="20"/>
                <w:color w:val="auto"/>
              </w:rPr>
            </w:pPr>
            <w:r>
              <w:rPr>
                <w:rFonts w:ascii="Arial" w:cs="Arial" w:eastAsia="Arial" w:hAnsi="Arial"/>
                <w:sz w:val="18"/>
                <w:szCs w:val="18"/>
                <w:color w:val="auto"/>
              </w:rPr>
              <w:t>Operating profit</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206.3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212.3</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12.7</w:t>
            </w: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i w:val="1"/>
                <w:iCs w:val="1"/>
                <w:color w:val="auto"/>
              </w:rPr>
              <w:t>Operating profit margin</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Interest and other expenses</w:t>
            </w:r>
          </w:p>
        </w:tc>
        <w:tc>
          <w:tcPr>
            <w:tcW w:w="30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9.9</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Earnings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202.4</w:t>
            </w:r>
          </w:p>
        </w:tc>
        <w:tc>
          <w:tcPr>
            <w:tcW w:w="1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12.6</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71.9</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Effective income tax rate</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37.1%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35.5%</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r>
      <w:tr>
        <w:trPr>
          <w:trHeight w:val="297"/>
        </w:trPr>
        <w:tc>
          <w:tcPr>
            <w:tcW w:w="5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earnings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123.9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130.5</w:t>
            </w:r>
          </w:p>
        </w:tc>
        <w:tc>
          <w:tcPr>
            <w:tcW w:w="146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9.5</w:t>
            </w:r>
          </w:p>
        </w:tc>
      </w:tr>
      <w:tr>
        <w:trPr>
          <w:trHeight w:val="251"/>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per share –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15.5</w:t>
            </w: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1"/>
        </w:trPr>
        <w:tc>
          <w:tcPr>
            <w:tcW w:w="5780" w:type="dxa"/>
            <w:vAlign w:val="bottom"/>
          </w:tcPr>
          <w:p>
            <w:pPr>
              <w:ind w:left="40"/>
              <w:spacing w:after="0"/>
              <w:rPr>
                <w:sz w:val="20"/>
                <w:szCs w:val="20"/>
                <w:color w:val="auto"/>
              </w:rPr>
            </w:pPr>
            <w:r>
              <w:rPr>
                <w:rFonts w:ascii="Arial" w:cs="Arial" w:eastAsia="Arial" w:hAnsi="Arial"/>
                <w:sz w:val="18"/>
                <w:szCs w:val="18"/>
                <w:color w:val="auto"/>
              </w:rPr>
              <w:t>Weighted average shares – diluted</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81.1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year-over-year decrease in revenues from services of 8.2% (increase of 5.8% in constant currency and 3.9% in organic constant currency) was attributed to:</w:t>
      </w:r>
    </w:p>
    <w:p>
      <w:pPr>
        <w:spacing w:after="0" w:line="17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14.0% decrease due to the impact of changes in the currency exchange rates; and</w:t>
      </w:r>
    </w:p>
    <w:p>
      <w:pPr>
        <w:spacing w:after="0" w:line="225"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 decrease in the United States of 3.9% primarily driven by a decline in demand for our staffing/interim services in the industrial, engineering and finance markets, partially offset by solid growth in our permanent recruitment business and in our MSP and RPO offerings within the ManpowerGroup Solutions business; partially offset by</w:t>
      </w:r>
    </w:p>
    <w:p>
      <w:pPr>
        <w:spacing w:after="0" w:line="181" w:lineRule="exact"/>
        <w:rPr>
          <w:rFonts w:ascii="Arial" w:cs="Arial" w:eastAsia="Arial" w:hAnsi="Arial"/>
          <w:sz w:val="18"/>
          <w:szCs w:val="18"/>
          <w:color w:val="auto"/>
        </w:rPr>
      </w:pPr>
    </w:p>
    <w:p>
      <w:pPr>
        <w:ind w:left="660" w:right="40" w:hanging="328"/>
        <w:spacing w:after="0" w:line="293"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increased demand for services in several of our markets within Southern Europe and Northern Europe, where in constant currency revenues increased 8.0% (-9.1% as reported) and 3.1% (0.3% in organic constant currency; -11.7% as reported), respectively. This included a constant currency revenue increase in France of 1.9% (-14.6% as reported) primarily due to the staffing market, which is showing some growth. This increase also included a constant currency revenue increase in Italy of 31.4% (10.3% as reported) due to improving demand and our contract with the Milan Expo. We also experienced constant currency revenue growth in Spain, Germany, the United Kingdom, and the Nordics of 28.7%, 26.8%, 1.1% and 1.0%, respectively (7.9%, 7.1%, -6.2% and -19.3%, respectively, as reported; 7.6% in organic constant currency in Germany);</w:t>
      </w:r>
    </w:p>
    <w:p>
      <w:pPr>
        <w:spacing w:after="0" w:line="164" w:lineRule="exact"/>
        <w:rPr>
          <w:rFonts w:ascii="Arial" w:cs="Arial" w:eastAsia="Arial" w:hAnsi="Arial"/>
          <w:sz w:val="16"/>
          <w:szCs w:val="16"/>
          <w:color w:val="auto"/>
        </w:rPr>
      </w:pPr>
    </w:p>
    <w:p>
      <w:pPr>
        <w:jc w:val="both"/>
        <w:ind w:left="660" w:right="14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 increase in APME of 11.9% in constant currency (5.3% in organic constant currency; -3.7% as reported) primarily due to a 20.3% constant currency increase (3.4% as reported) in our permanent recruitment business, an increase in our ManpowerGroup Solutions business and an increase in our staffing/interim revenues;</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demand for services at Right Management, where revenues increased 1.3% in constant currency (-6.6% as reported), including a 4.1% constant currency increase (-4.5% as reported) in our outplacement services, which was partially offset by a 5.0% constant currency decline (-11.3% as reported) in our talent management business; and</w:t>
      </w:r>
    </w:p>
    <w:p>
      <w:pPr>
        <w:spacing w:after="0" w:line="181" w:lineRule="exact"/>
        <w:rPr>
          <w:rFonts w:ascii="Arial" w:cs="Arial" w:eastAsia="Arial" w:hAnsi="Arial"/>
          <w:sz w:val="18"/>
          <w:szCs w:val="18"/>
          <w:color w:val="auto"/>
        </w:rPr>
      </w:pPr>
    </w:p>
    <w:p>
      <w:pPr>
        <w:ind w:left="660" w:right="8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acquisitions in the Americas, Southern Europe, Northern Europe and APME, which added approximately 1.9% revenue growth to our consolidated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40 basis point (0.40%) increase in gross profit margin was primarily attributed to:</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20 basis point (0.20%) favorable impact due to the 14.6% constant currency growth (1.6% as reported) in our permanent recruitment business;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20 basis point (0.20%) increase due to the impact on business mix of the changes in currency exchange rates.</w:t>
      </w:r>
    </w:p>
    <w:p>
      <w:pPr>
        <w:sectPr>
          <w:pgSz w:w="11900" w:h="16838" w:orient="portrait"/>
          <w:cols w:equalWidth="0" w:num="1">
            <w:col w:w="11420"/>
          </w:cols>
          <w:pgMar w:left="240" w:top="58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584" w:right="239" w:bottom="1440" w:gutter="0" w:footer="0" w:header="0"/>
          <w:type w:val="continuous"/>
        </w:sectPr>
      </w:pPr>
    </w:p>
    <w:bookmarkStart w:id="18" w:name="page19"/>
    <w:bookmarkEnd w:id="18"/>
    <w:p>
      <w:pPr>
        <w:ind w:right="280"/>
        <w:spacing w:after="0" w:line="277" w:lineRule="auto"/>
        <w:rPr>
          <w:sz w:val="20"/>
          <w:szCs w:val="20"/>
          <w:color w:val="auto"/>
        </w:rPr>
      </w:pPr>
      <w:r>
        <w:rPr>
          <w:rFonts w:ascii="Arial" w:cs="Arial" w:eastAsia="Arial" w:hAnsi="Arial"/>
          <w:sz w:val="18"/>
          <w:szCs w:val="18"/>
          <w:color w:val="auto"/>
        </w:rPr>
        <w:t>The 6.9% decrease in selling and administrative expenses in the third quarter of 2015 (increase of 5.3% in constant currency and 3.0% in organic constant currency) was attributed to:</w:t>
      </w:r>
    </w:p>
    <w:p>
      <w:pPr>
        <w:spacing w:after="0" w:line="17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12.2% decrease due to the impact of changes in the currency exchange rates; partially offset by</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3.0% increase in constant currency (-8.6% as reported) in organic salary-related costs primarily because of additional headcount to support an increased demand for our services;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in other non-personnel related costs as a result of increased demand for our services; and</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additional recurring selling and administrative costs incurred as a result of the acquisitions in the Americas, Southern Europe, Northern Europe and APME.</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Selling and administrative expenses as a percent of revenues increased 20 basis points (0.20%) in the third quarter of 2015 compared to 2014 as a 30 basis point (0.30%) unfavorable impact from business mix changes due to the changes in currency exchange rates, was partially offset by a 10 basis point (-0.10%) favorable impact from better expense leverage.</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Interest and other expenses are comprised of interest, foreign exchange gains and losses and other miscellaneous non-operating income and expenses. Interest and other expenses were $9.4 million in the third quarter of 2015 compared to $9.9 million in the third quarter of 2014. Net interest expense increased $0.3 million in the third quarter of 2015 to $8.5 million from $8.2 million in the third quarter of 2014 due to higher debt levels as we issued €400.0 million Notes in September of 2015. Foreign exchange gain in the third quarter of 2015 was $0.2 million compared to a $0.7 million loss in the third quarter of 2014. Miscellaneous expense was $1.1 million in the third quarter of 2015 compared to $1.0 million in the third quarter of 2014. For our Venezuela reporting unit, we use the official exchange rate to convert the Bolivar Fuerte currency (“BsF”) to the functional currency of the United States dollar (“USD”), which is currently set at 6.3 BsF to 1 USD. Any change to the official exchange rate would not have a material impact on our operating results.</w:t>
      </w:r>
    </w:p>
    <w:p>
      <w:pPr>
        <w:spacing w:after="0" w:line="16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recorded income tax expense at an effective rate of 37.1% for the three months ended September 30, 2015, as compared to an effective rate of 35.5% for the three months ended September 30, 2014. The 2015 rate was unfavorably impacted by the change in the mix of earnings due to the strengthening of the United States dollar as well as a decrease in non-U.S. income. The 37.1% effective tax rate in the quarter was higher than the United States Federal statutory rate of 35%, and we currently expect an annual effective tax rate of approximately 38%, due primarily to the French business tax, expected repatriations, valuation allowances and other permanent items.</w:t>
      </w:r>
    </w:p>
    <w:p>
      <w:pPr>
        <w:spacing w:after="0" w:line="188"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Net earnings per share - diluted was $1.61 for both the three months ended September 30, 2015 and 2014. Foreign currency exchange rates negatively impacted net earnings per share - diluted by approximately $0.25 per share for the three months ended September 30, 2015.</w:t>
      </w:r>
    </w:p>
    <w:p>
      <w:pPr>
        <w:spacing w:after="0" w:line="147"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Weighted average shares - diluted decreased 5.1% to 77.0 million for the three months ended September 30, 2015 from 81.1 million for the three months ended September 30, 2014. This decrease was due to the impact of share repurchases completed since the third quarter of 2014, partially offset by shares issued as a result of exercises and vesting of share-based awards since the third quarter of 2014.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584"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Operating Results - Nine Months Ended September 30, 2015 and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the nine months ended September 30, 2015 as compared to 2014.</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rPr>
              <w:t>Constant</w:t>
            </w:r>
          </w:p>
        </w:tc>
      </w:tr>
      <w:tr>
        <w:trPr>
          <w:trHeight w:val="216"/>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ind w:left="300"/>
              <w:spacing w:after="0"/>
              <w:rPr>
                <w:sz w:val="20"/>
                <w:szCs w:val="20"/>
                <w:color w:val="auto"/>
              </w:rPr>
            </w:pPr>
            <w:r>
              <w:rPr>
                <w:rFonts w:ascii="Arial" w:cs="Arial" w:eastAsia="Arial" w:hAnsi="Arial"/>
                <w:sz w:val="18"/>
                <w:szCs w:val="18"/>
                <w:b w:val="1"/>
                <w:bCs w:val="1"/>
                <w:color w:val="auto"/>
              </w:rPr>
              <w:t>Currency</w:t>
            </w:r>
          </w:p>
        </w:tc>
      </w:tr>
      <w:tr>
        <w:trPr>
          <w:trHeight w:val="234"/>
        </w:trPr>
        <w:tc>
          <w:tcPr>
            <w:tcW w:w="5780" w:type="dxa"/>
            <w:vAlign w:val="bottom"/>
          </w:tcPr>
          <w:p>
            <w:pPr>
              <w:ind w:left="40"/>
              <w:spacing w:after="0"/>
              <w:rPr>
                <w:sz w:val="20"/>
                <w:szCs w:val="20"/>
                <w:color w:val="auto"/>
              </w:rPr>
            </w:pPr>
            <w:r>
              <w:rPr>
                <w:rFonts w:ascii="Arial" w:cs="Arial" w:eastAsia="Arial" w:hAnsi="Arial"/>
                <w:sz w:val="18"/>
                <w:szCs w:val="18"/>
                <w:b w:val="1"/>
                <w:bCs w:val="1"/>
                <w:color w:val="auto"/>
              </w:rPr>
              <w:t>(in millions, except per share data</w:t>
            </w: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440" w:type="dxa"/>
            <w:vAlign w:val="bottom"/>
            <w:gridSpan w:val="2"/>
          </w:tcPr>
          <w:p>
            <w:pPr>
              <w:ind w:left="320"/>
              <w:spacing w:after="0"/>
              <w:rPr>
                <w:sz w:val="20"/>
                <w:szCs w:val="20"/>
                <w:color w:val="auto"/>
              </w:rPr>
            </w:pPr>
            <w:r>
              <w:rPr>
                <w:rFonts w:ascii="Arial" w:cs="Arial" w:eastAsia="Arial" w:hAnsi="Arial"/>
                <w:sz w:val="18"/>
                <w:szCs w:val="18"/>
                <w:b w:val="1"/>
                <w:bCs w:val="1"/>
                <w:color w:val="auto"/>
              </w:rPr>
              <w:t>Variance</w:t>
            </w: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services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14,376.0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15,641.7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Cost of services</w:t>
            </w:r>
          </w:p>
        </w:tc>
        <w:tc>
          <w:tcPr>
            <w:tcW w:w="30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11,931.3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13,022.3</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6.2</w:t>
            </w: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2,444.7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2,619.4</w:t>
            </w:r>
          </w:p>
        </w:tc>
        <w:tc>
          <w:tcPr>
            <w:tcW w:w="1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6.8</w:t>
            </w:r>
          </w:p>
        </w:tc>
      </w:tr>
      <w:tr>
        <w:trPr>
          <w:trHeight w:val="243"/>
        </w:trPr>
        <w:tc>
          <w:tcPr>
            <w:tcW w:w="5780" w:type="dxa"/>
            <w:vAlign w:val="bottom"/>
          </w:tcPr>
          <w:p>
            <w:pPr>
              <w:ind w:left="220"/>
              <w:spacing w:after="0"/>
              <w:rPr>
                <w:sz w:val="20"/>
                <w:szCs w:val="20"/>
                <w:color w:val="auto"/>
              </w:rPr>
            </w:pPr>
            <w:r>
              <w:rPr>
                <w:rFonts w:ascii="Arial" w:cs="Arial" w:eastAsia="Arial" w:hAnsi="Arial"/>
                <w:sz w:val="18"/>
                <w:szCs w:val="18"/>
                <w:i w:val="1"/>
                <w:iCs w:val="1"/>
                <w:color w:val="auto"/>
              </w:rPr>
              <w:t>Gross profit margin</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17.0%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16.7%</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1,936.9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2,092.8</w:t>
            </w:r>
          </w:p>
        </w:tc>
        <w:tc>
          <w:tcPr>
            <w:tcW w:w="1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w:t>
            </w:r>
          </w:p>
        </w:tc>
      </w:tr>
      <w:tr>
        <w:trPr>
          <w:trHeight w:val="237"/>
        </w:trPr>
        <w:tc>
          <w:tcPr>
            <w:tcW w:w="5780" w:type="dxa"/>
            <w:vAlign w:val="bottom"/>
          </w:tcPr>
          <w:p>
            <w:pPr>
              <w:ind w:left="220"/>
              <w:spacing w:after="0"/>
              <w:rPr>
                <w:sz w:val="20"/>
                <w:szCs w:val="20"/>
                <w:color w:val="auto"/>
              </w:rPr>
            </w:pPr>
            <w:r>
              <w:rPr>
                <w:rFonts w:ascii="Arial" w:cs="Arial" w:eastAsia="Arial" w:hAnsi="Arial"/>
                <w:sz w:val="18"/>
                <w:szCs w:val="18"/>
                <w:color w:val="auto"/>
              </w:rPr>
              <w:t>Operating profit</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507.8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526.6</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13.5</w:t>
            </w: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i w:val="1"/>
                <w:iCs w:val="1"/>
                <w:color w:val="auto"/>
              </w:rPr>
              <w:t>Operating profit margin</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Interest and other expenses</w:t>
            </w:r>
          </w:p>
        </w:tc>
        <w:tc>
          <w:tcPr>
            <w:tcW w:w="30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27.0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Earnings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499.6</w:t>
            </w:r>
          </w:p>
        </w:tc>
        <w:tc>
          <w:tcPr>
            <w:tcW w:w="1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13.0</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185.3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189.2</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Effective income tax rate</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38.6%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37.9%</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r>
      <w:tr>
        <w:trPr>
          <w:trHeight w:val="297"/>
        </w:trPr>
        <w:tc>
          <w:tcPr>
            <w:tcW w:w="5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earnings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295.3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310.4</w:t>
            </w:r>
          </w:p>
        </w:tc>
        <w:tc>
          <w:tcPr>
            <w:tcW w:w="146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11.4</w:t>
            </w:r>
          </w:p>
        </w:tc>
      </w:tr>
      <w:tr>
        <w:trPr>
          <w:trHeight w:val="251"/>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per share –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3.82</w:t>
            </w:r>
          </w:p>
        </w:tc>
        <w:tc>
          <w:tcPr>
            <w:tcW w:w="1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14.9</w:t>
            </w: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1"/>
        </w:trPr>
        <w:tc>
          <w:tcPr>
            <w:tcW w:w="5780" w:type="dxa"/>
            <w:vAlign w:val="bottom"/>
          </w:tcPr>
          <w:p>
            <w:pPr>
              <w:ind w:left="40"/>
              <w:spacing w:after="0"/>
              <w:rPr>
                <w:sz w:val="20"/>
                <w:szCs w:val="20"/>
                <w:color w:val="auto"/>
              </w:rPr>
            </w:pPr>
            <w:r>
              <w:rPr>
                <w:rFonts w:ascii="Arial" w:cs="Arial" w:eastAsia="Arial" w:hAnsi="Arial"/>
                <w:sz w:val="18"/>
                <w:szCs w:val="18"/>
                <w:color w:val="auto"/>
              </w:rPr>
              <w:t>Weighted average shares – diluted</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81.3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year-over-year decrease in revenues from services of 8.1% (increase of 6.3% in constant currency and 5.2% in organic constant currency) was attributed to:</w:t>
      </w:r>
    </w:p>
    <w:p>
      <w:pPr>
        <w:spacing w:after="0" w:line="17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14.4% decrease due to the impact of changes in the currency exchange rates;</w:t>
      </w:r>
    </w:p>
    <w:p>
      <w:pPr>
        <w:spacing w:after="0" w:line="225"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revenue decrease in the United States of 1.7% primarily driven by a decline in demand for our staffing/interim services in the industrial, engineering and finance markets, partially offset by solid growth in our permanent recruitment business and in our MSP and RPO offerings within the ManpowerGroup Solutions business; and</w:t>
      </w:r>
    </w:p>
    <w:p>
      <w:pPr>
        <w:spacing w:after="0" w:line="181" w:lineRule="exact"/>
        <w:rPr>
          <w:rFonts w:ascii="Arial" w:cs="Arial" w:eastAsia="Arial" w:hAnsi="Arial"/>
          <w:sz w:val="18"/>
          <w:szCs w:val="18"/>
          <w:color w:val="auto"/>
        </w:rPr>
      </w:pPr>
    </w:p>
    <w:p>
      <w:pPr>
        <w:ind w:left="660" w:right="20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demand for services at Right Management, where revenues decreased 1.7% in constant currency (-9.5% as reported), including a 0.8% constant currency decline (-8.9% as reported) in our outplacement services and a 3.9% constant currency decline (-11.0% as reported) in our talent management business; partially offset by</w:t>
      </w:r>
    </w:p>
    <w:p>
      <w:pPr>
        <w:spacing w:after="0" w:line="181" w:lineRule="exact"/>
        <w:rPr>
          <w:rFonts w:ascii="Arial" w:cs="Arial" w:eastAsia="Arial" w:hAnsi="Arial"/>
          <w:sz w:val="18"/>
          <w:szCs w:val="18"/>
          <w:color w:val="auto"/>
        </w:rPr>
      </w:pPr>
    </w:p>
    <w:p>
      <w:pPr>
        <w:ind w:left="660" w:right="40" w:hanging="328"/>
        <w:spacing w:after="0" w:line="293"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increased demand for services in several of our markets within Southern Europe and Northern Europe, where in constant currency revenues increased 9.0% (-10.0% as reported) and 5.0% (3.4% in organic constant currency; -11.3% as reported), respectively. This included a constant currency revenue increase in France of 3.8% (-14.6% as reported) primarily due to the staffing market, which is showing some growth. This increase also included a constant currency revenue increase in Italy of 25.9% (3.5% as reported) due to improving demand and our contract with the Milan Expo. We also experienced constant currency revenue growth in Spain, the United Kingdom, Germany, and the Nordics of 32.4%, 9.7%, 12.9%, and 1.3%, respectively (9.0%, 0.7% -6.8%, and -20.1% respectively, as reported; 6.4% in organic constant currency in Germany);</w:t>
      </w:r>
    </w:p>
    <w:p>
      <w:pPr>
        <w:spacing w:after="0" w:line="164" w:lineRule="exact"/>
        <w:rPr>
          <w:rFonts w:ascii="Arial" w:cs="Arial" w:eastAsia="Arial" w:hAnsi="Arial"/>
          <w:sz w:val="16"/>
          <w:szCs w:val="16"/>
          <w:color w:val="auto"/>
        </w:rPr>
      </w:pPr>
    </w:p>
    <w:p>
      <w:pPr>
        <w:ind w:left="660" w:right="20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revenue increase in APME of 6.6% in constant currency (3.5% in organic constant currency; -5.7% as reported) primarily due to an increase in our staffing/interim revenues, a 13.5% constant currency increase (0.4% as reported) in our permanent recruitment business and an increase in our ManpowerGroup Solutions business; and</w:t>
      </w:r>
    </w:p>
    <w:p>
      <w:pPr>
        <w:spacing w:after="0" w:line="181" w:lineRule="exact"/>
        <w:rPr>
          <w:rFonts w:ascii="Arial" w:cs="Arial" w:eastAsia="Arial" w:hAnsi="Arial"/>
          <w:sz w:val="18"/>
          <w:szCs w:val="18"/>
          <w:color w:val="auto"/>
        </w:rPr>
      </w:pPr>
    </w:p>
    <w:p>
      <w:pPr>
        <w:ind w:left="660" w:right="8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acquisitions in the Americas, Southern Europe, Northern Europe and APME, which added approximately 1.1% revenue growth to our consolidated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30 basis point (0.30%) increase in gross profit margin was primarily attributed to:</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20 basis point (0.20%) favorable impact due to the 17.0% constant currency growth (3.5% as reported) in our permanent recruitment business;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20 basis point (0.20%) increase due to the impact on business mix of the changes in currency exchange rates; partially offset by</w:t>
      </w:r>
    </w:p>
    <w:p>
      <w:pPr>
        <w:sectPr>
          <w:pgSz w:w="11900" w:h="16838" w:orient="portrait"/>
          <w:cols w:equalWidth="0" w:num="1">
            <w:col w:w="11420"/>
          </w:cols>
          <w:pgMar w:left="240" w:top="36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368" w:right="239" w:bottom="1440" w:gutter="0" w:footer="0" w:header="0"/>
          <w:type w:val="continuous"/>
        </w:sectPr>
      </w:pPr>
    </w:p>
    <w:bookmarkStart w:id="20" w:name="page21"/>
    <w:bookmarkEnd w:id="20"/>
    <w:p>
      <w:pPr>
        <w:jc w:val="both"/>
        <w:ind w:left="660" w:hanging="328"/>
        <w:spacing w:after="0" w:line="25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10 basis point (-0.10%) unfavorable impact from the decline in our staffing margin due to general pricing pressures in certain markets and the impact of business mix as we saw higher growth from our lower-margin markets as well as higher growth from our lower-margin business in certain markets. These decreases were partially offset by improved margins in the United States and France. The increase in the United States was due to strong price discipline, effective management of workers' compensation and health care costs, and lower state unemployment tax rates. The increase in France was due to strong price discipline.</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7.5% decrease in selling and administrative expenses for the nine months ended September 30, 2015 (increase of 5.1% in constant currency and 3.7% in organic constant currency) was attributed to:</w:t>
      </w:r>
    </w:p>
    <w:p>
      <w:pPr>
        <w:spacing w:after="0" w:line="17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12.6% decrease due to the impact of changes in the currency exchange rates; and</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legal costs of $9.0 million in the first nine months of 2014 in the United States related to a settlement agreement, which we did not incur in the first nine months of 2015 (see the Employment-Related Items section for additional information); partially offset by</w:t>
      </w:r>
    </w:p>
    <w:p>
      <w:pPr>
        <w:spacing w:after="0" w:line="170" w:lineRule="exact"/>
        <w:rPr>
          <w:rFonts w:ascii="Arial" w:cs="Arial" w:eastAsia="Arial" w:hAnsi="Arial"/>
          <w:sz w:val="18"/>
          <w:szCs w:val="18"/>
          <w:color w:val="auto"/>
        </w:rPr>
      </w:pPr>
    </w:p>
    <w:p>
      <w:pPr>
        <w:ind w:left="660" w:right="44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4.1% increase in constant currency (-8.1% as reported) in organic salary-related costs primarily because of additional headcount to support an increased demand for our services and an increase in our variable incentive-based costs due to improved operating results;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 increase in other non-personnel related costs, excluding the legal costs noted above, as a result of increased demand for our services; and</w:t>
      </w:r>
    </w:p>
    <w:p>
      <w:pPr>
        <w:spacing w:after="0" w:line="236" w:lineRule="exact"/>
        <w:rPr>
          <w:rFonts w:ascii="Arial" w:cs="Arial" w:eastAsia="Arial" w:hAnsi="Arial"/>
          <w:sz w:val="17"/>
          <w:szCs w:val="17"/>
          <w:color w:val="auto"/>
        </w:rPr>
      </w:pPr>
    </w:p>
    <w:p>
      <w:pPr>
        <w:ind w:left="660" w:right="20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additional recurring selling and administrative costs incurred as a result of the acquisitions in the Americas, Southern Europe, Northern Europe and APME.</w:t>
      </w:r>
    </w:p>
    <w:p>
      <w:pPr>
        <w:spacing w:after="0" w:line="17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Selling and administrative expenses as a percent of revenues increased 10 basis points (0.10%) in the nine months ended September 30, 2015 compared to 2014 as a 30 basis point (0.30%) unfavorable impact from business mix changes due to the changes in currency exchange rates was partially offset by a 20 basis point (-0.20%) favorable impact from better expense leverage.</w:t>
      </w:r>
    </w:p>
    <w:p>
      <w:pPr>
        <w:spacing w:after="0" w:line="181"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Interest and other expenses were $27.2 million for the nine months ended September 30, 2015 compared to $27.0 million for the nine months ended September 30, 2014. Net interest expense decreased $0.6 million for the nine months ended September 30, 2015 to $23.5 million from $24.1 million for the nine months ended September 30, 2014 due primarily to the favorable impact of currency exchange rates. Foreign exchange loss in the nine months ended September 30, 2015 was $0.5 million compared to a foreign exchange gain of $1.4 million in the nine months ended September 30, 2014. Miscellaneous expenses, net were $3.2 million in the nine months ended September 30, 2015 compared to $4.3 million in the nine months ended September 30, 2014.</w:t>
      </w:r>
    </w:p>
    <w:p>
      <w:pPr>
        <w:spacing w:after="0" w:line="158"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We recorded income tax expense at an effective rate of 38.6% for the nine months ended September 30, 2015, as compared to an effective rate of 37.9% for the nine months ended September 30, 2014. The 38.6% effective tax rate for the nine months ended September 30, 2015 was higher than the United States Federal statutory rate of 35% due primarily to the French business tax, expected repatriations, valuation allowances and other permanent items.</w:t>
      </w:r>
    </w:p>
    <w:p>
      <w:pPr>
        <w:spacing w:after="0" w:line="14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Net earnings per share - diluted was $3.75 for the nine months ended September 30, 2015 compared to $3.82 for the nine months ended September 30, 2014. Foreign currency exchange rates negatively impacted net earnings per share - diluted by approximately $0.64 per share for the nine months ended September 30, 2015.</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Weighted average shares - diluted decreased 3.3% to 78.7 million for the nine months ended September 30, 2015 from 81.3 million for the nine months ended September 30, 2014. This decrease was due to the impact of share repurchases completed since the third quarter of 2014, partially offset by shares issued as a result of exercises and vesting of share-based awards since the third quarter of 2014.</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the Americas, revenues from services decreased 4.4% (increase of 2.8% in constant currency) in the third quarter of 2015 compared to 2014. In the United States, revenues from services decreased 3.9% in the third quarter of 2015 compared to 2014, primarily driven by a decline in demand for our Manpower staffing services, primarily due to softer demand from our larger key accounts within our industrial sector, particularly light industrial, because of the weakening manufacturing and export sectors of the economy. We also experienced a decline in our interim service revenues within our Experis business due to declines in our engineering and finance sectors. These declines were partially offset by a 16.3% increase in our permanent recruitment business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ind w:right="40"/>
        <w:spacing w:after="0" w:line="273" w:lineRule="auto"/>
        <w:rPr>
          <w:sz w:val="20"/>
          <w:szCs w:val="20"/>
          <w:color w:val="auto"/>
        </w:rPr>
      </w:pPr>
      <w:r>
        <w:rPr>
          <w:rFonts w:ascii="Arial" w:cs="Arial" w:eastAsia="Arial" w:hAnsi="Arial"/>
          <w:sz w:val="17"/>
          <w:szCs w:val="17"/>
          <w:color w:val="auto"/>
        </w:rPr>
        <w:t>and solid growth in our MSP and RPO offerings within the ManpowerGroup Solutions business. In Other Americas, revenues from services decreased 5.6% (increase of 16.4% in constant currency) in the third quarter of 2015 compared to 2014. We experienced constant currency revenue growth in Mexico, Argentina, Peru, Colombia, and Canada of 15.2%, 50.4%, 25.7%, 1.1% and 3.3%, respectively (-8.0%, 34.8%, 10.4%, -34.4%, and -14.0%, respectively, as reported; 0.4% in organic constant currency in Canada). The increase in Argentina was primarily due to inflation, although we did experience volume growth with a 15.3% increase in billable hours. These increases were partially offset by a decrease in constant currency of 3.8% (-38.0% as reported) in Brazil due to softened demand for our services because of the recessionary environment.</w:t>
      </w:r>
    </w:p>
    <w:p>
      <w:pPr>
        <w:spacing w:after="0" w:line="17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the Americas, revenues from services decreased 1.7% (increase of 3.9% in constant currency) in the nine months ended September 30, 2015 compared to 2014. In the United States, revenues from services decreased 1.7% in the nine months ended September 30, 2015 compared to 2014. The revenue decrease in the United States was primarily driven by a decline in demand for our Manpower staffing services, due to the winter storms in the first quarter of 2015, a longshoreman’s strike on the West Coast in the first quarter of 2015, the strengthening of the United States dollar and a change in specific client mix within our industrial sector. We also experienced a decline in our interim service revenues within our Experis business due to declines in our engineering and finance sectors and stronger price discipline. These declines were partially offset by a 26.4% increase in our permanent recruitment business and strong growth in our MSP and RPO offerings within the ManpowerGroup Solutions business. In Other Americas, revenues from services decreased 1.8% (increase of 15.6% in constant currency) in the nine months ended September 30, 2015 compared to 2014. We experienced constant currency revenue declines in Brazil and Canada of 3.9% and 0.4%, respectively (-29.7% and -13.5%, respectively, as reported; -1.4% in organic constant currency in Canada), offsetting revenue growth in Mexico, Argentina, Colombia and Peru of 12.9%, 38.9%, 15.7% and 25.1%, respectively (-5.0%, 23.7%, -14.3% and 11.9%, respectively, as reported). The increase in Argentina was primarily due to inflation, although we did experience volume growth with a 6.1% increase in billable hours.</w:t>
      </w:r>
    </w:p>
    <w:p>
      <w:pPr>
        <w:spacing w:after="0" w:line="17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Gross profit margin increased in both the third quarter and first nine months of 2015 compared to 2014 as a result of the favorable impact from the growth in our permanent recruitment and ManpowerGroup Solutions businesses, and improved staffing/interim margins in the United States due to strong price discipline, effective management of workers' compensation and health care costs, and lower state unemployment tax rates. These increases were partially offset by decreases in our staffing/interim margins within some of our markets in the Other Americas due to general pricing pressures and client mix changes.</w:t>
      </w:r>
    </w:p>
    <w:p>
      <w:pPr>
        <w:spacing w:after="0" w:line="15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In the third quarter of 2015, selling and administrative expenses decreased 1.6% (increase of 3.3% in constant currency). The constant currency increase is due to an increase in salary-related costs because of additional headcount in Other Americas to support a constant currency increase in revenues.</w:t>
      </w:r>
    </w:p>
    <w:p>
      <w:pPr>
        <w:spacing w:after="0" w:line="1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first nine months ended September 30, 2015, selling and administrative expenses decreased 0.5% (increase of 3.3% in constant currency) due to the legal costs of $9.0 million recorded in the United States in the first nine months of 2014, which we did not incur in 2015. This favorable impact was partially offset by the increase in salary-related costs because of additional headcount in Other Americas, to support an increased demand for our services, and an increase in our variable incentive-based costs due to improved operating results.</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Operating Unit Profit (“OUP”) margin in the Americas was 5.2% and 4.8% for the third quarter of 2015 and 2014, respectively. In the United States, OUP margin increased to 5.9% in the third quarter of 2015 from 5.2% in 2014 due to the improvement in the gross profit margin. Other Americas OUP margin was 3.6% in the third quarter of 2015 and compared to 3.8% in 2014 due to a decline in the gross profit margin.</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OUP margin in the Americas was 4.3% and 3.7% for the first nine months ended September 30, 2015 and 2014, respectively. In the United States, OUP margin increased to 4.6% in the first nine months ended September 30, 2015 from 3.7% in 2014 due to the improvement in the gross profit margin along with the decrease in legal costs noted above, partially offset by the increase in salary-related costs as a result of an increase in our variable incentive-based costs due to improved operating results. Other Americas OUP margin was 3.7% for both the first nine months ended September 30, 2015 and 2014 as a decline in the gross profit margin was offset by better operational leverage, because we were able to support an increase in revenues without a similar increase in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Southern Europe</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Southern Europe, which includes operations in France and Italy, revenues from services decreased 9.1% (increase of 8.0% in constant currency) in the third quarter of 2015 compared to 2014. In the third quarter of 2015, revenues from services increased in constant currency 1.9% (-14.6% as reported) in France, which represents 68% of Southern Europe’s revenues, and 31.4% (10.3% as reported) in Italy, which represents 18% of Southern Europe’s revenues. The constant currency increase in France was primarily due to the staffing market, which is showing some growth, as the revenue trend improved through the quarter and continued into the first few weeks of October. The constant currency increase in Italy was mostly due to increased demand for our Manpower staffing services due to improving economic conditions, a new contract with the Milan Expo as the HR Premium Partner for providing temporary staffing and workforce solutions, a 36.6% constant currency increase (14.8% as reported) in the permanent recruitment business, and strong growth in our ManpowerGroup Solutions business partly due to the new contract with the Milan Expo. In Other Southern Europe, revenues from services increased 16.0% in constant currency (13.7% in organic</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368" w:right="259" w:bottom="1440" w:gutter="0" w:footer="0" w:header="0"/>
        </w:sectPr>
      </w:pPr>
    </w:p>
    <w:bookmarkStart w:id="22" w:name="page23"/>
    <w:bookmarkEnd w:id="22"/>
    <w:p>
      <w:pPr>
        <w:ind w:right="160"/>
        <w:spacing w:after="0" w:line="277" w:lineRule="auto"/>
        <w:rPr>
          <w:sz w:val="20"/>
          <w:szCs w:val="20"/>
          <w:color w:val="auto"/>
        </w:rPr>
      </w:pPr>
      <w:r>
        <w:rPr>
          <w:rFonts w:ascii="Arial" w:cs="Arial" w:eastAsia="Arial" w:hAnsi="Arial"/>
          <w:sz w:val="18"/>
          <w:szCs w:val="18"/>
          <w:color w:val="auto"/>
        </w:rPr>
        <w:t>constant currency; -0.6% as reported) during the third quarter of 2015 compared to 2014, primarily driven by the 28.7% constant currency increase (7.9% as reported) in Spain due to strong execution in selling clients our full range of services.</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Revenues from services decreased 10.0% (increase of 9.0% in constant currency) in the first nine months ended September 30, 2015 compared to 2014. In the first nine months ended September 30, 2015, revenues from services increased in constant currency 3.8% (-14.6% as reported) in France and 25.9% (3.5% as reported) in Italy. The constant currency increase in France was primarily due to the staffing market, which is showing some growth. The constant currency increase in Italy was mostly due to increased demand for our Manpower staffing services due to improving economic conditions, the new contract with the Milan Expo, a 40.1% constant currency increase (15.0% as reported) in the permanent recruitment business, and strong growth in our ManpowerGroup Solutions business partly due to the new contract with the Milan Expo. In Other Southern Europe, revenues from services decreased 0.5% (increase of 17.8% in constant currency and 15.4% in organic constant currency) during the first nine months ended September 30, 2015 compared to 2014. The constant currency increase was primarily driven by the 32.4% constant currency increase (9.0% as reported) in Spain due to improving economic conditions and strong execution in selling clients our full range of services.</w:t>
      </w:r>
    </w:p>
    <w:p>
      <w:pPr>
        <w:spacing w:after="0" w:line="182"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Gross profit margin increased in both the third quarter and first nine months of 2015 compared to 2014 primarily due to 16.7% and 19.4%, respectively, constant currency increases (-1.0% for both periods as reported) in our permanent recruitment business, growth in our high-margin ManpowerGroup Solutions business, partially offset by the continued pricing pressures on our staffing/interim margins in some markets.</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Selling and administrative expenses decreased 8.4% (increase of 8.7% in constant currency and 7.6% in organic constant currency) during the third quarter of 2015 compared to 2014. Selling and administrative expenses decreased 11.4% (increase of 7.3% in constant currency and 6.2% in organic constant currency) during the first nine months ended September 30, 2015 compared to 2014. The constant currency increases are due to an increase in organic salary-related costs because of additional headcount, and other non-personnel related costs to support the constant currency revenue growth, and additional recurring selling and administrative costs incurred as a result of acquisitions.</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OUP margin in Southern Europe was 5.5% for the third quarter of 2015 compared to 5.2% for 2014. In France, the OUP margin increased to 6.0% for the third quarter of 2015 from 5.8% in 2014, due to the improvement in our gross profit margin. In Italy, the OUP margin increased to 5.4% for the third quarter of 2015 from 5.0% for 2014, due to the growth in our permanent recruitment business and improved operational leverage, as we were able to support a constant currency increase in revenues without a similar constant currency increase in expenses, partially offset by a slight decrease in our staffing gross profit margin due to client mix changes and overall pricing pressure. Other Southern Europe’s OUP margin increased to 2.8% for the third quarter of 2015 from 2.3% in 2014 due to an increase in the gross profit margin and improved operational leverage, as we were able to support a constant currency increase in revenues without a similar constant currency increase in expenses.</w:t>
      </w:r>
    </w:p>
    <w:p>
      <w:pPr>
        <w:spacing w:after="0" w:line="17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OUP margin in Southern Europe was 5.1% for the first nine months ended September 30, 2015 compared to 4.7% for 2014. In France, the OUP margin was 5.5% for the first nine months ended September 30, 2015 compared to 5.1% for 2014, due to the improvement in our gross profit margin and improved operational leverage as we were able to support a constant currency increase in revenues without a similar constant currency increase in expenses. In Italy, the OUP margin was 5.6% for the first nine months ended September 30, 2015 compared to 5.2% for 2014, due to the growth in our permanent recruitment business and improved operational leverage, as we were able to support a constant currency increase in revenues without a similar constant currency increase in expenses, partially offset by a slight decrease in our staffing gross profit margin due to client mix changes and overall pricing pressure. Other Southern Europe’s OUP margin increased to 2.5% for the first nine months ended September 30, 2015 from 2.2% in 2014 due to an increase in the gross profit margin and improved operational leverage, as we were able to support a constant currency increase in revenues without a similar constant currency increase in expenses.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Northern Europe</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Northern Europe, which includes operations in the United Kingdom, the Nordics, Germany and the Netherlands (representing 38%, 18%, 15%, and 9%, respectively, of Northern Europe’s revenues), revenues from services decreased 11.7% (increase of 3.1% in constant currency and 0.3% in organic constant currency) in the third quarter of 2015 compared to 2014. We experienced constant currency revenue growth in the United Kingdom, Germany and the Nordics of 1.1%, 26.8% and 1.0%, respectively (-6.2%, 7.1% and -19.3%, respectively, as reported; 7.6% in organic constant currency in Germany). The organic constant currency revenue growth was primarily attributable to a 8.6% constant currency increase (-4.5% as reported) in our permanent recruitment business, mostly due to growth in the United Kingdom. This permanent recruitment growth in the United Kingdom was partially offset by a slight decline in our Manpower staffing business due to lower demand under one of our large client contracts and overall softening in demand in this market, especially the public services sector. The revenue increase in the Nordics was mostly due to the 11.2% constant currency growth (-8.7% as reported) in Sweden, which was partially offset by the 6.6% constant currency decline (-29.0% as reported) in Norway due to the dependence on the struggling oil and gas industry.</w:t>
      </w:r>
    </w:p>
    <w:p>
      <w:pPr>
        <w:spacing w:after="0" w:line="167"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Revenues from services decreased 11.3% (increase of 5.0% in constant currency and 3.4% in organic constant currency) in the first nine months ended September 30, 2015 compared to 2014. We experienced constant currency revenue growth in the United Kingdom, Germany, and the Nordics of 9.7%, 12.9%, and 1.3%, respectively (0.7% -6.8%, and -20.1% respectively, as reported;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8" w:right="239" w:bottom="1440" w:gutter="0" w:footer="0" w:header="0"/>
        </w:sectPr>
      </w:pPr>
    </w:p>
    <w:bookmarkStart w:id="23" w:name="page24"/>
    <w:bookmarkEnd w:id="23"/>
    <w:p>
      <w:pPr>
        <w:ind w:right="20"/>
        <w:spacing w:after="0" w:line="302" w:lineRule="auto"/>
        <w:rPr>
          <w:sz w:val="20"/>
          <w:szCs w:val="20"/>
          <w:color w:val="auto"/>
        </w:rPr>
      </w:pPr>
      <w:r>
        <w:rPr>
          <w:rFonts w:ascii="Arial" w:cs="Arial" w:eastAsia="Arial" w:hAnsi="Arial"/>
          <w:sz w:val="16"/>
          <w:szCs w:val="16"/>
          <w:color w:val="auto"/>
        </w:rPr>
        <w:t>6.4% in organic constant currency in Germany). The organic constant currency increase in revenues from services was primarily attributable to the increase in our staffing/interim services and a 14.9% constant currency increase (-1.5% as reported) in our permanent recruitment business mostly due to growth in the United Kingdom. The revenue increase in the Nordics was mostly due to the 10.1% constant currency growth (-12.6% as reported) in Sweden, which was partially offset by the 5.4% constant currency decline (-26.8% as reported) in Norway due to the dependence on the struggling oil and gas industry.</w:t>
      </w:r>
    </w:p>
    <w:p>
      <w:pPr>
        <w:spacing w:after="0" w:line="15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Gross profit margin was flat for the third quarter of 2015 compared to 2014 as the decline in our staffing/interim margins because of business mix changes in our staffing/interim revenues, as higher growth came from our lower-margin clients and markets, and general pricing pressures in several markets, was offset by the increase in our permanent recruitment business.</w:t>
      </w:r>
    </w:p>
    <w:p>
      <w:pPr>
        <w:spacing w:after="0" w:line="18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Gross profit margin decreased in the first nine months ended September 30, 2015 compared to 2014 due to the decline in our staffing/interim margins because of business mix changes in our staffing/interim revenues, as higher growth came from our lower-margin clients and markets, and general pricing pressures in several markets. These decreases were partially offset by the increase in our permanent recruitment business.</w:t>
      </w:r>
    </w:p>
    <w:p>
      <w:pPr>
        <w:spacing w:after="0" w:line="16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Selling and administrative expenses decreased 10.4% (increase of 5.0% in constant currency and 1.0% in organic constant currency) in the third quarter of 2015 compared to 2014. Selling and administrative expenses decreased 11.9% (increase of 5.1% in constant currency and 2.6% in organic constant currency) in the nine months ended September 30, 2015 compared to 2014. The constant currency increases in selling and administrative expenses were due primarily to the increase in organic salary-related costs because of permanent recruiters added to support the constant currency increase in the permanent recruitment business and additional recurring selling and administrative costs incurred as a result of acquisitions.</w:t>
      </w:r>
    </w:p>
    <w:p>
      <w:pPr>
        <w:spacing w:after="0" w:line="1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OUP margin for Northern Europe was 3.7% and 3.8% for the third quarter of 2015 and 2014, respectively. The decrease in the OUP margin was primarily due to expense deleveraging in a few of our markets experiencing revenue contraction, as we were not able to decrease expenses at the same rate as the revenue decreases. While we saw improved operational leverage in our growth markets, this improvement did not fully compensate for the deleveraging effect in the countries with revenue contraction.</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OUP margin was 3.0% and 3.2% for the first nine months ended September 30, 2015 and 2014, respectively. The decrease in the OUP margin was primarily due to the decline in the gross profit margin.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APME</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APME, revenues from services decreased 3.7% (increase of 11.9% in constant currency and 5.3% in organic constant currency) in the third quarter of 2015 compared to 2014. In Japan and Australia (which represent 32% and 24% of APME’s revenues, respectively), revenues from services decreased 14.2% and</w:t>
      </w:r>
    </w:p>
    <w:p>
      <w:pPr>
        <w:spacing w:after="0" w:line="252" w:lineRule="auto"/>
        <w:rPr>
          <w:sz w:val="20"/>
          <w:szCs w:val="20"/>
          <w:color w:val="auto"/>
        </w:rPr>
      </w:pPr>
      <w:r>
        <w:rPr>
          <w:rFonts w:ascii="Arial" w:cs="Arial" w:eastAsia="Arial" w:hAnsi="Arial"/>
          <w:sz w:val="18"/>
          <w:szCs w:val="18"/>
          <w:color w:val="auto"/>
        </w:rPr>
        <w:t>1.2%, respectively (increase of 0.8% and 25.9%, respectively, in constant currency; -2.1% in organic constant currency in Australia). The constant currency increase in Japan was due to the increase in our permanent recruitment business. The organic constant currency decrease in Australia was due to the decreased demand for our Manpower staffing services due to the current conditions in this commodity-based economy, partially offset by growth in our ManpowerGroup Solutions business. The constant currency revenue increase in the remaining markets in APME is due to an increase in our Manpower staffing service revenues, mostly in China, Korea, India, Taiwan and Malaysia, and strong growth in our ManpowerGroup Solutions and permanent recruitment businesses.</w:t>
      </w:r>
    </w:p>
    <w:p>
      <w:pPr>
        <w:spacing w:after="0" w:line="19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Revenues from services decreased 5.7% (increase of 6.6% in constant currency and 3.5% in organic constant currency) in the first nine months ended September 30, 2015 compared to 2014. In Japan, revenues from services increased 2.6% in constant currency (-12.6% as reported) due to the increased demand for our Manpower staffing services and a 21.8% constant currency increase (3.6% as reported) in our permanent recruitment business. In Australia, revenues from services were down 4.9% in organic constant currency (8.1% increase in constant currency; -10.7% as reported) in the first nine months ended September 30, 2015 compared to 2014 due to the decreased demand for our Manpower staffing services due to the current conditions in this commodity-based economy, partially offset by growth in our ManpowerGroup Solutions business. The constant currency revenue increase in the remaining markets in APME is due to an increase in our Manpower staffing service revenues, mostly in Korea, India, Taiwan and Malaysia, and strong growth in our ManpowerGroup Solutions and permanent recruitment businesses.</w:t>
      </w:r>
    </w:p>
    <w:p>
      <w:pPr>
        <w:spacing w:after="0" w:line="179"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color w:val="auto"/>
        </w:rPr>
        <w:t>Gross profit margin increased in both the third quarter and first nine months of 2015 compared to 2014 due to constant currency increases of 20.3% and 13.5%, respectively, in our permanent recruitment business (3.4% and 0.4%, respectively, as reported) and growth in our high-margin ManpowerGroup Solutions business, partially offset by a decrease in our staffing/interim gross profit margins due to business mix changes.</w:t>
      </w:r>
    </w:p>
    <w:p>
      <w:pPr>
        <w:spacing w:after="0" w:line="16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Selling and administrative expenses decreased 6.7% (increase of 8.6% in constant currency and 3.3% in organic constant currency) in the third quarter of 2015 compared to 2014. Selling and administrative expenses decreased 5.7% (increase of 7.1% in constant currency and 4.1% in organic constant currency) in the first nine months ended September 30, 2015 compared to 2014. The constant currency increases were due to the increases in organic salary-related costs because of higher headcount to support the constant currency increases in revenues and additional recurring selling and administrative costs incurred as a result of acquisitions.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8" w:right="239" w:bottom="1440" w:gutter="0" w:footer="0" w:header="0"/>
        </w:sectPr>
      </w:pPr>
    </w:p>
    <w:bookmarkStart w:id="24" w:name="page25"/>
    <w:bookmarkEnd w:id="24"/>
    <w:p>
      <w:pPr>
        <w:ind w:right="260"/>
        <w:spacing w:after="0" w:line="264" w:lineRule="auto"/>
        <w:rPr>
          <w:sz w:val="20"/>
          <w:szCs w:val="20"/>
          <w:color w:val="auto"/>
        </w:rPr>
      </w:pPr>
      <w:r>
        <w:rPr>
          <w:rFonts w:ascii="Arial" w:cs="Arial" w:eastAsia="Arial" w:hAnsi="Arial"/>
          <w:sz w:val="18"/>
          <w:szCs w:val="18"/>
          <w:color w:val="auto"/>
        </w:rPr>
        <w:t>OUP margin for APME was 4.2% in the third quarter of 2015 compared to 3.7% in 2014. The increase in OUP margin was due to the increase in our gross profit margin and improved operational leverage, as we were able to support a constant currency increase in revenues without a similar constant currency increase in expenses.</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OUP margin for APME was 3.7% in the first nine months ended September 30, 2015 compared to 3.6% in 2014. The increase in OUP margin was due to the increase in our gross profit margin.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Management</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Revenues from services increased 1.3% in constant currency (-6.6% as reported) in the third quarter of 2015 compared to 2014, primarily due to the 4.1% increase in constant currency (-4.5% as reported) in our outplacement services driven by growth in our markets within the Americas, partially offset by the contraction in our European and Asian markets. Our talent management business decreased 5.0% in constant currency (-11.3% as reported) in the third quarter of 2015 compared to 2014 due mostly to softening demand in our European markets, partially offset by growth in markets within the Americas and Asia.</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Revenues from services decreased 9.5% (-1.7% in constant currency) in the first nine months ended September 30, 2015 compared to 2014, primarily due to the 8.9% decrease (-0.8% in constant currency) in our outplacement services due to softer demand in the first half of 2015 partially offset by growth in the third quarter of 2015. Our talent management business decreased 11.0% (-3.9% in constant currency) in the first nine months of 2015 compared to 2014 due to softer demand.</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Gross profit margin increased in the third quarter of 2015 compared to 2014 due to an increase in both the outplacement and talent management business gross profit margins.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Gross profit margin increased in the first nine months ended September 30, 2015 compared to 2014 due to the increase in the outplacement business gross profit margin.</w:t>
      </w:r>
    </w:p>
    <w:p>
      <w:pPr>
        <w:spacing w:after="0" w:line="17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Selling and administrative expenses decreased 12.4% (-4.1% in constant currency) in the third quarter of 2015 compared to 2014 and decreased 9.7% (-1.7% in constant currency) in the first nine months ended September 30, 2015 compared to 2014. The decreases were due to the cost savings from more efficient delivery solutions and the simplification and cost recalibration actions favorably impacting expense levels.</w:t>
      </w:r>
    </w:p>
    <w:p>
      <w:pPr>
        <w:spacing w:after="0" w:line="16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OUP margin for Right Management was 16.0% in the third quarter of 2015 compared to 8.7% in 2014. OUP margin was 13.8% in the first nine months ended September 30, 2015 compared to 12.1% in 2014. The increases are due to the improvement in our gross profit margins and improved operational leverage.</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Constant Currency and Organic Constant Currency Reconciliation</w:t>
      </w:r>
    </w:p>
    <w:p>
      <w:pPr>
        <w:spacing w:after="0" w:line="22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Changes in our financial results include the impact of changes in foreign currency exchange rates. We provide “constant currency” and “organic constant currency” calculations in our quarterly report to remove the impact of these items. We express year-over-year variances that were calculated in constant currency and organic constant currency as a percentage.</w:t>
      </w:r>
    </w:p>
    <w:p>
      <w:pPr>
        <w:spacing w:after="0" w:line="18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only reported earnings and not our actual cash flow or economic condition.</w:t>
      </w:r>
    </w:p>
    <w:p>
      <w:pPr>
        <w:spacing w:after="0" w:line="17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pre-existing business.</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A reconciliation of these Non-GAAP percentage variances to those calculated based on our GAAP financial results is provided below:</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00" w:type="dxa"/>
            <w:vAlign w:val="bottom"/>
            <w:gridSpan w:val="8"/>
          </w:tcPr>
          <w:p>
            <w:pPr>
              <w:ind w:left="440"/>
              <w:spacing w:after="0"/>
              <w:rPr>
                <w:sz w:val="20"/>
                <w:szCs w:val="20"/>
                <w:color w:val="auto"/>
              </w:rPr>
            </w:pPr>
            <w:r>
              <w:rPr>
                <w:rFonts w:ascii="Arial" w:cs="Arial" w:eastAsia="Arial" w:hAnsi="Arial"/>
                <w:sz w:val="18"/>
                <w:szCs w:val="18"/>
                <w:b w:val="1"/>
                <w:bCs w:val="1"/>
                <w:color w:val="auto"/>
              </w:rPr>
              <w:t>3 Months Ended September 30, 2015 Compared to 2014</w:t>
            </w:r>
          </w:p>
        </w:tc>
        <w:tc>
          <w:tcPr>
            <w:tcW w:w="102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2"/>
        </w:trPr>
        <w:tc>
          <w:tcPr>
            <w:tcW w:w="3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Impact of</w:t>
            </w:r>
          </w:p>
        </w:tc>
        <w:tc>
          <w:tcPr>
            <w:tcW w:w="1020" w:type="dxa"/>
            <w:vAlign w:val="bottom"/>
          </w:tcPr>
          <w:p>
            <w:pPr>
              <w:spacing w:after="0"/>
              <w:rPr>
                <w:sz w:val="19"/>
                <w:szCs w:val="19"/>
                <w:color w:val="auto"/>
              </w:rPr>
            </w:pP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Acquisition/</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Organic</w:t>
            </w: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Variance in</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Dispositions</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Constant</w:t>
            </w: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w w:val="94"/>
              </w:rPr>
              <w:t>Reported</w:t>
            </w:r>
          </w:p>
        </w:tc>
        <w:tc>
          <w:tcPr>
            <w:tcW w:w="10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Reported</w:t>
            </w:r>
          </w:p>
        </w:tc>
        <w:tc>
          <w:tcPr>
            <w:tcW w:w="1340" w:type="dxa"/>
            <w:vAlign w:val="bottom"/>
            <w:gridSpan w:val="2"/>
          </w:tcPr>
          <w:p>
            <w:pPr>
              <w:ind w:left="260"/>
              <w:spacing w:after="0"/>
              <w:rPr>
                <w:sz w:val="20"/>
                <w:szCs w:val="20"/>
                <w:color w:val="auto"/>
              </w:rPr>
            </w:pPr>
            <w:r>
              <w:rPr>
                <w:rFonts w:ascii="Arial" w:cs="Arial" w:eastAsia="Arial" w:hAnsi="Arial"/>
                <w:sz w:val="18"/>
                <w:szCs w:val="18"/>
                <w:color w:val="auto"/>
              </w:rPr>
              <w:t>Impact of</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Constant</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(In Constant</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Currency</w:t>
            </w:r>
          </w:p>
        </w:tc>
      </w:tr>
      <w:tr>
        <w:trPr>
          <w:trHeight w:val="251"/>
        </w:trPr>
        <w:tc>
          <w:tcPr>
            <w:tcW w:w="3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w w:val="91"/>
              </w:rPr>
              <w:t>Amount</w:t>
            </w:r>
            <w:r>
              <w:rPr>
                <w:rFonts w:ascii="Arial" w:cs="Arial" w:eastAsia="Arial" w:hAnsi="Arial"/>
                <w:sz w:val="18"/>
                <w:szCs w:val="18"/>
                <w:color w:val="auto"/>
                <w:w w:val="91"/>
                <w:vertAlign w:val="superscript"/>
              </w:rPr>
              <w:t>(a)</w:t>
            </w:r>
          </w:p>
        </w:tc>
        <w:tc>
          <w:tcPr>
            <w:tcW w:w="100" w:type="dxa"/>
            <w:vAlign w:val="bottom"/>
          </w:tcPr>
          <w:p>
            <w:pPr>
              <w:spacing w:after="0"/>
              <w:rPr>
                <w:sz w:val="21"/>
                <w:szCs w:val="21"/>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Variance</w:t>
            </w:r>
          </w:p>
        </w:tc>
        <w:tc>
          <w:tcPr>
            <w:tcW w:w="1340" w:type="dxa"/>
            <w:vAlign w:val="bottom"/>
            <w:gridSpan w:val="2"/>
          </w:tcPr>
          <w:p>
            <w:pPr>
              <w:ind w:left="280"/>
              <w:spacing w:after="0"/>
              <w:rPr>
                <w:sz w:val="20"/>
                <w:szCs w:val="20"/>
                <w:color w:val="auto"/>
              </w:rPr>
            </w:pPr>
            <w:r>
              <w:rPr>
                <w:rFonts w:ascii="Arial" w:cs="Arial" w:eastAsia="Arial" w:hAnsi="Arial"/>
                <w:sz w:val="18"/>
                <w:szCs w:val="18"/>
                <w:color w:val="auto"/>
              </w:rPr>
              <w:t>Currency</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Currency</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Currency)</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Variance</w:t>
            </w:r>
          </w:p>
        </w:tc>
      </w:tr>
      <w:tr>
        <w:trPr>
          <w:trHeight w:val="250"/>
        </w:trPr>
        <w:tc>
          <w:tcPr>
            <w:tcW w:w="3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services: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Americas:</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769.6</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Other Americas</w:t>
            </w:r>
          </w:p>
        </w:tc>
        <w:tc>
          <w:tcPr>
            <w:tcW w:w="1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367.0</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16.0</w:t>
            </w: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1,136.6</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w:t>
            </w:r>
          </w:p>
        </w:tc>
      </w:tr>
      <w:tr>
        <w:trPr>
          <w:trHeight w:val="237"/>
        </w:trPr>
        <w:tc>
          <w:tcPr>
            <w:tcW w:w="39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Southern Europe:</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France</w:t>
            </w:r>
          </w:p>
        </w:tc>
        <w:tc>
          <w:tcPr>
            <w:tcW w:w="1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1,242.5</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1.0</w:t>
            </w: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Italy</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324.4</w:t>
            </w:r>
          </w:p>
        </w:tc>
        <w:tc>
          <w:tcPr>
            <w:tcW w:w="1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31.4</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Other Southern Europe</w:t>
            </w:r>
          </w:p>
        </w:tc>
        <w:tc>
          <w:tcPr>
            <w:tcW w:w="1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258.5</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13.7</w:t>
            </w: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1,825.4</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7.1</w:t>
            </w:r>
          </w:p>
        </w:tc>
      </w:tr>
      <w:tr>
        <w:trPr>
          <w:trHeight w:val="264"/>
        </w:trPr>
        <w:tc>
          <w:tcPr>
            <w:tcW w:w="39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Northern Europe</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1,373.4</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0.3</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APME</w:t>
            </w:r>
          </w:p>
        </w:tc>
        <w:tc>
          <w:tcPr>
            <w:tcW w:w="1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570.2</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5.3</w:t>
            </w: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Right Management</w:t>
            </w: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66.9</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r>
      <w:tr>
        <w:trPr>
          <w:trHeight w:val="297"/>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Consolidated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4,972.5</w:t>
            </w:r>
          </w:p>
        </w:tc>
        <w:tc>
          <w:tcPr>
            <w:tcW w:w="12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ind w:right="15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jc w:val="right"/>
              <w:ind w:right="150"/>
              <w:spacing w:after="0"/>
              <w:rPr>
                <w:sz w:val="20"/>
                <w:szCs w:val="20"/>
                <w:color w:val="auto"/>
              </w:rPr>
            </w:pPr>
            <w:r>
              <w:rPr>
                <w:rFonts w:ascii="Arial" w:cs="Arial" w:eastAsia="Arial" w:hAnsi="Arial"/>
                <w:sz w:val="18"/>
                <w:szCs w:val="18"/>
                <w:color w:val="auto"/>
              </w:rPr>
              <w:t>3.9</w:t>
            </w:r>
          </w:p>
        </w:tc>
      </w:tr>
      <w:tr>
        <w:trPr>
          <w:trHeight w:val="230"/>
        </w:trPr>
        <w:tc>
          <w:tcPr>
            <w:tcW w:w="3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852.1</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4.7</w:t>
            </w: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645.8</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206.3</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In millions for the three months ended September 30, 2015.</w:t>
      </w:r>
    </w:p>
    <w:p>
      <w:pPr>
        <w:sectPr>
          <w:pgSz w:w="11900" w:h="16838" w:orient="portrait"/>
          <w:cols w:equalWidth="0" w:num="1">
            <w:col w:w="11420"/>
          </w:cols>
          <w:pgMar w:left="240" w:top="38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382" w:right="23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00" w:type="dxa"/>
            <w:vAlign w:val="bottom"/>
            <w:gridSpan w:val="8"/>
          </w:tcPr>
          <w:p>
            <w:pPr>
              <w:ind w:left="460"/>
              <w:spacing w:after="0"/>
              <w:rPr>
                <w:sz w:val="20"/>
                <w:szCs w:val="20"/>
                <w:color w:val="auto"/>
              </w:rPr>
            </w:pPr>
            <w:r>
              <w:rPr>
                <w:rFonts w:ascii="Arial" w:cs="Arial" w:eastAsia="Arial" w:hAnsi="Arial"/>
                <w:sz w:val="18"/>
                <w:szCs w:val="18"/>
                <w:b w:val="1"/>
                <w:bCs w:val="1"/>
                <w:color w:val="auto"/>
              </w:rPr>
              <w:t>9 Months Ended September 30, 2015 compared to 2014</w:t>
            </w:r>
          </w:p>
        </w:tc>
        <w:tc>
          <w:tcPr>
            <w:tcW w:w="102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2"/>
        </w:trPr>
        <w:tc>
          <w:tcPr>
            <w:tcW w:w="3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Impact of</w:t>
            </w:r>
          </w:p>
        </w:tc>
        <w:tc>
          <w:tcPr>
            <w:tcW w:w="1020" w:type="dxa"/>
            <w:vAlign w:val="bottom"/>
          </w:tcPr>
          <w:p>
            <w:pPr>
              <w:spacing w:after="0"/>
              <w:rPr>
                <w:sz w:val="19"/>
                <w:szCs w:val="19"/>
                <w:color w:val="auto"/>
              </w:rPr>
            </w:pP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Acquisition/</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Organic</w:t>
            </w: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Variance in</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Dispositions</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Constant</w:t>
            </w: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w w:val="94"/>
              </w:rPr>
              <w:t>Reported</w:t>
            </w:r>
          </w:p>
        </w:tc>
        <w:tc>
          <w:tcPr>
            <w:tcW w:w="10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Reported</w:t>
            </w:r>
          </w:p>
        </w:tc>
        <w:tc>
          <w:tcPr>
            <w:tcW w:w="1340" w:type="dxa"/>
            <w:vAlign w:val="bottom"/>
            <w:gridSpan w:val="2"/>
          </w:tcPr>
          <w:p>
            <w:pPr>
              <w:ind w:left="260"/>
              <w:spacing w:after="0"/>
              <w:rPr>
                <w:sz w:val="20"/>
                <w:szCs w:val="20"/>
                <w:color w:val="auto"/>
              </w:rPr>
            </w:pPr>
            <w:r>
              <w:rPr>
                <w:rFonts w:ascii="Arial" w:cs="Arial" w:eastAsia="Arial" w:hAnsi="Arial"/>
                <w:sz w:val="18"/>
                <w:szCs w:val="18"/>
                <w:color w:val="auto"/>
              </w:rPr>
              <w:t>Impact of</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Constant</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(In Constant</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Currency</w:t>
            </w:r>
          </w:p>
        </w:tc>
      </w:tr>
      <w:tr>
        <w:trPr>
          <w:trHeight w:val="251"/>
        </w:trPr>
        <w:tc>
          <w:tcPr>
            <w:tcW w:w="3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w w:val="91"/>
              </w:rPr>
              <w:t>Amount</w:t>
            </w:r>
            <w:r>
              <w:rPr>
                <w:rFonts w:ascii="Arial" w:cs="Arial" w:eastAsia="Arial" w:hAnsi="Arial"/>
                <w:sz w:val="18"/>
                <w:szCs w:val="18"/>
                <w:color w:val="auto"/>
                <w:w w:val="91"/>
                <w:vertAlign w:val="superscript"/>
              </w:rPr>
              <w:t>(a)</w:t>
            </w:r>
          </w:p>
        </w:tc>
        <w:tc>
          <w:tcPr>
            <w:tcW w:w="100" w:type="dxa"/>
            <w:vAlign w:val="bottom"/>
          </w:tcPr>
          <w:p>
            <w:pPr>
              <w:spacing w:after="0"/>
              <w:rPr>
                <w:sz w:val="21"/>
                <w:szCs w:val="21"/>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Variance</w:t>
            </w:r>
          </w:p>
        </w:tc>
        <w:tc>
          <w:tcPr>
            <w:tcW w:w="1340" w:type="dxa"/>
            <w:vAlign w:val="bottom"/>
            <w:gridSpan w:val="2"/>
          </w:tcPr>
          <w:p>
            <w:pPr>
              <w:ind w:left="280"/>
              <w:spacing w:after="0"/>
              <w:rPr>
                <w:sz w:val="20"/>
                <w:szCs w:val="20"/>
                <w:color w:val="auto"/>
              </w:rPr>
            </w:pPr>
            <w:r>
              <w:rPr>
                <w:rFonts w:ascii="Arial" w:cs="Arial" w:eastAsia="Arial" w:hAnsi="Arial"/>
                <w:sz w:val="18"/>
                <w:szCs w:val="18"/>
                <w:color w:val="auto"/>
              </w:rPr>
              <w:t>Currency</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Currency</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Currency)</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Variance</w:t>
            </w:r>
          </w:p>
        </w:tc>
      </w:tr>
      <w:tr>
        <w:trPr>
          <w:trHeight w:val="250"/>
        </w:trPr>
        <w:tc>
          <w:tcPr>
            <w:tcW w:w="3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services: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Americas:</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2,257.3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Other Americas</w:t>
            </w: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1,094.4</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15.5</w:t>
            </w: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3,351.7</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3.9</w:t>
            </w:r>
          </w:p>
        </w:tc>
      </w:tr>
      <w:tr>
        <w:trPr>
          <w:trHeight w:val="237"/>
        </w:trPr>
        <w:tc>
          <w:tcPr>
            <w:tcW w:w="39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Southern Europe:</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France</w:t>
            </w: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3,485.9</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3.0</w:t>
            </w: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Italy</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913.8</w:t>
            </w:r>
          </w:p>
        </w:tc>
        <w:tc>
          <w:tcPr>
            <w:tcW w:w="1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25.9</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Other Southern Europe</w:t>
            </w: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729.0</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15.4</w:t>
            </w: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5,128.7</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8.1</w:t>
            </w:r>
          </w:p>
        </w:tc>
      </w:tr>
      <w:tr>
        <w:trPr>
          <w:trHeight w:val="237"/>
        </w:trPr>
        <w:tc>
          <w:tcPr>
            <w:tcW w:w="39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Northern Europe</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4,032.3</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APME</w:t>
            </w: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1,659.9</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3.5</w:t>
            </w: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Right Management</w:t>
            </w: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203.4</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r>
      <w:tr>
        <w:trPr>
          <w:trHeight w:val="297"/>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Consolidated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14,376.0</w:t>
            </w:r>
          </w:p>
        </w:tc>
        <w:tc>
          <w:tcPr>
            <w:tcW w:w="12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ind w:right="15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jc w:val="right"/>
              <w:ind w:right="150"/>
              <w:spacing w:after="0"/>
              <w:rPr>
                <w:sz w:val="20"/>
                <w:szCs w:val="20"/>
                <w:color w:val="auto"/>
              </w:rPr>
            </w:pPr>
            <w:r>
              <w:rPr>
                <w:rFonts w:ascii="Arial" w:cs="Arial" w:eastAsia="Arial" w:hAnsi="Arial"/>
                <w:sz w:val="18"/>
                <w:szCs w:val="18"/>
                <w:color w:val="auto"/>
              </w:rPr>
              <w:t>5.2</w:t>
            </w:r>
          </w:p>
        </w:tc>
      </w:tr>
      <w:tr>
        <w:trPr>
          <w:trHeight w:val="230"/>
        </w:trPr>
        <w:tc>
          <w:tcPr>
            <w:tcW w:w="3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2,444.7</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5.3</w:t>
            </w: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1,936.9</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3.7</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507.8</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11.6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In millions for the nine months ended September 30, 2015.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Cash used to fund our operations is primarily generated through operating activities and provided by our existing credit facilities. We believe that our available cash and our existing credit facilities are sufficient to cover our cash needs for the foreseeable future. We assess and monitor our liquidity and capital resources globally. We use a global cash pooling arrangement, intercompany lending, and some local credit lines to meet funding needs and allocate our capital resources among our various entities. As of September 30, 2015, we had $339.8 million of cash held by foreign subsidiaries that was not available to fund domestic operations unless repatriated. We anticipate cash repatriations to the United States from certain foreign subsidiaries and have provided for deferred taxes related to those foreign earnings not considered to be permanently invested. As of September 30, 2015, we identified approximately $602.5 million of non-United States earnings that are not permanently invested and may be repatriated in the future as cash needs arise.</w:t>
      </w:r>
    </w:p>
    <w:p>
      <w:pPr>
        <w:spacing w:after="0" w:line="16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Cash provided by operating activities was $282.8 million during the first nine months ended September 30, 2015 compared to $104.9 million during the first nine months ended September 30, 2014. This increase is primarily attributable to higher cash earnings and the 2015 sale of a portion of our French payroll tax benefits earned in 2014 for approximately $130.0 million. Changes in operating assets and liabilities utilized $173.5 million of cash during the first nine months ended September 30, 2015 compared to $322.6 million utilized during the first nine months ended September 30, 2014. The decreased usage is primarily due to the sale of the French payroll tax benefits and an improvement in accounts receivable collections. Our Days Sales Outstanding (“DSO”) was down approximately one day from last year.</w:t>
      </w:r>
    </w:p>
    <w:p>
      <w:pPr>
        <w:spacing w:after="0" w:line="1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Net accounts receivable increased to $4,278.9 million as of September 30, 2015 from $4,134.5 million as of December 31, 2014. This increase is due to the increase in business volumes, partially offset by changes in currency exchange rates. At constant exchange rates, the September 30, 2015 balance would have been approximately $261.7 million higher than reported.</w:t>
      </w:r>
    </w:p>
    <w:p>
      <w:pPr>
        <w:spacing w:after="0" w:line="18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Capital expenditures were $33.3 million in the first nine months ended September 30, 2015 compared to $32.8 million in the first nine months ended September 30, 2014. These expenditures were primarily comprised of purchases of computer equipment, office furniture and other costs related to office openings and refurbishments.</w:t>
      </w:r>
    </w:p>
    <w:p>
      <w:pPr>
        <w:sectPr>
          <w:pgSz w:w="11900" w:h="16838" w:orient="portrait"/>
          <w:cols w:equalWidth="0" w:num="1">
            <w:col w:w="11420"/>
          </w:cols>
          <w:pgMar w:left="240" w:top="526"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526" w:right="239" w:bottom="1440" w:gutter="0" w:footer="0" w:header="0"/>
          <w:type w:val="continuous"/>
        </w:sectPr>
      </w:pPr>
    </w:p>
    <w:bookmarkStart w:id="27" w:name="page28"/>
    <w:bookmarkEnd w:id="27"/>
    <w:p>
      <w:pPr>
        <w:ind w:right="20"/>
        <w:spacing w:after="0" w:line="302" w:lineRule="auto"/>
        <w:rPr>
          <w:sz w:val="20"/>
          <w:szCs w:val="20"/>
          <w:color w:val="auto"/>
        </w:rPr>
      </w:pPr>
      <w:r>
        <w:rPr>
          <w:rFonts w:ascii="Arial" w:cs="Arial" w:eastAsia="Arial" w:hAnsi="Arial"/>
          <w:sz w:val="16"/>
          <w:szCs w:val="16"/>
          <w:color w:val="auto"/>
        </w:rPr>
        <w:t>On September 3, 2015, we completed our previously announced acquisition of 7S Group GmbH (“7S”), for total consideration, net of cash acquired, of $140.4 million (€125.3 million). In addition, we incurred approximately $2.2 million and $3.4 million of transaction costs associated with the acquisition during the three and nine months ended September 30, 2015, respectively, which have been recorded in selling and administrative expenses. Based primarily in Germany, 7S is a highly specialized provider of human resource services focusing on a number of core sectors including skilled trades, engineering and IT.</w:t>
      </w:r>
    </w:p>
    <w:p>
      <w:pPr>
        <w:spacing w:after="0" w:line="15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From time to time, we acquire and invest in companies throughout the world, including franchises. The total cash consideration for acquisitions excluding 7S, net of cash acquired, was $100.3 million for the nine months ended September 30, 2015, the majority of which took place in Australia, Canada and the Netherlands. The total cash consideration for acquisitions, net of cash acquired, was $25.1 million for the nine months ended September 30, 2014.</w:t>
      </w:r>
    </w:p>
    <w:p>
      <w:pPr>
        <w:spacing w:after="0" w:line="147"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During the third quarter of 2015, we entered into a joint venture to expand our business in the Greater China region. We contributed a majority of the net assets of our China, Hong Kong, Macau and Taiwan operations and the noncontrolling shareholder contributed cash. The joint venture is included in our Consolidated Balance Sheets as of September 30, 2015 as we have a controlling financial interest. The noncontrolling equity interest is included in noncontrolling interests in total shareholders’ equity in our Consolidated Balance Sheets as of September 30, 2015.</w:t>
      </w:r>
    </w:p>
    <w:p>
      <w:pPr>
        <w:spacing w:after="0" w:line="13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Cash provided by net debt borrowings was $449.7 million in the first nine months ended September 30, 2015 compared to $8.6 million in the first nine months ended September 30, 2014.</w:t>
      </w:r>
    </w:p>
    <w:p>
      <w:pPr>
        <w:spacing w:after="0" w:line="170" w:lineRule="exact"/>
        <w:rPr>
          <w:sz w:val="20"/>
          <w:szCs w:val="20"/>
          <w:color w:val="auto"/>
        </w:rPr>
      </w:pPr>
    </w:p>
    <w:p>
      <w:pPr>
        <w:ind w:right="260"/>
        <w:spacing w:after="0" w:line="288" w:lineRule="auto"/>
        <w:rPr>
          <w:sz w:val="20"/>
          <w:szCs w:val="20"/>
          <w:color w:val="auto"/>
        </w:rPr>
      </w:pPr>
      <w:r>
        <w:rPr>
          <w:rFonts w:ascii="Arial" w:cs="Arial" w:eastAsia="Arial" w:hAnsi="Arial"/>
          <w:sz w:val="16"/>
          <w:szCs w:val="16"/>
          <w:color w:val="auto"/>
        </w:rPr>
        <w:t>On September 11, 2015, we offered and sold €400.0 million aggregate principal amount of the Company's 1.875% notes due September 11, 2022 (the "Notes"). The net proceeds from the Notes of €397.4 million will be used for general corporate purposes, which may include share repurchases and the acquisition of or investment in complementary businesses or other assets. The Notes were issued at a price of 99.753% to yield an effective interest rate of</w:t>
      </w:r>
    </w:p>
    <w:p>
      <w:pPr>
        <w:ind w:right="60"/>
        <w:spacing w:after="0" w:line="261" w:lineRule="auto"/>
        <w:rPr>
          <w:sz w:val="20"/>
          <w:szCs w:val="20"/>
          <w:color w:val="auto"/>
        </w:rPr>
      </w:pPr>
      <w:r>
        <w:rPr>
          <w:rFonts w:ascii="Arial" w:cs="Arial" w:eastAsia="Arial" w:hAnsi="Arial"/>
          <w:sz w:val="18"/>
          <w:szCs w:val="18"/>
          <w:color w:val="auto"/>
        </w:rPr>
        <w:t>1.913%. Interest on the Notes is payable in arrears on September 11 of each year. The Notes are unsecured senior obligations and rank equally with all of our existing and future senior unsecured debt and other liabilities.</w:t>
      </w:r>
    </w:p>
    <w:p>
      <w:pPr>
        <w:spacing w:after="0" w:line="14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September 16, 2015, we amended and restated our Five Year Credit Agreement (the “Amended Agreement”) with a syndicate of commercial banks primarily to revise the termination date of the facility from October 15, 2018 to September 16, 2020. The remaining material terms and conditions of the Amended Agreement are substantially similar to the material terms and conditions of our Amended and Restated Five Year Credit Agreement dated October 15, 2013.</w:t>
      </w:r>
    </w:p>
    <w:p>
      <w:pPr>
        <w:spacing w:after="0" w:line="1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€350.0 million notes are due June 2018. When both the €350.0 million notes and the €400.0 million notes mature, we plan to repay the amounts with available cash, borrowings under our $600.0 million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should we decide to replace either of the notes.</w:t>
      </w:r>
    </w:p>
    <w:p>
      <w:pPr>
        <w:spacing w:after="0" w:line="187"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In July 2015, Moody’s Investors Service upgraded our long-term debt rating to Baa1 from Baa2 while maintaining the stable outlook. This current credit rating is investment grade. Rating agencies use proprietary methodology in determining their ratings and outlook which includes, among other things, financial ratios based upon debt levels and earnings performance. Under the $600.0 million revolving credit agreement, a credit ratings-based pricing grid determines the facility fee and the credit spread that we add to the applicable interbank borrowing rate on all borrowings. At this current credit rating, the annual facility fee is 12.5 basis points paid on the entire facility and the credit spread is 100.0 basis points on any borrowings.</w:t>
      </w:r>
    </w:p>
    <w:p>
      <w:pPr>
        <w:spacing w:after="0" w:line="15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September 30, 2015, we had letters of credit totaling $0.9 million issued under our $600.0 million revolving credit facility. Additional borrowings of $599.1 million were available to us under the facility as of September 30, 2015.</w:t>
      </w:r>
    </w:p>
    <w:p>
      <w:pPr>
        <w:spacing w:after="0" w:line="17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$600.0 million revolving credit agreement requires that we comply with a leverage ratio (Debt-to-EBITDA) of not greater than 3.5 to 1 and a fixed charge coverage ratio of not less than 1.5 to 1. As defined in the agreement, we had a Debt-to-EBITDA ratio of 0.80 to 1 and a fixed charge coverage ratio of 4.49 to 1 as of September 30, 2015. Based on our current forecast, we expect to be in compliance with our financial covenants for the next 12 months.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to the previously mentioned facilities, we maintain separate bank credit lines with financial institutions to meet working capital needs of our subsidiary operations. As of September 30, 2015, such credit lines totaled $284.2 million, and additional borrowings of $239.1 million could have been made under these lines. Under the revolving credit agreement, total subsidiary borrowings cannot exceed $300.0 million in the first, second and fourth quarters, and $600.0 million in the third quarter of each year.</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April 28, 2015 and April 29, 2014, the Board of Directors declared a semi-annual cash dividend of $0.80 and $0.49 per share, respectively. The 2015 dividends were paid on June 15, 2015 to shareholders of record on June 1, 2015. The 2014 dividends were paid on June 16, 2014 to shareholders of record on June 2,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On October 29, 2015 and October 29, 2014, the Board of Directors declared a semi-annual cash dividend of $0.80 and $0.49 per sh</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368" w:right="279" w:bottom="1440" w:gutter="0" w:footer="0" w:header="0"/>
        </w:sectPr>
      </w:pPr>
    </w:p>
    <w:bookmarkStart w:id="28" w:name="page29"/>
    <w:bookmarkEnd w:id="28"/>
    <w:p>
      <w:pPr>
        <w:ind w:right="240"/>
        <w:spacing w:after="0" w:line="277" w:lineRule="auto"/>
        <w:rPr>
          <w:sz w:val="20"/>
          <w:szCs w:val="20"/>
          <w:color w:val="auto"/>
        </w:rPr>
      </w:pPr>
      <w:r>
        <w:rPr>
          <w:rFonts w:ascii="Arial" w:cs="Arial" w:eastAsia="Arial" w:hAnsi="Arial"/>
          <w:sz w:val="18"/>
          <w:szCs w:val="18"/>
          <w:color w:val="auto"/>
        </w:rPr>
        <w:t>are, respectively. The 2015 dividends are payable on December 15, 2015 to shareholders of record on December 1, 2015. The 2014 dividends were paid on December 15, 2014 to shareholders of record on December 1, 2014.</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October 2015 and December 2012, the Board of Directors authorized the repurchase of 6.0 million and 8.0 million shares of our common stock, respectively. Share repurchases may be made from time to time through a variety of methods, including open market purchases, block transactions, privately negotiated transactions or similar facilities. During the first nine months of 2015, we repurchased 6.0 million shares at a cost of $523.2 million under the 2012 authorization. As of September 30, 2015, there were no shares remaining authorized for repurchase under the 2012 authorization.</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had aggregate commitments related to debt repayments, operating leases, severances and office closure costs, and certain other commitments of $1,823.5 million as of September 30, 2015 compared to $1,372.5 million as of December 31, 2014.</w:t>
      </w:r>
    </w:p>
    <w:p>
      <w:pPr>
        <w:spacing w:after="0" w:line="17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also have entered into guarantee contracts and stand-by letters of credit that total approximately $180.3 million and $172.6 million as of September 30, 2015 and December 31, 2014, respectively, consisting of $134.8 million and $126.8 million for guarantees, respectively, and $45.5 million and $45.8 million for stand-by letters of credit, respectively. Guarantees primarily relate to bank accounts, operating leases and indebtedness. The letters of credit relate to workers’ compensation, operating leases and indebtedness. If certain conditions were met under these arrangements, we would be required to satisfy our obligations in cash. Due to the nature of these arrangements and our historical experience, we do not expect any significant payments under these arrangements. Therefore, they have been excluded from our aggregate commitments. The cost of these guarantees and letters of credit was $1.1 million and $1.3 million in the first nine months ended September 30, 2015 and 2014, respectively.</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the nine months ended September 30, 2015, we made payments of $6.1 million out of our restructuring reserve that was created in 2012 and 2013. We expect a majority of the remaining $6.8 million reserve will be paid by the end of 2016.</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Application of Critical Accounting Policies</w:t>
      </w:r>
    </w:p>
    <w:p>
      <w:pPr>
        <w:spacing w:after="0" w:line="225"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In accordance with the current accounting guidance for goodwill and other intangible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performed our annual impairment test of our goodwill and indefinite-lived intangible assets during the third quarter of 2015 and determined that there was no impairment of our goodwill or our indefinite-lived intangible assets.</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Significant assumptions used in our annual goodwill impairment test during the third quarter of 2015 included: expected future revenue growth rates, operating unit profit margins, working capital levels, discount rates ranging from 11.8% to 17.1%, and a terminal value multiple. The expected future revenue growth rates and operating unit profit margins were determined after taking into consideration our historical revenue growth rates and operating unit profit margins, our assessment of future market potential, and our expectations of future business performance.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table below provides a sample of our reporting units’ estimated fair values and carrying values, which were determined as part of our annual goodwill impairment test performed in the third quarter ended September 30, 2015. The reporting units included below represent approximately 73% of our consolidated goodwill balance as of September 30, 2015.</w:t>
      </w:r>
    </w:p>
    <w:p>
      <w:pPr>
        <w:spacing w:after="0" w:line="200" w:lineRule="exact"/>
        <w:rPr>
          <w:sz w:val="20"/>
          <w:szCs w:val="20"/>
          <w:color w:val="auto"/>
        </w:rPr>
      </w:pPr>
    </w:p>
    <w:p>
      <w:pPr>
        <w:spacing w:after="0" w:line="355"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2"/>
              </w:rPr>
              <w:t>United</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920" w:type="dxa"/>
            <w:vAlign w:val="bottom"/>
          </w:tcPr>
          <w:p>
            <w:pPr>
              <w:ind w:left="40"/>
              <w:spacing w:after="0"/>
              <w:rPr>
                <w:sz w:val="20"/>
                <w:szCs w:val="20"/>
                <w:color w:val="auto"/>
              </w:rPr>
            </w:pPr>
            <w:r>
              <w:rPr>
                <w:rFonts w:ascii="Arial" w:cs="Arial" w:eastAsia="Arial" w:hAnsi="Arial"/>
                <w:sz w:val="18"/>
                <w:szCs w:val="18"/>
                <w:b w:val="1"/>
                <w:bCs w:val="1"/>
                <w:color w:val="auto"/>
              </w:rPr>
              <w:t>(in millions)</w:t>
            </w:r>
          </w:p>
        </w:tc>
        <w:tc>
          <w:tcPr>
            <w:tcW w:w="420" w:type="dxa"/>
            <w:vAlign w:val="bottom"/>
          </w:tcPr>
          <w:p>
            <w:pPr>
              <w:spacing w:after="0"/>
              <w:rPr>
                <w:sz w:val="20"/>
                <w:szCs w:val="20"/>
                <w:color w:val="auto"/>
              </w:rPr>
            </w:pPr>
          </w:p>
        </w:tc>
        <w:tc>
          <w:tcPr>
            <w:tcW w:w="1420" w:type="dxa"/>
            <w:vAlign w:val="bottom"/>
            <w:gridSpan w:val="2"/>
          </w:tcPr>
          <w:p>
            <w:pPr>
              <w:ind w:left="280"/>
              <w:spacing w:after="0"/>
              <w:rPr>
                <w:sz w:val="20"/>
                <w:szCs w:val="20"/>
                <w:color w:val="auto"/>
              </w:rPr>
            </w:pPr>
            <w:r>
              <w:rPr>
                <w:rFonts w:ascii="Arial" w:cs="Arial" w:eastAsia="Arial" w:hAnsi="Arial"/>
                <w:sz w:val="18"/>
                <w:szCs w:val="18"/>
                <w:b w:val="1"/>
                <w:bCs w:val="1"/>
                <w:color w:val="auto"/>
              </w:rPr>
              <w:t>France</w:t>
            </w:r>
          </w:p>
        </w:tc>
        <w:tc>
          <w:tcPr>
            <w:tcW w:w="340" w:type="dxa"/>
            <w:vAlign w:val="bottom"/>
          </w:tcPr>
          <w:p>
            <w:pPr>
              <w:spacing w:after="0"/>
              <w:rPr>
                <w:sz w:val="20"/>
                <w:szCs w:val="20"/>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5"/>
              </w:rPr>
              <w:t>States</w:t>
            </w:r>
          </w:p>
        </w:tc>
        <w:tc>
          <w:tcPr>
            <w:tcW w:w="160" w:type="dxa"/>
            <w:vAlign w:val="bottom"/>
          </w:tcPr>
          <w:p>
            <w:pPr>
              <w:spacing w:after="0"/>
              <w:rPr>
                <w:sz w:val="20"/>
                <w:szCs w:val="20"/>
                <w:color w:val="auto"/>
              </w:rPr>
            </w:pPr>
          </w:p>
        </w:tc>
        <w:tc>
          <w:tcPr>
            <w:tcW w:w="1760" w:type="dxa"/>
            <w:vAlign w:val="bottom"/>
            <w:gridSpan w:val="2"/>
          </w:tcPr>
          <w:p>
            <w:pPr>
              <w:ind w:left="40"/>
              <w:spacing w:after="0"/>
              <w:rPr>
                <w:sz w:val="20"/>
                <w:szCs w:val="20"/>
                <w:color w:val="auto"/>
              </w:rPr>
            </w:pPr>
            <w:r>
              <w:rPr>
                <w:rFonts w:ascii="Arial" w:cs="Arial" w:eastAsia="Arial" w:hAnsi="Arial"/>
                <w:sz w:val="18"/>
                <w:szCs w:val="18"/>
                <w:b w:val="1"/>
                <w:bCs w:val="1"/>
                <w:color w:val="auto"/>
              </w:rPr>
              <w:t>United Kingdom</w:t>
            </w:r>
          </w:p>
        </w:tc>
        <w:tc>
          <w:tcPr>
            <w:tcW w:w="1860" w:type="dxa"/>
            <w:vAlign w:val="bottom"/>
            <w:gridSpan w:val="3"/>
          </w:tcPr>
          <w:p>
            <w:pPr>
              <w:ind w:left="80"/>
              <w:spacing w:after="0"/>
              <w:rPr>
                <w:sz w:val="20"/>
                <w:szCs w:val="20"/>
                <w:color w:val="auto"/>
              </w:rPr>
            </w:pPr>
            <w:r>
              <w:rPr>
                <w:rFonts w:ascii="Arial" w:cs="Arial" w:eastAsia="Arial" w:hAnsi="Arial"/>
                <w:sz w:val="18"/>
                <w:szCs w:val="18"/>
                <w:b w:val="1"/>
                <w:bCs w:val="1"/>
                <w:color w:val="auto"/>
              </w:rPr>
              <w:t>Right Management</w:t>
            </w:r>
          </w:p>
        </w:tc>
        <w:tc>
          <w:tcPr>
            <w:tcW w:w="240" w:type="dxa"/>
            <w:vAlign w:val="bottom"/>
          </w:tcPr>
          <w:p>
            <w:pPr>
              <w:spacing w:after="0"/>
              <w:rPr>
                <w:sz w:val="20"/>
                <w:szCs w:val="20"/>
                <w:color w:val="auto"/>
              </w:rPr>
            </w:pPr>
          </w:p>
        </w:tc>
        <w:tc>
          <w:tcPr>
            <w:tcW w:w="154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Netherlands</w:t>
            </w:r>
          </w:p>
        </w:tc>
      </w:tr>
      <w:tr>
        <w:trPr>
          <w:trHeight w:val="27"/>
        </w:trPr>
        <w:tc>
          <w:tcPr>
            <w:tcW w:w="19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fair values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1,510.5</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1,132.9</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410.4</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296.3</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1920" w:type="dxa"/>
            <w:vAlign w:val="bottom"/>
          </w:tcPr>
          <w:p>
            <w:pPr>
              <w:ind w:left="40"/>
              <w:spacing w:after="0"/>
              <w:rPr>
                <w:sz w:val="20"/>
                <w:szCs w:val="20"/>
                <w:color w:val="auto"/>
              </w:rPr>
            </w:pPr>
            <w:r>
              <w:rPr>
                <w:rFonts w:ascii="Arial" w:cs="Arial" w:eastAsia="Arial" w:hAnsi="Arial"/>
                <w:sz w:val="18"/>
                <w:szCs w:val="18"/>
                <w:color w:val="auto"/>
              </w:rPr>
              <w:t>Carrying values</w:t>
            </w:r>
          </w:p>
        </w:tc>
        <w:tc>
          <w:tcPr>
            <w:tcW w:w="4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633.3</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799.0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305.4</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122.6</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21"/>
                <w:szCs w:val="2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Statements made in this quarterly report that are not statements of historical fact are forward-looking statements. In addition, from time to time, we and our representatives may make statements that are forward-looking. All forward-looking statements involve risks and uncertainties. The information in Item 1A. Risk Factors in our annual report on Form 10-K for the year ended December 31, 2014, which information is incorporated herein by reference, provides cautionary statements identifying, for</w:t>
      </w:r>
    </w:p>
    <w:p>
      <w:pPr>
        <w:sectPr>
          <w:pgSz w:w="11900" w:h="16838" w:orient="portrait"/>
          <w:cols w:equalWidth="0" w:num="1">
            <w:col w:w="11420"/>
          </w:cols>
          <w:pgMar w:left="240" w:top="368"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368" w:right="239" w:bottom="1440" w:gutter="0" w:footer="0" w:header="0"/>
          <w:type w:val="continuous"/>
        </w:sectPr>
      </w:pPr>
    </w:p>
    <w:bookmarkStart w:id="29" w:name="page30"/>
    <w:bookmarkEnd w:id="29"/>
    <w:p>
      <w:pPr>
        <w:spacing w:after="0" w:line="257" w:lineRule="auto"/>
        <w:rPr>
          <w:sz w:val="20"/>
          <w:szCs w:val="20"/>
          <w:color w:val="auto"/>
        </w:rPr>
      </w:pPr>
      <w:r>
        <w:rPr>
          <w:rFonts w:ascii="Arial" w:cs="Arial" w:eastAsia="Arial" w:hAnsi="Arial"/>
          <w:sz w:val="18"/>
          <w:szCs w:val="18"/>
          <w:color w:val="auto"/>
        </w:rPr>
        <w:t>purposes of the safe harbor provisions of the Private Securities Litigation Reform Act of 1995, important factors that could cause our actual results to differ materially from those contained in the forward-looking statements. Forward-looking statements can be identified by words such as “expect,” “anticipate,” “intend,” “plan,” “may,” “believe,” “seek,” “estimate,” and similar expressions. Some or all of the factors identified in our annual report on Form 10-K may be beyond our control. We caution that any forward-looking statement reflects only our belief at the time the statement is made. We undertake no obligation to update any forward-looking statements to reflect subsequent events or circumstances.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Quantitative and Qualitative Disclosures About Market Risk</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2014 Annual Report on Form 10-K contains certain disclosures about market risks affecting us. There have been no material changes to the information provided which would require additional disclosures as of the date of this filing.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Controls and Procedures</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pursuant to Rule 13a-15 of the Exchange Act. Based on that evaluation, our Chief Executive Officer and our Executive Vice President and Chief Financial Officer concluded that our disclosure controls and procedures are effective as of the end of the period covered by this report.</w:t>
      </w:r>
    </w:p>
    <w:p>
      <w:pPr>
        <w:spacing w:after="0" w:line="16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8" w:right="239" w:bottom="1440" w:gutter="0" w:footer="0" w:header="0"/>
        </w:sectPr>
      </w:pPr>
    </w:p>
    <w:bookmarkStart w:id="30" w:name="page31"/>
    <w:bookmarkEnd w:id="30"/>
    <w:p>
      <w:pPr>
        <w:ind w:left="4300"/>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 Unregistered Sales of Equity Securities and Use of Proceeds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October 2015 and December 2012, the Board of Directors authorized the repurchase of 6.0 million and 8.0 million shares of our common stock, respectively. Share repurchases may be made from time to time through a variety of methods, including open market purchases, block transactions, privately negotiated transactions or similar facilities. As of September 30, 2015, there were no shares remaining authorized for repurchase under the 2012 authorization. The following table shows the total amount of shares repurchased during the third quarter of 2015.</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5640" w:type="dxa"/>
            <w:vAlign w:val="bottom"/>
            <w:gridSpan w:val="6"/>
          </w:tcPr>
          <w:p>
            <w:pPr>
              <w:ind w:left="1000"/>
              <w:spacing w:after="0"/>
              <w:rPr>
                <w:sz w:val="20"/>
                <w:szCs w:val="20"/>
                <w:color w:val="auto"/>
              </w:rPr>
            </w:pPr>
            <w:r>
              <w:rPr>
                <w:rFonts w:ascii="Arial" w:cs="Arial" w:eastAsia="Arial" w:hAnsi="Arial"/>
                <w:sz w:val="18"/>
                <w:szCs w:val="18"/>
                <w:b w:val="1"/>
                <w:bCs w:val="1"/>
                <w:color w:val="auto"/>
              </w:rPr>
              <w:t>ISSUER PURCHASES OF EQUITY SECURITIES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52"/>
        </w:trPr>
        <w:tc>
          <w:tcPr>
            <w:tcW w:w="27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Total number of</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27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shares purchased</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shares</w:t>
            </w:r>
          </w:p>
        </w:tc>
      </w:tr>
      <w:tr>
        <w:trPr>
          <w:trHeight w:val="216"/>
        </w:trPr>
        <w:tc>
          <w:tcPr>
            <w:tcW w:w="27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Total number of</w:t>
            </w:r>
          </w:p>
        </w:tc>
        <w:tc>
          <w:tcPr>
            <w:tcW w:w="14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Average price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as part of publicly</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that may yet be</w:t>
            </w:r>
          </w:p>
        </w:tc>
      </w:tr>
      <w:tr>
        <w:trPr>
          <w:trHeight w:val="234"/>
        </w:trPr>
        <w:tc>
          <w:tcPr>
            <w:tcW w:w="27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shares purchased</w:t>
            </w:r>
          </w:p>
        </w:tc>
        <w:tc>
          <w:tcPr>
            <w:tcW w:w="14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paid per share</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announced plan</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w:t>
            </w:r>
          </w:p>
        </w:tc>
      </w:tr>
      <w:tr>
        <w:trPr>
          <w:trHeight w:val="27"/>
        </w:trPr>
        <w:tc>
          <w:tcPr>
            <w:tcW w:w="272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1- 31, 2015</w:t>
            </w:r>
          </w:p>
        </w:tc>
        <w:tc>
          <w:tcPr>
            <w:tcW w:w="3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503,334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89.19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503,334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3,478,683</w:t>
            </w: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rPr>
              <w:t>August 1 - 31, 2015</w:t>
            </w:r>
          </w:p>
        </w:tc>
        <w:tc>
          <w:tcPr>
            <w:tcW w:w="3940" w:type="dxa"/>
            <w:vAlign w:val="bottom"/>
            <w:gridSpan w:val="2"/>
          </w:tcPr>
          <w:p>
            <w:pPr>
              <w:jc w:val="right"/>
              <w:ind w:right="30"/>
              <w:spacing w:after="0"/>
              <w:rPr>
                <w:sz w:val="20"/>
                <w:szCs w:val="20"/>
                <w:color w:val="auto"/>
              </w:rPr>
            </w:pPr>
            <w:r>
              <w:rPr>
                <w:rFonts w:ascii="Arial" w:cs="Arial" w:eastAsia="Arial" w:hAnsi="Arial"/>
                <w:sz w:val="18"/>
                <w:szCs w:val="18"/>
                <w:color w:val="auto"/>
              </w:rPr>
              <w:t>2,213,252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90.40</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2,213,252</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1,265,431</w:t>
            </w:r>
          </w:p>
        </w:tc>
      </w:tr>
      <w:tr>
        <w:trPr>
          <w:trHeight w:val="27"/>
        </w:trPr>
        <w:tc>
          <w:tcPr>
            <w:tcW w:w="27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2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September 1 - 30, 2015</w:t>
            </w:r>
          </w:p>
        </w:tc>
        <w:tc>
          <w:tcPr>
            <w:tcW w:w="3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1,265,431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86.45</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1,265,431</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72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Approval of Audit-Related and Non-Audit Services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to date in 2015:</w:t>
      </w:r>
    </w:p>
    <w:p>
      <w:pPr>
        <w:spacing w:after="0" w:line="116" w:lineRule="exact"/>
        <w:rPr>
          <w:sz w:val="20"/>
          <w:szCs w:val="20"/>
          <w:color w:val="auto"/>
        </w:rPr>
      </w:pPr>
    </w:p>
    <w:p>
      <w:pPr>
        <w:ind w:left="500" w:hanging="465"/>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preparation and/or review of tax returns, including sales and use tax, excise tax, income tax, local tax, property tax, and value-added tax;</w:t>
      </w:r>
    </w:p>
    <w:p>
      <w:pPr>
        <w:spacing w:after="0" w:line="238" w:lineRule="exact"/>
        <w:rPr>
          <w:rFonts w:ascii="Arial" w:cs="Arial" w:eastAsia="Arial" w:hAnsi="Arial"/>
          <w:sz w:val="18"/>
          <w:szCs w:val="18"/>
          <w:color w:val="auto"/>
        </w:rPr>
      </w:pPr>
    </w:p>
    <w:p>
      <w:pPr>
        <w:ind w:left="500" w:right="380" w:hanging="465"/>
        <w:spacing w:after="0" w:line="277"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advice and assistance with respect to transfer pricing matters, as well as communicating with various taxing authorities regarding the requirements associated with royalties and inter-company pricing, and tax audits;</w:t>
      </w:r>
    </w:p>
    <w:p>
      <w:pPr>
        <w:spacing w:after="0" w:line="183" w:lineRule="exact"/>
        <w:rPr>
          <w:rFonts w:ascii="Arial" w:cs="Arial" w:eastAsia="Arial" w:hAnsi="Arial"/>
          <w:sz w:val="18"/>
          <w:szCs w:val="18"/>
          <w:color w:val="auto"/>
        </w:rPr>
      </w:pPr>
    </w:p>
    <w:p>
      <w:pPr>
        <w:ind w:left="500" w:hanging="465"/>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audit services with respect to certain procedures for governmental requirements; and</w:t>
      </w:r>
    </w:p>
    <w:p>
      <w:pPr>
        <w:spacing w:after="0" w:line="238" w:lineRule="exact"/>
        <w:rPr>
          <w:rFonts w:ascii="Arial" w:cs="Arial" w:eastAsia="Arial" w:hAnsi="Arial"/>
          <w:sz w:val="18"/>
          <w:szCs w:val="18"/>
          <w:color w:val="auto"/>
        </w:rPr>
      </w:pPr>
    </w:p>
    <w:p>
      <w:pPr>
        <w:ind w:left="500" w:hanging="465"/>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preparation of a comfort letter for our debt offering.</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Compensatory Arrangements of Certain Officers</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On October 29, 2015, ManpowerGroup Inc. (the “Company”) entered into a severance agreement with Ram Chandrashekar. This severance agreement replaces a similar agreement scheduled to expire on November 15, 2015. The new severance agreement expires on the first to occur of (1) the date two years after the occurrence of a change of control of the Company or (2) October 29, 2018, if no such change of control occurs before October 29, 2018.</w:t>
      </w:r>
    </w:p>
    <w:p>
      <w:pPr>
        <w:spacing w:after="0" w:line="14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Aside from the new term, the severance agreement is in substantially the same form as the severance agreement it replaces with certain other modifications including a change to the definition of "good reason." The definition has been modified to include (i) any material breach by the Company or one of its affiliates of a material obligation to pay or provide benefits or compensation to the executive, (ii) a material diminution in base salary, (iii) a material diminution in the executive’s authority, duties or authority, coupled with a material reduction in the executive’s target bonus opportunity, (iv) a material diminution in the executive’s authority, duties or responsibility which is not coupled with a material reduction in the executive’s target bonus opportunity, but which occurs within 2 years after a change of control; or (v) a material reduction in the executive’s target bonus opportunity which is not coupled with a material diminution in the executive’s authority, duties or responsibilities, but which occurs within 2 years after a change of control. Under the prior agreement, “good reason” included a material diminution of the executive’s authority, duties or responsibilities (except in the case of a good faith reassignment to another senior executive level position by the CEO prior to a change in control), but did not include a material diminution in his target bonus opportunity (other than in the two years following a change of control).</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foregoing description is qualified in its entirety by reference to the severance agreement filed herewith as exhibit 10.1, which is incorporated by reference into this report.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auto"/>
        </w:rPr>
        <w:t>Item 6 – Exhibits</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Severance Agreement between Ram Chandrashekar and the Company dated as of October 29, 2015.</w:t>
      </w:r>
    </w:p>
    <w:p>
      <w:pPr>
        <w:spacing w:after="0" w:line="387" w:lineRule="exact"/>
        <w:rPr>
          <w:sz w:val="20"/>
          <w:szCs w:val="20"/>
          <w:color w:val="auto"/>
        </w:rPr>
      </w:pPr>
    </w:p>
    <w:p>
      <w:pPr>
        <w:jc w:val="both"/>
        <w:ind w:left="600" w:right="240" w:hanging="566"/>
        <w:spacing w:after="0" w:line="264" w:lineRule="auto"/>
        <w:tabs>
          <w:tab w:leader="none" w:pos="580" w:val="left"/>
        </w:tabs>
        <w:rPr>
          <w:sz w:val="20"/>
          <w:szCs w:val="20"/>
          <w:color w:val="auto"/>
        </w:rPr>
      </w:pPr>
      <w:r>
        <w:rPr>
          <w:rFonts w:ascii="Arial" w:cs="Arial" w:eastAsia="Arial" w:hAnsi="Arial"/>
          <w:sz w:val="18"/>
          <w:szCs w:val="18"/>
          <w:color w:val="auto"/>
        </w:rPr>
        <w:t>10.2</w:t>
        <w:tab/>
        <w:t>Fiscal and Paying Agency Agreement between the Company and Citibank, N.A., as Fiscal Agent, Principal Paying Agent and Registrar and Transfer Agent, dated as of September 11, 2015 (including the form of Note attached thereto as Schedule I), incorporated by reference to the Company's Current Report on Form 8-K dated September 11, 2015.</w:t>
      </w:r>
    </w:p>
    <w:p>
      <w:pPr>
        <w:spacing w:after="0" w:line="343" w:lineRule="exact"/>
        <w:rPr>
          <w:sz w:val="20"/>
          <w:szCs w:val="20"/>
          <w:color w:val="auto"/>
        </w:rPr>
      </w:pPr>
    </w:p>
    <w:p>
      <w:pPr>
        <w:ind w:left="600" w:right="80" w:hanging="566"/>
        <w:spacing w:after="0" w:line="342" w:lineRule="auto"/>
        <w:tabs>
          <w:tab w:leader="none" w:pos="5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Amended and Restated Five-Year Credit Agreement dated as of September 16, 2015 among the Company, a syndicate of lenders and Citibank, N.A., as Administrative Agent, incorporated by reference to the Company's Current Report on Form 8-K dated September 11, 2015.</w:t>
      </w:r>
    </w:p>
    <w:p>
      <w:pPr>
        <w:spacing w:after="0" w:line="286"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Statement regarding Computation of Ratio of Earnings to Fixed Charges.</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Jonas Prising, Chief Executive Officer, pursuant to Section 13a-14(a)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0" w:right="220" w:hanging="566"/>
        <w:spacing w:after="0" w:line="277" w:lineRule="auto"/>
        <w:tabs>
          <w:tab w:leader="none" w:pos="580" w:val="left"/>
        </w:tabs>
        <w:rPr>
          <w:sz w:val="20"/>
          <w:szCs w:val="20"/>
          <w:color w:val="auto"/>
        </w:rPr>
      </w:pPr>
      <w:r>
        <w:rPr>
          <w:rFonts w:ascii="Arial" w:cs="Arial" w:eastAsia="Arial" w:hAnsi="Arial"/>
          <w:sz w:val="18"/>
          <w:szCs w:val="18"/>
          <w:color w:val="auto"/>
        </w:rPr>
        <w:t>31.2</w:t>
        <w:tab/>
        <w:t>Certification of Michael J. Van Handel, Executive Vice President and Chief Financial Officer, pursuant to Section 13a-14(a) of the Securities Exchange Act of 1934.</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Statement of Jonas Prising. Chief Executive Officer, pursuant to 18 U.S.C. ss. 1350.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Statement of Michael J. Van Handel, Executive Vice President and Chief Financial Officer, pursuant to 18 U.S.C. ss. 1350.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0" w:hanging="565"/>
        <w:spacing w:after="0" w:line="312" w:lineRule="auto"/>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following materials from the Company’s Quarterly Report on Form 10-Q for the quarter ended September 30, 2015, formatted in XBRL (Extensible Business Reporting Language): (i) Consolidated Balance Sheets, (ii) Consolidated Statements of Operations, (iii) Consolidated Statements of Comprehensive Income (Loss), (iv) Consolidated Statements of Cash Flows, and (v)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240" w:top="368" w:right="699" w:bottom="1440" w:gutter="0" w:footer="0" w:header="0"/>
        </w:sectPr>
      </w:pPr>
    </w:p>
    <w:bookmarkStart w:id="32" w:name="page33"/>
    <w:bookmarkEnd w:id="32"/>
    <w:p>
      <w:pPr>
        <w:ind w:left="538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31750</wp:posOffset>
            </wp:positionV>
            <wp:extent cx="19551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30, 2015</w:t>
      </w:r>
    </w:p>
    <w:p>
      <w:pPr>
        <w:spacing w:after="0" w:line="360"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31750</wp:posOffset>
            </wp:positionV>
            <wp:extent cx="4202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57"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Michael J. Van Handel</w:t>
      </w:r>
    </w:p>
    <w:p>
      <w:pPr>
        <w:spacing w:after="0" w:line="6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2440" w:right="2520"/>
        <w:spacing w:after="0" w:line="261" w:lineRule="auto"/>
        <w:rPr>
          <w:sz w:val="20"/>
          <w:szCs w:val="20"/>
          <w:color w:val="auto"/>
        </w:rPr>
      </w:pPr>
      <w:r>
        <w:rPr>
          <w:rFonts w:ascii="Arial" w:cs="Arial" w:eastAsia="Arial" w:hAnsi="Arial"/>
          <w:sz w:val="18"/>
          <w:szCs w:val="18"/>
          <w:color w:val="auto"/>
        </w:rPr>
        <w:t>(Signing on behalf of the Registrant and as the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80"/>
          </w:cols>
          <w:pgMar w:left="240" w:top="1229" w:right="379" w:bottom="1440" w:gutter="0" w:footer="0" w:header="0"/>
        </w:sectPr>
      </w:pPr>
    </w:p>
    <w:bookmarkStart w:id="33" w:name="page34"/>
    <w:bookmarkEnd w:id="33"/>
    <w:p>
      <w:pPr>
        <w:jc w:val="center"/>
        <w:ind w:right="10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574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31750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Severance Agreement between Ram Chandrashekar and the Company dated as of October 29, 2015.</w:t>
      </w:r>
    </w:p>
    <w:p>
      <w:pPr>
        <w:spacing w:after="0" w:line="387" w:lineRule="exact"/>
        <w:rPr>
          <w:sz w:val="20"/>
          <w:szCs w:val="20"/>
          <w:color w:val="auto"/>
        </w:rPr>
      </w:pPr>
    </w:p>
    <w:p>
      <w:pPr>
        <w:ind w:left="1140" w:hanging="476"/>
        <w:spacing w:after="0" w:line="264" w:lineRule="auto"/>
        <w:tabs>
          <w:tab w:leader="none" w:pos="1120" w:val="left"/>
        </w:tabs>
        <w:rPr>
          <w:sz w:val="20"/>
          <w:szCs w:val="20"/>
          <w:color w:val="auto"/>
        </w:rPr>
      </w:pPr>
      <w:r>
        <w:rPr>
          <w:rFonts w:ascii="Arial" w:cs="Arial" w:eastAsia="Arial" w:hAnsi="Arial"/>
          <w:sz w:val="18"/>
          <w:szCs w:val="18"/>
          <w:color w:val="auto"/>
        </w:rPr>
        <w:t>10.2</w:t>
        <w:tab/>
        <w:t>Fiscal and Paying Agency Agreement between the Company and Citibank, N.A., as Fiscal Agent, Principal Paying Agent and Registrar and Transfer Agent, dated as of September 11, 2015 (including the form of Note attached thereto as Schedule I), incorporated by reference to the Company's Current Report on Form 8-K dated September 11, 2015.</w:t>
      </w:r>
    </w:p>
    <w:p>
      <w:pPr>
        <w:spacing w:after="0" w:line="343" w:lineRule="exact"/>
        <w:rPr>
          <w:sz w:val="20"/>
          <w:szCs w:val="20"/>
          <w:color w:val="auto"/>
        </w:rPr>
      </w:pPr>
    </w:p>
    <w:p>
      <w:pPr>
        <w:ind w:left="1140" w:right="300" w:hanging="476"/>
        <w:spacing w:after="0" w:line="264" w:lineRule="auto"/>
        <w:tabs>
          <w:tab w:leader="none" w:pos="1120" w:val="left"/>
        </w:tabs>
        <w:rPr>
          <w:sz w:val="20"/>
          <w:szCs w:val="20"/>
          <w:color w:val="auto"/>
        </w:rPr>
      </w:pPr>
      <w:r>
        <w:rPr>
          <w:rFonts w:ascii="Arial" w:cs="Arial" w:eastAsia="Arial" w:hAnsi="Arial"/>
          <w:sz w:val="18"/>
          <w:szCs w:val="18"/>
          <w:color w:val="auto"/>
        </w:rPr>
        <w:t>10.3</w:t>
        <w:tab/>
        <w:t>Amended and Restated Five-Year Credit Agreement dated as of September 16, 2015 among the Company, a syndicate of lenders and Citibank, N.A., as Administrative Agent, incorporated by reference to the Company's Current Report on Form 8-K dated September 11, 2015.</w:t>
      </w:r>
    </w:p>
    <w:p>
      <w:pPr>
        <w:spacing w:after="0" w:line="34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Statement regarding Computation of Ratio of Earnings to Fixed Charges.</w:t>
      </w:r>
    </w:p>
    <w:p>
      <w:pPr>
        <w:spacing w:after="0" w:line="38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Jonas Prising, Chief Executive Officer, pursuant to Section 13a-14(a) of the Securities Exchange Act of 1934.</w:t>
      </w:r>
    </w:p>
    <w:p>
      <w:pPr>
        <w:spacing w:after="0" w:line="387" w:lineRule="exact"/>
        <w:rPr>
          <w:sz w:val="20"/>
          <w:szCs w:val="20"/>
          <w:color w:val="auto"/>
        </w:rPr>
      </w:pPr>
    </w:p>
    <w:p>
      <w:pPr>
        <w:ind w:left="1140" w:right="680" w:hanging="476"/>
        <w:spacing w:after="0" w:line="277" w:lineRule="auto"/>
        <w:tabs>
          <w:tab w:leader="none" w:pos="1120" w:val="left"/>
        </w:tabs>
        <w:rPr>
          <w:sz w:val="20"/>
          <w:szCs w:val="20"/>
          <w:color w:val="auto"/>
        </w:rPr>
      </w:pPr>
      <w:r>
        <w:rPr>
          <w:rFonts w:ascii="Arial" w:cs="Arial" w:eastAsia="Arial" w:hAnsi="Arial"/>
          <w:sz w:val="18"/>
          <w:szCs w:val="18"/>
          <w:color w:val="auto"/>
        </w:rPr>
        <w:t>31.2</w:t>
        <w:tab/>
        <w:t>Certification of Michael J. Van Handel, Executive Vice President and Chief Financial Officer, pursuant to Section 13a-14(a) of the Securities Exchange Act of 1934.</w:t>
      </w:r>
    </w:p>
    <w:p>
      <w:pPr>
        <w:spacing w:after="0" w:line="33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Statement of Jonas Prising. Chief Executive Officer, pursuant to 18 U.S.C. ss. 1350.</w:t>
      </w:r>
    </w:p>
    <w:p>
      <w:pPr>
        <w:spacing w:after="0" w:line="38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Statement of Michael J. Van Handel, Executive Vice President and Chief Financial Officer, pursuant to 18 U.S.C. ss. 1350.</w:t>
      </w:r>
    </w:p>
    <w:p>
      <w:pPr>
        <w:spacing w:after="0" w:line="387" w:lineRule="exact"/>
        <w:rPr>
          <w:sz w:val="20"/>
          <w:szCs w:val="20"/>
          <w:color w:val="auto"/>
        </w:rPr>
      </w:pPr>
    </w:p>
    <w:p>
      <w:pPr>
        <w:ind w:left="1140" w:right="460" w:hanging="441"/>
        <w:spacing w:after="0" w:line="291" w:lineRule="auto"/>
        <w:tabs>
          <w:tab w:leader="none" w:pos="11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following materials from the Company’s Quarterly Report on Form 10-Q for the quarter ended September 30, 2015, formatted in XBRL (Extensible Business Reporting Language): (i) Consolidated Balance Sheets, (ii) Consolidated Statements of Operations,</w:t>
      </w:r>
    </w:p>
    <w:p>
      <w:pPr>
        <w:ind w:left="1140"/>
        <w:spacing w:after="0" w:line="261" w:lineRule="auto"/>
        <w:rPr>
          <w:rFonts w:ascii="Arial" w:cs="Arial" w:eastAsia="Arial" w:hAnsi="Arial"/>
          <w:sz w:val="16"/>
          <w:szCs w:val="16"/>
          <w:color w:val="auto"/>
        </w:rPr>
      </w:pPr>
      <w:r>
        <w:rPr>
          <w:rFonts w:ascii="Arial" w:cs="Arial" w:eastAsia="Arial" w:hAnsi="Arial"/>
          <w:sz w:val="18"/>
          <w:szCs w:val="18"/>
          <w:color w:val="auto"/>
        </w:rPr>
        <w:t>(iii) Consolidated Statements of Comprehensive Income (Loss), (iv) Consolidated Statements of Cash Flows, and (v)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400" w:top="364" w:right="29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Manpower Place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Milwaukee, Wisconsin 53212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29, 2015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Sriram Chandrashekar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Asia Pacific Middle East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Operational Excellence and Information 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Manpower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 53212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Ram:</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ManpowerGroup Inc. (the “Corporation”) desires to retain experienced, well-qualified executives, like you, to assure the continued growth and success of the Corporation and its direct and indirect subsidiaries (collectively, the “Consolidated ManpowerGroup”). Accordingly, as an inducement for you to continue your employment in order to assure the continued availability of your services to the Consolidated ManpowerGroup, we have agreed as follows:</w:t>
      </w:r>
    </w:p>
    <w:p>
      <w:pPr>
        <w:spacing w:after="0" w:line="147"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letter:</w:t>
      </w:r>
    </w:p>
    <w:p>
      <w:pPr>
        <w:spacing w:after="0" w:line="225" w:lineRule="exact"/>
        <w:rPr>
          <w:rFonts w:ascii="Arial" w:cs="Arial" w:eastAsia="Arial" w:hAnsi="Arial"/>
          <w:sz w:val="18"/>
          <w:szCs w:val="18"/>
          <w:color w:val="auto"/>
        </w:rPr>
      </w:pPr>
    </w:p>
    <w:p>
      <w:pPr>
        <w:ind w:left="1300" w:right="300" w:hanging="644"/>
        <w:spacing w:after="0" w:line="277"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Benefit Plans</w:t>
      </w:r>
      <w:r>
        <w:rPr>
          <w:rFonts w:ascii="Arial" w:cs="Arial" w:eastAsia="Arial" w:hAnsi="Arial"/>
          <w:sz w:val="18"/>
          <w:szCs w:val="18"/>
          <w:color w:val="auto"/>
        </w:rPr>
        <w:t>. “Benefit Plans” means all benefits of employment generally made available to executives of the Corporation from time to time.</w:t>
      </w:r>
    </w:p>
    <w:p>
      <w:pPr>
        <w:spacing w:after="0" w:line="170" w:lineRule="exact"/>
        <w:rPr>
          <w:rFonts w:ascii="Arial" w:cs="Arial" w:eastAsia="Arial" w:hAnsi="Arial"/>
          <w:sz w:val="18"/>
          <w:szCs w:val="18"/>
          <w:color w:val="auto"/>
        </w:rPr>
      </w:pPr>
    </w:p>
    <w:p>
      <w:pPr>
        <w:ind w:left="1300" w:right="40" w:hanging="644"/>
        <w:spacing w:after="0" w:line="286" w:lineRule="auto"/>
        <w:tabs>
          <w:tab w:leader="none" w:pos="1300"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Cause</w:t>
      </w:r>
      <w:r>
        <w:rPr>
          <w:rFonts w:ascii="Arial" w:cs="Arial" w:eastAsia="Arial" w:hAnsi="Arial"/>
          <w:sz w:val="16"/>
          <w:szCs w:val="16"/>
          <w:color w:val="auto"/>
        </w:rPr>
        <w:t>. Termination by the Consolidated ManpowerGroup of your employment with the Consolidated ManpowerGroup for “Cause” will mean termination upon (i) your repeated failure to perform your duties with the Consolidated ManpowerGroup in a competent, diligent and satisfactory manner as determined by the Corporation’s Chief Executive Officer in his reasonable judgment, (ii)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 (iii) any act by you of fraud, material dishonesty or material disloyalty involving the Consolidated ManpowerGroup, (iv) any violation by you of a Consolidated ManpowerGroup policy of material import (including, but not limited to, the Code of Business Conduct and Ethics, the Statement of Policy on Securities Trading, the Anti-Corruption Policy, Policy on Gifts, Entertainment and Sponsorships and policies included in the Employee Handbook), (v) any act by you of moral turpitude which is likely to result in discredit to or loss of business, reputation or goodwill of the Consolidated ManpowerGroup, (vi) your chronic absence from work other than by reason of a serious health condition, (vii) your commission of a crime the circumstances of which substantially relate to your employment duties with the Consolidated ManpowerGroup, or (viii) the willful engaging by you in conduct which is demonstrably and materially injurious to the Consolidated ManpowerGroup. For purposes of this Subsection 1(b), no act, or failure to act, on your part will be deemed “willful” unless done, or omitted to be done, by you not in good faith.</w:t>
      </w:r>
    </w:p>
    <w:p>
      <w:pPr>
        <w:spacing w:after="0" w:line="168" w:lineRule="exact"/>
        <w:rPr>
          <w:rFonts w:ascii="Arial" w:cs="Arial" w:eastAsia="Arial" w:hAnsi="Arial"/>
          <w:sz w:val="16"/>
          <w:szCs w:val="16"/>
          <w:color w:val="auto"/>
        </w:rPr>
      </w:pPr>
    </w:p>
    <w:p>
      <w:pPr>
        <w:ind w:left="1300" w:hanging="644"/>
        <w:spacing w:after="0"/>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A “Change of Control” will mean the first to occur of the following:</w:t>
      </w:r>
    </w:p>
    <w:p>
      <w:pPr>
        <w:spacing w:after="0" w:line="225" w:lineRule="exact"/>
        <w:rPr>
          <w:rFonts w:ascii="Arial" w:cs="Arial" w:eastAsia="Arial" w:hAnsi="Arial"/>
          <w:sz w:val="18"/>
          <w:szCs w:val="18"/>
          <w:color w:val="auto"/>
        </w:rPr>
      </w:pPr>
    </w:p>
    <w:p>
      <w:pPr>
        <w:ind w:left="1960" w:hanging="655"/>
        <w:spacing w:after="0" w:line="271" w:lineRule="auto"/>
        <w:tabs>
          <w:tab w:leader="none" w:pos="1960" w:val="left"/>
        </w:tabs>
        <w:numPr>
          <w:ilvl w:val="2"/>
          <w:numId w:val="31"/>
        </w:numPr>
        <w:rPr>
          <w:rFonts w:ascii="Arial" w:cs="Arial" w:eastAsia="Arial" w:hAnsi="Arial"/>
          <w:sz w:val="17"/>
          <w:szCs w:val="17"/>
          <w:color w:val="auto"/>
        </w:rPr>
      </w:pPr>
      <w:r>
        <w:rPr>
          <w:rFonts w:ascii="Arial" w:cs="Arial" w:eastAsia="Arial" w:hAnsi="Arial"/>
          <w:sz w:val="17"/>
          <w:szCs w:val="17"/>
          <w:color w:val="auto"/>
        </w:rPr>
        <w:t>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w:t>
      </w:r>
    </w:p>
    <w:p>
      <w:pPr>
        <w:sectPr>
          <w:pgSz w:w="11900" w:h="16838" w:orient="portrait"/>
          <w:cols w:equalWidth="0" w:num="1">
            <w:col w:w="11420"/>
          </w:cols>
          <w:pgMar w:left="240" w:top="580" w:right="239" w:bottom="1440" w:gutter="0" w:footer="0" w:header="0"/>
        </w:sectPr>
      </w:pPr>
    </w:p>
    <w:bookmarkStart w:id="35" w:name="page36"/>
    <w:bookmarkEnd w:id="35"/>
    <w:p>
      <w:pPr>
        <w:ind w:left="1960" w:right="20"/>
        <w:spacing w:after="0" w:line="349" w:lineRule="auto"/>
        <w:rPr>
          <w:sz w:val="20"/>
          <w:szCs w:val="20"/>
          <w:color w:val="auto"/>
        </w:rPr>
      </w:pPr>
      <w:r>
        <w:rPr>
          <w:rFonts w:ascii="Arial" w:cs="Arial" w:eastAsia="Arial" w:hAnsi="Arial"/>
          <w:sz w:val="16"/>
          <w:szCs w:val="16"/>
          <w:color w:val="auto"/>
        </w:rPr>
        <w:t>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134" w:lineRule="exact"/>
        <w:rPr>
          <w:sz w:val="20"/>
          <w:szCs w:val="20"/>
          <w:color w:val="auto"/>
        </w:rPr>
      </w:pPr>
    </w:p>
    <w:p>
      <w:pPr>
        <w:ind w:left="1960" w:right="60" w:hanging="655"/>
        <w:spacing w:after="0" w:line="272" w:lineRule="auto"/>
        <w:tabs>
          <w:tab w:leader="none" w:pos="19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 or</w:t>
      </w:r>
    </w:p>
    <w:p>
      <w:pPr>
        <w:spacing w:after="0" w:line="177" w:lineRule="exact"/>
        <w:rPr>
          <w:rFonts w:ascii="Arial" w:cs="Arial" w:eastAsia="Arial" w:hAnsi="Arial"/>
          <w:sz w:val="17"/>
          <w:szCs w:val="17"/>
          <w:color w:val="auto"/>
        </w:rPr>
      </w:pPr>
    </w:p>
    <w:p>
      <w:pPr>
        <w:ind w:left="1960" w:hanging="655"/>
        <w:spacing w:after="0" w:line="277" w:lineRule="auto"/>
        <w:tabs>
          <w:tab w:leader="none" w:pos="1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consummation of any liquidation or dissolution of the Corporation or a sale or other disposition of all or substantially all of the assets of the Corporation; or</w:t>
      </w:r>
    </w:p>
    <w:p>
      <w:pPr>
        <w:spacing w:after="0" w:line="170" w:lineRule="exact"/>
        <w:rPr>
          <w:rFonts w:ascii="Arial" w:cs="Arial" w:eastAsia="Arial" w:hAnsi="Arial"/>
          <w:sz w:val="18"/>
          <w:szCs w:val="18"/>
          <w:color w:val="auto"/>
        </w:rPr>
      </w:pPr>
    </w:p>
    <w:p>
      <w:pPr>
        <w:ind w:left="1960" w:hanging="655"/>
        <w:spacing w:after="0" w:line="218" w:lineRule="exact"/>
        <w:tabs>
          <w:tab w:leader="none" w:pos="19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individuals who, as of the date of this letter, constitute the Board of Directors of the Corporation (as of such date, the “Incumbent Board”) cease for any reason to constitute at least a majority of such Board; provided, however, that any person becoming a director subsequent to the date of this letter whose election, or nomination for election by the shareholders of the Corporation, was approved by at least a majority of the directors then comprising the Incumbent Board shall be, for purposes of this letter,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w:t>
      </w:r>
      <w:r>
        <w:rPr>
          <w:rFonts w:ascii="MS PGothic" w:cs="MS PGothic" w:eastAsia="MS PGothic" w:hAnsi="MS PGothic"/>
          <w:sz w:val="17"/>
          <w:szCs w:val="17"/>
          <w:color w:val="auto"/>
        </w:rPr>
        <w:t>‑</w:t>
      </w:r>
      <w:r>
        <w:rPr>
          <w:rFonts w:ascii="Arial" w:cs="Arial" w:eastAsia="Arial" w:hAnsi="Arial"/>
          <w:sz w:val="17"/>
          <w:szCs w:val="17"/>
          <w:color w:val="auto"/>
        </w:rPr>
        <w:t>12(c); or</w:t>
      </w:r>
    </w:p>
    <w:p>
      <w:pPr>
        <w:spacing w:after="0" w:line="206" w:lineRule="exact"/>
        <w:rPr>
          <w:rFonts w:ascii="Arial" w:cs="Arial" w:eastAsia="Arial" w:hAnsi="Arial"/>
          <w:sz w:val="17"/>
          <w:szCs w:val="17"/>
          <w:color w:val="auto"/>
        </w:rPr>
      </w:pPr>
    </w:p>
    <w:p>
      <w:pPr>
        <w:ind w:left="1960" w:right="300" w:hanging="655"/>
        <w:spacing w:after="0" w:line="259" w:lineRule="auto"/>
        <w:tabs>
          <w:tab w:leader="none" w:pos="1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187"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shall thereafter be referred to within this letter agreement as the Corporation.</w:t>
      </w:r>
    </w:p>
    <w:p>
      <w:pPr>
        <w:spacing w:after="0" w:line="147"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“Good Reason” will mean, without your consent, the occurrence of any one or more of the following during the Term:</w:t>
      </w:r>
    </w:p>
    <w:p>
      <w:pPr>
        <w:spacing w:after="0" w:line="236" w:lineRule="exact"/>
        <w:rPr>
          <w:rFonts w:ascii="Arial" w:cs="Arial" w:eastAsia="Arial" w:hAnsi="Arial"/>
          <w:sz w:val="17"/>
          <w:szCs w:val="17"/>
          <w:color w:val="auto"/>
        </w:rPr>
      </w:pPr>
    </w:p>
    <w:p>
      <w:pPr>
        <w:ind w:left="1960" w:right="100" w:hanging="655"/>
        <w:spacing w:after="0" w:line="277" w:lineRule="auto"/>
        <w:tabs>
          <w:tab w:leader="none" w:pos="1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material breach of any material obligation of any member of the Consolidated ManpowerGroup for the payment or provision of compensation or other benefits to you;</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 material diminution in your base salary;</w:t>
      </w:r>
    </w:p>
    <w:p>
      <w:pPr>
        <w:spacing w:after="0" w:line="225" w:lineRule="exact"/>
        <w:rPr>
          <w:rFonts w:ascii="Arial" w:cs="Arial" w:eastAsia="Arial" w:hAnsi="Arial"/>
          <w:sz w:val="18"/>
          <w:szCs w:val="18"/>
          <w:color w:val="auto"/>
        </w:rPr>
      </w:pPr>
    </w:p>
    <w:p>
      <w:pPr>
        <w:ind w:left="1960" w:right="360" w:hanging="655"/>
        <w:spacing w:after="0" w:line="264" w:lineRule="auto"/>
        <w:tabs>
          <w:tab w:leader="none" w:pos="1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 material diminution in your authority, duties or responsibilities, accompanied by a material reduction in your target bonus opportunity for a given fiscal year (as compared to the prior fiscal year), except where all senior level executives have similar proportionate reductions in their target bonus percentages;</w:t>
      </w:r>
    </w:p>
    <w:p>
      <w:pPr>
        <w:spacing w:after="0" w:line="181" w:lineRule="exact"/>
        <w:rPr>
          <w:rFonts w:ascii="Arial" w:cs="Arial" w:eastAsia="Arial" w:hAnsi="Arial"/>
          <w:sz w:val="18"/>
          <w:szCs w:val="18"/>
          <w:color w:val="auto"/>
        </w:rPr>
      </w:pPr>
    </w:p>
    <w:p>
      <w:pPr>
        <w:ind w:left="1960" w:right="120" w:hanging="655"/>
        <w:spacing w:after="0" w:line="308" w:lineRule="auto"/>
        <w:tabs>
          <w:tab w:leader="none" w:pos="19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 material diminution in your authority, duties or responsibilities which is not accompanied by a material reduction in your target bonus opportunity but which diminution occurs within two years after the occurrence of a Change of Control; or</w:t>
      </w:r>
    </w:p>
    <w:p>
      <w:pPr>
        <w:sectPr>
          <w:pgSz w:w="11900" w:h="16838" w:orient="portrait"/>
          <w:cols w:equalWidth="0" w:num="1">
            <w:col w:w="11360"/>
          </w:cols>
          <w:pgMar w:left="240" w:top="611" w:right="299" w:bottom="1440" w:gutter="0" w:footer="0" w:header="0"/>
        </w:sectPr>
      </w:pPr>
    </w:p>
    <w:bookmarkStart w:id="36" w:name="page37"/>
    <w:bookmarkEnd w:id="36"/>
    <w:p>
      <w:pPr>
        <w:ind w:left="1960" w:right="20" w:hanging="655"/>
        <w:spacing w:after="0" w:line="264" w:lineRule="auto"/>
        <w:tabs>
          <w:tab w:leader="none" w:pos="1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material reduction in your annual target bonus opportunity for a given fiscal year (as compared to the prior fiscal year) which is not accompanied by a material diminution in your authority, duties or responsibilities, but which reduction occurs within two years after the occurrence of a Change of Control.</w:t>
      </w:r>
    </w:p>
    <w:p>
      <w:pPr>
        <w:spacing w:after="0" w:line="18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Notwithstanding Subsections 1(d)(i) - (v) above, Good Reason does not exist unless (i) you object to any material diminution or breach described above by written notice to the Corporation within twenty (20) business days after such diminution or breach occurs, (ii) the Corporation fails to cure such diminution or breach within thirty (30) days after such notice is given and (iii) your employment with the Consolidated ManpowerGroup is terminated by you within ninety</w:t>
      </w:r>
    </w:p>
    <w:p>
      <w:pPr>
        <w:ind w:firstLine="8"/>
        <w:spacing w:after="0" w:line="292" w:lineRule="auto"/>
        <w:tabs>
          <w:tab w:leader="none" w:pos="345" w:val="left"/>
        </w:tabs>
        <w:numPr>
          <w:ilvl w:val="0"/>
          <w:numId w:val="35"/>
        </w:numPr>
        <w:rPr>
          <w:rFonts w:ascii="Arial" w:cs="Arial" w:eastAsia="Arial" w:hAnsi="Arial"/>
          <w:sz w:val="16"/>
          <w:szCs w:val="16"/>
          <w:color w:val="auto"/>
        </w:rPr>
      </w:pPr>
      <w:r>
        <w:rPr>
          <w:rFonts w:ascii="Arial" w:cs="Arial" w:eastAsia="Arial" w:hAnsi="Arial"/>
          <w:sz w:val="16"/>
          <w:szCs w:val="16"/>
          <w:color w:val="auto"/>
        </w:rPr>
        <w:t>days after such diminution or breach occurs. Further, notwithstanding Subsections 1(d)(i)-v), above, Good Reason does not exist if, at a time that is not during a Protected Period or within two years after the occurrence of a Change of Control, the Corporation’s Chief Executive Officer, in good faith and with a reasonable belief that the reassignment is in the best interest of the Consolidated ManpowerGroup, reassigns you to another senior executive level position in the Consolidated ManpowerGroup provided that your base compensation (either base salary or target bonus opportunity for any year ending after the date of reassignment) is not less than such base salary or target bonus opportunity in effect prior to such reassignment for the year in which such reassignment occurs.</w:t>
      </w:r>
    </w:p>
    <w:p>
      <w:pPr>
        <w:spacing w:after="0" w:line="162" w:lineRule="exact"/>
        <w:rPr>
          <w:rFonts w:ascii="Arial" w:cs="Arial" w:eastAsia="Arial" w:hAnsi="Arial"/>
          <w:sz w:val="16"/>
          <w:szCs w:val="16"/>
          <w:color w:val="auto"/>
        </w:rPr>
      </w:pPr>
    </w:p>
    <w:p>
      <w:pPr>
        <w:ind w:left="1300" w:right="100" w:hanging="644"/>
        <w:spacing w:after="0" w:line="257"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Any termination of your employment by the Corporation,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applying to the termination and sets forth in reasonable detail the facts and circumstances claimed to provide a basis for termination of your employment under the provision so indicated.</w:t>
      </w:r>
    </w:p>
    <w:p>
      <w:pPr>
        <w:spacing w:after="0" w:line="188" w:lineRule="exact"/>
        <w:rPr>
          <w:rFonts w:ascii="Arial" w:cs="Arial" w:eastAsia="Arial" w:hAnsi="Arial"/>
          <w:sz w:val="18"/>
          <w:szCs w:val="18"/>
          <w:color w:val="auto"/>
        </w:rPr>
      </w:pPr>
    </w:p>
    <w:p>
      <w:pPr>
        <w:ind w:left="1300" w:right="160" w:hanging="644"/>
        <w:spacing w:after="0" w:line="264"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Date of Termination</w:t>
      </w:r>
      <w:r>
        <w:rPr>
          <w:rFonts w:ascii="Arial" w:cs="Arial" w:eastAsia="Arial" w:hAnsi="Arial"/>
          <w:sz w:val="18"/>
          <w:szCs w:val="18"/>
          <w:color w:val="auto"/>
        </w:rPr>
        <w:t>. “Date of Termination” will mean the date specified in the Notice of Termination where required (which date shall be on or after the date of the Notice of Termination) or in any other case upon your ceasing to perform services for the Consolidated ManpowerGroup.</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Protected Period</w:t>
      </w:r>
      <w:r>
        <w:rPr>
          <w:rFonts w:ascii="Arial" w:cs="Arial" w:eastAsia="Arial" w:hAnsi="Arial"/>
          <w:sz w:val="18"/>
          <w:szCs w:val="18"/>
          <w:color w:val="auto"/>
        </w:rPr>
        <w:t>. The “Protected Period” shall be a period of time determined in accordance with the following:</w:t>
      </w:r>
    </w:p>
    <w:p>
      <w:pPr>
        <w:spacing w:after="0" w:line="225" w:lineRule="exact"/>
        <w:rPr>
          <w:rFonts w:ascii="Arial" w:cs="Arial" w:eastAsia="Arial" w:hAnsi="Arial"/>
          <w:sz w:val="18"/>
          <w:szCs w:val="18"/>
          <w:color w:val="auto"/>
        </w:rPr>
      </w:pPr>
    </w:p>
    <w:p>
      <w:pPr>
        <w:ind w:left="1960" w:right="20" w:hanging="655"/>
        <w:spacing w:after="0" w:line="259" w:lineRule="auto"/>
        <w:tabs>
          <w:tab w:leader="none" w:pos="1960" w:val="left"/>
        </w:tabs>
        <w:numPr>
          <w:ilvl w:val="2"/>
          <w:numId w:val="35"/>
        </w:numPr>
        <w:rPr>
          <w:rFonts w:ascii="Arial" w:cs="Arial" w:eastAsia="Arial" w:hAnsi="Arial"/>
          <w:sz w:val="18"/>
          <w:szCs w:val="18"/>
          <w:color w:val="auto"/>
        </w:rPr>
      </w:pPr>
      <w:r>
        <w:rPr>
          <w:rFonts w:ascii="Arial" w:cs="Arial" w:eastAsia="Arial" w:hAnsi="Arial"/>
          <w:sz w:val="18"/>
          <w:szCs w:val="18"/>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w:t>
      </w:r>
    </w:p>
    <w:p>
      <w:pPr>
        <w:spacing w:after="0" w:line="186" w:lineRule="exact"/>
        <w:rPr>
          <w:rFonts w:ascii="Arial" w:cs="Arial" w:eastAsia="Arial" w:hAnsi="Arial"/>
          <w:sz w:val="18"/>
          <w:szCs w:val="18"/>
          <w:color w:val="auto"/>
        </w:rPr>
      </w:pPr>
    </w:p>
    <w:p>
      <w:pPr>
        <w:ind w:left="1960" w:hanging="655"/>
        <w:spacing w:after="0" w:line="279" w:lineRule="auto"/>
        <w:tabs>
          <w:tab w:leader="none" w:pos="1960" w:val="left"/>
        </w:tabs>
        <w:numPr>
          <w:ilvl w:val="2"/>
          <w:numId w:val="35"/>
        </w:numPr>
        <w:rPr>
          <w:rFonts w:ascii="Arial" w:cs="Arial" w:eastAsia="Arial" w:hAnsi="Arial"/>
          <w:sz w:val="17"/>
          <w:szCs w:val="17"/>
          <w:color w:val="auto"/>
        </w:rPr>
      </w:pPr>
      <w:r>
        <w:rPr>
          <w:rFonts w:ascii="Arial" w:cs="Arial" w:eastAsia="Arial" w:hAnsi="Arial"/>
          <w:sz w:val="17"/>
          <w:szCs w:val="17"/>
          <w:color w:val="auto"/>
        </w:rPr>
        <w:t>if a Change of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171" w:lineRule="exact"/>
        <w:rPr>
          <w:rFonts w:ascii="Arial" w:cs="Arial" w:eastAsia="Arial" w:hAnsi="Arial"/>
          <w:sz w:val="17"/>
          <w:szCs w:val="17"/>
          <w:color w:val="auto"/>
        </w:rPr>
      </w:pPr>
    </w:p>
    <w:p>
      <w:pPr>
        <w:ind w:left="1960" w:right="220" w:hanging="655"/>
        <w:spacing w:after="0" w:line="264" w:lineRule="auto"/>
        <w:tabs>
          <w:tab w:leader="none" w:pos="1960" w:val="left"/>
        </w:tabs>
        <w:numPr>
          <w:ilvl w:val="2"/>
          <w:numId w:val="35"/>
        </w:numPr>
        <w:rPr>
          <w:rFonts w:ascii="Arial" w:cs="Arial" w:eastAsia="Arial" w:hAnsi="Arial"/>
          <w:sz w:val="18"/>
          <w:szCs w:val="18"/>
          <w:color w:val="auto"/>
        </w:rPr>
      </w:pPr>
      <w:r>
        <w:rPr>
          <w:rFonts w:ascii="Arial" w:cs="Arial" w:eastAsia="Arial" w:hAnsi="Arial"/>
          <w:sz w:val="18"/>
          <w:szCs w:val="18"/>
          <w:color w:val="auto"/>
        </w:rPr>
        <w:t>in the case of any Change of Control not described in Subsections 1(g)(i) or (ii), above, the Protected Period shall commence on the date that is six months prior to the Change of Control and shall continue through and including the date of the Change of Control.</w:t>
      </w:r>
    </w:p>
    <w:p>
      <w:pPr>
        <w:spacing w:after="0" w:line="181" w:lineRule="exact"/>
        <w:rPr>
          <w:rFonts w:ascii="Arial" w:cs="Arial" w:eastAsia="Arial" w:hAnsi="Arial"/>
          <w:sz w:val="18"/>
          <w:szCs w:val="18"/>
          <w:color w:val="auto"/>
        </w:rPr>
      </w:pPr>
    </w:p>
    <w:p>
      <w:pPr>
        <w:ind w:left="1300" w:right="100" w:hanging="644"/>
        <w:spacing w:after="0" w:line="259"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will be a period beginning on the date of this letter indicated above and ending on the first to occur of the following: (a) the date which is the two-year anniversary of the occurrence of a Change of Control; (b) the date which is the three year anniversary of the date of this letter indicated above if no Change of Control occurs between the date of this letter indicated above and such three year anniversary; or (c) the Date of Termination.</w:t>
      </w:r>
    </w:p>
    <w:p>
      <w:pPr>
        <w:spacing w:after="0" w:line="187"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 on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100" w:hanging="644"/>
        <w:spacing w:after="0" w:line="259"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Termination by the Corporation for Cause or by You Other Than for Good Reason</w:t>
      </w:r>
      <w:r>
        <w:rPr>
          <w:rFonts w:ascii="Arial" w:cs="Arial" w:eastAsia="Arial" w:hAnsi="Arial"/>
          <w:sz w:val="18"/>
          <w:szCs w:val="18"/>
          <w:color w:val="auto"/>
        </w:rPr>
        <w:t>. If your employment with the Corporation is terminated by the Corporation for Cause or by you other than for Good Reason, the Corporation will pay or provide you with (i) your unpaid bonus, if any, attributable to any complete fiscal year of the Consolidated ManpowerGroup ended before the Date of Termination (but no incentive bonus will</w:t>
      </w:r>
    </w:p>
    <w:p>
      <w:pPr>
        <w:sectPr>
          <w:pgSz w:w="11900" w:h="16838" w:orient="portrait"/>
          <w:cols w:equalWidth="0" w:num="1">
            <w:col w:w="11400"/>
          </w:cols>
          <w:pgMar w:left="240" w:top="584" w:right="259" w:bottom="1440" w:gutter="0" w:footer="0" w:header="0"/>
        </w:sectPr>
      </w:pPr>
    </w:p>
    <w:bookmarkStart w:id="37" w:name="page38"/>
    <w:bookmarkEnd w:id="37"/>
    <w:p>
      <w:pPr>
        <w:ind w:left="644" w:right="640"/>
        <w:spacing w:after="0" w:line="357" w:lineRule="auto"/>
        <w:rPr>
          <w:sz w:val="20"/>
          <w:szCs w:val="20"/>
          <w:color w:val="auto"/>
        </w:rPr>
      </w:pPr>
      <w:r>
        <w:rPr>
          <w:rFonts w:ascii="Arial" w:cs="Arial" w:eastAsia="Arial" w:hAnsi="Arial"/>
          <w:sz w:val="17"/>
          <w:szCs w:val="17"/>
          <w:color w:val="auto"/>
        </w:rPr>
        <w:t>be payable for the fiscal year in which termination occurs), and (ii) all benefits to which you are entitled under any Benefit Plans in accordance with the terms of such plans. The Consolidated ManpowerGroup will have no further obligations to you.</w:t>
      </w:r>
    </w:p>
    <w:p>
      <w:pPr>
        <w:spacing w:after="0" w:line="121" w:lineRule="exact"/>
        <w:rPr>
          <w:sz w:val="20"/>
          <w:szCs w:val="20"/>
          <w:color w:val="auto"/>
        </w:rPr>
      </w:pPr>
    </w:p>
    <w:p>
      <w:pPr>
        <w:ind w:left="644" w:hanging="644"/>
        <w:spacing w:after="0" w:line="270" w:lineRule="auto"/>
        <w:tabs>
          <w:tab w:leader="none" w:pos="644"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Termination by Reason of Disability or Death</w:t>
      </w:r>
      <w:r>
        <w:rPr>
          <w:rFonts w:ascii="Arial" w:cs="Arial" w:eastAsia="Arial" w:hAnsi="Arial"/>
          <w:sz w:val="17"/>
          <w:szCs w:val="17"/>
          <w:color w:val="auto"/>
        </w:rPr>
        <w:t>. If your employment with the Consolidated ManpowerGroup terminates during the Term by reason of your disability or death, the Corporation will pay or provide you with (i) your unpaid bonus, if any, attributable to any complete fiscal year of the Consolidated ManpowerGroup ended before the Date of Termination, (ii) a bonus for the fiscal year during which the Date of Termination occurs equal to your target annual bonus for the fiscal year in which the Date of Termination occurs, but prorated for the actual number of days you were employed during such fiscal year, payable within sixty days after the Date of Termination, and (iii) all benefits to which you are entitled under any Benefit Plans in accordance with the terms of such plans. For purposes of this letter, “disability” means that you are,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Corporation or the Consolidated ManpowerGroup. The Consolidated ManpowerGroup will have no further obligations to you.</w:t>
      </w:r>
    </w:p>
    <w:p>
      <w:pPr>
        <w:spacing w:after="0" w:line="177" w:lineRule="exact"/>
        <w:rPr>
          <w:rFonts w:ascii="Arial" w:cs="Arial" w:eastAsia="Arial" w:hAnsi="Arial"/>
          <w:sz w:val="17"/>
          <w:szCs w:val="17"/>
          <w:color w:val="auto"/>
        </w:rPr>
      </w:pPr>
    </w:p>
    <w:p>
      <w:pPr>
        <w:ind w:left="644" w:right="40" w:hanging="644"/>
        <w:spacing w:after="0" w:line="264" w:lineRule="auto"/>
        <w:tabs>
          <w:tab w:leader="none" w:pos="644"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Termination for Any Other Reason - Other than in a Change of Control</w:t>
      </w:r>
      <w:r>
        <w:rPr>
          <w:rFonts w:ascii="Arial" w:cs="Arial" w:eastAsia="Arial" w:hAnsi="Arial"/>
          <w:sz w:val="18"/>
          <w:szCs w:val="18"/>
          <w:color w:val="auto"/>
        </w:rPr>
        <w:t>. If your employment with the Consolidated ManpowerGroup is terminated during the Term for any reason not specified in Subsections 2(a) or (b), above, and Subsection 2(d), below, does not apply to the termination, you will be entitled to the following:</w:t>
      </w:r>
    </w:p>
    <w:p>
      <w:pPr>
        <w:spacing w:after="0" w:line="181" w:lineRule="exact"/>
        <w:rPr>
          <w:rFonts w:ascii="Arial" w:cs="Arial" w:eastAsia="Arial" w:hAnsi="Arial"/>
          <w:sz w:val="18"/>
          <w:szCs w:val="18"/>
          <w:color w:val="auto"/>
        </w:rPr>
      </w:pPr>
    </w:p>
    <w:p>
      <w:pPr>
        <w:ind w:left="1944" w:right="440" w:hanging="647"/>
        <w:spacing w:after="0" w:line="277" w:lineRule="auto"/>
        <w:tabs>
          <w:tab w:leader="none" w:pos="1944"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Corporation will pay you, your unpaid bonus, if any, attributable to any complete fiscal year of the Consolidated ManpowerGroup ended before the Date of Termination;</w:t>
      </w:r>
    </w:p>
    <w:p>
      <w:pPr>
        <w:spacing w:after="0" w:line="170" w:lineRule="exact"/>
        <w:rPr>
          <w:rFonts w:ascii="Arial" w:cs="Arial" w:eastAsia="Arial" w:hAnsi="Arial"/>
          <w:sz w:val="18"/>
          <w:szCs w:val="18"/>
          <w:color w:val="auto"/>
        </w:rPr>
      </w:pPr>
    </w:p>
    <w:p>
      <w:pPr>
        <w:ind w:left="1944" w:right="80" w:hanging="647"/>
        <w:spacing w:after="0" w:line="297" w:lineRule="auto"/>
        <w:tabs>
          <w:tab w:leader="none" w:pos="1944"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w:t>
      </w:r>
    </w:p>
    <w:p>
      <w:pPr>
        <w:spacing w:after="0" w:line="158" w:lineRule="exact"/>
        <w:rPr>
          <w:rFonts w:ascii="Arial" w:cs="Arial" w:eastAsia="Arial" w:hAnsi="Arial"/>
          <w:sz w:val="16"/>
          <w:szCs w:val="16"/>
          <w:color w:val="auto"/>
        </w:rPr>
      </w:pPr>
    </w:p>
    <w:p>
      <w:pPr>
        <w:jc w:val="both"/>
        <w:ind w:left="1944" w:right="100" w:hanging="647"/>
        <w:spacing w:after="0" w:line="264" w:lineRule="auto"/>
        <w:tabs>
          <w:tab w:leader="none" w:pos="1944"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Corporation will pay, as a severance benefit to you, a lump sum payment equal to (1) the amount of your annual base salary at the highest rate in effect during the Term plus (2) your target annual bonus for the fiscal year in which the Date of Termination occurs; and</w:t>
      </w:r>
    </w:p>
    <w:p>
      <w:pPr>
        <w:spacing w:after="0" w:line="181" w:lineRule="exact"/>
        <w:rPr>
          <w:rFonts w:ascii="Arial" w:cs="Arial" w:eastAsia="Arial" w:hAnsi="Arial"/>
          <w:sz w:val="18"/>
          <w:szCs w:val="18"/>
          <w:color w:val="auto"/>
        </w:rPr>
      </w:pPr>
    </w:p>
    <w:p>
      <w:pPr>
        <w:ind w:left="1944" w:hanging="647"/>
        <w:spacing w:after="0" w:line="272" w:lineRule="auto"/>
        <w:tabs>
          <w:tab w:leader="none" w:pos="1944" w:val="left"/>
        </w:tabs>
        <w:numPr>
          <w:ilvl w:val="1"/>
          <w:numId w:val="37"/>
        </w:numPr>
        <w:rPr>
          <w:rFonts w:ascii="Arial" w:cs="Arial" w:eastAsia="Arial" w:hAnsi="Arial"/>
          <w:sz w:val="17"/>
          <w:szCs w:val="17"/>
          <w:color w:val="auto"/>
        </w:rPr>
      </w:pPr>
      <w:r>
        <w:rPr>
          <w:rFonts w:ascii="Arial" w:cs="Arial" w:eastAsia="Arial" w:hAnsi="Arial"/>
          <w:sz w:val="17"/>
          <w:szCs w:val="17"/>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2(c)(iv), you will be solely responsible for payment of any additional costs incurred as a result of your use of such outplacement services. The Corporation will not substitute cash or other compensation in lieu of the outplacement service program specified in this Subsection 2(c)(iv).</w:t>
      </w:r>
    </w:p>
    <w:p>
      <w:pPr>
        <w:spacing w:after="0" w:line="177" w:lineRule="exact"/>
        <w:rPr>
          <w:rFonts w:ascii="Arial" w:cs="Arial" w:eastAsia="Arial" w:hAnsi="Arial"/>
          <w:sz w:val="17"/>
          <w:szCs w:val="17"/>
          <w:color w:val="auto"/>
        </w:rPr>
      </w:pPr>
    </w:p>
    <w:p>
      <w:pPr>
        <w:ind w:left="644" w:right="40" w:hanging="644"/>
        <w:spacing w:after="0" w:line="264" w:lineRule="auto"/>
        <w:tabs>
          <w:tab w:leader="none" w:pos="644"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Termination for Any Other Reason - Change of Control</w:t>
      </w:r>
      <w:r>
        <w:rPr>
          <w:rFonts w:ascii="Arial" w:cs="Arial" w:eastAsia="Arial" w:hAnsi="Arial"/>
          <w:sz w:val="18"/>
          <w:szCs w:val="18"/>
          <w:color w:val="auto"/>
        </w:rPr>
        <w:t>. If, during the Term and either during a Protected Period or within two years after the occurrence of a Change of Control, your employment with the Consolidated ManpowerGroup is terminated for any reason not specified in Subsections 2(a) or (b), above, you will be entitled to the following:</w:t>
      </w:r>
    </w:p>
    <w:p>
      <w:pPr>
        <w:spacing w:after="0" w:line="181" w:lineRule="exact"/>
        <w:rPr>
          <w:rFonts w:ascii="Arial" w:cs="Arial" w:eastAsia="Arial" w:hAnsi="Arial"/>
          <w:sz w:val="18"/>
          <w:szCs w:val="18"/>
          <w:color w:val="auto"/>
        </w:rPr>
      </w:pPr>
    </w:p>
    <w:p>
      <w:pPr>
        <w:ind w:left="1944" w:right="440" w:hanging="647"/>
        <w:spacing w:after="0" w:line="277" w:lineRule="auto"/>
        <w:tabs>
          <w:tab w:leader="none" w:pos="1944"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Corporation will pay you, your unpaid bonus, if any, attributable to any complete fiscal year of the Consolidated ManpowerGroup ended before the Date of Termination;</w:t>
      </w:r>
    </w:p>
    <w:p>
      <w:pPr>
        <w:spacing w:after="0" w:line="170" w:lineRule="exact"/>
        <w:rPr>
          <w:rFonts w:ascii="Arial" w:cs="Arial" w:eastAsia="Arial" w:hAnsi="Arial"/>
          <w:sz w:val="18"/>
          <w:szCs w:val="18"/>
          <w:color w:val="auto"/>
        </w:rPr>
      </w:pPr>
    </w:p>
    <w:p>
      <w:pPr>
        <w:ind w:left="1944" w:right="100" w:hanging="647"/>
        <w:spacing w:after="0" w:line="264" w:lineRule="auto"/>
        <w:tabs>
          <w:tab w:leader="none" w:pos="1944"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Corporation will pay you, a bonus for the fiscal year during which the Date of Termination occurs equal in amount to your target annual bonus for the fiscal year in which the Change of Control occurs; provided, however, that the bonus payable</w:t>
      </w:r>
    </w:p>
    <w:p>
      <w:pPr>
        <w:sectPr>
          <w:pgSz w:w="11900" w:h="16838" w:orient="portrait"/>
          <w:cols w:equalWidth="0" w:num="1">
            <w:col w:w="10744"/>
          </w:cols>
          <w:pgMar w:left="896" w:top="611" w:right="259" w:bottom="1440" w:gutter="0" w:footer="0" w:header="0"/>
        </w:sectPr>
      </w:pPr>
    </w:p>
    <w:bookmarkStart w:id="38" w:name="page39"/>
    <w:bookmarkEnd w:id="38"/>
    <w:p>
      <w:pPr>
        <w:ind w:left="1944" w:right="60"/>
        <w:spacing w:after="0" w:line="324" w:lineRule="auto"/>
        <w:rPr>
          <w:sz w:val="20"/>
          <w:szCs w:val="20"/>
          <w:color w:val="auto"/>
        </w:rPr>
      </w:pPr>
      <w:r>
        <w:rPr>
          <w:rFonts w:ascii="Arial" w:cs="Arial" w:eastAsia="Arial" w:hAnsi="Arial"/>
          <w:sz w:val="18"/>
          <w:szCs w:val="18"/>
          <w:color w:val="auto"/>
        </w:rPr>
        <w:t>hereunder will be prorated for the actual number of days you were employed during the fiscal year during which the Date of Termination occurs;</w:t>
      </w:r>
    </w:p>
    <w:p>
      <w:pPr>
        <w:spacing w:after="0" w:line="143" w:lineRule="exact"/>
        <w:rPr>
          <w:sz w:val="20"/>
          <w:szCs w:val="20"/>
          <w:color w:val="auto"/>
        </w:rPr>
      </w:pPr>
    </w:p>
    <w:p>
      <w:pPr>
        <w:ind w:left="1944" w:right="400" w:hanging="647"/>
        <w:spacing w:after="0" w:line="264" w:lineRule="auto"/>
        <w:tabs>
          <w:tab w:leader="none" w:pos="1944"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Corporation will pay, as a severance benefit to you, a lump-sum payment equal to two times the sum of (1) your annual base salary at the highest rate in effect during the Term and (2) your target annual bonus for the fiscal year in which the Change of Control occurs; and</w:t>
      </w:r>
    </w:p>
    <w:p>
      <w:pPr>
        <w:spacing w:after="0" w:line="181" w:lineRule="exact"/>
        <w:rPr>
          <w:rFonts w:ascii="Arial" w:cs="Arial" w:eastAsia="Arial" w:hAnsi="Arial"/>
          <w:sz w:val="18"/>
          <w:szCs w:val="18"/>
          <w:color w:val="auto"/>
        </w:rPr>
      </w:pPr>
    </w:p>
    <w:p>
      <w:pPr>
        <w:ind w:left="1944" w:hanging="647"/>
        <w:spacing w:after="0" w:line="272" w:lineRule="auto"/>
        <w:tabs>
          <w:tab w:leader="none" w:pos="1944"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2(d)(iv), you will be solely responsible for payment of any additional costs incurred as a result of your use of such outplacement services. The Corporation will not substitute cash or other compensation in lieu of the outplacement service program specified in this Subsection 2(d)(iv).</w:t>
      </w:r>
    </w:p>
    <w:p>
      <w:pPr>
        <w:spacing w:after="0" w:line="177" w:lineRule="exact"/>
        <w:rPr>
          <w:rFonts w:ascii="Arial" w:cs="Arial" w:eastAsia="Arial" w:hAnsi="Arial"/>
          <w:sz w:val="17"/>
          <w:szCs w:val="17"/>
          <w:color w:val="auto"/>
        </w:rPr>
      </w:pPr>
    </w:p>
    <w:p>
      <w:pPr>
        <w:ind w:left="644" w:right="20" w:hanging="644"/>
        <w:spacing w:after="0" w:line="268" w:lineRule="auto"/>
        <w:tabs>
          <w:tab w:leader="none" w:pos="644"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Limitation on Benefits</w:t>
      </w:r>
      <w:r>
        <w:rPr>
          <w:rFonts w:ascii="Arial" w:cs="Arial" w:eastAsia="Arial" w:hAnsi="Arial"/>
          <w:sz w:val="17"/>
          <w:szCs w:val="17"/>
          <w:color w:val="auto"/>
        </w:rPr>
        <w:t>. The amounts paid to you pursuant to Subsection 2(c)(iii) or 2(d)(iii) above will not be included as compensation for purposes of any qualified or nonqualified pension or welfare benefit plan of the Consolidated ManpowerGroup. Notwithstanding anything contained herein to the contrary, the Corporation, based on the advice of its legal or tax counsel, shall compute whether there would be any “excess parachute payments” payable to you, within the meaning of Section 280G of the Internal Revenue Code of 1986, as amended (the “Code”), taking into account the total ‘‘parachute payments,” within the meaning of Section 280G of the Code, payable to you by the Corporation under this letter agreement and any other plan, agreement or otherwise. If there would be any excess parachute payments, the Corporation, based on the advice of its legal or tax counsel, shall compute the net after-tax proceeds to you, taking into account the excise tax imposed by Section 4999 of the Code, as if (i) the amount to be paid to you pursuant to Subsection 2(d)(iii) were reduced, but not below zero, such that the total parachute payments payable to you would not exceed three (3) times the “base amount” as defined in Section 280G of the Code, less One Dollar ($1.00), or (ii) the full amount to be paid to you pursuant to Subsection 2(d)(iii) were not reduced. If reducing the amount otherwise payable to you pursuant to Subsection 2(d)(iii) hereof would result in a greater after-tax amount to you, such reduced amount shall be paid to you and the remainder shall be forfeited by you as of the Date of Termination. If not reducing the amount otherwise payable to you pursuant to Subsection 2(d)(iii) would result in a greater after-tax amount to you, the amount payable to you pursuant to Subsection 2(d)(iii) shall not be reduced.</w:t>
      </w:r>
    </w:p>
    <w:p>
      <w:pPr>
        <w:spacing w:after="0" w:line="185" w:lineRule="exact"/>
        <w:rPr>
          <w:rFonts w:ascii="Arial" w:cs="Arial" w:eastAsia="Arial" w:hAnsi="Arial"/>
          <w:sz w:val="17"/>
          <w:szCs w:val="17"/>
          <w:color w:val="auto"/>
        </w:rPr>
      </w:pPr>
    </w:p>
    <w:p>
      <w:pPr>
        <w:ind w:left="644" w:hanging="644"/>
        <w:spacing w:after="0" w:line="278" w:lineRule="auto"/>
        <w:tabs>
          <w:tab w:leader="none" w:pos="644"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Timing of Payments</w:t>
      </w:r>
      <w:r>
        <w:rPr>
          <w:rFonts w:ascii="Arial" w:cs="Arial" w:eastAsia="Arial" w:hAnsi="Arial"/>
          <w:sz w:val="16"/>
          <w:szCs w:val="16"/>
          <w:color w:val="auto"/>
        </w:rPr>
        <w:t>. The bonus payment provided for in Subsection 2(c)(i) or 2(d)(i) will be made pursuant to the terms of the applicable bonus plan. The bonus payment provided for in Subsection 2(c)(ii) will be paid between January 1 and March 15 of the calendar year following the Date of Termination. The bonus payment provided for in Subsection 2(d)(ii) will be paid on the thirtieth (30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after the Date of Termination. The severance benefit provided for in Subsection 2(c)(iii) or 2(d)(iii) will be paid in one lump sum on the thirtieth (30th) day after the Date of Termination. While the parties acknowledge that the payments in the previous three sentences are intended to be “short-term deferrals” and therefore are exempt from the application of Section 409A of the Code, to the extent (i) further guidance or interpretation is issued by the IRS after the date of this letter agreement which would indicate that the payments do not qualify as “short-term deferrals,” and (ii) you are a “specified employee” within the meaning of Section 409A(a)(2)(B)(i) of the Code upon the Date of Termination, such payments shall be delayed and instead shall be paid in one lump sum on the date that is the first business day immediately following the six month anniversary of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Midwest edition (or, if not so reported, as reported in such other similar source(s) as the Corporation shall select).</w:t>
      </w:r>
    </w:p>
    <w:p>
      <w:pPr>
        <w:spacing w:after="0" w:line="177" w:lineRule="exact"/>
        <w:rPr>
          <w:rFonts w:ascii="Arial" w:cs="Arial" w:eastAsia="Arial" w:hAnsi="Arial"/>
          <w:sz w:val="16"/>
          <w:szCs w:val="16"/>
          <w:color w:val="auto"/>
        </w:rPr>
      </w:pPr>
    </w:p>
    <w:p>
      <w:pPr>
        <w:ind w:left="644" w:right="180" w:hanging="644"/>
        <w:spacing w:after="0" w:line="264" w:lineRule="auto"/>
        <w:tabs>
          <w:tab w:leader="none" w:pos="64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Release of Claims</w:t>
      </w:r>
      <w:r>
        <w:rPr>
          <w:rFonts w:ascii="Arial" w:cs="Arial" w:eastAsia="Arial" w:hAnsi="Arial"/>
          <w:sz w:val="18"/>
          <w:szCs w:val="18"/>
          <w:color w:val="auto"/>
        </w:rPr>
        <w:t>. Notwithstanding the foregoing, you will have no right to receive any payment or benefit described in Subsections 2(c) (ii)-(iv) or 2(d)(ii)-(iv), above, unless and until you execute, and there shall be effective following any statutory period for revocation, a release, in a form reasonably acceptable to the</w:t>
      </w:r>
    </w:p>
    <w:p>
      <w:pPr>
        <w:sectPr>
          <w:pgSz w:w="11900" w:h="16838" w:orient="portrait"/>
          <w:cols w:equalWidth="0" w:num="1">
            <w:col w:w="10744"/>
          </w:cols>
          <w:pgMar w:left="896" w:top="611" w:right="259" w:bottom="1440" w:gutter="0" w:footer="0" w:header="0"/>
        </w:sectPr>
      </w:pPr>
    </w:p>
    <w:bookmarkStart w:id="39" w:name="page40"/>
    <w:bookmarkEnd w:id="39"/>
    <w:p>
      <w:pPr>
        <w:ind w:left="1292" w:right="60"/>
        <w:spacing w:after="0" w:line="319" w:lineRule="auto"/>
        <w:rPr>
          <w:sz w:val="20"/>
          <w:szCs w:val="20"/>
          <w:color w:val="auto"/>
        </w:rPr>
      </w:pPr>
      <w:r>
        <w:rPr>
          <w:rFonts w:ascii="Arial" w:cs="Arial" w:eastAsia="Arial" w:hAnsi="Arial"/>
          <w:sz w:val="17"/>
          <w:szCs w:val="17"/>
          <w:color w:val="auto"/>
        </w:rPr>
        <w:t>Corporation, that irrevocably and unconditionally releases, waives, and fully and forever discharges the Consolidated ManpowerGroup and its past and current directors, officers, shareholders, members, partners, employees, and agents from and against any and all claims, liabilities, obligations, covenants, rights, demands and damages of any nature whatsoever, whether known or unknown, anticipated or unanticipated, relating to or arising out of your employment with the Consolidated ManpowerGroup, including without limitation claims arising under the Age Discrimination in Employment Act of 1967, as amended, Title VII of the Civil Rights Act of 1964, as amended, and the Civil Rights Act of 1991,or, to the extent the law allows such rights to be excluded, under any applicable Singapore laws (including but not limited to the Employment Act (Chapter 91 of the Statutes of the Republic of Singapore) and the Work Injury Compensation Act (Chapter 354 of the Statues of the Republic of Singapore) but excluding any claims covered under any applicable workers’ compensation act. The execution by you of the release and the statutory period for revocation must be completed prior to the thirtieth (30th) day after the Date of Termination.</w:t>
      </w:r>
    </w:p>
    <w:p>
      <w:pPr>
        <w:spacing w:after="0" w:line="157" w:lineRule="exact"/>
        <w:rPr>
          <w:sz w:val="20"/>
          <w:szCs w:val="20"/>
          <w:color w:val="auto"/>
        </w:rPr>
      </w:pPr>
    </w:p>
    <w:p>
      <w:pPr>
        <w:ind w:left="1292" w:right="240" w:hanging="644"/>
        <w:spacing w:after="0" w:line="259" w:lineRule="auto"/>
        <w:tabs>
          <w:tab w:leader="none" w:pos="1292"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Forfeiture</w:t>
      </w:r>
      <w:r>
        <w:rPr>
          <w:rFonts w:ascii="Arial" w:cs="Arial" w:eastAsia="Arial" w:hAnsi="Arial"/>
          <w:sz w:val="18"/>
          <w:szCs w:val="18"/>
          <w:color w:val="auto"/>
        </w:rPr>
        <w:t>. Notwithstanding the foregoing, your right to receive the payments and benefits to be provided to you under this Section 2 beyond those described in Subsection 2(a), above, is conditioned upon your performance of the obligations stated in Sections 3-6, below, and upon your breach of any such obligations, you will immediately return to the Corporation the amount of such payments and benefits and you will no longer have any right to receive any such payments or benefits.</w:t>
      </w:r>
    </w:p>
    <w:p>
      <w:pPr>
        <w:spacing w:after="0" w:line="186" w:lineRule="exact"/>
        <w:rPr>
          <w:rFonts w:ascii="Arial" w:cs="Arial" w:eastAsia="Arial" w:hAnsi="Arial"/>
          <w:sz w:val="18"/>
          <w:szCs w:val="18"/>
          <w:color w:val="auto"/>
        </w:rPr>
      </w:pPr>
    </w:p>
    <w:p>
      <w:pPr>
        <w:ind w:left="352" w:hanging="352"/>
        <w:spacing w:after="0"/>
        <w:tabs>
          <w:tab w:leader="none" w:pos="35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Nondisclosure.</w:t>
      </w:r>
    </w:p>
    <w:p>
      <w:pPr>
        <w:spacing w:after="0" w:line="225" w:lineRule="exact"/>
        <w:rPr>
          <w:rFonts w:ascii="Arial" w:cs="Arial" w:eastAsia="Arial" w:hAnsi="Arial"/>
          <w:sz w:val="18"/>
          <w:szCs w:val="18"/>
          <w:color w:val="auto"/>
        </w:rPr>
      </w:pPr>
    </w:p>
    <w:p>
      <w:pPr>
        <w:ind w:left="1292" w:hanging="644"/>
        <w:spacing w:after="0" w:line="266" w:lineRule="auto"/>
        <w:tabs>
          <w:tab w:leader="none" w:pos="1292" w:val="left"/>
        </w:tabs>
        <w:numPr>
          <w:ilvl w:val="1"/>
          <w:numId w:val="41"/>
        </w:numPr>
        <w:rPr>
          <w:rFonts w:ascii="Arial" w:cs="Arial" w:eastAsia="Arial" w:hAnsi="Arial"/>
          <w:sz w:val="17"/>
          <w:szCs w:val="17"/>
          <w:color w:val="auto"/>
        </w:rPr>
      </w:pPr>
      <w:r>
        <w:rPr>
          <w:rFonts w:ascii="Arial" w:cs="Arial" w:eastAsia="Arial" w:hAnsi="Arial"/>
          <w:sz w:val="17"/>
          <w:szCs w:val="17"/>
          <w:color w:val="auto"/>
        </w:rPr>
        <w:t>You will not, directly or indirectly, at any time during the term of your employment with the Consolidated ManpowerGroup, or during the two-year period following your termination, for whatever reason, of employment with the Consolidated ManpowerGroup, use or possess for yourself or others or disclose to others except in the good faith performance of your duties for the Consolidated ManpowerGroup any Confidential Information (as defined below), whether or not conceived, developed, or perfected by you and no matter how it became known to you, unless (i) you first secure written consent of the Corporation to such disclosure, possession or use, (ii) the same shall have lawfully become a matter of public knowledge other than by your act or omission, or (iii) you are ordered to disclose the same by a court of competent jurisdiction or are otherwise required to disclose the same by law, and you promptly notify the Corporation of such disclosure. “Confidential Information” shall mean all business information (whether or not in written form) which relates to the Consolidated ManpowerGroup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but shall not include business information which constitutes trade secrets under applicable trade secrets law. This obligation will survive the termination of your employment for a period of two years.</w:t>
      </w:r>
    </w:p>
    <w:p>
      <w:pPr>
        <w:spacing w:after="0" w:line="6" w:lineRule="exact"/>
        <w:rPr>
          <w:rFonts w:ascii="Arial" w:cs="Arial" w:eastAsia="Arial" w:hAnsi="Arial"/>
          <w:sz w:val="17"/>
          <w:szCs w:val="17"/>
          <w:color w:val="auto"/>
        </w:rPr>
      </w:pPr>
    </w:p>
    <w:p>
      <w:pPr>
        <w:ind w:left="1292" w:right="120" w:hanging="644"/>
        <w:spacing w:after="0" w:line="250" w:lineRule="auto"/>
        <w:tabs>
          <w:tab w:leader="none" w:pos="1292" w:val="left"/>
        </w:tabs>
        <w:numPr>
          <w:ilvl w:val="1"/>
          <w:numId w:val="41"/>
        </w:numPr>
        <w:rPr>
          <w:rFonts w:ascii="Arial" w:cs="Arial" w:eastAsia="Arial" w:hAnsi="Arial"/>
          <w:sz w:val="18"/>
          <w:szCs w:val="18"/>
          <w:color w:val="auto"/>
        </w:rPr>
      </w:pPr>
      <w:r>
        <w:rPr>
          <w:rFonts w:ascii="Arial" w:cs="Arial" w:eastAsia="Arial" w:hAnsi="Arial"/>
          <w:sz w:val="18"/>
          <w:szCs w:val="18"/>
          <w:color w:val="auto"/>
        </w:rPr>
        <w:t>You will not, directly or indirectly, at any time during the term of your employment with the Consolidated Manpower Group, or any time thereafter use or disclose any Trade Secret of the Company. The term “Trade Secret” shall have the meaning afforded under applicable law. Nothing in this Agreement shall limit or supersede any common law, statutory or other protections of trade secrets or privileged information where such protections provide the Consolidated ManpowerGroup with greater rights or protections for a longer duration than provided in this Agreement.</w:t>
      </w:r>
    </w:p>
    <w:p>
      <w:pPr>
        <w:spacing w:after="0" w:line="2" w:lineRule="exact"/>
        <w:rPr>
          <w:rFonts w:ascii="Arial" w:cs="Arial" w:eastAsia="Arial" w:hAnsi="Arial"/>
          <w:sz w:val="18"/>
          <w:szCs w:val="18"/>
          <w:color w:val="auto"/>
        </w:rPr>
      </w:pPr>
    </w:p>
    <w:p>
      <w:pPr>
        <w:ind w:left="1292" w:right="60" w:hanging="644"/>
        <w:spacing w:after="0" w:line="254" w:lineRule="auto"/>
        <w:tabs>
          <w:tab w:leader="none" w:pos="1292" w:val="left"/>
        </w:tabs>
        <w:numPr>
          <w:ilvl w:val="1"/>
          <w:numId w:val="41"/>
        </w:numPr>
        <w:rPr>
          <w:rFonts w:ascii="Arial" w:cs="Arial" w:eastAsia="Arial" w:hAnsi="Arial"/>
          <w:sz w:val="18"/>
          <w:szCs w:val="18"/>
          <w:color w:val="auto"/>
        </w:rPr>
      </w:pPr>
      <w:r>
        <w:rPr>
          <w:rFonts w:ascii="Arial" w:cs="Arial" w:eastAsia="Arial" w:hAnsi="Arial"/>
          <w:sz w:val="18"/>
          <w:szCs w:val="18"/>
          <w:color w:val="auto"/>
        </w:rPr>
        <w:t>Upon your termination, for whatever reason, of employment with the Consolidated ManpowerGroup, or at any other time upon request of the Corporation, you will promptly surrender to the Corporation, or with the permission of the Corporation destroy and certify such destruction to the Corporation, any documents, materials, or computer or electronic records containing any Confidential Information, Trade Secrets or privileged information which are in your possession or under your control.</w:t>
      </w:r>
    </w:p>
    <w:p>
      <w:pPr>
        <w:spacing w:after="0" w:line="189" w:lineRule="exact"/>
        <w:rPr>
          <w:rFonts w:ascii="Arial" w:cs="Arial" w:eastAsia="Arial" w:hAnsi="Arial"/>
          <w:sz w:val="18"/>
          <w:szCs w:val="18"/>
          <w:color w:val="auto"/>
        </w:rPr>
      </w:pPr>
    </w:p>
    <w:p>
      <w:pPr>
        <w:ind w:left="-8" w:right="80" w:firstLine="8"/>
        <w:spacing w:after="0" w:line="255" w:lineRule="auto"/>
        <w:tabs>
          <w:tab w:leader="none" w:pos="307"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Nonsolicitation of Employees.</w:t>
      </w:r>
      <w:r>
        <w:rPr>
          <w:rFonts w:ascii="Arial" w:cs="Arial" w:eastAsia="Arial" w:hAnsi="Arial"/>
          <w:sz w:val="18"/>
          <w:szCs w:val="18"/>
          <w:color w:val="auto"/>
        </w:rPr>
        <w:t xml:space="preserve"> You agree that you will not, at any time during the term of your employment with the Consolidated ManpowerGroup or during the one-year period following your termination, for whatever reason, of employment with the Consolidated ManpowerGroup, either on your own account or in conjunction with or on behalf of any other person, company, business entity, or other organization whatsoever, directly or indirectly induce, solicit, entice or procure any person who is a managerial employee of any company in the Consolidated ManpowerGroup (but in the event of your termination, any such managerial employee that you have had contact with in the two years prior to your termination) to terminate his or her employment with the Consolidated ManpowerGroup so as to accept employment elsewhere or to diminish or curtail the services such person provides to the Consolidated ManpowerGroup.</w:t>
      </w:r>
    </w:p>
    <w:p>
      <w:pPr>
        <w:sectPr>
          <w:pgSz w:w="11900" w:h="16838" w:orient="portrait"/>
          <w:cols w:equalWidth="0" w:num="1">
            <w:col w:w="11392"/>
          </w:cols>
          <w:pgMar w:left="248" w:top="611" w:right="259" w:bottom="1440" w:gutter="0" w:footer="0" w:header="0"/>
        </w:sectPr>
      </w:pPr>
    </w:p>
    <w:bookmarkStart w:id="40" w:name="page41"/>
    <w:bookmarkEnd w:id="40"/>
    <w:p>
      <w:pPr>
        <w:ind w:left="-8" w:right="80" w:firstLine="8"/>
        <w:spacing w:after="0" w:line="264" w:lineRule="auto"/>
        <w:tabs>
          <w:tab w:leader="none" w:pos="35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Restrictions During Employment.</w:t>
      </w:r>
      <w:r>
        <w:rPr>
          <w:rFonts w:ascii="Arial" w:cs="Arial" w:eastAsia="Arial" w:hAnsi="Arial"/>
          <w:sz w:val="18"/>
          <w:szCs w:val="18"/>
          <w:color w:val="auto"/>
        </w:rPr>
        <w:t xml:space="preserve"> During the term of your employment with the Corporation, you will not directly or indirectly compete against the Corporation, or directly or indirectly divert or attempt to divert customers’ business from the Corporation anywhere the Corporation does or is taking steps to do business.</w:t>
      </w:r>
    </w:p>
    <w:p>
      <w:pPr>
        <w:spacing w:after="0" w:line="181" w:lineRule="exact"/>
        <w:rPr>
          <w:rFonts w:ascii="Arial" w:cs="Arial" w:eastAsia="Arial" w:hAnsi="Arial"/>
          <w:sz w:val="18"/>
          <w:szCs w:val="18"/>
          <w:color w:val="auto"/>
        </w:rPr>
      </w:pPr>
    </w:p>
    <w:p>
      <w:pPr>
        <w:ind w:left="-8" w:right="180" w:firstLine="8"/>
        <w:spacing w:after="0" w:line="277" w:lineRule="auto"/>
        <w:tabs>
          <w:tab w:leader="none" w:pos="307"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Noncompetition Agreement.</w:t>
      </w:r>
      <w:r>
        <w:rPr>
          <w:rFonts w:ascii="Arial" w:cs="Arial" w:eastAsia="Arial" w:hAnsi="Arial"/>
          <w:sz w:val="18"/>
          <w:szCs w:val="18"/>
          <w:color w:val="auto"/>
        </w:rPr>
        <w:t xml:space="preserve"> During the one-year period which immediately follows the termination, for whatever reason, of your employment with the Corporation:</w:t>
      </w:r>
    </w:p>
    <w:p>
      <w:pPr>
        <w:spacing w:after="0" w:line="170" w:lineRule="exact"/>
        <w:rPr>
          <w:rFonts w:ascii="Arial" w:cs="Arial" w:eastAsia="Arial" w:hAnsi="Arial"/>
          <w:sz w:val="18"/>
          <w:szCs w:val="18"/>
          <w:color w:val="auto"/>
        </w:rPr>
      </w:pPr>
    </w:p>
    <w:p>
      <w:pPr>
        <w:ind w:left="1292" w:right="140" w:hanging="644"/>
        <w:spacing w:after="0" w:line="219" w:lineRule="exact"/>
        <w:tabs>
          <w:tab w:leader="none" w:pos="1292" w:val="left"/>
        </w:tabs>
        <w:numPr>
          <w:ilvl w:val="1"/>
          <w:numId w:val="42"/>
        </w:numPr>
        <w:rPr>
          <w:rFonts w:ascii="Arial" w:cs="Arial" w:eastAsia="Arial" w:hAnsi="Arial"/>
          <w:sz w:val="16"/>
          <w:szCs w:val="16"/>
          <w:color w:val="auto"/>
        </w:rPr>
      </w:pPr>
      <w:r>
        <w:rPr>
          <w:rFonts w:ascii="Arial" w:cs="Arial" w:eastAsia="Arial" w:hAnsi="Arial"/>
          <w:sz w:val="16"/>
          <w:szCs w:val="16"/>
          <w:color w:val="auto"/>
        </w:rPr>
        <w:t>You will not, directly or indirectly, contact any customer of the Consolidated ManpowerGroup with whom you have had contact on behalf of the Consolidated ManpowerGroup during the two</w:t>
      </w:r>
      <w:r>
        <w:rPr>
          <w:rFonts w:ascii="MS PGothic" w:cs="MS PGothic" w:eastAsia="MS PGothic" w:hAnsi="MS PGothic"/>
          <w:sz w:val="16"/>
          <w:szCs w:val="16"/>
          <w:color w:val="auto"/>
        </w:rPr>
        <w:t>‑</w:t>
      </w:r>
      <w:r>
        <w:rPr>
          <w:rFonts w:ascii="Arial" w:cs="Arial" w:eastAsia="Arial" w:hAnsi="Arial"/>
          <w:sz w:val="16"/>
          <w:szCs w:val="16"/>
          <w:color w:val="auto"/>
        </w:rPr>
        <w:t>year period preceding the Date of Termination or any customer about whom you obtained confidential information in connection with your employment by the Consolidated ManpowerGroup during such two</w:t>
      </w:r>
      <w:r>
        <w:rPr>
          <w:rFonts w:ascii="MS PGothic" w:cs="MS PGothic" w:eastAsia="MS PGothic" w:hAnsi="MS PGothic"/>
          <w:sz w:val="16"/>
          <w:szCs w:val="16"/>
          <w:color w:val="auto"/>
        </w:rPr>
        <w:t>‑</w:t>
      </w:r>
      <w:r>
        <w:rPr>
          <w:rFonts w:ascii="Arial" w:cs="Arial" w:eastAsia="Arial" w:hAnsi="Arial"/>
          <w:sz w:val="16"/>
          <w:szCs w:val="16"/>
          <w:color w:val="auto"/>
        </w:rPr>
        <w:t>year period so as to cause or attempt to cause such customer of the Consolidated ManpowerGroup not to do business or to reduce such customer’s business with the Consolidated ManpowerGroup or divert any business from the Consolidated ManpowerGroup.</w:t>
      </w:r>
    </w:p>
    <w:p>
      <w:pPr>
        <w:spacing w:after="0" w:line="204" w:lineRule="exact"/>
        <w:rPr>
          <w:rFonts w:ascii="Arial" w:cs="Arial" w:eastAsia="Arial" w:hAnsi="Arial"/>
          <w:sz w:val="16"/>
          <w:szCs w:val="16"/>
          <w:color w:val="auto"/>
        </w:rPr>
      </w:pPr>
    </w:p>
    <w:p>
      <w:pPr>
        <w:ind w:left="1292" w:hanging="644"/>
        <w:spacing w:after="0" w:line="217" w:lineRule="exact"/>
        <w:tabs>
          <w:tab w:leader="none" w:pos="1292" w:val="left"/>
        </w:tabs>
        <w:numPr>
          <w:ilvl w:val="1"/>
          <w:numId w:val="42"/>
        </w:numPr>
        <w:rPr>
          <w:rFonts w:ascii="Arial" w:cs="Arial" w:eastAsia="Arial" w:hAnsi="Arial"/>
          <w:sz w:val="17"/>
          <w:szCs w:val="17"/>
          <w:color w:val="auto"/>
        </w:rPr>
      </w:pPr>
      <w:r>
        <w:rPr>
          <w:rFonts w:ascii="Arial" w:cs="Arial" w:eastAsia="Arial" w:hAnsi="Arial"/>
          <w:sz w:val="17"/>
          <w:szCs w:val="17"/>
          <w:color w:val="auto"/>
        </w:rPr>
        <w:t>You will not, directly or indirectly, provide services or assistance of a nature similar to the services you provided to the Consolidated ManpowerGroup during the two-year period immediately preceding the Date of Termination to any entity (i) engaged in the business of providing temporary staffing services anywhere in the United States or any other country in which the Consolidated ManpowerGroup conducts business as of the Date of Termination which has, together with its affiliated entities, annual revenues from such business in excess of US $500,000,000 or (ii) engaged in the business of providing permanent placement, professional staffing, outplacement, online staffing or human resource services (including consulting, task-based services, recruitment or other talent solutions) anywhere in the United States or any other country in which the Consolidated ManpowerGroup conducts business as of the Date of Termination which has, together with its affiliated entities, annual revenues from such business in excess of US $250,000,000. You acknowledge that the scope of this limitation is reasonable in that, among other things, providing any such services or assistance during such one</w:t>
      </w:r>
      <w:r>
        <w:rPr>
          <w:rFonts w:ascii="MS PGothic" w:cs="MS PGothic" w:eastAsia="MS PGothic" w:hAnsi="MS PGothic"/>
          <w:sz w:val="17"/>
          <w:szCs w:val="17"/>
          <w:color w:val="auto"/>
        </w:rPr>
        <w:t>‑</w:t>
      </w:r>
      <w:r>
        <w:rPr>
          <w:rFonts w:ascii="Arial" w:cs="Arial" w:eastAsia="Arial" w:hAnsi="Arial"/>
          <w:sz w:val="17"/>
          <w:szCs w:val="17"/>
          <w:color w:val="auto"/>
        </w:rPr>
        <w:t>year period would permit you to use unfairly your close identification with the Consolidated ManpowerGroup and the customer contacts you developed while employed by the Consolidated ManpowerGroup and would involve the use or disclosure of confidential information pertaining to the Consolidated ManpowerGroup.</w:t>
      </w:r>
    </w:p>
    <w:p>
      <w:pPr>
        <w:spacing w:after="0" w:line="209" w:lineRule="exact"/>
        <w:rPr>
          <w:rFonts w:ascii="Arial" w:cs="Arial" w:eastAsia="Arial" w:hAnsi="Arial"/>
          <w:sz w:val="17"/>
          <w:szCs w:val="17"/>
          <w:color w:val="auto"/>
        </w:rPr>
      </w:pPr>
    </w:p>
    <w:p>
      <w:pPr>
        <w:ind w:left="312" w:hanging="312"/>
        <w:spacing w:after="0"/>
        <w:tabs>
          <w:tab w:leader="none" w:pos="31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Injunctive and Other Interim Measures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92" w:right="20" w:hanging="644"/>
        <w:spacing w:after="0" w:line="291" w:lineRule="auto"/>
        <w:tabs>
          <w:tab w:leader="none" w:pos="1292"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Injunction</w:t>
      </w:r>
      <w:r>
        <w:rPr>
          <w:rFonts w:ascii="Arial" w:cs="Arial" w:eastAsia="Arial" w:hAnsi="Arial"/>
          <w:sz w:val="16"/>
          <w:szCs w:val="16"/>
          <w:color w:val="auto"/>
        </w:rPr>
        <w:t>. You recognize that irreparable and incalculable injury will result to the Consolidated ManpowerGroup and its businesses and properties in the event of your breach of any of the restrictions imposed by Sections 3-6, above. You therefore agree that, in the event of any such actual, impending or threatened breach, the Corporation will be entitled, in addition to the remedies set forth in Subsection 2(h), 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 jurisdiction restraining the actual, impending or threatened violation, or further violation, of such restrictions by you and by any other person or entity for whom you may be acting or who is acting for you or in concert with you.</w:t>
      </w:r>
    </w:p>
    <w:p>
      <w:pPr>
        <w:spacing w:after="0" w:line="167" w:lineRule="exact"/>
        <w:rPr>
          <w:rFonts w:ascii="Arial" w:cs="Arial" w:eastAsia="Arial" w:hAnsi="Arial"/>
          <w:sz w:val="16"/>
          <w:szCs w:val="16"/>
          <w:color w:val="auto"/>
        </w:rPr>
      </w:pPr>
    </w:p>
    <w:p>
      <w:pPr>
        <w:ind w:left="1292" w:right="160" w:hanging="644"/>
        <w:spacing w:after="0" w:line="277" w:lineRule="auto"/>
        <w:tabs>
          <w:tab w:leader="none" w:pos="1292"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Equitable Extension</w:t>
      </w:r>
      <w:r>
        <w:rPr>
          <w:rFonts w:ascii="Arial" w:cs="Arial" w:eastAsia="Arial" w:hAnsi="Arial"/>
          <w:sz w:val="18"/>
          <w:szCs w:val="18"/>
          <w:color w:val="auto"/>
        </w:rPr>
        <w:t>. The duration of any restriction in Section 3-6, above, will be extended by any period during which such restriction is violated by you.</w:t>
      </w:r>
    </w:p>
    <w:p>
      <w:pPr>
        <w:spacing w:after="0" w:line="170" w:lineRule="exact"/>
        <w:rPr>
          <w:rFonts w:ascii="Arial" w:cs="Arial" w:eastAsia="Arial" w:hAnsi="Arial"/>
          <w:sz w:val="18"/>
          <w:szCs w:val="18"/>
          <w:color w:val="auto"/>
        </w:rPr>
      </w:pPr>
    </w:p>
    <w:p>
      <w:pPr>
        <w:jc w:val="both"/>
        <w:ind w:left="1292" w:right="100" w:hanging="644"/>
        <w:spacing w:after="0" w:line="264" w:lineRule="auto"/>
        <w:tabs>
          <w:tab w:leader="none" w:pos="1292"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Nonapplication</w:t>
      </w:r>
      <w:r>
        <w:rPr>
          <w:rFonts w:ascii="Arial" w:cs="Arial" w:eastAsia="Arial" w:hAnsi="Arial"/>
          <w:sz w:val="18"/>
          <w:szCs w:val="18"/>
          <w:color w:val="auto"/>
        </w:rPr>
        <w:t>. Notwithstanding the above, Sections 4 and 6, above, will not apply if your employment with the Corporation is terminated by you for Good Reason or by the Corporation without Cause either during a Protected Period or within two years after the occurrence of a Change of Control.</w:t>
      </w:r>
    </w:p>
    <w:p>
      <w:pPr>
        <w:spacing w:after="0" w:line="181" w:lineRule="exact"/>
        <w:rPr>
          <w:rFonts w:ascii="Arial" w:cs="Arial" w:eastAsia="Arial" w:hAnsi="Arial"/>
          <w:sz w:val="18"/>
          <w:szCs w:val="18"/>
          <w:color w:val="auto"/>
        </w:rPr>
      </w:pPr>
    </w:p>
    <w:p>
      <w:pPr>
        <w:ind w:left="652" w:right="80" w:hanging="652"/>
        <w:spacing w:after="0" w:line="220" w:lineRule="exact"/>
        <w:tabs>
          <w:tab w:leader="none" w:pos="65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Unemployment Compensation</w:t>
      </w:r>
      <w:r>
        <w:rPr>
          <w:rFonts w:ascii="Arial" w:cs="Arial" w:eastAsia="Arial" w:hAnsi="Arial"/>
          <w:sz w:val="18"/>
          <w:szCs w:val="18"/>
          <w:color w:val="auto"/>
        </w:rPr>
        <w:t>. The severance benefits provided for in Subsection 2(c)(iii) will be assigned for unemployment compensation benefit purposes to the one</w:t>
      </w:r>
      <w:r>
        <w:rPr>
          <w:rFonts w:ascii="MS PGothic" w:cs="MS PGothic" w:eastAsia="MS PGothic" w:hAnsi="MS PGothic"/>
          <w:sz w:val="18"/>
          <w:szCs w:val="18"/>
          <w:color w:val="auto"/>
        </w:rPr>
        <w:t>‑</w:t>
      </w:r>
      <w:r>
        <w:rPr>
          <w:rFonts w:ascii="Arial" w:cs="Arial" w:eastAsia="Arial" w:hAnsi="Arial"/>
          <w:sz w:val="18"/>
          <w:szCs w:val="18"/>
          <w:color w:val="auto"/>
        </w:rPr>
        <w:t>year period following the Date of Termination, and the severance benefits provided for in Subsection 2(d)(iii) will be assigned for unemployment compensation purposes to the two</w:t>
      </w:r>
      <w:r>
        <w:rPr>
          <w:rFonts w:ascii="MS PGothic" w:cs="MS PGothic" w:eastAsia="MS PGothic" w:hAnsi="MS PGothic"/>
          <w:sz w:val="18"/>
          <w:szCs w:val="18"/>
          <w:color w:val="auto"/>
        </w:rPr>
        <w:t>‑</w:t>
      </w:r>
      <w:r>
        <w:rPr>
          <w:rFonts w:ascii="Arial" w:cs="Arial" w:eastAsia="Arial" w:hAnsi="Arial"/>
          <w:sz w:val="18"/>
          <w:szCs w:val="18"/>
          <w:color w:val="auto"/>
        </w:rPr>
        <w:t>year period following the Date of Termination, and you will be ineligible to receive, and you agree not to apply for, unemployment compensation during such periods.</w:t>
      </w:r>
    </w:p>
    <w:p>
      <w:pPr>
        <w:spacing w:after="0" w:line="204" w:lineRule="exact"/>
        <w:rPr>
          <w:rFonts w:ascii="Arial" w:cs="Arial" w:eastAsia="Arial" w:hAnsi="Arial"/>
          <w:sz w:val="18"/>
          <w:szCs w:val="18"/>
          <w:color w:val="auto"/>
        </w:rPr>
      </w:pPr>
    </w:p>
    <w:p>
      <w:pPr>
        <w:ind w:left="652" w:right="180" w:hanging="652"/>
        <w:spacing w:after="0" w:line="277" w:lineRule="auto"/>
        <w:tabs>
          <w:tab w:leader="none" w:pos="65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Upon your termination, for whatever reason, of employment with the Corporation, the Corporation agrees that its directors and officers, during their employment by or service to the Consolidated</w:t>
      </w:r>
    </w:p>
    <w:p>
      <w:pPr>
        <w:sectPr>
          <w:pgSz w:w="11900" w:h="16838" w:orient="portrait"/>
          <w:cols w:equalWidth="0" w:num="1">
            <w:col w:w="11412"/>
          </w:cols>
          <w:pgMar w:left="248" w:top="800" w:right="239" w:bottom="1440" w:gutter="0" w:footer="0" w:header="0"/>
        </w:sectPr>
      </w:pPr>
    </w:p>
    <w:bookmarkStart w:id="41" w:name="page42"/>
    <w:bookmarkEnd w:id="41"/>
    <w:p>
      <w:pPr>
        <w:ind w:left="652"/>
        <w:spacing w:after="0" w:line="344" w:lineRule="auto"/>
        <w:rPr>
          <w:sz w:val="20"/>
          <w:szCs w:val="20"/>
          <w:color w:val="auto"/>
        </w:rPr>
      </w:pPr>
      <w:r>
        <w:rPr>
          <w:rFonts w:ascii="Arial" w:cs="Arial" w:eastAsia="Arial" w:hAnsi="Arial"/>
          <w:sz w:val="16"/>
          <w:szCs w:val="16"/>
          <w:color w:val="auto"/>
        </w:rPr>
        <w:t>ManpowerGroup, will refrain from making any statements that disparage or otherwise impair your reputation or commercial interests. Upon your termination, for whatever reason, of employment with the Consolidated ManpowerGroup, you agree to refrain from making any statements that disparage or otherwise impair the reputation, goodwill, or commercial interests of the Consolidated ManpowerGroup, or its officers, directors, or employees. However, the foregoing will not preclude the Corporation from providing truthful information about you concerning your employment or termination of employment with the Consolidated ManpowerGroup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letter agreement.</w:t>
      </w:r>
    </w:p>
    <w:p>
      <w:pPr>
        <w:spacing w:after="0" w:line="139" w:lineRule="exact"/>
        <w:rPr>
          <w:sz w:val="20"/>
          <w:szCs w:val="20"/>
          <w:color w:val="auto"/>
        </w:rPr>
      </w:pPr>
    </w:p>
    <w:p>
      <w:pPr>
        <w:ind w:left="652" w:right="200" w:hanging="652"/>
        <w:spacing w:after="0" w:line="277" w:lineRule="auto"/>
        <w:tabs>
          <w:tab w:leader="none" w:pos="65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This letter agreement will be binding on the Corporation and its successors and will inure to the benefit of and be enforceable by your personal or legal representatives, heirs and successors.</w:t>
      </w:r>
    </w:p>
    <w:p>
      <w:pPr>
        <w:spacing w:after="0" w:line="170" w:lineRule="exact"/>
        <w:rPr>
          <w:rFonts w:ascii="Arial" w:cs="Arial" w:eastAsia="Arial" w:hAnsi="Arial"/>
          <w:sz w:val="18"/>
          <w:szCs w:val="18"/>
          <w:color w:val="auto"/>
        </w:rPr>
      </w:pPr>
    </w:p>
    <w:p>
      <w:pPr>
        <w:ind w:left="652" w:right="20" w:hanging="652"/>
        <w:spacing w:after="0" w:line="264" w:lineRule="auto"/>
        <w:tabs>
          <w:tab w:leader="none" w:pos="65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Notices and all other communications provided for in this letter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181" w:lineRule="exact"/>
        <w:rPr>
          <w:rFonts w:ascii="Arial" w:cs="Arial" w:eastAsia="Arial" w:hAnsi="Arial"/>
          <w:sz w:val="18"/>
          <w:szCs w:val="18"/>
          <w:color w:val="auto"/>
        </w:rPr>
      </w:pPr>
    </w:p>
    <w:p>
      <w:pPr>
        <w:ind w:left="652" w:right="420" w:hanging="652"/>
        <w:spacing w:after="0" w:line="259" w:lineRule="auto"/>
        <w:tabs>
          <w:tab w:leader="none" w:pos="65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 Right to Remain Employed</w:t>
      </w:r>
      <w:r>
        <w:rPr>
          <w:rFonts w:ascii="Arial" w:cs="Arial" w:eastAsia="Arial" w:hAnsi="Arial"/>
          <w:sz w:val="18"/>
          <w:szCs w:val="18"/>
          <w:color w:val="auto"/>
        </w:rPr>
        <w:t>. Nothing contained in this letter will be construed as conferring upon you any right to remain employed by the Corporation or any member of the Consolidated ManpowerGroup or affect the right of the Corporation or any member of the Consolidated ManpowerGroup to terminate your employment at any time for any reason or no reason, with or without cause, subject to the obligations of the Corporation as set forth herein.</w:t>
      </w:r>
    </w:p>
    <w:p>
      <w:pPr>
        <w:spacing w:after="0" w:line="186"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No provision of this letter may be modified, waived or discharged unless such waiver, modification or discharge is agreed to in writing by you and the Corporation.</w:t>
      </w:r>
    </w:p>
    <w:p>
      <w:pPr>
        <w:spacing w:after="0" w:line="170"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Corporation shall be entitled to withhold from amounts to be paid to you hereunder any federal, state, or local withholding or other taxes or charges which it is, from time to time, required to withhold under applicable law.</w:t>
      </w:r>
    </w:p>
    <w:p>
      <w:pPr>
        <w:spacing w:after="0" w:line="170" w:lineRule="exact"/>
        <w:rPr>
          <w:rFonts w:ascii="Arial" w:cs="Arial" w:eastAsia="Arial" w:hAnsi="Arial"/>
          <w:sz w:val="18"/>
          <w:szCs w:val="18"/>
          <w:color w:val="auto"/>
        </w:rPr>
      </w:pPr>
    </w:p>
    <w:p>
      <w:pPr>
        <w:ind w:left="652" w:right="540" w:hanging="652"/>
        <w:spacing w:after="0" w:line="277" w:lineRule="auto"/>
        <w:tabs>
          <w:tab w:leader="none" w:pos="65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interpreted in accordance with the laws of the State of New York, United States of America, without regard to its conflict of law provisions.</w:t>
      </w:r>
    </w:p>
    <w:p>
      <w:pPr>
        <w:spacing w:after="0" w:line="170" w:lineRule="exact"/>
        <w:rPr>
          <w:rFonts w:ascii="Arial" w:cs="Arial" w:eastAsia="Arial" w:hAnsi="Arial"/>
          <w:sz w:val="18"/>
          <w:szCs w:val="18"/>
          <w:color w:val="auto"/>
        </w:rPr>
      </w:pPr>
    </w:p>
    <w:p>
      <w:pPr>
        <w:ind w:left="652" w:right="100" w:hanging="652"/>
        <w:spacing w:after="0" w:line="276" w:lineRule="auto"/>
        <w:tabs>
          <w:tab w:leader="none" w:pos="652"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Reduction of Amounts Due Under Law</w:t>
      </w:r>
      <w:r>
        <w:rPr>
          <w:rFonts w:ascii="Arial" w:cs="Arial" w:eastAsia="Arial" w:hAnsi="Arial"/>
          <w:sz w:val="17"/>
          <w:szCs w:val="17"/>
          <w:color w:val="auto"/>
        </w:rPr>
        <w:t>. You agree that any severance payment (</w:t>
      </w:r>
      <w:r>
        <w:rPr>
          <w:rFonts w:ascii="Arial" w:cs="Arial" w:eastAsia="Arial" w:hAnsi="Arial"/>
          <w:sz w:val="17"/>
          <w:szCs w:val="17"/>
          <w:i w:val="1"/>
          <w:iCs w:val="1"/>
          <w:color w:val="auto"/>
        </w:rPr>
        <w:t>i.e</w:t>
      </w:r>
      <w:r>
        <w:rPr>
          <w:rFonts w:ascii="Arial" w:cs="Arial" w:eastAsia="Arial" w:hAnsi="Arial"/>
          <w:sz w:val="17"/>
          <w:szCs w:val="17"/>
          <w:color w:val="auto"/>
        </w:rPr>
        <w:t>, any payment other than a payment for salary through your Date of Termination or for a bonus earned in the prior fiscal year but not yet paid) to you pursuant to this agreement will be counted towards any severance type payments otherwise due you under 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w:t>
      </w:r>
    </w:p>
    <w:p>
      <w:pPr>
        <w:spacing w:after="0" w:line="172" w:lineRule="exact"/>
        <w:rPr>
          <w:rFonts w:ascii="Arial" w:cs="Arial" w:eastAsia="Arial" w:hAnsi="Arial"/>
          <w:sz w:val="17"/>
          <w:szCs w:val="17"/>
          <w:color w:val="auto"/>
        </w:rPr>
      </w:pPr>
    </w:p>
    <w:p>
      <w:pPr>
        <w:ind w:left="652" w:right="120" w:hanging="652"/>
        <w:spacing w:after="0" w:line="276" w:lineRule="auto"/>
        <w:tabs>
          <w:tab w:leader="none" w:pos="652"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Previous Agreements</w:t>
      </w:r>
      <w:r>
        <w:rPr>
          <w:rFonts w:ascii="Arial" w:cs="Arial" w:eastAsia="Arial" w:hAnsi="Arial"/>
          <w:sz w:val="17"/>
          <w:szCs w:val="17"/>
          <w:color w:val="auto"/>
        </w:rPr>
        <w:t>. This letter, upon acceptance by you, expressly supersedes any and all previous agreements or understandings relating to your employment by the Corporation or the Consolidated ManpowerGroup, except for the letter from the Corporation to you dated March 8, 2013 (the “2013 Letter”), regarding the terms of your employment, or the termination of such employment, and any such agreements or understandings shall, as of the date of your acceptance, have no further force or effect. In addition, the nondisclosure provision in Section 3 of this letter shall supersede and replace the nondisclosure provision contained in Section 9 of the 2013 Letter.</w:t>
      </w:r>
    </w:p>
    <w:p>
      <w:pPr>
        <w:spacing w:after="0" w:line="172" w:lineRule="exact"/>
        <w:rPr>
          <w:rFonts w:ascii="Arial" w:cs="Arial" w:eastAsia="Arial" w:hAnsi="Arial"/>
          <w:sz w:val="17"/>
          <w:szCs w:val="17"/>
          <w:color w:val="auto"/>
        </w:rPr>
      </w:pPr>
    </w:p>
    <w:p>
      <w:pPr>
        <w:ind w:left="652" w:right="60" w:hanging="652"/>
        <w:spacing w:after="0" w:line="257" w:lineRule="auto"/>
        <w:tabs>
          <w:tab w:leader="none" w:pos="65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Section 7 to the contrary notwithstanding, the parties shall, to the extent feasible, attempt in good faith to resolve promptly by negotiation any dispute arising out of or relating to your employment by the Consolidated ManpowerGroup pursuant to this letter agreement. In the event any such dispute has not been resolved within 30 days after a party’s request for negotiation, either party may initiate arbitration as hereinafter provided. For purposes of this Section 18, the party initiating arbitration shall be denominated the “Claimant” and the other party shall be denominated the “Respondent.”</w:t>
      </w:r>
    </w:p>
    <w:p>
      <w:pPr>
        <w:spacing w:after="0" w:line="188" w:lineRule="exact"/>
        <w:rPr>
          <w:rFonts w:ascii="Arial" w:cs="Arial" w:eastAsia="Arial" w:hAnsi="Arial"/>
          <w:sz w:val="18"/>
          <w:szCs w:val="18"/>
          <w:color w:val="auto"/>
        </w:rPr>
      </w:pPr>
    </w:p>
    <w:p>
      <w:pPr>
        <w:ind w:left="1292" w:right="220" w:hanging="644"/>
        <w:spacing w:after="0" w:line="276" w:lineRule="auto"/>
        <w:tabs>
          <w:tab w:leader="none" w:pos="1292" w:val="left"/>
        </w:tabs>
        <w:numPr>
          <w:ilvl w:val="1"/>
          <w:numId w:val="43"/>
        </w:numPr>
        <w:rPr>
          <w:rFonts w:ascii="Arial" w:cs="Arial" w:eastAsia="Arial" w:hAnsi="Arial"/>
          <w:sz w:val="17"/>
          <w:szCs w:val="17"/>
          <w:color w:val="auto"/>
        </w:rPr>
      </w:pPr>
      <w:r>
        <w:rPr>
          <w:rFonts w:ascii="Arial" w:cs="Arial" w:eastAsia="Arial" w:hAnsi="Arial"/>
          <w:sz w:val="17"/>
          <w:szCs w:val="17"/>
          <w:color w:val="auto"/>
        </w:rPr>
        <w:t>If your principal place of employment with the Consolidated ManpowerGroup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w:t>
      </w:r>
    </w:p>
    <w:p>
      <w:pPr>
        <w:sectPr>
          <w:pgSz w:w="11900" w:h="16838" w:orient="portrait"/>
          <w:cols w:equalWidth="0" w:num="1">
            <w:col w:w="11392"/>
          </w:cols>
          <w:pgMar w:left="248" w:top="611" w:right="259" w:bottom="1440" w:gutter="0" w:footer="0" w:header="0"/>
        </w:sectPr>
      </w:pPr>
    </w:p>
    <w:bookmarkStart w:id="42" w:name="page43"/>
    <w:bookmarkEnd w:id="42"/>
    <w:p>
      <w:pPr>
        <w:jc w:val="both"/>
        <w:ind w:left="1300" w:right="160"/>
        <w:spacing w:after="0" w:line="334" w:lineRule="auto"/>
        <w:rPr>
          <w:sz w:val="20"/>
          <w:szCs w:val="20"/>
          <w:color w:val="auto"/>
        </w:rPr>
      </w:pPr>
      <w:r>
        <w:rPr>
          <w:rFonts w:ascii="Arial" w:cs="Arial" w:eastAsia="Arial" w:hAnsi="Arial"/>
          <w:sz w:val="16"/>
          <w:szCs w:val="16"/>
          <w:color w:val="auto"/>
        </w:rPr>
        <w:t>by the parties’ agreement, the arbitrator shall be selected by CPR as provided in CPR International Rule 6. The seat of the arbitration shall be the Borough of Manhattan in the City, County and State of New York, United States of America. The arbitration shall be conducted in the English language. Judgment upon the award rendered by the arbitrator may be entered by any court having jurisdiction thereof.</w:t>
      </w:r>
    </w:p>
    <w:p>
      <w:pPr>
        <w:spacing w:after="0" w:line="2" w:lineRule="exact"/>
        <w:rPr>
          <w:sz w:val="20"/>
          <w:szCs w:val="20"/>
          <w:color w:val="auto"/>
        </w:rPr>
      </w:pPr>
    </w:p>
    <w:p>
      <w:pPr>
        <w:ind w:left="1300"/>
        <w:spacing w:after="0" w:line="304" w:lineRule="auto"/>
        <w:rPr>
          <w:sz w:val="20"/>
          <w:szCs w:val="20"/>
          <w:color w:val="auto"/>
        </w:rPr>
      </w:pPr>
      <w:r>
        <w:rPr>
          <w:rFonts w:ascii="Arial" w:cs="Arial" w:eastAsia="Arial" w:hAnsi="Arial"/>
          <w:sz w:val="18"/>
          <w:szCs w:val="18"/>
          <w:color w:val="auto"/>
        </w:rPr>
        <w:t>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61" w:lineRule="exact"/>
        <w:rPr>
          <w:sz w:val="20"/>
          <w:szCs w:val="20"/>
          <w:color w:val="auto"/>
        </w:rPr>
      </w:pPr>
    </w:p>
    <w:p>
      <w:pPr>
        <w:ind w:left="1300" w:right="60" w:hanging="644"/>
        <w:spacing w:after="0" w:line="287" w:lineRule="auto"/>
        <w:tabs>
          <w:tab w:leader="none" w:pos="13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 xml:space="preserve">If your principal place of employment with the Consolidated ManpowerGroup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Arial" w:cs="Arial" w:eastAsia="Arial" w:hAnsi="Arial"/>
          <w:sz w:val="16"/>
          <w:szCs w:val="16"/>
          <w:i w:val="1"/>
          <w:iCs w:val="1"/>
          <w:color w:val="auto"/>
        </w:rPr>
        <w:t>et seq</w:t>
      </w:r>
      <w:r>
        <w:rPr>
          <w:rFonts w:ascii="Arial" w:cs="Arial" w:eastAsia="Arial" w:hAnsi="Arial"/>
          <w:sz w:val="16"/>
          <w:szCs w:val="16"/>
          <w:color w:val="auto"/>
        </w:rPr>
        <w:t>.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68" w:lineRule="exact"/>
        <w:rPr>
          <w:rFonts w:ascii="Arial" w:cs="Arial" w:eastAsia="Arial" w:hAnsi="Arial"/>
          <w:sz w:val="16"/>
          <w:szCs w:val="16"/>
          <w:color w:val="auto"/>
        </w:rPr>
      </w:pPr>
    </w:p>
    <w:p>
      <w:pPr>
        <w:jc w:val="both"/>
        <w:ind w:left="660" w:hanging="652"/>
        <w:spacing w:after="0" w:line="272"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obligations imposed by Paragraphs 3-6, above, of this agreement are severable and should be construed independently of each other. The invalidity of one such provision shall not affect the validity of any other such provision. If any provision if Paragraphs 3-6 shall be invalid or unenforceable, in whole or in part, or as applied to any circumstance, under the laws of any jurisdiction which may govern for such purpose, then such provision shall be deemed to be modified or restricted to the extent and in the manner necessary to render the same valid and enforceable, either generally or as applied to such circumstance, or shall be deemed excised from this Agreement, as the case may require, and this Agreement shall be construed and enforced to the maximum extent permitted by law, as if such provision had been originally incorporated herein as so modified or restricted, or as if such provision had not been originally incorporated herein, as the case may be.</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you are in agreement with the foregoing, please sign and return one copy of this letter which will constitute our agreement with respect to the subject matter of this letter.</w:t>
      </w:r>
    </w:p>
    <w:p>
      <w:pPr>
        <w:spacing w:after="0" w:line="17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MANPOWERGROUP INC.</w:t>
      </w:r>
    </w:p>
    <w:p>
      <w:pPr>
        <w:spacing w:after="0" w:line="200" w:lineRule="exact"/>
        <w:rPr>
          <w:sz w:val="20"/>
          <w:szCs w:val="20"/>
          <w:color w:val="auto"/>
        </w:rPr>
      </w:pPr>
    </w:p>
    <w:p>
      <w:pPr>
        <w:spacing w:after="0" w:line="24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Jonas Prising</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Jonas Prising, 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Agreed as of the 29 day of October, 2015.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Chandrasekar Sriram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Chandrasekar Sriram</w:t>
      </w:r>
    </w:p>
    <w:p>
      <w:pPr>
        <w:sectPr>
          <w:pgSz w:w="11900" w:h="16838" w:orient="portrait"/>
          <w:cols w:equalWidth="0" w:num="1">
            <w:col w:w="11420"/>
          </w:cols>
          <w:pgMar w:left="240" w:top="61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4300" w:type="dxa"/>
            <w:vAlign w:val="bottom"/>
            <w:gridSpan w:val="10"/>
          </w:tcPr>
          <w:p>
            <w:pPr>
              <w:jc w:val="right"/>
              <w:ind w:right="150"/>
              <w:spacing w:after="0"/>
              <w:rPr>
                <w:sz w:val="20"/>
                <w:szCs w:val="20"/>
                <w:color w:val="auto"/>
              </w:rPr>
            </w:pPr>
            <w:r>
              <w:rPr>
                <w:rFonts w:ascii="Arial" w:cs="Arial" w:eastAsia="Arial" w:hAnsi="Arial"/>
                <w:sz w:val="18"/>
                <w:szCs w:val="18"/>
                <w:b w:val="1"/>
                <w:bCs w:val="1"/>
                <w:color w:val="auto"/>
              </w:rPr>
              <w:t>STATEMENT REGARDING COMPUTATION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3500" w:type="dxa"/>
            <w:vAlign w:val="bottom"/>
          </w:tcPr>
          <w:p>
            <w:pPr>
              <w:spacing w:after="0"/>
              <w:rPr>
                <w:sz w:val="20"/>
                <w:szCs w:val="20"/>
                <w:color w:val="auto"/>
              </w:rPr>
            </w:pPr>
          </w:p>
        </w:tc>
        <w:tc>
          <w:tcPr>
            <w:tcW w:w="4300" w:type="dxa"/>
            <w:vAlign w:val="bottom"/>
            <w:gridSpan w:val="10"/>
          </w:tcPr>
          <w:p>
            <w:pPr>
              <w:jc w:val="center"/>
              <w:ind w:left="50"/>
              <w:spacing w:after="0"/>
              <w:rPr>
                <w:sz w:val="20"/>
                <w:szCs w:val="20"/>
                <w:color w:val="auto"/>
              </w:rPr>
            </w:pPr>
            <w:r>
              <w:rPr>
                <w:rFonts w:ascii="Arial" w:cs="Arial" w:eastAsia="Arial" w:hAnsi="Arial"/>
                <w:sz w:val="18"/>
                <w:szCs w:val="18"/>
                <w:b w:val="1"/>
                <w:bCs w:val="1"/>
                <w:color w:val="auto"/>
              </w:rPr>
              <w:t>OF RATIO OF EARNINGS TO FIXED CHARGES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3500" w:type="dxa"/>
            <w:vAlign w:val="bottom"/>
          </w:tcPr>
          <w:p>
            <w:pPr>
              <w:spacing w:after="0"/>
              <w:rPr>
                <w:sz w:val="24"/>
                <w:szCs w:val="24"/>
                <w:color w:val="auto"/>
              </w:rPr>
            </w:pPr>
          </w:p>
        </w:tc>
        <w:tc>
          <w:tcPr>
            <w:tcW w:w="3940" w:type="dxa"/>
            <w:vAlign w:val="bottom"/>
            <w:gridSpan w:val="9"/>
          </w:tcPr>
          <w:p>
            <w:pPr>
              <w:jc w:val="center"/>
              <w:ind w:left="390"/>
              <w:spacing w:after="0"/>
              <w:rPr>
                <w:sz w:val="20"/>
                <w:szCs w:val="20"/>
                <w:color w:val="auto"/>
              </w:rPr>
            </w:pPr>
            <w:r>
              <w:rPr>
                <w:rFonts w:ascii="Arial" w:cs="Arial" w:eastAsia="Arial" w:hAnsi="Arial"/>
                <w:sz w:val="18"/>
                <w:szCs w:val="18"/>
                <w:color w:val="auto"/>
                <w:w w:val="95"/>
              </w:rPr>
              <w:t>MANPOWERGROUP INC.</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3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3"/>
          </w:tcPr>
          <w:p>
            <w:pPr>
              <w:jc w:val="center"/>
              <w:ind w:left="190"/>
              <w:spacing w:after="0"/>
              <w:rPr>
                <w:sz w:val="20"/>
                <w:szCs w:val="20"/>
                <w:color w:val="auto"/>
              </w:rPr>
            </w:pPr>
            <w:r>
              <w:rPr>
                <w:rFonts w:ascii="Arial" w:cs="Arial" w:eastAsia="Arial" w:hAnsi="Arial"/>
                <w:sz w:val="18"/>
                <w:szCs w:val="18"/>
                <w:color w:val="auto"/>
                <w:w w:val="98"/>
              </w:rPr>
              <w:t>(in millions)</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67"/>
        </w:trPr>
        <w:tc>
          <w:tcPr>
            <w:tcW w:w="3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gridSpan w:val="3"/>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3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6"/>
            <w:shd w:val="clear" w:color="auto" w:fill="CCEEFF"/>
          </w:tcPr>
          <w:p>
            <w:pPr>
              <w:jc w:val="center"/>
              <w:ind w:right="480"/>
              <w:spacing w:after="0"/>
              <w:rPr>
                <w:sz w:val="20"/>
                <w:szCs w:val="20"/>
                <w:color w:val="auto"/>
              </w:rPr>
            </w:pPr>
            <w:r>
              <w:rPr>
                <w:rFonts w:ascii="Arial" w:cs="Arial" w:eastAsia="Arial" w:hAnsi="Arial"/>
                <w:sz w:val="18"/>
                <w:szCs w:val="18"/>
                <w:b w:val="1"/>
                <w:bCs w:val="1"/>
                <w:color w:val="auto"/>
                <w:w w:val="90"/>
              </w:rPr>
              <w:t>9 Months Ended</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20" w:type="dxa"/>
            <w:vAlign w:val="bottom"/>
            <w:gridSpan w:val="6"/>
          </w:tcPr>
          <w:p>
            <w:pPr>
              <w:jc w:val="center"/>
              <w:ind w:right="480"/>
              <w:spacing w:after="0"/>
              <w:rPr>
                <w:sz w:val="20"/>
                <w:szCs w:val="20"/>
                <w:color w:val="auto"/>
              </w:rPr>
            </w:pPr>
            <w:r>
              <w:rPr>
                <w:rFonts w:ascii="Arial" w:cs="Arial" w:eastAsia="Arial" w:hAnsi="Arial"/>
                <w:sz w:val="18"/>
                <w:szCs w:val="18"/>
                <w:b w:val="1"/>
                <w:bCs w:val="1"/>
                <w:color w:val="auto"/>
                <w:w w:val="89"/>
              </w:rPr>
              <w:t>September 30, 2015</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34"/>
        </w:trPr>
        <w:tc>
          <w:tcPr>
            <w:tcW w:w="35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70"/>
        </w:trPr>
        <w:tc>
          <w:tcPr>
            <w:tcW w:w="35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Earnings:</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Earnings before income taxes</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480.6</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84"/>
        </w:trPr>
        <w:tc>
          <w:tcPr>
            <w:tcW w:w="35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Fixed charges</w:t>
            </w:r>
          </w:p>
        </w:tc>
        <w:tc>
          <w:tcPr>
            <w:tcW w:w="1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91.3</w:t>
            </w:r>
          </w:p>
        </w:tc>
        <w:tc>
          <w:tcPr>
            <w:tcW w:w="3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r>
      <w:tr>
        <w:trPr>
          <w:trHeight w:val="269"/>
        </w:trPr>
        <w:tc>
          <w:tcPr>
            <w:tcW w:w="35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571.9</w:t>
            </w: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r>
        <w:trPr>
          <w:trHeight w:val="251"/>
        </w:trPr>
        <w:tc>
          <w:tcPr>
            <w:tcW w:w="3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280"/>
              <w:spacing w:after="0"/>
              <w:rPr>
                <w:sz w:val="20"/>
                <w:szCs w:val="20"/>
                <w:color w:val="auto"/>
              </w:rPr>
            </w:pPr>
            <w:r>
              <w:rPr>
                <w:rFonts w:ascii="Arial" w:cs="Arial" w:eastAsia="Arial" w:hAnsi="Arial"/>
                <w:sz w:val="18"/>
                <w:szCs w:val="18"/>
                <w:color w:val="auto"/>
              </w:rPr>
              <w:t>Interest (expensed or capitalized)</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26.1</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6"/>
              </w:rPr>
              <w:t>Estimated interest portion of rent expense</w:t>
            </w: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65.2</w:t>
            </w:r>
          </w:p>
        </w:tc>
        <w:tc>
          <w:tcPr>
            <w:tcW w:w="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r>
      <w:tr>
        <w:trPr>
          <w:trHeight w:val="243"/>
        </w:trPr>
        <w:tc>
          <w:tcPr>
            <w:tcW w:w="3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91.3</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67"/>
        </w:trPr>
        <w:tc>
          <w:tcPr>
            <w:tcW w:w="350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9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r>
      <w:tr>
        <w:trPr>
          <w:trHeight w:val="251"/>
        </w:trPr>
        <w:tc>
          <w:tcPr>
            <w:tcW w:w="35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70"/>
        </w:trPr>
        <w:tc>
          <w:tcPr>
            <w:tcW w:w="35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1026"/>
        </w:trPr>
        <w:tc>
          <w:tcPr>
            <w:tcW w:w="3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r>
      <w:tr>
        <w:trPr>
          <w:trHeight w:val="27"/>
        </w:trPr>
        <w:tc>
          <w:tcPr>
            <w:tcW w:w="35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280"/>
              <w:spacing w:after="0"/>
              <w:rPr>
                <w:sz w:val="20"/>
                <w:szCs w:val="20"/>
                <w:color w:val="auto"/>
              </w:rPr>
            </w:pPr>
            <w:r>
              <w:rPr>
                <w:rFonts w:ascii="Arial" w:cs="Arial" w:eastAsia="Arial" w:hAnsi="Arial"/>
                <w:sz w:val="18"/>
                <w:szCs w:val="18"/>
                <w:color w:val="auto"/>
              </w:rPr>
              <w:t>Earnings before income taxes</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681.6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475.5</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368.4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479.9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(165.2)</w:t>
            </w: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charges</w:t>
            </w: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133.6</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159.7</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165.1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170.2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161.9</w:t>
            </w:r>
          </w:p>
        </w:tc>
      </w:tr>
      <w:tr>
        <w:trPr>
          <w:trHeight w:val="243"/>
        </w:trPr>
        <w:tc>
          <w:tcPr>
            <w:tcW w:w="350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815.2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635.2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533.5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650.1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67"/>
        </w:trPr>
        <w:tc>
          <w:tcPr>
            <w:tcW w:w="350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31"/>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3500" w:type="dxa"/>
            <w:vAlign w:val="bottom"/>
          </w:tcPr>
          <w:p>
            <w:pPr>
              <w:ind w:left="280"/>
              <w:spacing w:after="0"/>
              <w:rPr>
                <w:sz w:val="20"/>
                <w:szCs w:val="20"/>
                <w:color w:val="auto"/>
              </w:rPr>
            </w:pPr>
            <w:r>
              <w:rPr>
                <w:rFonts w:ascii="Arial" w:cs="Arial" w:eastAsia="Arial" w:hAnsi="Arial"/>
                <w:sz w:val="18"/>
                <w:szCs w:val="18"/>
                <w:color w:val="auto"/>
              </w:rPr>
              <w:t>Interest (expensed or capitalized)</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42.4</w:t>
            </w: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6"/>
              </w:rPr>
              <w:t>Estimated interest portion of rent expense</w:t>
            </w: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98.5</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119.5</w:t>
            </w:r>
          </w:p>
        </w:tc>
      </w:tr>
      <w:tr>
        <w:trPr>
          <w:trHeight w:val="243"/>
        </w:trPr>
        <w:tc>
          <w:tcPr>
            <w:tcW w:w="350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133.6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159.7</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165.1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170.2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161.9</w:t>
            </w:r>
          </w:p>
        </w:tc>
      </w:tr>
      <w:tr>
        <w:trPr>
          <w:trHeight w:val="67"/>
        </w:trPr>
        <w:tc>
          <w:tcPr>
            <w:tcW w:w="350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24"/>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w:t>
            </w:r>
          </w:p>
        </w:tc>
      </w:tr>
      <w:tr>
        <w:trPr>
          <w:trHeight w:val="27"/>
        </w:trPr>
        <w:tc>
          <w:tcPr>
            <w:tcW w:w="35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Note: The calculation of ratio of earnings to fixed charges set forth above is in accordance with Regulation S-K, Item 601(b)(12). This calculation is different than the fixed charge ratio that is required by our various borrowing facilities.</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Jonas Prising, Chief Executive Officer of ManpowerGroup Inc., certify that:</w:t>
      </w:r>
    </w:p>
    <w:p>
      <w:pPr>
        <w:spacing w:after="0" w:line="225"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ManpowerGroup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620" w:right="220" w:hanging="329"/>
        <w:spacing w:after="0" w:line="286" w:lineRule="auto"/>
        <w:tabs>
          <w:tab w:leader="none" w:pos="1620" w:val="left"/>
        </w:tabs>
        <w:numPr>
          <w:ilvl w:val="1"/>
          <w:numId w:val="4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620" w:right="280" w:hanging="329"/>
        <w:spacing w:after="0" w:line="264" w:lineRule="auto"/>
        <w:tabs>
          <w:tab w:leader="none" w:pos="16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620" w:right="80" w:hanging="329"/>
        <w:spacing w:after="0" w:line="342" w:lineRule="auto"/>
        <w:tabs>
          <w:tab w:leader="none" w:pos="162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620" w:right="100" w:hanging="329"/>
        <w:spacing w:after="0" w:line="264" w:lineRule="auto"/>
        <w:tabs>
          <w:tab w:leader="none" w:pos="16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620" w:right="320" w:hanging="329"/>
        <w:spacing w:after="0" w:line="342" w:lineRule="auto"/>
        <w:tabs>
          <w:tab w:leader="none" w:pos="162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20" w:hanging="329"/>
        <w:spacing w:after="0" w:line="277" w:lineRule="auto"/>
        <w:tabs>
          <w:tab w:leader="none" w:pos="16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30, 2015</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6725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Jonas Prising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Michael J. Van Handel, Executive Vice President and Chief Financial Officer of ManpowerGroup Inc., certify that:</w:t>
      </w:r>
    </w:p>
    <w:p>
      <w:pPr>
        <w:spacing w:after="0" w:line="225"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ManpowerGroup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00" w:right="200" w:hanging="317"/>
        <w:spacing w:after="0" w:line="264" w:lineRule="auto"/>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00" w:right="520" w:hanging="317"/>
        <w:spacing w:after="0" w:line="264" w:lineRule="auto"/>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00" w:right="680" w:hanging="317"/>
        <w:spacing w:after="0" w:line="342" w:lineRule="auto"/>
        <w:tabs>
          <w:tab w:leader="none" w:pos="10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200" w:hanging="317"/>
        <w:spacing w:after="0" w:line="264" w:lineRule="auto"/>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100" w:hanging="317"/>
        <w:spacing w:after="0" w:line="277" w:lineRule="auto"/>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00" w:right="60" w:hanging="317"/>
        <w:spacing w:after="0" w:line="277" w:lineRule="auto"/>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30, 2015</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783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Michael J. Van Handel</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70" w:lineRule="exact"/>
        <w:rPr>
          <w:sz w:val="20"/>
          <w:szCs w:val="20"/>
          <w:color w:val="auto"/>
        </w:rPr>
      </w:pPr>
    </w:p>
    <w:p>
      <w:pPr>
        <w:ind w:left="660" w:right="20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September 30, 2015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30, 2015</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4490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Jonas Prising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70" w:lineRule="exact"/>
        <w:rPr>
          <w:sz w:val="20"/>
          <w:szCs w:val="20"/>
          <w:color w:val="auto"/>
        </w:rPr>
      </w:pPr>
    </w:p>
    <w:p>
      <w:pPr>
        <w:ind w:left="660" w:right="20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September 30, 2015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30, 2015</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7411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4117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Michael J. Van Handel</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4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x"/>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2"/>
    </w:lvl>
  </w:abstractNum>
  <w:abstractNum w:abstractNumId="4">
    <w:nsid w:val="54E49EB4"/>
    <w:multiLevelType w:val="hybridMultilevel"/>
    <w:lvl w:ilvl="0">
      <w:lvlJc w:val="left"/>
      <w:lvlText w:val="(%1)"/>
      <w:numFmt w:val="decimal"/>
      <w:start w:val="3"/>
    </w:lvl>
  </w:abstractNum>
  <w:abstractNum w:abstractNumId="5">
    <w:nsid w:val="71F32454"/>
    <w:multiLevelType w:val="hybridMultilevel"/>
    <w:lvl w:ilvl="0">
      <w:lvlJc w:val="left"/>
      <w:lvlText w:val="(%1)"/>
      <w:numFmt w:val="decimal"/>
      <w:start w:val="4"/>
    </w:lvl>
  </w:abstractNum>
  <w:abstractNum w:abstractNumId="6">
    <w:nsid w:val="2CA88611"/>
    <w:multiLevelType w:val="hybridMultilevel"/>
    <w:lvl w:ilvl="0">
      <w:lvlJc w:val="left"/>
      <w:lvlText w:val="(%1)"/>
      <w:numFmt w:val="decimal"/>
      <w:start w:val="5"/>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1)"/>
      <w:numFmt w:val="decimal"/>
      <w:start w:val="6"/>
    </w:lvl>
  </w:abstractNum>
  <w:abstractNum w:abstractNumId="9">
    <w:nsid w:val="3A95F874"/>
    <w:multiLevelType w:val="hybridMultilevel"/>
    <w:lvl w:ilvl="0">
      <w:lvlJc w:val="left"/>
      <w:lvlText w:val="(%1)"/>
      <w:numFmt w:val="decimal"/>
      <w:start w:val="7"/>
    </w:lvl>
  </w:abstractNum>
  <w:abstractNum w:abstractNumId="10">
    <w:nsid w:val="8138641"/>
    <w:multiLevelType w:val="hybridMultilevel"/>
    <w:lvl w:ilvl="0">
      <w:lvlJc w:val="left"/>
      <w:lvlText w:val="(%1)"/>
      <w:numFmt w:val="decimal"/>
      <w:start w:val="8"/>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decimal"/>
      <w:start w:val="9"/>
    </w:lvl>
  </w:abstractNum>
  <w:abstractNum w:abstractNumId="14">
    <w:nsid w:val="6CEAF087"/>
    <w:multiLevelType w:val="hybridMultilevel"/>
    <w:lvl w:ilvl="0">
      <w:lvlJc w:val="left"/>
      <w:lvlText w:val="(%1)"/>
      <w:numFmt w:val="decimal"/>
      <w:start w:val="10"/>
    </w:lvl>
  </w:abstractNum>
  <w:abstractNum w:abstractNumId="15">
    <w:nsid w:val="22221A70"/>
    <w:multiLevelType w:val="hybridMultilevel"/>
    <w:lvl w:ilvl="0">
      <w:lvlJc w:val="left"/>
      <w:lvlText w:val="(%1)"/>
      <w:numFmt w:val="decimal"/>
      <w:start w:val="11"/>
    </w:lvl>
  </w:abstractNum>
  <w:abstractNum w:abstractNumId="16">
    <w:nsid w:val="4516DDE9"/>
    <w:multiLevelType w:val="hybridMultilevel"/>
    <w:lvl w:ilvl="0">
      <w:lvlJc w:val="left"/>
      <w:lvlText w:val="(%1)"/>
      <w:numFmt w:val="decimal"/>
      <w:start w:val="12"/>
    </w:lvl>
  </w:abstractNum>
  <w:abstractNum w:abstractNumId="17">
    <w:nsid w:val="3006C83E"/>
    <w:multiLevelType w:val="hybridMultilevel"/>
    <w:lvl w:ilvl="0">
      <w:lvlJc w:val="left"/>
      <w:lvlText w:val="(%1)"/>
      <w:numFmt w:val="decimal"/>
      <w:start w:val="13"/>
    </w:lvl>
  </w:abstractNum>
  <w:abstractNum w:abstractNumId="18">
    <w:nsid w:val="614FD4A1"/>
    <w:multiLevelType w:val="hybridMultilevel"/>
    <w:lvl w:ilvl="0">
      <w:lvlJc w:val="left"/>
      <w:lvlText w:val="(%1)"/>
      <w:numFmt w:val="decimal"/>
      <w:start w:val="14"/>
    </w:lvl>
  </w:abstractNum>
  <w:abstractNum w:abstractNumId="19">
    <w:nsid w:val="419AC241"/>
    <w:multiLevelType w:val="hybridMultilevel"/>
    <w:lvl w:ilvl="0">
      <w:lvlJc w:val="left"/>
      <w:lvlText w:val="(%1)"/>
      <w:numFmt w:val="lowerLetter"/>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1)"/>
      <w:numFmt w:val="lowerLetter"/>
      <w:start w:val="1"/>
    </w:lvl>
  </w:abstractNum>
  <w:abstractNum w:abstractNumId="28">
    <w:nsid w:val="5E884ADC"/>
    <w:multiLevelType w:val="hybridMultilevel"/>
    <w:lvl w:ilvl="0">
      <w:lvlJc w:val="left"/>
      <w:lvlText w:val="%1"/>
      <w:numFmt w:val="decimal"/>
      <w:start w:val="101"/>
    </w:lvl>
  </w:abstractNum>
  <w:abstractNum w:abstractNumId="29">
    <w:nsid w:val="51EAD36B"/>
    <w:multiLevelType w:val="hybridMultilevel"/>
    <w:lvl w:ilvl="0">
      <w:lvlJc w:val="left"/>
      <w:lvlText w:val="%1"/>
      <w:numFmt w:val="decimal"/>
      <w:start w:val="101"/>
    </w:lvl>
  </w:abstractNum>
  <w:abstractNum w:abstractNumId="30">
    <w:nsid w:val="2D51779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1">
    <w:nsid w:val="580BD78F"/>
    <w:multiLevelType w:val="hybridMultilevel"/>
    <w:lvl w:ilvl="0">
      <w:lvlJc w:val="left"/>
      <w:lvlText w:val="(%1)"/>
      <w:numFmt w:val="lowerRoman"/>
      <w:start w:val="2"/>
    </w:lvl>
  </w:abstractNum>
  <w:abstractNum w:abstractNumId="32">
    <w:nsid w:val="153EA438"/>
    <w:multiLevelType w:val="hybridMultilevel"/>
    <w:lvl w:ilvl="0">
      <w:lvlJc w:val="left"/>
      <w:lvlText w:val="(%1)"/>
      <w:numFmt w:val="lowerLetter"/>
      <w:start w:val="4"/>
    </w:lvl>
    <w:lvl w:ilvl="1">
      <w:lvlJc w:val="left"/>
      <w:lvlText w:val="(%2)"/>
      <w:numFmt w:val="lowerRoman"/>
      <w:start w:val="1"/>
    </w:lvl>
  </w:abstractNum>
  <w:abstractNum w:abstractNumId="33">
    <w:nsid w:val="3855585C"/>
    <w:multiLevelType w:val="hybridMultilevel"/>
    <w:lvl w:ilvl="0">
      <w:lvlJc w:val="left"/>
      <w:lvlText w:val="(%1)"/>
      <w:numFmt w:val="lowerRoman"/>
      <w:start w:val="5"/>
    </w:lvl>
  </w:abstractNum>
  <w:abstractNum w:abstractNumId="34">
    <w:nsid w:val="70A64E2A"/>
    <w:multiLevelType w:val="hybridMultilevel"/>
    <w:lvl w:ilvl="0">
      <w:lvlJc w:val="left"/>
      <w:lvlText w:val="(%1)"/>
      <w:numFmt w:val="decimal"/>
      <w:start w:val="90"/>
    </w:lvl>
    <w:lvl w:ilvl="1">
      <w:lvlJc w:val="left"/>
      <w:lvlText w:val="(%2)"/>
      <w:numFmt w:val="lowerLetter"/>
      <w:start w:val="5"/>
    </w:lvl>
    <w:lvl w:ilvl="2">
      <w:lvlJc w:val="left"/>
      <w:lvlText w:val="(%3)"/>
      <w:numFmt w:val="lowerRoman"/>
      <w:start w:val="1"/>
    </w:lvl>
  </w:abstractNum>
  <w:abstractNum w:abstractNumId="35">
    <w:nsid w:val="6A2342EC"/>
    <w:multiLevelType w:val="hybridMultilevel"/>
    <w:lvl w:ilvl="0">
      <w:lvlJc w:val="left"/>
      <w:lvlText w:val="%1."/>
      <w:numFmt w:val="decimal"/>
      <w:start w:val="2"/>
    </w:lvl>
    <w:lvl w:ilvl="1">
      <w:lvlJc w:val="left"/>
      <w:lvlText w:val="(%2)"/>
      <w:numFmt w:val="lowerLetter"/>
      <w:start w:val="1"/>
    </w:lvl>
  </w:abstractNum>
  <w:abstractNum w:abstractNumId="36">
    <w:nsid w:val="2A487CB0"/>
    <w:multiLevelType w:val="hybridMultilevel"/>
    <w:lvl w:ilvl="0">
      <w:lvlJc w:val="left"/>
      <w:lvlText w:val="(%1)"/>
      <w:numFmt w:val="lowerLetter"/>
      <w:start w:val="2"/>
    </w:lvl>
    <w:lvl w:ilvl="1">
      <w:lvlJc w:val="left"/>
      <w:lvlText w:val="(%2)"/>
      <w:numFmt w:val="lowerRoman"/>
      <w:start w:val="1"/>
    </w:lvl>
  </w:abstractNum>
  <w:abstractNum w:abstractNumId="37">
    <w:nsid w:val="1D4ED43B"/>
    <w:multiLevelType w:val="hybridMultilevel"/>
    <w:lvl w:ilvl="0">
      <w:lvlJc w:val="left"/>
      <w:lvlText w:val="%1"/>
      <w:numFmt w:val="lowerLetter"/>
      <w:start w:val="1"/>
    </w:lvl>
    <w:lvl w:ilvl="1">
      <w:lvlJc w:val="left"/>
      <w:lvlText w:val="(%2)"/>
      <w:numFmt w:val="lowerRoman"/>
      <w:start w:val="3"/>
    </w:lvl>
  </w:abstractNum>
  <w:abstractNum w:abstractNumId="38">
    <w:nsid w:val="725A06FB"/>
    <w:multiLevelType w:val="hybridMultilevel"/>
    <w:lvl w:ilvl="0">
      <w:lvlJc w:val="left"/>
      <w:lvlText w:val="(%1)"/>
      <w:numFmt w:val="lowerLetter"/>
      <w:start w:val="5"/>
    </w:lvl>
    <w:lvl w:ilvl="1">
      <w:lvlJc w:val="left"/>
      <w:lvlText w:val="%2"/>
      <w:numFmt w:val="lowerRoman"/>
      <w:start w:val="1"/>
    </w:lvl>
  </w:abstractNum>
  <w:abstractNum w:abstractNumId="39">
    <w:nsid w:val="2CD89A32"/>
    <w:multiLevelType w:val="hybridMultilevel"/>
    <w:lvl w:ilvl="0">
      <w:lvlJc w:val="left"/>
      <w:lvlText w:val="%1"/>
      <w:numFmt w:val="decimal"/>
      <w:start w:val="1"/>
    </w:lvl>
    <w:lvl w:ilvl="1">
      <w:lvlJc w:val="left"/>
      <w:lvlText w:val="(%2)"/>
      <w:numFmt w:val="lowerLetter"/>
      <w:start w:val="8"/>
    </w:lvl>
  </w:abstractNum>
  <w:abstractNum w:abstractNumId="40">
    <w:nsid w:val="57E4CCAF"/>
    <w:multiLevelType w:val="hybridMultilevel"/>
    <w:lvl w:ilvl="0">
      <w:lvlJc w:val="left"/>
      <w:lvlText w:val="%1."/>
      <w:numFmt w:val="decimal"/>
      <w:start w:val="3"/>
    </w:lvl>
    <w:lvl w:ilvl="1">
      <w:lvlJc w:val="left"/>
      <w:lvlText w:val="(%2)"/>
      <w:numFmt w:val="lowerLetter"/>
      <w:start w:val="1"/>
    </w:lvl>
  </w:abstractNum>
  <w:abstractNum w:abstractNumId="41">
    <w:nsid w:val="7A6D8D3C"/>
    <w:multiLevelType w:val="hybridMultilevel"/>
    <w:lvl w:ilvl="0">
      <w:lvlJc w:val="left"/>
      <w:lvlText w:val="%1."/>
      <w:numFmt w:val="decimal"/>
      <w:start w:val="5"/>
    </w:lvl>
    <w:lvl w:ilvl="1">
      <w:lvlJc w:val="left"/>
      <w:lvlText w:val="(%2)"/>
      <w:numFmt w:val="lowerLetter"/>
      <w:start w:val="1"/>
    </w:lvl>
  </w:abstractNum>
  <w:abstractNum w:abstractNumId="42">
    <w:nsid w:val="4B588F54"/>
    <w:multiLevelType w:val="hybridMultilevel"/>
    <w:lvl w:ilvl="0">
      <w:lvlJc w:val="left"/>
      <w:lvlText w:val="%1."/>
      <w:numFmt w:val="decimal"/>
      <w:start w:val="10"/>
    </w:lvl>
    <w:lvl w:ilvl="1">
      <w:lvlJc w:val="left"/>
      <w:lvlText w:val="(%2)"/>
      <w:numFmt w:val="lowerLetter"/>
      <w:start w:val="1"/>
    </w:lvl>
  </w:abstractNum>
  <w:abstractNum w:abstractNumId="43">
    <w:nsid w:val="542289EC"/>
    <w:multiLevelType w:val="hybridMultilevel"/>
    <w:lvl w:ilvl="0">
      <w:lvlJc w:val="left"/>
      <w:lvlText w:val="%1"/>
      <w:numFmt w:val="decimal"/>
      <w:start w:val="1"/>
    </w:lvl>
    <w:lvl w:ilvl="1">
      <w:lvlJc w:val="left"/>
      <w:lvlText w:val="(%2)"/>
      <w:numFmt w:val="lowerLetter"/>
      <w:start w:val="2"/>
    </w:lvl>
  </w:abstractNum>
  <w:abstractNum w:abstractNumId="44">
    <w:nsid w:val="6DE91B18"/>
    <w:multiLevelType w:val="hybridMultilevel"/>
    <w:lvl w:ilvl="0">
      <w:lvlJc w:val="left"/>
      <w:lvlText w:val="%1."/>
      <w:numFmt w:val="decimal"/>
      <w:start w:val="19"/>
    </w:lvl>
    <w:lvl w:ilvl="1">
      <w:lvlJc w:val="left"/>
      <w:lvlText w:val="%2"/>
      <w:numFmt w:val="lowerLetter"/>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2019-12-29T15:02:05Z</dcterms:created>
  <dcterms:modified xsi:type="dcterms:W3CDTF">2019-12-29T15:02:05Z</dcterms:modified>
</cp:coreProperties>
</file>