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170815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9" w:lineRule="exact"/>
        <w:rPr>
          <w:sz w:val="24"/>
          <w:szCs w:val="24"/>
          <w:color w:val="auto"/>
        </w:rPr>
      </w:pPr>
    </w:p>
    <w:p>
      <w:pPr>
        <w:jc w:val="center"/>
        <w:ind w:right="-112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Washington, D.C. 20549</w:t>
      </w:r>
    </w:p>
    <w:p>
      <w:pPr>
        <w:spacing w:after="0" w:line="101" w:lineRule="exact"/>
        <w:rPr>
          <w:sz w:val="24"/>
          <w:szCs w:val="24"/>
          <w:color w:val="auto"/>
        </w:rPr>
      </w:pPr>
    </w:p>
    <w:p>
      <w:pPr>
        <w:jc w:val="center"/>
        <w:ind w:right="-1125"/>
        <w:spacing w:after="0"/>
        <w:rPr>
          <w:sz w:val="20"/>
          <w:szCs w:val="20"/>
          <w:color w:val="auto"/>
        </w:rPr>
      </w:pPr>
      <w:r>
        <w:rPr>
          <w:rFonts w:ascii="Arial" w:cs="Arial" w:eastAsia="Arial" w:hAnsi="Arial"/>
          <w:sz w:val="28"/>
          <w:szCs w:val="28"/>
          <w:b w:val="1"/>
          <w:bCs w:val="1"/>
          <w:color w:val="auto"/>
        </w:rPr>
        <w:t>FORM 8-K</w:t>
      </w:r>
    </w:p>
    <w:p>
      <w:pPr>
        <w:spacing w:after="0" w:line="148"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jc w:val="center"/>
        <w:ind w:right="-1125"/>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7" w:lineRule="exact"/>
        <w:rPr>
          <w:sz w:val="24"/>
          <w:szCs w:val="24"/>
          <w:color w:val="auto"/>
        </w:rPr>
      </w:pPr>
    </w:p>
    <w:p>
      <w:pPr>
        <w:jc w:val="center"/>
        <w:ind w:right="-1125"/>
        <w:spacing w:after="0"/>
        <w:rPr>
          <w:sz w:val="20"/>
          <w:szCs w:val="20"/>
          <w:color w:val="auto"/>
        </w:rPr>
      </w:pPr>
      <w:r>
        <w:rPr>
          <w:rFonts w:ascii="Arial" w:cs="Arial" w:eastAsia="Arial" w:hAnsi="Arial"/>
          <w:sz w:val="15"/>
          <w:szCs w:val="15"/>
          <w:color w:val="auto"/>
        </w:rPr>
        <w:t>Date of Report (Date of earliest event reported): July 18, 2008</w:t>
      </w:r>
    </w:p>
    <w:p>
      <w:pPr>
        <w:spacing w:after="0" w:line="126" w:lineRule="exact"/>
        <w:rPr>
          <w:sz w:val="24"/>
          <w:szCs w:val="24"/>
          <w:color w:val="auto"/>
        </w:rPr>
      </w:pPr>
    </w:p>
    <w:p>
      <w:pPr>
        <w:jc w:val="center"/>
        <w:ind w:right="-1125"/>
        <w:spacing w:after="0"/>
        <w:rPr>
          <w:sz w:val="20"/>
          <w:szCs w:val="20"/>
          <w:color w:val="auto"/>
        </w:rPr>
      </w:pPr>
      <w:r>
        <w:rPr>
          <w:rFonts w:ascii="Arial" w:cs="Arial" w:eastAsia="Arial" w:hAnsi="Arial"/>
          <w:sz w:val="38"/>
          <w:szCs w:val="38"/>
          <w:b w:val="1"/>
          <w:bCs w:val="1"/>
          <w:color w:val="auto"/>
        </w:rPr>
        <w:t>MANPOWER INC.</w:t>
      </w:r>
    </w:p>
    <w:p>
      <w:pPr>
        <w:spacing w:after="0" w:line="37" w:lineRule="exact"/>
        <w:rPr>
          <w:sz w:val="24"/>
          <w:szCs w:val="24"/>
          <w:color w:val="auto"/>
        </w:rPr>
      </w:pPr>
    </w:p>
    <w:p>
      <w:pPr>
        <w:ind w:left="4426"/>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0306"/>
          </w:cols>
          <w:pgMar w:left="234" w:top="538" w:right="1359" w:bottom="1440" w:gutter="0" w:footer="0" w:header="0"/>
        </w:sectPr>
      </w:pPr>
    </w:p>
    <w:p>
      <w:pPr>
        <w:spacing w:after="0" w:line="156" w:lineRule="exact"/>
        <w:rPr>
          <w:sz w:val="24"/>
          <w:szCs w:val="24"/>
          <w:color w:val="auto"/>
        </w:rPr>
      </w:pPr>
    </w:p>
    <w:p>
      <w:pPr>
        <w:ind w:left="1606"/>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2420"/>
        <w:spacing w:after="0"/>
        <w:rPr>
          <w:sz w:val="20"/>
          <w:szCs w:val="20"/>
          <w:color w:val="auto"/>
        </w:rPr>
      </w:pPr>
      <w:r>
        <w:rPr>
          <w:rFonts w:ascii="Arial" w:cs="Arial" w:eastAsia="Arial" w:hAnsi="Arial"/>
          <w:sz w:val="14"/>
          <w:szCs w:val="14"/>
          <w:b w:val="1"/>
          <w:bCs w:val="1"/>
          <w:color w:val="auto"/>
        </w:rPr>
        <w:t>1-10686</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39-1672779</w:t>
      </w:r>
    </w:p>
    <w:p>
      <w:pPr>
        <w:spacing w:after="0" w:line="42" w:lineRule="exact"/>
        <w:rPr>
          <w:sz w:val="24"/>
          <w:szCs w:val="24"/>
          <w:color w:val="auto"/>
        </w:rPr>
      </w:pPr>
    </w:p>
    <w:p>
      <w:pPr>
        <w:sectPr>
          <w:pgSz w:w="11900" w:h="16838" w:orient="portrait"/>
          <w:cols w:equalWidth="0" w:num="3">
            <w:col w:w="4866" w:space="720"/>
            <w:col w:w="2940" w:space="720"/>
            <w:col w:w="1060"/>
          </w:cols>
          <w:pgMar w:left="234" w:top="538" w:right="1359" w:bottom="1440" w:gutter="0" w:footer="0" w:header="0"/>
          <w:type w:val="continuous"/>
        </w:sectPr>
      </w:pPr>
    </w:p>
    <w:p>
      <w:pPr>
        <w:spacing w:after="0" w:line="6" w:lineRule="exact"/>
        <w:rPr>
          <w:sz w:val="24"/>
          <w:szCs w:val="24"/>
          <w:color w:val="auto"/>
        </w:rPr>
      </w:pPr>
    </w:p>
    <w:p>
      <w:pPr>
        <w:jc w:val="center"/>
        <w:ind w:right="894"/>
        <w:spacing w:after="0"/>
        <w:rPr>
          <w:sz w:val="20"/>
          <w:szCs w:val="20"/>
          <w:color w:val="auto"/>
        </w:rPr>
      </w:pPr>
      <w:r>
        <w:rPr>
          <w:rFonts w:ascii="Arial" w:cs="Arial" w:eastAsia="Arial" w:hAnsi="Arial"/>
          <w:sz w:val="9"/>
          <w:szCs w:val="9"/>
          <w:b w:val="1"/>
          <w:bCs w:val="1"/>
          <w:color w:val="auto"/>
        </w:rPr>
        <w:t>(State or other jurisdiction</w:t>
      </w:r>
    </w:p>
    <w:p>
      <w:pPr>
        <w:spacing w:after="0" w:line="28" w:lineRule="exact"/>
        <w:rPr>
          <w:sz w:val="24"/>
          <w:szCs w:val="24"/>
          <w:color w:val="auto"/>
        </w:rPr>
      </w:pPr>
    </w:p>
    <w:p>
      <w:pPr>
        <w:jc w:val="center"/>
        <w:ind w:right="894"/>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w:t>
      </w:r>
    </w:p>
    <w:p>
      <w:pPr>
        <w:spacing w:after="0" w:line="2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240"/>
        <w:spacing w:after="0"/>
        <w:rPr>
          <w:sz w:val="20"/>
          <w:szCs w:val="20"/>
          <w:color w:val="auto"/>
        </w:rPr>
      </w:pPr>
      <w:r>
        <w:rPr>
          <w:rFonts w:ascii="Arial" w:cs="Arial" w:eastAsia="Arial" w:hAnsi="Arial"/>
          <w:sz w:val="12"/>
          <w:szCs w:val="12"/>
          <w:b w:val="1"/>
          <w:bCs w:val="1"/>
          <w:color w:val="auto"/>
        </w:rPr>
        <w:t>(IRS Employer</w:t>
      </w:r>
    </w:p>
    <w:p>
      <w:pPr>
        <w:jc w:val="center"/>
        <w:ind w:right="240"/>
        <w:spacing w:after="0"/>
        <w:rPr>
          <w:sz w:val="20"/>
          <w:szCs w:val="20"/>
          <w:color w:val="auto"/>
        </w:rPr>
      </w:pPr>
      <w:r>
        <w:rPr>
          <w:rFonts w:ascii="Arial" w:cs="Arial" w:eastAsia="Arial" w:hAnsi="Arial"/>
          <w:sz w:val="9"/>
          <w:szCs w:val="9"/>
          <w:b w:val="1"/>
          <w:bCs w:val="1"/>
          <w:color w:val="auto"/>
        </w:rPr>
        <w:t>Identification No.)</w:t>
      </w:r>
    </w:p>
    <w:p>
      <w:pPr>
        <w:spacing w:after="0" w:line="201" w:lineRule="exact"/>
        <w:rPr>
          <w:sz w:val="24"/>
          <w:szCs w:val="24"/>
          <w:color w:val="auto"/>
        </w:rPr>
      </w:pPr>
    </w:p>
    <w:p>
      <w:pPr>
        <w:sectPr>
          <w:pgSz w:w="11900" w:h="16838" w:orient="portrait"/>
          <w:cols w:equalWidth="0" w:num="3">
            <w:col w:w="4786" w:space="720"/>
            <w:col w:w="2920" w:space="720"/>
            <w:col w:w="1160"/>
          </w:cols>
          <w:pgMar w:left="234" w:top="538" w:right="1359" w:bottom="1440" w:gutter="0" w:footer="0" w:header="0"/>
          <w:type w:val="continuous"/>
        </w:sectPr>
      </w:pPr>
    </w:p>
    <w:p>
      <w:pPr>
        <w:ind w:left="2166"/>
        <w:spacing w:after="0"/>
        <w:rPr>
          <w:sz w:val="20"/>
          <w:szCs w:val="20"/>
          <w:color w:val="auto"/>
        </w:rPr>
      </w:pPr>
      <w:r>
        <w:rPr>
          <w:rFonts w:ascii="Arial" w:cs="Arial" w:eastAsia="Arial" w:hAnsi="Arial"/>
          <w:sz w:val="14"/>
          <w:szCs w:val="14"/>
          <w:b w:val="1"/>
          <w:bCs w:val="1"/>
          <w:color w:val="auto"/>
        </w:rPr>
        <w:t>100 Manpower Place</w:t>
      </w:r>
    </w:p>
    <w:p>
      <w:pPr>
        <w:spacing w:after="0" w:line="37" w:lineRule="exact"/>
        <w:rPr>
          <w:sz w:val="24"/>
          <w:szCs w:val="24"/>
          <w:color w:val="auto"/>
        </w:rPr>
      </w:pPr>
    </w:p>
    <w:p>
      <w:pPr>
        <w:ind w:left="2126"/>
        <w:spacing w:after="0"/>
        <w:rPr>
          <w:sz w:val="20"/>
          <w:szCs w:val="20"/>
          <w:color w:val="auto"/>
        </w:rPr>
      </w:pPr>
      <w:r>
        <w:rPr>
          <w:rFonts w:ascii="Arial" w:cs="Arial" w:eastAsia="Arial" w:hAnsi="Arial"/>
          <w:sz w:val="14"/>
          <w:szCs w:val="14"/>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53212</w:t>
      </w:r>
    </w:p>
    <w:p>
      <w:pPr>
        <w:spacing w:after="0" w:line="48" w:lineRule="exact"/>
        <w:rPr>
          <w:sz w:val="24"/>
          <w:szCs w:val="24"/>
          <w:color w:val="auto"/>
        </w:rPr>
      </w:pPr>
    </w:p>
    <w:p>
      <w:pPr>
        <w:sectPr>
          <w:pgSz w:w="11900" w:h="16838" w:orient="portrait"/>
          <w:cols w:equalWidth="0" w:num="2">
            <w:col w:w="7786" w:space="720"/>
            <w:col w:w="1800"/>
          </w:cols>
          <w:pgMar w:left="234" w:top="538" w:right="1359" w:bottom="1440" w:gutter="0" w:footer="0" w:header="0"/>
          <w:type w:val="continuous"/>
        </w:sectPr>
      </w:pPr>
    </w:p>
    <w:p>
      <w:pPr>
        <w:ind w:left="1886"/>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61" w:lineRule="exact"/>
        <w:rPr>
          <w:sz w:val="24"/>
          <w:szCs w:val="24"/>
          <w:color w:val="auto"/>
        </w:rPr>
      </w:pPr>
    </w:p>
    <w:p>
      <w:pPr>
        <w:sectPr>
          <w:pgSz w:w="11900" w:h="16838" w:orient="portrait"/>
          <w:cols w:equalWidth="0" w:num="2">
            <w:col w:w="7706" w:space="720"/>
            <w:col w:w="1880"/>
          </w:cols>
          <w:pgMar w:left="234" w:top="538" w:right="1359" w:bottom="1440" w:gutter="0" w:footer="0" w:header="0"/>
          <w:type w:val="continuous"/>
        </w:sectPr>
      </w:pPr>
    </w:p>
    <w:p>
      <w:pPr>
        <w:ind w:left="3626"/>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157"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Securities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72644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245745</wp:posOffset>
            </wp:positionV>
            <wp:extent cx="72644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306"/>
          </w:cols>
          <w:pgMar w:left="234" w:top="538" w:right="135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90"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On July 18, 2008, we issued a press release announcing our results of operations for the three- and six- month periods ended June 30, 2008. A copy of the press release is attached hereto as Exhibit 99.1 and is incorporated herein by reference.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720" w:type="dxa"/>
            <w:vAlign w:val="bottom"/>
            <w:gridSpan w:val="2"/>
          </w:tcPr>
          <w:p>
            <w:pPr>
              <w:ind w:left="60"/>
              <w:spacing w:after="0"/>
              <w:rPr>
                <w:sz w:val="20"/>
                <w:szCs w:val="20"/>
                <w:color w:val="auto"/>
              </w:rPr>
            </w:pPr>
            <w:r>
              <w:rPr>
                <w:rFonts w:ascii="Arial" w:cs="Arial" w:eastAsia="Arial" w:hAnsi="Arial"/>
                <w:sz w:val="15"/>
                <w:szCs w:val="15"/>
                <w:b w:val="1"/>
                <w:bCs w:val="1"/>
                <w:color w:val="auto"/>
              </w:rPr>
              <w:t>Exhibits.</w:t>
            </w:r>
          </w:p>
        </w:tc>
        <w:tc>
          <w:tcPr>
            <w:tcW w:w="80" w:type="dxa"/>
            <w:vAlign w:val="bottom"/>
          </w:tcPr>
          <w:p>
            <w:pPr>
              <w:spacing w:after="0"/>
              <w:rPr>
                <w:sz w:val="17"/>
                <w:szCs w:val="17"/>
                <w:color w:val="auto"/>
              </w:rPr>
            </w:pPr>
          </w:p>
        </w:tc>
        <w:tc>
          <w:tcPr>
            <w:tcW w:w="9220" w:type="dxa"/>
            <w:vAlign w:val="bottom"/>
          </w:tcPr>
          <w:p>
            <w:pPr>
              <w:spacing w:after="0"/>
              <w:rPr>
                <w:sz w:val="17"/>
                <w:szCs w:val="17"/>
                <w:color w:val="auto"/>
              </w:rPr>
            </w:pPr>
          </w:p>
        </w:tc>
      </w:tr>
      <w:tr>
        <w:trPr>
          <w:trHeight w:val="318"/>
        </w:trPr>
        <w:tc>
          <w:tcPr>
            <w:tcW w:w="460" w:type="dxa"/>
            <w:vAlign w:val="bottom"/>
          </w:tcPr>
          <w:p>
            <w:pPr>
              <w:spacing w:after="0"/>
              <w:rPr>
                <w:sz w:val="24"/>
                <w:szCs w:val="2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273"/>
        </w:trPr>
        <w:tc>
          <w:tcPr>
            <w:tcW w:w="960" w:type="dxa"/>
            <w:vAlign w:val="bottom"/>
            <w:gridSpan w:val="2"/>
          </w:tcPr>
          <w:p>
            <w:pPr>
              <w:jc w:val="center"/>
              <w:ind w:left="484"/>
              <w:spacing w:after="0"/>
              <w:rPr>
                <w:sz w:val="20"/>
                <w:szCs w:val="20"/>
                <w:color w:val="auto"/>
              </w:rPr>
            </w:pPr>
            <w:r>
              <w:rPr>
                <w:rFonts w:ascii="Arial" w:cs="Arial" w:eastAsia="Arial" w:hAnsi="Arial"/>
                <w:sz w:val="15"/>
                <w:szCs w:val="15"/>
                <w:color w:val="auto"/>
                <w:w w:val="95"/>
              </w:rPr>
              <w:t>99.1</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300" w:type="dxa"/>
            <w:vAlign w:val="bottom"/>
            <w:gridSpan w:val="2"/>
          </w:tcPr>
          <w:p>
            <w:pPr>
              <w:ind w:left="80"/>
              <w:spacing w:after="0"/>
              <w:rPr>
                <w:sz w:val="20"/>
                <w:szCs w:val="20"/>
                <w:color w:val="auto"/>
              </w:rPr>
            </w:pPr>
            <w:r>
              <w:rPr>
                <w:rFonts w:ascii="Arial" w:cs="Arial" w:eastAsia="Arial" w:hAnsi="Arial"/>
                <w:sz w:val="15"/>
                <w:szCs w:val="15"/>
                <w:color w:val="auto"/>
              </w:rPr>
              <w:t>Press Release dated July 18, 2008</w:t>
            </w:r>
          </w:p>
        </w:tc>
      </w:tr>
      <w:tr>
        <w:trPr>
          <w:trHeight w:val="282"/>
        </w:trPr>
        <w:tc>
          <w:tcPr>
            <w:tcW w:w="960" w:type="dxa"/>
            <w:vAlign w:val="bottom"/>
            <w:gridSpan w:val="2"/>
          </w:tcPr>
          <w:p>
            <w:pPr>
              <w:jc w:val="center"/>
              <w:ind w:left="484"/>
              <w:spacing w:after="0"/>
              <w:rPr>
                <w:sz w:val="20"/>
                <w:szCs w:val="20"/>
                <w:color w:val="auto"/>
              </w:rPr>
            </w:pPr>
            <w:r>
              <w:rPr>
                <w:rFonts w:ascii="Arial" w:cs="Arial" w:eastAsia="Arial" w:hAnsi="Arial"/>
                <w:sz w:val="15"/>
                <w:szCs w:val="15"/>
                <w:color w:val="auto"/>
                <w:w w:val="95"/>
              </w:rPr>
              <w:t>99.2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00" w:type="dxa"/>
            <w:vAlign w:val="bottom"/>
            <w:gridSpan w:val="2"/>
          </w:tcPr>
          <w:p>
            <w:pPr>
              <w:ind w:left="80"/>
              <w:spacing w:after="0"/>
              <w:rPr>
                <w:sz w:val="20"/>
                <w:szCs w:val="20"/>
                <w:color w:val="auto"/>
              </w:rPr>
            </w:pPr>
            <w:r>
              <w:rPr>
                <w:rFonts w:ascii="Arial" w:cs="Arial" w:eastAsia="Arial" w:hAnsi="Arial"/>
                <w:sz w:val="15"/>
                <w:szCs w:val="15"/>
                <w:color w:val="auto"/>
              </w:rPr>
              <w:t>Presentation materials for July 18, 2008 conference call</w:t>
            </w:r>
          </w:p>
        </w:tc>
      </w:tr>
    </w:tbl>
    <w:p>
      <w:pPr>
        <w:sectPr>
          <w:pgSz w:w="11900" w:h="16838" w:orient="portrait"/>
          <w:cols w:equalWidth="0" w:num="1">
            <w:col w:w="11360"/>
          </w:cols>
          <w:pgMar w:left="240" w:top="25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SIGNATURES</w:t>
      </w:r>
    </w:p>
    <w:p>
      <w:pPr>
        <w:spacing w:after="0" w:line="161" w:lineRule="exact"/>
        <w:rPr>
          <w:sz w:val="20"/>
          <w:szCs w:val="20"/>
          <w:color w:val="auto"/>
        </w:rPr>
      </w:pPr>
    </w:p>
    <w:p>
      <w:pPr>
        <w:ind w:right="500"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80" w:type="dxa"/>
            <w:vAlign w:val="bottom"/>
          </w:tcPr>
          <w:p>
            <w:pPr>
              <w:spacing w:after="0"/>
              <w:rPr>
                <w:sz w:val="16"/>
                <w:szCs w:val="16"/>
                <w:color w:val="auto"/>
              </w:rPr>
            </w:pPr>
          </w:p>
        </w:tc>
        <w:tc>
          <w:tcPr>
            <w:tcW w:w="7760" w:type="dxa"/>
            <w:vAlign w:val="bottom"/>
            <w:gridSpan w:val="2"/>
          </w:tcPr>
          <w:p>
            <w:pPr>
              <w:ind w:left="2420"/>
              <w:spacing w:after="0"/>
              <w:rPr>
                <w:sz w:val="20"/>
                <w:szCs w:val="20"/>
                <w:color w:val="auto"/>
              </w:rPr>
            </w:pPr>
            <w:r>
              <w:rPr>
                <w:rFonts w:ascii="Arial" w:cs="Arial" w:eastAsia="Arial" w:hAnsi="Arial"/>
                <w:sz w:val="15"/>
                <w:szCs w:val="15"/>
                <w:color w:val="auto"/>
              </w:rPr>
              <w:t>MANPOWER INC.</w:t>
            </w:r>
          </w:p>
        </w:tc>
      </w:tr>
      <w:tr>
        <w:trPr>
          <w:trHeight w:val="377"/>
        </w:trPr>
        <w:tc>
          <w:tcPr>
            <w:tcW w:w="3680" w:type="dxa"/>
            <w:vAlign w:val="bottom"/>
          </w:tcPr>
          <w:p>
            <w:pPr>
              <w:spacing w:after="0"/>
              <w:rPr>
                <w:sz w:val="20"/>
                <w:szCs w:val="20"/>
                <w:color w:val="auto"/>
              </w:rPr>
            </w:pPr>
            <w:r>
              <w:rPr>
                <w:rFonts w:ascii="Arial" w:cs="Arial" w:eastAsia="Arial" w:hAnsi="Arial"/>
                <w:sz w:val="15"/>
                <w:szCs w:val="15"/>
                <w:color w:val="auto"/>
              </w:rPr>
              <w:t>Dated: July 18, 2008</w:t>
            </w:r>
          </w:p>
        </w:tc>
        <w:tc>
          <w:tcPr>
            <w:tcW w:w="7760" w:type="dxa"/>
            <w:vAlign w:val="bottom"/>
            <w:gridSpan w:val="2"/>
          </w:tcPr>
          <w:p>
            <w:pPr>
              <w:ind w:left="2420"/>
              <w:spacing w:after="0"/>
              <w:rPr>
                <w:sz w:val="20"/>
                <w:szCs w:val="20"/>
                <w:color w:val="auto"/>
              </w:rPr>
            </w:pPr>
            <w:r>
              <w:rPr>
                <w:rFonts w:ascii="Arial" w:cs="Arial" w:eastAsia="Arial" w:hAnsi="Arial"/>
                <w:sz w:val="15"/>
                <w:szCs w:val="15"/>
                <w:color w:val="auto"/>
              </w:rPr>
              <w:t>By:  /s/ Michael J. Van Handel</w:t>
            </w:r>
          </w:p>
        </w:tc>
      </w:tr>
      <w:tr>
        <w:trPr>
          <w:trHeight w:val="173"/>
        </w:trPr>
        <w:tc>
          <w:tcPr>
            <w:tcW w:w="36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rPr>
              <w:t>Michael J. Van Handel</w:t>
            </w:r>
          </w:p>
        </w:tc>
      </w:tr>
      <w:tr>
        <w:trPr>
          <w:trHeight w:val="188"/>
        </w:trPr>
        <w:tc>
          <w:tcPr>
            <w:tcW w:w="36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20" w:type="dxa"/>
            <w:vAlign w:val="bottom"/>
          </w:tcPr>
          <w:p>
            <w:pPr>
              <w:ind w:left="100"/>
              <w:spacing w:after="0"/>
              <w:rPr>
                <w:sz w:val="20"/>
                <w:szCs w:val="20"/>
                <w:color w:val="auto"/>
              </w:rPr>
            </w:pPr>
            <w:r>
              <w:rPr>
                <w:rFonts w:ascii="Arial" w:cs="Arial" w:eastAsia="Arial" w:hAnsi="Arial"/>
                <w:sz w:val="15"/>
                <w:szCs w:val="15"/>
                <w:color w:val="auto"/>
              </w:rPr>
              <w:t>Executive Vice President and</w:t>
            </w:r>
          </w:p>
        </w:tc>
      </w:tr>
      <w:tr>
        <w:trPr>
          <w:trHeight w:val="194"/>
        </w:trPr>
        <w:tc>
          <w:tcPr>
            <w:tcW w:w="36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20" w:type="dxa"/>
            <w:vAlign w:val="bottom"/>
          </w:tcPr>
          <w:p>
            <w:pPr>
              <w:ind w:left="100"/>
              <w:spacing w:after="0"/>
              <w:rPr>
                <w:sz w:val="20"/>
                <w:szCs w:val="20"/>
                <w:color w:val="auto"/>
              </w:rPr>
            </w:pPr>
            <w:r>
              <w:rPr>
                <w:rFonts w:ascii="Arial" w:cs="Arial" w:eastAsia="Arial" w:hAnsi="Arial"/>
                <w:sz w:val="15"/>
                <w:szCs w:val="15"/>
                <w:color w:val="auto"/>
              </w:rPr>
              <w:t>Chief Financial Officer</w:t>
            </w:r>
          </w:p>
        </w:tc>
      </w:tr>
    </w:tbl>
    <w:p>
      <w:pPr>
        <w:sectPr>
          <w:pgSz w:w="11900" w:h="16838" w:orient="portrait"/>
          <w:cols w:equalWidth="0" w:num="1">
            <w:col w:w="11440"/>
          </w:cols>
          <w:pgMar w:left="240" w:top="258"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EXHIBIT INDEX</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780" w:type="dxa"/>
            <w:vAlign w:val="bottom"/>
          </w:tcPr>
          <w:p>
            <w:pPr>
              <w:spacing w:after="0"/>
              <w:rPr>
                <w:sz w:val="13"/>
                <w:szCs w:val="13"/>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273"/>
        </w:trPr>
        <w:tc>
          <w:tcPr>
            <w:tcW w:w="600" w:type="dxa"/>
            <w:vAlign w:val="bottom"/>
          </w:tcPr>
          <w:p>
            <w:pPr>
              <w:jc w:val="center"/>
              <w:spacing w:after="0"/>
              <w:rPr>
                <w:sz w:val="20"/>
                <w:szCs w:val="20"/>
                <w:color w:val="auto"/>
              </w:rPr>
            </w:pPr>
            <w:r>
              <w:rPr>
                <w:rFonts w:ascii="Arial" w:cs="Arial" w:eastAsia="Arial" w:hAnsi="Arial"/>
                <w:sz w:val="15"/>
                <w:szCs w:val="15"/>
                <w:color w:val="auto"/>
                <w:w w:val="95"/>
              </w:rPr>
              <w:t>99.1</w:t>
            </w:r>
          </w:p>
        </w:tc>
        <w:tc>
          <w:tcPr>
            <w:tcW w:w="10840" w:type="dxa"/>
            <w:vAlign w:val="bottom"/>
            <w:gridSpan w:val="2"/>
          </w:tcPr>
          <w:p>
            <w:pPr>
              <w:ind w:left="780"/>
              <w:spacing w:after="0"/>
              <w:rPr>
                <w:sz w:val="20"/>
                <w:szCs w:val="20"/>
                <w:color w:val="auto"/>
              </w:rPr>
            </w:pPr>
            <w:r>
              <w:rPr>
                <w:rFonts w:ascii="Arial" w:cs="Arial" w:eastAsia="Arial" w:hAnsi="Arial"/>
                <w:sz w:val="15"/>
                <w:szCs w:val="15"/>
                <w:color w:val="auto"/>
              </w:rPr>
              <w:t>Press Release dated July 18, 2008</w:t>
            </w:r>
          </w:p>
        </w:tc>
      </w:tr>
      <w:tr>
        <w:trPr>
          <w:trHeight w:val="282"/>
        </w:trPr>
        <w:tc>
          <w:tcPr>
            <w:tcW w:w="60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10840" w:type="dxa"/>
            <w:vAlign w:val="bottom"/>
            <w:gridSpan w:val="2"/>
          </w:tcPr>
          <w:p>
            <w:pPr>
              <w:ind w:left="780"/>
              <w:spacing w:after="0"/>
              <w:rPr>
                <w:sz w:val="20"/>
                <w:szCs w:val="20"/>
                <w:color w:val="auto"/>
              </w:rPr>
            </w:pPr>
            <w:r>
              <w:rPr>
                <w:rFonts w:ascii="Arial" w:cs="Arial" w:eastAsia="Arial" w:hAnsi="Arial"/>
                <w:sz w:val="15"/>
                <w:szCs w:val="15"/>
                <w:color w:val="auto"/>
              </w:rPr>
              <w:t>Presentation materials for July 18, 2008 conference call</w:t>
            </w:r>
          </w:p>
        </w:tc>
      </w:tr>
    </w:tbl>
    <w:p>
      <w:pPr>
        <w:sectPr>
          <w:pgSz w:w="11900" w:h="16838" w:orient="portrait"/>
          <w:cols w:equalWidth="0" w:num="1">
            <w:col w:w="11440"/>
          </w:cols>
          <w:pgMar w:left="240" w:top="258"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970280" cy="843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0280" cy="843915"/>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Mike Van Handel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Manpower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+1.414.906.6305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michael.vanhandel@manpower.com</w:t>
      </w:r>
    </w:p>
    <w:p>
      <w:pPr>
        <w:spacing w:after="0" w:line="200" w:lineRule="exact"/>
        <w:rPr>
          <w:sz w:val="20"/>
          <w:szCs w:val="20"/>
          <w:color w:val="auto"/>
        </w:rPr>
      </w:pPr>
    </w:p>
    <w:p>
      <w:pPr>
        <w:sectPr>
          <w:pgSz w:w="11900" w:h="16838" w:orient="portrait"/>
          <w:cols w:equalWidth="0" w:num="2">
            <w:col w:w="7400" w:space="720"/>
            <w:col w:w="3320"/>
          </w:cols>
          <w:pgMar w:left="240" w:top="132" w:right="219" w:bottom="1440" w:gutter="0" w:footer="0" w:header="0"/>
          <w:type w:val="continuous"/>
        </w:sectPr>
      </w:pP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Manpower Reports 2</w:t>
      </w:r>
      <w:r>
        <w:rPr>
          <w:rFonts w:ascii="Arial" w:cs="Arial" w:eastAsia="Arial" w:hAnsi="Arial"/>
          <w:sz w:val="19"/>
          <w:szCs w:val="19"/>
          <w:b w:val="1"/>
          <w:bCs w:val="1"/>
          <w:color w:val="auto"/>
          <w:vertAlign w:val="superscript"/>
        </w:rPr>
        <w:t>ND</w:t>
      </w:r>
      <w:r>
        <w:rPr>
          <w:rFonts w:ascii="Arial" w:cs="Arial" w:eastAsia="Arial" w:hAnsi="Arial"/>
          <w:sz w:val="15"/>
          <w:szCs w:val="15"/>
          <w:b w:val="1"/>
          <w:bCs w:val="1"/>
          <w:color w:val="auto"/>
        </w:rPr>
        <w:t xml:space="preserve"> Quarter and First Half 2008 Results</w:t>
      </w:r>
    </w:p>
    <w:p>
      <w:pPr>
        <w:spacing w:after="0" w:line="138"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MILWAUKEE, WI, USA, July 18, 2008 – Manpower Inc. (NYSE: MAN) today reported that earnings per diluted share for the three months ended June 30, 2008 were $1.34 compared to $1.86 in the prior year period. Net earnings in the quarter were $107.4 million compared to $160.4 million a year earlier. Revenues for the second quarter were $5.9 billion, an increase of 17 percent from the year earlier period.</w:t>
      </w:r>
    </w:p>
    <w:p>
      <w:pPr>
        <w:spacing w:after="0" w:line="110" w:lineRule="exact"/>
        <w:rPr>
          <w:sz w:val="20"/>
          <w:szCs w:val="20"/>
          <w:color w:val="auto"/>
        </w:rPr>
      </w:pPr>
    </w:p>
    <w:p>
      <w:pPr>
        <w:ind w:right="200" w:firstLine="457"/>
        <w:spacing w:after="0" w:line="296" w:lineRule="auto"/>
        <w:rPr>
          <w:sz w:val="20"/>
          <w:szCs w:val="20"/>
          <w:color w:val="auto"/>
        </w:rPr>
      </w:pPr>
      <w:r>
        <w:rPr>
          <w:rFonts w:ascii="Arial" w:cs="Arial" w:eastAsia="Arial" w:hAnsi="Arial"/>
          <w:sz w:val="14"/>
          <w:szCs w:val="14"/>
          <w:color w:val="auto"/>
        </w:rPr>
        <w:t>Second quarter 2008 results include a net charge of $14.8 million after tax, or 18 cents per diluted share. This net charge is comprised of income of $35.2 million after tax, or 44 cents per diluted share, related to recoverable 2005 payroll taxes in France, offset by a charge of $50.0 million after tax, or 62 cents per diluted share, related to an increase in our legal reserve pertaining to allegations by the French Competition Council. Second quarter results were also favorably impacted by 21 cents per diluted share as foreign currencies were relatively stronger compared to the second quarter of 2007. On a constant currency basis, revenues increased 5% over the prior year period.</w:t>
      </w:r>
    </w:p>
    <w:p>
      <w:pPr>
        <w:spacing w:after="0" w:line="99" w:lineRule="exact"/>
        <w:rPr>
          <w:sz w:val="20"/>
          <w:szCs w:val="20"/>
          <w:color w:val="auto"/>
        </w:rPr>
      </w:pPr>
    </w:p>
    <w:p>
      <w:pPr>
        <w:ind w:right="320" w:firstLine="457"/>
        <w:spacing w:after="0" w:line="291" w:lineRule="auto"/>
        <w:rPr>
          <w:sz w:val="20"/>
          <w:szCs w:val="20"/>
          <w:color w:val="auto"/>
        </w:rPr>
      </w:pPr>
      <w:r>
        <w:rPr>
          <w:rFonts w:ascii="Arial" w:cs="Arial" w:eastAsia="Arial" w:hAnsi="Arial"/>
          <w:sz w:val="15"/>
          <w:szCs w:val="15"/>
          <w:color w:val="auto"/>
        </w:rPr>
        <w:t>Second quarter 2007 results were favorably impacted $57.2 million after tax, or 66 cents per diluted share, as a result of a change in the calculation of French payroll taxes for 2006 and the first half of 2007.</w:t>
      </w:r>
    </w:p>
    <w:p>
      <w:pPr>
        <w:spacing w:after="0" w:line="99" w:lineRule="exact"/>
        <w:rPr>
          <w:sz w:val="20"/>
          <w:szCs w:val="20"/>
          <w:color w:val="auto"/>
        </w:rPr>
      </w:pPr>
    </w:p>
    <w:p>
      <w:pPr>
        <w:ind w:right="20" w:firstLine="457"/>
        <w:spacing w:after="0" w:line="269" w:lineRule="auto"/>
        <w:rPr>
          <w:sz w:val="20"/>
          <w:szCs w:val="20"/>
          <w:color w:val="auto"/>
        </w:rPr>
      </w:pPr>
      <w:r>
        <w:rPr>
          <w:rFonts w:ascii="Arial" w:cs="Arial" w:eastAsia="Arial" w:hAnsi="Arial"/>
          <w:sz w:val="15"/>
          <w:szCs w:val="15"/>
          <w:color w:val="auto"/>
        </w:rPr>
        <w:t>Jeffrey A. Joerres, Manpower Inc. Chairman and Chief Executive Officer, said, “Despite a more difficult economic environment, the Manpower team performed well in the second quarter, supported by our geographically balanced portfolio of services. We were able to increase our revenues to record levels, contributed primarily by many of our major European countries. At the same time, we have experienced some stabilization in the U.S. operations. Right Management, our career transition and organizational consulting business, is doing well and continues to add strategic value to our clients. Although the economic environment has softened, we are confident that we are well-positioned and well-equipped to maximize the opportunities that typically come with economic downturns.</w:t>
      </w:r>
    </w:p>
    <w:p>
      <w:pPr>
        <w:sectPr>
          <w:pgSz w:w="11900" w:h="16838" w:orient="portrait"/>
          <w:cols w:equalWidth="0" w:num="1">
            <w:col w:w="11440"/>
          </w:cols>
          <w:pgMar w:left="240" w:top="132" w:right="219" w:bottom="1440" w:gutter="0" w:footer="0" w:header="0"/>
          <w:type w:val="continuous"/>
        </w:sectPr>
      </w:pPr>
    </w:p>
    <w:bookmarkStart w:id="5" w:name="page6"/>
    <w:bookmarkEnd w:id="5"/>
    <w:p>
      <w:pPr>
        <w:ind w:right="100" w:firstLine="457"/>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“We are anticipating the third quarter of 2008 diluted earnings per share to be in the range of $1.45 to $1.49, which includes an estimated favorable currency impact of 17 cents,” Joerres stated.</w:t>
      </w:r>
    </w:p>
    <w:p>
      <w:pPr>
        <w:spacing w:after="0" w:line="99" w:lineRule="exact"/>
        <w:rPr>
          <w:sz w:val="20"/>
          <w:szCs w:val="20"/>
          <w:color w:val="auto"/>
        </w:rPr>
      </w:pPr>
    </w:p>
    <w:p>
      <w:pPr>
        <w:jc w:val="both"/>
        <w:ind w:right="20" w:firstLine="457"/>
        <w:spacing w:after="0" w:line="276" w:lineRule="auto"/>
        <w:rPr>
          <w:sz w:val="20"/>
          <w:szCs w:val="20"/>
          <w:color w:val="auto"/>
        </w:rPr>
      </w:pPr>
      <w:r>
        <w:rPr>
          <w:rFonts w:ascii="Arial" w:cs="Arial" w:eastAsia="Arial" w:hAnsi="Arial"/>
          <w:sz w:val="15"/>
          <w:szCs w:val="15"/>
          <w:color w:val="auto"/>
        </w:rPr>
        <w:t>Earnings per diluted share for the six months ended June 30, 2008 were $2.27 compared to $2.54 per diluted share in 2007. Net earnings were $182.9 million compared to $219.9 million in the prior year. Revenues for the six-month period were $11.3 billion, an increase of 18 percent from the prior year or 6 percent in constant currency. Foreign currency exchange rates had a favorable impact of 36 cents for the six-month period.</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conjunction with its second quarter earnings release, Manpower will broadcast its conference call live over the Internet on July 18, 2008 at 7:30 a.m. CDT (8:30 a.m. EDT).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Interested parties are invited to listen to the webcast and view the presentation by logging on to http://investor.manpower.com.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Supplemental financial information referenced in the conference call can be found at http://investor.manpower.com.</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 Inc.</w:t>
      </w:r>
    </w:p>
    <w:p>
      <w:pPr>
        <w:spacing w:after="0" w:line="90"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 xml:space="preserve">Manpower Inc. (NYSE: MAN) is a world leader in the employment services industry; creating and delivering services that enable its clients to win in the changing world of work. Celebrating its 60th anniversary in 2008, the $21 billion company offers employers a range of services for the entire employment and business cycle including permanent, temporary and contract recruitment; employee assessment and selection; training; outplacement; outsourcing and consulting. Manpower’s worldwide network of 4,500 offices in 80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t>
      </w:r>
      <w:r>
        <w:rPr>
          <w:rFonts w:ascii="Arial" w:cs="Arial" w:eastAsia="Arial" w:hAnsi="Arial"/>
          <w:sz w:val="15"/>
          <w:szCs w:val="15"/>
          <w:u w:val="single" w:color="auto"/>
          <w:color w:val="auto"/>
        </w:rPr>
        <w:t>www.manpower.com</w:t>
      </w:r>
      <w:r>
        <w:rPr>
          <w:rFonts w:ascii="Arial" w:cs="Arial" w:eastAsia="Arial" w:hAnsi="Arial"/>
          <w:sz w:val="15"/>
          <w:szCs w:val="15"/>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2007, which information is incorporated herein by reference.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 ### -</w:t>
      </w:r>
    </w:p>
    <w:p>
      <w:pPr>
        <w:sectPr>
          <w:pgSz w:w="11900" w:h="16838" w:orient="portrait"/>
          <w:cols w:equalWidth="0" w:num="1">
            <w:col w:w="11400"/>
          </w:cols>
          <w:pgMar w:left="240" w:top="262" w:right="259" w:bottom="1440" w:gutter="0" w:footer="0" w:header="0"/>
        </w:sectPr>
      </w:pPr>
    </w:p>
    <w:bookmarkStart w:id="6" w:name="page7"/>
    <w:bookmarkEnd w:id="6"/>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51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2"/>
                <w:szCs w:val="12"/>
                <w:b w:val="1"/>
                <w:bCs w:val="1"/>
                <w:color w:val="auto"/>
                <w:w w:val="88"/>
              </w:rPr>
              <w:t>Three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1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5"/>
              <w:spacing w:after="0"/>
              <w:rPr>
                <w:sz w:val="20"/>
                <w:szCs w:val="20"/>
                <w:color w:val="auto"/>
              </w:rPr>
            </w:pPr>
            <w:r>
              <w:rPr>
                <w:rFonts w:ascii="Arial" w:cs="Arial" w:eastAsia="Arial" w:hAnsi="Arial"/>
                <w:sz w:val="12"/>
                <w:szCs w:val="12"/>
                <w:b w:val="1"/>
                <w:bCs w:val="1"/>
                <w:color w:val="auto"/>
              </w:rPr>
              <w:t>2008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5"/>
              <w:spacing w:after="0"/>
              <w:rPr>
                <w:sz w:val="20"/>
                <w:szCs w:val="20"/>
                <w:color w:val="auto"/>
              </w:rPr>
            </w:pPr>
            <w:r>
              <w:rPr>
                <w:rFonts w:ascii="Arial" w:cs="Arial" w:eastAsia="Arial" w:hAnsi="Arial"/>
                <w:sz w:val="12"/>
                <w:szCs w:val="12"/>
                <w:b w:val="1"/>
                <w:bCs w:val="1"/>
                <w:color w:val="auto"/>
              </w:rPr>
              <w:t>2007</w:t>
            </w:r>
          </w:p>
        </w:tc>
        <w:tc>
          <w:tcPr>
            <w:tcW w:w="124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5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jc w:val="center"/>
              <w:spacing w:after="0"/>
              <w:rPr>
                <w:sz w:val="20"/>
                <w:szCs w:val="20"/>
                <w:color w:val="auto"/>
              </w:rPr>
            </w:pPr>
            <w:r>
              <w:rPr>
                <w:rFonts w:ascii="Arial" w:cs="Arial" w:eastAsia="Arial" w:hAnsi="Arial"/>
                <w:sz w:val="8"/>
                <w:szCs w:val="8"/>
                <w:b w:val="1"/>
                <w:bCs w:val="1"/>
                <w:color w:val="auto"/>
                <w:w w:val="71"/>
              </w:rPr>
              <w:t>(Unaudited)</w:t>
            </w: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5,904.9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5,034.4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Cost of services</w:t>
            </w:r>
          </w:p>
        </w:tc>
        <w:tc>
          <w:tcPr>
            <w:tcW w:w="2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4,751.3</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4,010.3</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18.5%</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1,153.6</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1,024.1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946.3</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747.1</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26.7%</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207.3</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77.4%</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193.4</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269.3</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86.0</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108.9</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-21.0%</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-33.0%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5"/>
                <w:szCs w:val="15"/>
                <w:color w:val="auto"/>
              </w:rPr>
              <w:t>Net earnings per share - basic</w:t>
            </w: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-28.4%</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3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1.36</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1.90</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Net earnings per share - diluted</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-28.0%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-6.2%</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79.2</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9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80.3</w:t>
            </w: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-6.8%</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446" w:right="160" w:hanging="446"/>
        <w:spacing w:after="0" w:line="276" w:lineRule="auto"/>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$8.3 million and $9.0 million for the three months ended June 30, 2008 and 2007, respectively. These fees are primarily based on revenues generated by the franchise offices which were $325.4 million and $361.8 million for the three months ended ended June 30, 2008 and 2007, respectively.</w:t>
      </w:r>
    </w:p>
    <w:p>
      <w:pPr>
        <w:sectPr>
          <w:pgSz w:w="11900" w:h="16838" w:orient="portrait"/>
          <w:cols w:equalWidth="0" w:num="1">
            <w:col w:w="11446"/>
          </w:cols>
          <w:pgMar w:left="234" w:top="262" w:right="219" w:bottom="1440" w:gutter="0" w:footer="0" w:header="0"/>
        </w:sectPr>
      </w:pPr>
    </w:p>
    <w:bookmarkStart w:id="7" w:name="page8"/>
    <w:bookmarkEnd w:id="7"/>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8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2"/>
                <w:szCs w:val="12"/>
                <w:b w:val="1"/>
                <w:bCs w:val="1"/>
                <w:color w:val="auto"/>
                <w:w w:val="95"/>
              </w:rPr>
              <w:t>Three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84"/>
              <w:spacing w:after="0"/>
              <w:rPr>
                <w:sz w:val="20"/>
                <w:szCs w:val="20"/>
                <w:color w:val="auto"/>
              </w:rPr>
            </w:pPr>
            <w:r>
              <w:rPr>
                <w:rFonts w:ascii="Arial" w:cs="Arial" w:eastAsia="Arial" w:hAnsi="Arial"/>
                <w:sz w:val="12"/>
                <w:szCs w:val="12"/>
                <w:b w:val="1"/>
                <w:bCs w:val="1"/>
                <w:color w:val="auto"/>
              </w:rPr>
              <w:t>2008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5"/>
              <w:spacing w:after="0"/>
              <w:rPr>
                <w:sz w:val="20"/>
                <w:szCs w:val="20"/>
                <w:color w:val="auto"/>
              </w:rPr>
            </w:pPr>
            <w:r>
              <w:rPr>
                <w:rFonts w:ascii="Arial" w:cs="Arial" w:eastAsia="Arial" w:hAnsi="Arial"/>
                <w:sz w:val="12"/>
                <w:szCs w:val="12"/>
                <w:b w:val="1"/>
                <w:bCs w:val="1"/>
                <w:color w:val="auto"/>
              </w:rPr>
              <w:t>2007</w:t>
            </w: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4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4"/>
          </w:tcPr>
          <w:p>
            <w:pPr>
              <w:jc w:val="right"/>
              <w:ind w:right="80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United States (a)</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491.6</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488.6</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0.6%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1,958.1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1,784.9</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Other EMEA</w:t>
            </w:r>
          </w:p>
        </w:tc>
        <w:tc>
          <w:tcPr>
            <w:tcW w:w="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91"/>
              </w:rPr>
              <w:t>2,050.7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1,582.0</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29.6%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Italy</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441.4</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Jefferson Wells</w:t>
            </w:r>
          </w:p>
        </w:tc>
        <w:tc>
          <w:tcPr>
            <w:tcW w:w="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75.8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83.8</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-9.6%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Right Management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115.7</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92"/>
        </w:trPr>
        <w:tc>
          <w:tcPr>
            <w:tcW w:w="8140" w:type="dxa"/>
            <w:vAlign w:val="bottom"/>
          </w:tcPr>
          <w:p>
            <w:pPr>
              <w:ind w:left="380"/>
              <w:spacing w:after="0"/>
              <w:rPr>
                <w:sz w:val="20"/>
                <w:szCs w:val="20"/>
                <w:color w:val="auto"/>
              </w:rPr>
            </w:pPr>
            <w:r>
              <w:rPr>
                <w:rFonts w:ascii="Arial" w:cs="Arial" w:eastAsia="Arial" w:hAnsi="Arial"/>
                <w:sz w:val="15"/>
                <w:szCs w:val="15"/>
                <w:color w:val="auto"/>
              </w:rPr>
              <w:t>Other Operations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635.5</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21.5%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5,904.9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5,034.4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5"/>
                <w:szCs w:val="15"/>
                <w:color w:val="auto"/>
              </w:rPr>
              <w:t>Operating Unit Profit: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0" w:type="dxa"/>
            <w:vAlign w:val="bottom"/>
          </w:tcPr>
          <w:p>
            <w:pPr>
              <w:spacing w:after="0"/>
              <w:rPr>
                <w:sz w:val="1"/>
                <w:szCs w:val="1"/>
                <w:color w:val="auto"/>
              </w:rPr>
            </w:pP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France</w:t>
            </w:r>
          </w:p>
        </w:tc>
        <w:tc>
          <w:tcPr>
            <w:tcW w:w="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69.8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163.7</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-57.3%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-63.2%</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EMEA</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85.1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53.0%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36.0%</w:t>
            </w:r>
          </w:p>
        </w:tc>
        <w:tc>
          <w:tcPr>
            <w:tcW w:w="0" w:type="dxa"/>
            <w:vAlign w:val="bottom"/>
          </w:tcPr>
          <w:p>
            <w:pPr>
              <w:spacing w:after="0"/>
              <w:rPr>
                <w:sz w:val="1"/>
                <w:szCs w:val="1"/>
                <w:color w:val="auto"/>
              </w:rPr>
            </w:pP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Italy</w:t>
            </w:r>
          </w:p>
        </w:tc>
        <w:tc>
          <w:tcPr>
            <w:tcW w:w="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37.6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29.1</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29.3%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N/A</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13.3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11.0</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21.3%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91"/>
        </w:trPr>
        <w:tc>
          <w:tcPr>
            <w:tcW w:w="8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235.6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301.7</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25.0</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207.3</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Interest and other expenses (b)</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193.4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269.3</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46" w:right="140" w:hanging="446"/>
        <w:spacing w:after="0" w:line="276"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our franchise offices of $4.7 million and $6.5 million for the three months ended June 30, 2008 and 2007, respectively. These fees are primarily based on revenues generated by the franchise offices, which were $214.6 million and $278.5 million for the three months ended June 30, 2008 and 2007, respectively.</w:t>
      </w:r>
    </w:p>
    <w:p>
      <w:pPr>
        <w:spacing w:after="0" w:line="39" w:lineRule="exact"/>
        <w:rPr>
          <w:rFonts w:ascii="Arial" w:cs="Arial" w:eastAsia="Arial" w:hAnsi="Arial"/>
          <w:sz w:val="15"/>
          <w:szCs w:val="15"/>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188"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9380" w:type="dxa"/>
            <w:vAlign w:val="bottom"/>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2007</w:t>
            </w:r>
          </w:p>
        </w:tc>
        <w:tc>
          <w:tcPr>
            <w:tcW w:w="60" w:type="dxa"/>
            <w:vAlign w:val="bottom"/>
          </w:tcPr>
          <w:p>
            <w:pPr>
              <w:spacing w:after="0"/>
              <w:rPr>
                <w:sz w:val="12"/>
                <w:szCs w:val="12"/>
                <w:color w:val="auto"/>
              </w:rPr>
            </w:pPr>
          </w:p>
        </w:tc>
      </w:tr>
      <w:tr>
        <w:trPr>
          <w:trHeight w:val="180"/>
        </w:trPr>
        <w:tc>
          <w:tcPr>
            <w:tcW w:w="93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$17.1</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13.1</w:t>
            </w:r>
          </w:p>
        </w:tc>
        <w:tc>
          <w:tcPr>
            <w:tcW w:w="60" w:type="dxa"/>
            <w:vAlign w:val="bottom"/>
            <w:shd w:val="clear" w:color="auto" w:fill="CCEEFF"/>
          </w:tcPr>
          <w:p>
            <w:pPr>
              <w:spacing w:after="0"/>
              <w:rPr>
                <w:sz w:val="15"/>
                <w:szCs w:val="15"/>
                <w:color w:val="auto"/>
              </w:rPr>
            </w:pPr>
          </w:p>
        </w:tc>
      </w:tr>
      <w:tr>
        <w:trPr>
          <w:trHeight w:val="188"/>
        </w:trPr>
        <w:tc>
          <w:tcPr>
            <w:tcW w:w="9380" w:type="dxa"/>
            <w:vAlign w:val="bottom"/>
          </w:tcPr>
          <w:p>
            <w:pPr>
              <w:spacing w:after="0"/>
              <w:rPr>
                <w:sz w:val="20"/>
                <w:szCs w:val="20"/>
                <w:color w:val="auto"/>
              </w:rPr>
            </w:pPr>
            <w:r>
              <w:rPr>
                <w:rFonts w:ascii="Arial" w:cs="Arial" w:eastAsia="Arial" w:hAnsi="Arial"/>
                <w:sz w:val="15"/>
                <w:szCs w:val="15"/>
                <w:color w:val="auto"/>
              </w:rPr>
              <w:t>Interest income</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(6.0)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5"/>
                <w:szCs w:val="15"/>
                <w:color w:val="auto"/>
                <w:w w:val="97"/>
              </w:rPr>
              <w:t>(6.2)</w:t>
            </w:r>
          </w:p>
        </w:tc>
      </w:tr>
      <w:tr>
        <w:trPr>
          <w:trHeight w:val="188"/>
        </w:trPr>
        <w:tc>
          <w:tcPr>
            <w:tcW w:w="938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losses</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60" w:type="dxa"/>
            <w:vAlign w:val="bottom"/>
            <w:shd w:val="clear" w:color="auto" w:fill="CCEEFF"/>
          </w:tcPr>
          <w:p>
            <w:pPr>
              <w:spacing w:after="0"/>
              <w:rPr>
                <w:sz w:val="16"/>
                <w:szCs w:val="16"/>
                <w:color w:val="auto"/>
              </w:rPr>
            </w:pPr>
          </w:p>
        </w:tc>
      </w:tr>
      <w:tr>
        <w:trPr>
          <w:trHeight w:val="192"/>
        </w:trPr>
        <w:tc>
          <w:tcPr>
            <w:tcW w:w="9380" w:type="dxa"/>
            <w:vAlign w:val="bottom"/>
          </w:tcPr>
          <w:p>
            <w:pPr>
              <w:spacing w:after="0"/>
              <w:rPr>
                <w:sz w:val="20"/>
                <w:szCs w:val="20"/>
                <w:color w:val="auto"/>
              </w:rPr>
            </w:pPr>
            <w:r>
              <w:rPr>
                <w:rFonts w:ascii="Arial" w:cs="Arial" w:eastAsia="Arial" w:hAnsi="Arial"/>
                <w:sz w:val="15"/>
                <w:szCs w:val="15"/>
                <w:color w:val="auto"/>
              </w:rPr>
              <w:t>Miscellaneous expenses, net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60" w:type="dxa"/>
            <w:vAlign w:val="bottom"/>
          </w:tcPr>
          <w:p>
            <w:pPr>
              <w:spacing w:after="0"/>
              <w:rPr>
                <w:sz w:val="16"/>
                <w:szCs w:val="16"/>
                <w:color w:val="auto"/>
              </w:rPr>
            </w:pPr>
          </w:p>
        </w:tc>
      </w:tr>
      <w:tr>
        <w:trPr>
          <w:trHeight w:val="188"/>
        </w:trPr>
        <w:tc>
          <w:tcPr>
            <w:tcW w:w="93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13.9</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60" w:type="dxa"/>
            <w:vAlign w:val="bottom"/>
            <w:shd w:val="clear" w:color="auto" w:fill="CCEEFF"/>
          </w:tcPr>
          <w:p>
            <w:pPr>
              <w:spacing w:after="0"/>
              <w:rPr>
                <w:sz w:val="16"/>
                <w:szCs w:val="16"/>
                <w:color w:val="auto"/>
              </w:rPr>
            </w:pPr>
          </w:p>
        </w:tc>
      </w:tr>
      <w:tr>
        <w:trPr>
          <w:trHeight w:val="20"/>
        </w:trPr>
        <w:tc>
          <w:tcPr>
            <w:tcW w:w="9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8" w:name="page9"/>
    <w:bookmarkEnd w:id="8"/>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8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ind w:left="320"/>
              <w:spacing w:after="0"/>
              <w:rPr>
                <w:sz w:val="20"/>
                <w:szCs w:val="20"/>
                <w:color w:val="auto"/>
              </w:rPr>
            </w:pPr>
            <w:r>
              <w:rPr>
                <w:rFonts w:ascii="Arial" w:cs="Arial" w:eastAsia="Arial" w:hAnsi="Arial"/>
                <w:sz w:val="12"/>
                <w:szCs w:val="12"/>
                <w:b w:val="1"/>
                <w:bCs w:val="1"/>
                <w:color w:val="auto"/>
              </w:rPr>
              <w:t>Six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0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5"/>
              <w:spacing w:after="0"/>
              <w:rPr>
                <w:sz w:val="20"/>
                <w:szCs w:val="20"/>
                <w:color w:val="auto"/>
              </w:rPr>
            </w:pPr>
            <w:r>
              <w:rPr>
                <w:rFonts w:ascii="Arial" w:cs="Arial" w:eastAsia="Arial" w:hAnsi="Arial"/>
                <w:sz w:val="12"/>
                <w:szCs w:val="12"/>
                <w:b w:val="1"/>
                <w:bCs w:val="1"/>
                <w:color w:val="auto"/>
              </w:rPr>
              <w:t>2008</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6"/>
              <w:spacing w:after="0"/>
              <w:rPr>
                <w:sz w:val="20"/>
                <w:szCs w:val="20"/>
                <w:color w:val="auto"/>
              </w:rPr>
            </w:pPr>
            <w:r>
              <w:rPr>
                <w:rFonts w:ascii="Arial" w:cs="Arial" w:eastAsia="Arial" w:hAnsi="Arial"/>
                <w:sz w:val="12"/>
                <w:szCs w:val="12"/>
                <w:b w:val="1"/>
                <w:bCs w:val="1"/>
                <w:color w:val="auto"/>
              </w:rPr>
              <w:t>2007</w:t>
            </w: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4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4"/>
          </w:tcPr>
          <w:p>
            <w:pPr>
              <w:jc w:val="right"/>
              <w:ind w:right="82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11,291.5</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9,570.0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18.0%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92"/>
        </w:trPr>
        <w:tc>
          <w:tcPr>
            <w:tcW w:w="8080" w:type="dxa"/>
            <w:vAlign w:val="bottom"/>
          </w:tcPr>
          <w:p>
            <w:pPr>
              <w:spacing w:after="0"/>
              <w:rPr>
                <w:sz w:val="20"/>
                <w:szCs w:val="20"/>
                <w:color w:val="auto"/>
              </w:rPr>
            </w:pPr>
            <w:r>
              <w:rPr>
                <w:rFonts w:ascii="Arial" w:cs="Arial" w:eastAsia="Arial" w:hAnsi="Arial"/>
                <w:sz w:val="15"/>
                <w:szCs w:val="15"/>
                <w:color w:val="auto"/>
              </w:rPr>
              <w:t>Cost of services</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9,170.2</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7,745.9</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18.4%</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2,121.3</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1,824.1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92"/>
        </w:trPr>
        <w:tc>
          <w:tcPr>
            <w:tcW w:w="808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1,782.0</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1,443.8</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23.4%</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339.3</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92"/>
        </w:trPr>
        <w:tc>
          <w:tcPr>
            <w:tcW w:w="808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44.8%</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314.1</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-13.5%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0" w:type="dxa"/>
            <w:vAlign w:val="bottom"/>
          </w:tcPr>
          <w:p>
            <w:pPr>
              <w:spacing w:after="0"/>
              <w:rPr>
                <w:sz w:val="1"/>
                <w:szCs w:val="1"/>
                <w:color w:val="auto"/>
              </w:rPr>
            </w:pPr>
          </w:p>
        </w:tc>
      </w:tr>
      <w:tr>
        <w:trPr>
          <w:trHeight w:val="192"/>
        </w:trPr>
        <w:tc>
          <w:tcPr>
            <w:tcW w:w="808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131.2</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143.1</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-8.3%</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182.9</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219.9</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-16.8%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5"/>
                <w:szCs w:val="15"/>
                <w:color w:val="auto"/>
              </w:rPr>
              <w:t>Net earnings per share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-11.2%</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8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2.31</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2.60</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Net earnings per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-6.3%</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8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79.3</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84.6</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8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-7.0%</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46" w:right="360" w:hanging="446"/>
        <w:spacing w:after="0" w:line="373" w:lineRule="auto"/>
        <w:tabs>
          <w:tab w:leader="none" w:pos="446" w:val="left"/>
        </w:tabs>
        <w:numPr>
          <w:ilvl w:val="0"/>
          <w:numId w:val="4"/>
        </w:numPr>
        <w:rPr>
          <w:rFonts w:ascii="Arial" w:cs="Arial" w:eastAsia="Arial" w:hAnsi="Arial"/>
          <w:sz w:val="13"/>
          <w:szCs w:val="13"/>
          <w:color w:val="auto"/>
        </w:rPr>
      </w:pPr>
      <w:r>
        <w:rPr>
          <w:rFonts w:ascii="Arial" w:cs="Arial" w:eastAsia="Arial" w:hAnsi="Arial"/>
          <w:sz w:val="13"/>
          <w:szCs w:val="13"/>
          <w:color w:val="auto"/>
        </w:rPr>
        <w:t>Revenues from services include fees received from our franchise offices of $15.6 million and $17.4 million for the six months ended June 30, 2008 and 2007. These fees are primarily based on revenues generated by the franchise offices, which were $629.4 million and $724.2 million for the six months ended June 30, 2008 and 2007, respectively.</w:t>
      </w:r>
    </w:p>
    <w:p>
      <w:pPr>
        <w:sectPr>
          <w:pgSz w:w="11900" w:h="16838" w:orient="portrait"/>
          <w:cols w:equalWidth="0" w:num="1">
            <w:col w:w="11446"/>
          </w:cols>
          <w:pgMar w:left="234" w:top="262" w:right="219" w:bottom="1440" w:gutter="0" w:footer="0" w:header="0"/>
        </w:sectPr>
      </w:pPr>
    </w:p>
    <w:bookmarkStart w:id="9" w:name="page10"/>
    <w:bookmarkEnd w:id="9"/>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5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2"/>
                <w:szCs w:val="12"/>
                <w:b w:val="1"/>
                <w:bCs w:val="1"/>
                <w:color w:val="auto"/>
                <w:w w:val="95"/>
              </w:rPr>
              <w:t>Six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24"/>
              <w:spacing w:after="0"/>
              <w:rPr>
                <w:sz w:val="20"/>
                <w:szCs w:val="20"/>
                <w:color w:val="auto"/>
              </w:rPr>
            </w:pPr>
            <w:r>
              <w:rPr>
                <w:rFonts w:ascii="Arial" w:cs="Arial" w:eastAsia="Arial" w:hAnsi="Arial"/>
                <w:sz w:val="12"/>
                <w:szCs w:val="12"/>
                <w:b w:val="1"/>
                <w:bCs w:val="1"/>
                <w:color w:val="auto"/>
              </w:rPr>
              <w:t>2008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5"/>
              <w:spacing w:after="0"/>
              <w:rPr>
                <w:sz w:val="20"/>
                <w:szCs w:val="20"/>
                <w:color w:val="auto"/>
              </w:rPr>
            </w:pPr>
            <w:r>
              <w:rPr>
                <w:rFonts w:ascii="Arial" w:cs="Arial" w:eastAsia="Arial" w:hAnsi="Arial"/>
                <w:sz w:val="12"/>
                <w:szCs w:val="12"/>
                <w:b w:val="1"/>
                <w:bCs w:val="1"/>
                <w:color w:val="auto"/>
              </w:rPr>
              <w:t>2007</w:t>
            </w: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4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4"/>
          </w:tcPr>
          <w:p>
            <w:pPr>
              <w:jc w:val="right"/>
              <w:ind w:right="84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w:t>
            </w:r>
          </w:p>
        </w:tc>
        <w:tc>
          <w:tcPr>
            <w:tcW w:w="2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20" w:type="dxa"/>
            <w:vAlign w:val="bottom"/>
          </w:tcPr>
          <w:p>
            <w:pPr>
              <w:ind w:left="380"/>
              <w:spacing w:after="0"/>
              <w:rPr>
                <w:sz w:val="20"/>
                <w:szCs w:val="20"/>
                <w:color w:val="auto"/>
              </w:rPr>
            </w:pPr>
            <w:r>
              <w:rPr>
                <w:rFonts w:ascii="Arial" w:cs="Arial" w:eastAsia="Arial" w:hAnsi="Arial"/>
                <w:sz w:val="15"/>
                <w:szCs w:val="15"/>
                <w:color w:val="auto"/>
              </w:rPr>
              <w:t>United States (a)</w:t>
            </w:r>
          </w:p>
        </w:tc>
        <w:tc>
          <w:tcPr>
            <w:tcW w:w="30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963.1</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972.2</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-0.9%</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2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3,692.1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3,277.9</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88"/>
        </w:trPr>
        <w:tc>
          <w:tcPr>
            <w:tcW w:w="5120" w:type="dxa"/>
            <w:vAlign w:val="bottom"/>
          </w:tcPr>
          <w:p>
            <w:pPr>
              <w:ind w:left="380"/>
              <w:spacing w:after="0"/>
              <w:rPr>
                <w:sz w:val="20"/>
                <w:szCs w:val="20"/>
                <w:color w:val="auto"/>
              </w:rPr>
            </w:pPr>
            <w:r>
              <w:rPr>
                <w:rFonts w:ascii="Arial" w:cs="Arial" w:eastAsia="Arial" w:hAnsi="Arial"/>
                <w:sz w:val="15"/>
                <w:szCs w:val="15"/>
                <w:color w:val="auto"/>
              </w:rPr>
              <w:t>Other EMEA</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3,904.4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3,058.4</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27.7%</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Italy</w:t>
            </w:r>
          </w:p>
        </w:tc>
        <w:tc>
          <w:tcPr>
            <w:tcW w:w="2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842.6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658.6</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27.9%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8"/>
        </w:trPr>
        <w:tc>
          <w:tcPr>
            <w:tcW w:w="5120" w:type="dxa"/>
            <w:vAlign w:val="bottom"/>
          </w:tcPr>
          <w:p>
            <w:pPr>
              <w:ind w:left="380"/>
              <w:spacing w:after="0"/>
              <w:rPr>
                <w:sz w:val="20"/>
                <w:szCs w:val="20"/>
                <w:color w:val="auto"/>
              </w:rPr>
            </w:pPr>
            <w:r>
              <w:rPr>
                <w:rFonts w:ascii="Arial" w:cs="Arial" w:eastAsia="Arial" w:hAnsi="Arial"/>
                <w:sz w:val="15"/>
                <w:szCs w:val="15"/>
                <w:color w:val="auto"/>
              </w:rPr>
              <w:t>Jefferson Wells</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153.2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165.1</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-7.2%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Right Management</w:t>
            </w:r>
          </w:p>
        </w:tc>
        <w:tc>
          <w:tcPr>
            <w:tcW w:w="2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219.0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199.7</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92"/>
        </w:trPr>
        <w:tc>
          <w:tcPr>
            <w:tcW w:w="5120" w:type="dxa"/>
            <w:vAlign w:val="bottom"/>
          </w:tcPr>
          <w:p>
            <w:pPr>
              <w:ind w:left="380"/>
              <w:spacing w:after="0"/>
              <w:rPr>
                <w:sz w:val="20"/>
                <w:szCs w:val="20"/>
                <w:color w:val="auto"/>
              </w:rPr>
            </w:pPr>
            <w:r>
              <w:rPr>
                <w:rFonts w:ascii="Arial" w:cs="Arial" w:eastAsia="Arial" w:hAnsi="Arial"/>
                <w:sz w:val="15"/>
                <w:szCs w:val="15"/>
                <w:color w:val="auto"/>
              </w:rPr>
              <w:t>Other Operations</w:t>
            </w:r>
          </w:p>
        </w:tc>
        <w:tc>
          <w:tcPr>
            <w:tcW w:w="2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1,517.1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1,238.1</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22.5%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u w:val="single" w:color="auto"/>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88"/>
              </w:rPr>
              <w:t>11,291.5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9,570.0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18.0%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5"/>
                <w:szCs w:val="15"/>
                <w:color w:val="auto"/>
              </w:rPr>
              <w:t>Operating Unit Profit:</w:t>
            </w: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2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-41.6%</w:t>
            </w:r>
          </w:p>
        </w:tc>
        <w:tc>
          <w:tcPr>
            <w:tcW w:w="0" w:type="dxa"/>
            <w:vAlign w:val="bottom"/>
          </w:tcPr>
          <w:p>
            <w:pPr>
              <w:spacing w:after="0"/>
              <w:rPr>
                <w:sz w:val="1"/>
                <w:szCs w:val="1"/>
                <w:color w:val="auto"/>
              </w:rPr>
            </w:pPr>
          </w:p>
        </w:tc>
      </w:tr>
      <w:tr>
        <w:trPr>
          <w:trHeight w:val="188"/>
        </w:trPr>
        <w:tc>
          <w:tcPr>
            <w:tcW w:w="5120" w:type="dxa"/>
            <w:vAlign w:val="bottom"/>
          </w:tcPr>
          <w:p>
            <w:pPr>
              <w:ind w:left="380"/>
              <w:spacing w:after="0"/>
              <w:rPr>
                <w:sz w:val="20"/>
                <w:szCs w:val="20"/>
                <w:color w:val="auto"/>
              </w:rPr>
            </w:pPr>
            <w:r>
              <w:rPr>
                <w:rFonts w:ascii="Arial" w:cs="Arial" w:eastAsia="Arial" w:hAnsi="Arial"/>
                <w:sz w:val="15"/>
                <w:szCs w:val="15"/>
                <w:color w:val="auto"/>
              </w:rPr>
              <w:t>France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123.8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207.6</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-40.3%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EMEA</w:t>
            </w:r>
          </w:p>
        </w:tc>
        <w:tc>
          <w:tcPr>
            <w:tcW w:w="2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132.8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43.8%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88"/>
        </w:trPr>
        <w:tc>
          <w:tcPr>
            <w:tcW w:w="5120" w:type="dxa"/>
            <w:vAlign w:val="bottom"/>
          </w:tcPr>
          <w:p>
            <w:pPr>
              <w:ind w:left="380"/>
              <w:spacing w:after="0"/>
              <w:rPr>
                <w:sz w:val="20"/>
                <w:szCs w:val="20"/>
                <w:color w:val="auto"/>
              </w:rPr>
            </w:pPr>
            <w:r>
              <w:rPr>
                <w:rFonts w:ascii="Arial" w:cs="Arial" w:eastAsia="Arial" w:hAnsi="Arial"/>
                <w:sz w:val="15"/>
                <w:szCs w:val="15"/>
                <w:color w:val="auto"/>
              </w:rPr>
              <w:t>Italy</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66.7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45.5</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46.5%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2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N/A</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88"/>
        </w:trPr>
        <w:tc>
          <w:tcPr>
            <w:tcW w:w="512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20.0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17.1</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16.8%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29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36.1%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5"/>
                <w:szCs w:val="15"/>
                <w:color w:val="auto"/>
              </w:rPr>
              <w:t>399.0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430.1</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2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2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339.3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-10.8%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20"/>
                <w:szCs w:val="20"/>
                <w:color w:val="auto"/>
              </w:rPr>
            </w:pPr>
            <w:r>
              <w:rPr>
                <w:rFonts w:ascii="Arial" w:cs="Arial" w:eastAsia="Arial" w:hAnsi="Arial"/>
                <w:sz w:val="15"/>
                <w:szCs w:val="15"/>
                <w:color w:val="auto"/>
              </w:rPr>
              <w:t>Interest and other expenses (b)</w:t>
            </w:r>
          </w:p>
        </w:tc>
        <w:tc>
          <w:tcPr>
            <w:tcW w:w="2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363.0</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46" w:right="100" w:hanging="446"/>
        <w:spacing w:after="0" w:line="276" w:lineRule="auto"/>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our franchise offices of $9.3 million and $11.8 million for the six months ended June 30, 2008 and 2007, respectively. These fees are primarily based on revenues generated by the franchise offices, which were $427.3 million and $547.6 million for the six months ended June 30, 2008 and 2007, respectively.</w:t>
      </w:r>
    </w:p>
    <w:p>
      <w:pPr>
        <w:spacing w:after="0" w:line="39" w:lineRule="exact"/>
        <w:rPr>
          <w:rFonts w:ascii="Arial" w:cs="Arial" w:eastAsia="Arial" w:hAnsi="Arial"/>
          <w:sz w:val="15"/>
          <w:szCs w:val="15"/>
          <w:color w:val="auto"/>
        </w:rPr>
      </w:pPr>
    </w:p>
    <w:p>
      <w:pPr>
        <w:ind w:left="446" w:hanging="446"/>
        <w:spacing w:after="0"/>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188"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54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2008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b w:val="1"/>
                <w:bCs w:val="1"/>
                <w:color w:val="auto"/>
              </w:rPr>
              <w:t>2007</w:t>
            </w:r>
          </w:p>
        </w:tc>
        <w:tc>
          <w:tcPr>
            <w:tcW w:w="60" w:type="dxa"/>
            <w:vAlign w:val="bottom"/>
          </w:tcPr>
          <w:p>
            <w:pPr>
              <w:spacing w:after="0"/>
              <w:rPr>
                <w:sz w:val="12"/>
                <w:szCs w:val="12"/>
                <w:color w:val="auto"/>
              </w:rPr>
            </w:pPr>
          </w:p>
        </w:tc>
      </w:tr>
      <w:tr>
        <w:trPr>
          <w:trHeight w:val="180"/>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43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$ 32.7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$ 25.1</w:t>
            </w:r>
          </w:p>
        </w:tc>
        <w:tc>
          <w:tcPr>
            <w:tcW w:w="60" w:type="dxa"/>
            <w:vAlign w:val="bottom"/>
            <w:shd w:val="clear" w:color="auto" w:fill="CCEEFF"/>
          </w:tcPr>
          <w:p>
            <w:pPr>
              <w:spacing w:after="0"/>
              <w:rPr>
                <w:sz w:val="15"/>
                <w:szCs w:val="15"/>
                <w:color w:val="auto"/>
              </w:rPr>
            </w:pPr>
          </w:p>
        </w:tc>
      </w:tr>
      <w:tr>
        <w:trPr>
          <w:trHeight w:val="188"/>
        </w:trPr>
        <w:tc>
          <w:tcPr>
            <w:tcW w:w="5480" w:type="dxa"/>
            <w:vAlign w:val="bottom"/>
          </w:tcPr>
          <w:p>
            <w:pPr>
              <w:spacing w:after="0"/>
              <w:rPr>
                <w:sz w:val="20"/>
                <w:szCs w:val="20"/>
                <w:color w:val="auto"/>
              </w:rPr>
            </w:pPr>
            <w:r>
              <w:rPr>
                <w:rFonts w:ascii="Arial" w:cs="Arial" w:eastAsia="Arial" w:hAnsi="Arial"/>
                <w:sz w:val="15"/>
                <w:szCs w:val="15"/>
                <w:color w:val="auto"/>
              </w:rPr>
              <w:t>Interest income</w:t>
            </w:r>
          </w:p>
        </w:tc>
        <w:tc>
          <w:tcPr>
            <w:tcW w:w="4360" w:type="dxa"/>
            <w:vAlign w:val="bottom"/>
            <w:gridSpan w:val="3"/>
          </w:tcPr>
          <w:p>
            <w:pPr>
              <w:jc w:val="right"/>
              <w:ind w:right="200"/>
              <w:spacing w:after="0"/>
              <w:rPr>
                <w:sz w:val="20"/>
                <w:szCs w:val="20"/>
                <w:color w:val="auto"/>
              </w:rPr>
            </w:pPr>
            <w:r>
              <w:rPr>
                <w:rFonts w:ascii="Arial" w:cs="Arial" w:eastAsia="Arial" w:hAnsi="Arial"/>
                <w:sz w:val="15"/>
                <w:szCs w:val="15"/>
                <w:color w:val="auto"/>
              </w:rPr>
              <w:t>(11.1)</w:t>
            </w:r>
          </w:p>
        </w:tc>
        <w:tc>
          <w:tcPr>
            <w:tcW w:w="680" w:type="dxa"/>
            <w:vAlign w:val="bottom"/>
            <w:gridSpan w:val="3"/>
          </w:tcPr>
          <w:p>
            <w:pPr>
              <w:jc w:val="right"/>
              <w:ind w:right="20"/>
              <w:spacing w:after="0"/>
              <w:rPr>
                <w:sz w:val="20"/>
                <w:szCs w:val="20"/>
                <w:color w:val="auto"/>
              </w:rPr>
            </w:pPr>
            <w:r>
              <w:rPr>
                <w:rFonts w:ascii="Arial" w:cs="Arial" w:eastAsia="Arial" w:hAnsi="Arial"/>
                <w:sz w:val="15"/>
                <w:szCs w:val="15"/>
                <w:color w:val="auto"/>
              </w:rPr>
              <w:t>(11.2)</w:t>
            </w:r>
          </w:p>
        </w:tc>
      </w:tr>
      <w:tr>
        <w:trPr>
          <w:trHeight w:val="188"/>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(gain) loss</w:t>
            </w:r>
          </w:p>
        </w:tc>
        <w:tc>
          <w:tcPr>
            <w:tcW w:w="43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60" w:type="dxa"/>
            <w:vAlign w:val="bottom"/>
            <w:shd w:val="clear" w:color="auto" w:fill="CCEEFF"/>
          </w:tcPr>
          <w:p>
            <w:pPr>
              <w:spacing w:after="0"/>
              <w:rPr>
                <w:sz w:val="16"/>
                <w:szCs w:val="16"/>
                <w:color w:val="auto"/>
              </w:rPr>
            </w:pPr>
          </w:p>
        </w:tc>
      </w:tr>
      <w:tr>
        <w:trPr>
          <w:trHeight w:val="188"/>
        </w:trPr>
        <w:tc>
          <w:tcPr>
            <w:tcW w:w="5480" w:type="dxa"/>
            <w:vAlign w:val="bottom"/>
          </w:tcPr>
          <w:p>
            <w:pPr>
              <w:spacing w:after="0"/>
              <w:rPr>
                <w:sz w:val="20"/>
                <w:szCs w:val="20"/>
                <w:color w:val="auto"/>
              </w:rPr>
            </w:pPr>
            <w:r>
              <w:rPr>
                <w:rFonts w:ascii="Arial" w:cs="Arial" w:eastAsia="Arial" w:hAnsi="Arial"/>
                <w:sz w:val="15"/>
                <w:szCs w:val="15"/>
                <w:color w:val="auto"/>
              </w:rPr>
              <w:t>Miscellaneous expenses, net</w:t>
            </w:r>
          </w:p>
        </w:tc>
        <w:tc>
          <w:tcPr>
            <w:tcW w:w="3700" w:type="dxa"/>
            <w:vAlign w:val="bottom"/>
          </w:tcPr>
          <w:p>
            <w:pPr>
              <w:spacing w:after="0"/>
              <w:rPr>
                <w:sz w:val="16"/>
                <w:szCs w:val="16"/>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5.1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60" w:type="dxa"/>
            <w:vAlign w:val="bottom"/>
          </w:tcPr>
          <w:p>
            <w:pPr>
              <w:spacing w:after="0"/>
              <w:rPr>
                <w:sz w:val="16"/>
                <w:szCs w:val="16"/>
                <w:color w:val="auto"/>
              </w:rPr>
            </w:pPr>
          </w:p>
        </w:tc>
      </w:tr>
      <w:tr>
        <w:trPr>
          <w:trHeight w:val="24"/>
        </w:trPr>
        <w:tc>
          <w:tcPr>
            <w:tcW w:w="54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548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1"/>
              </w:rPr>
              <w:t>$ 25.2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$ 17.3</w:t>
            </w:r>
          </w:p>
        </w:tc>
        <w:tc>
          <w:tcPr>
            <w:tcW w:w="60" w:type="dxa"/>
            <w:vAlign w:val="bottom"/>
            <w:shd w:val="clear" w:color="auto" w:fill="CCEEFF"/>
          </w:tcPr>
          <w:p>
            <w:pPr>
              <w:spacing w:after="0"/>
              <w:rPr>
                <w:sz w:val="16"/>
                <w:szCs w:val="16"/>
                <w:color w:val="auto"/>
              </w:rPr>
            </w:pPr>
          </w:p>
        </w:tc>
      </w:tr>
      <w:tr>
        <w:trPr>
          <w:trHeight w:val="20"/>
        </w:trPr>
        <w:tc>
          <w:tcPr>
            <w:tcW w:w="54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Balance Sheets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73"/>
              <w:spacing w:after="0"/>
              <w:rPr>
                <w:sz w:val="20"/>
                <w:szCs w:val="20"/>
                <w:color w:val="auto"/>
              </w:rPr>
            </w:pPr>
            <w:r>
              <w:rPr>
                <w:rFonts w:ascii="Arial" w:cs="Arial" w:eastAsia="Arial" w:hAnsi="Arial"/>
                <w:sz w:val="12"/>
                <w:szCs w:val="12"/>
                <w:b w:val="1"/>
                <w:bCs w:val="1"/>
                <w:color w:val="auto"/>
                <w:w w:val="91"/>
              </w:rPr>
              <w:t>Jun.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5"/>
              </w:rPr>
              <w:t>Dec. 31</w:t>
            </w:r>
          </w:p>
        </w:tc>
        <w:tc>
          <w:tcPr>
            <w:tcW w:w="0" w:type="dxa"/>
            <w:vAlign w:val="bottom"/>
          </w:tcPr>
          <w:p>
            <w:pPr>
              <w:spacing w:after="0"/>
              <w:rPr>
                <w:sz w:val="1"/>
                <w:szCs w:val="1"/>
                <w:color w:val="auto"/>
              </w:rPr>
            </w:pPr>
          </w:p>
        </w:tc>
      </w:tr>
      <w:tr>
        <w:trPr>
          <w:trHeight w:val="140"/>
        </w:trPr>
        <w:tc>
          <w:tcPr>
            <w:tcW w:w="9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2008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gridSpan w:val="2"/>
          </w:tcPr>
          <w:p>
            <w:pPr>
              <w:spacing w:after="0"/>
              <w:rPr>
                <w:sz w:val="20"/>
                <w:szCs w:val="20"/>
                <w:color w:val="auto"/>
              </w:rPr>
            </w:pPr>
            <w:r>
              <w:rPr>
                <w:rFonts w:ascii="Arial" w:cs="Arial" w:eastAsia="Arial" w:hAnsi="Arial"/>
                <w:sz w:val="9"/>
                <w:szCs w:val="9"/>
                <w:b w:val="1"/>
                <w:bCs w:val="1"/>
                <w:color w:val="auto"/>
                <w:w w:val="75"/>
              </w:rPr>
              <w:t>(Unaudited)</w:t>
            </w:r>
          </w:p>
        </w:tc>
        <w:tc>
          <w:tcPr>
            <w:tcW w:w="6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561.3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537.5</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w w:val="95"/>
              </w:rPr>
              <w:t>4,857.6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4,478.8</w:t>
            </w: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 and other assets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150.4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122.2</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Future income tax benefits</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76.7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76.3</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current assets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5,646.0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5,214.8</w:t>
            </w: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 and other intangible assets, net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1,602.3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1,410.7</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398.2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377.7</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other assets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2,000.5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1,788.4</w:t>
            </w: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Land, buildings, leasehold improvements and equipment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842.7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760.8</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601.7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539.6</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property and equipment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241.0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221.2</w:t>
            </w:r>
          </w:p>
        </w:tc>
        <w:tc>
          <w:tcPr>
            <w:tcW w:w="0" w:type="dxa"/>
            <w:vAlign w:val="bottom"/>
          </w:tcPr>
          <w:p>
            <w:pPr>
              <w:spacing w:after="0"/>
              <w:rPr>
                <w:sz w:val="1"/>
                <w:szCs w:val="1"/>
                <w:color w:val="auto"/>
              </w:rPr>
            </w:pPr>
          </w:p>
        </w:tc>
      </w:tr>
      <w:tr>
        <w:trPr>
          <w:trHeight w:val="20"/>
        </w:trPr>
        <w:tc>
          <w:tcPr>
            <w:tcW w:w="9780" w:type="dxa"/>
            <w:vAlign w:val="bottom"/>
            <w:vMerge w:val="restart"/>
          </w:tcPr>
          <w:p>
            <w:pPr>
              <w:ind w:left="740"/>
              <w:spacing w:after="0"/>
              <w:rPr>
                <w:sz w:val="20"/>
                <w:szCs w:val="20"/>
                <w:color w:val="auto"/>
              </w:rPr>
            </w:pPr>
            <w:r>
              <w:rPr>
                <w:rFonts w:ascii="Arial" w:cs="Arial" w:eastAsia="Arial" w:hAnsi="Arial"/>
                <w:sz w:val="15"/>
                <w:szCs w:val="15"/>
                <w:color w:val="auto"/>
              </w:rPr>
              <w:t>Total assets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8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w w:val="95"/>
              </w:rPr>
              <w:t>7,887.5</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7,224.4</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1,208.3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1,014.4</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Employee compensation payable</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217.7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213.6</w:t>
            </w: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liabilities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726.1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679.4</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Accrued payroll taxes and insurance</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739.1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724.7</w:t>
            </w: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Value added taxes payable</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630.1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583.7</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Short-term borrowings and current maturities of long-term debt</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69.3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current liabilities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3,590.6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3,255.5</w:t>
            </w: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Long-term debt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944.5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874.8</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Other long-term liabilities</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448.3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424.8</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other liabilities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1,392.8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1,299.6</w:t>
            </w:r>
          </w:p>
        </w:tc>
        <w:tc>
          <w:tcPr>
            <w:tcW w:w="0" w:type="dxa"/>
            <w:vAlign w:val="bottom"/>
          </w:tcPr>
          <w:p>
            <w:pPr>
              <w:spacing w:after="0"/>
              <w:rPr>
                <w:sz w:val="1"/>
                <w:szCs w:val="1"/>
                <w:color w:val="auto"/>
              </w:rPr>
            </w:pPr>
          </w:p>
        </w:tc>
      </w:tr>
      <w:tr>
        <w:trPr>
          <w:trHeight w:val="188"/>
        </w:trPr>
        <w:tc>
          <w:tcPr>
            <w:tcW w:w="978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stock</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Capital in excess of par value</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w w:val="95"/>
              </w:rPr>
              <w:t>2,505.7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2,481.8</w:t>
            </w: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1,194.0</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1,040.3</w:t>
            </w:r>
          </w:p>
        </w:tc>
        <w:tc>
          <w:tcPr>
            <w:tcW w:w="0" w:type="dxa"/>
            <w:vAlign w:val="bottom"/>
          </w:tcPr>
          <w:p>
            <w:pPr>
              <w:spacing w:after="0"/>
              <w:rPr>
                <w:sz w:val="1"/>
                <w:szCs w:val="1"/>
                <w:color w:val="auto"/>
              </w:rPr>
            </w:pPr>
          </w:p>
        </w:tc>
      </w:tr>
      <w:tr>
        <w:trPr>
          <w:trHeight w:val="188"/>
        </w:trPr>
        <w:tc>
          <w:tcPr>
            <w:tcW w:w="9780" w:type="dxa"/>
            <w:vAlign w:val="bottom"/>
          </w:tcPr>
          <w:p>
            <w:pPr>
              <w:ind w:left="380"/>
              <w:spacing w:after="0"/>
              <w:rPr>
                <w:sz w:val="20"/>
                <w:szCs w:val="20"/>
                <w:color w:val="auto"/>
              </w:rPr>
            </w:pPr>
            <w:r>
              <w:rPr>
                <w:rFonts w:ascii="Arial" w:cs="Arial" w:eastAsia="Arial" w:hAnsi="Arial"/>
                <w:sz w:val="15"/>
                <w:szCs w:val="15"/>
                <w:color w:val="auto"/>
              </w:rPr>
              <w:t>Accumulated other comprehensive income</w:t>
            </w: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rPr>
              <w:t>356.8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257.6</w:t>
            </w:r>
          </w:p>
        </w:tc>
        <w:tc>
          <w:tcPr>
            <w:tcW w:w="0" w:type="dxa"/>
            <w:vAlign w:val="bottom"/>
          </w:tcPr>
          <w:p>
            <w:pPr>
              <w:spacing w:after="0"/>
              <w:rPr>
                <w:sz w:val="1"/>
                <w:szCs w:val="1"/>
                <w:color w:val="auto"/>
              </w:rPr>
            </w:pPr>
          </w:p>
        </w:tc>
      </w:tr>
      <w:tr>
        <w:trPr>
          <w:trHeight w:val="188"/>
        </w:trPr>
        <w:tc>
          <w:tcPr>
            <w:tcW w:w="97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Treasury stock, at cost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33"/>
              <w:spacing w:after="0"/>
              <w:rPr>
                <w:sz w:val="20"/>
                <w:szCs w:val="20"/>
                <w:color w:val="auto"/>
              </w:rPr>
            </w:pPr>
            <w:r>
              <w:rPr>
                <w:rFonts w:ascii="Arial" w:cs="Arial" w:eastAsia="Arial" w:hAnsi="Arial"/>
                <w:sz w:val="15"/>
                <w:szCs w:val="15"/>
                <w:color w:val="auto"/>
                <w:w w:val="89"/>
              </w:rPr>
              <w:t>(1,153.4)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6"/>
              </w:rPr>
              <w:t>(1,111.4)</w:t>
            </w:r>
          </w:p>
        </w:tc>
        <w:tc>
          <w:tcPr>
            <w:tcW w:w="0" w:type="dxa"/>
            <w:vAlign w:val="bottom"/>
          </w:tcPr>
          <w:p>
            <w:pPr>
              <w:spacing w:after="0"/>
              <w:rPr>
                <w:sz w:val="1"/>
                <w:szCs w:val="1"/>
                <w:color w:val="auto"/>
              </w:rPr>
            </w:pPr>
          </w:p>
        </w:tc>
      </w:tr>
      <w:tr>
        <w:trPr>
          <w:trHeight w:val="20"/>
        </w:trPr>
        <w:tc>
          <w:tcPr>
            <w:tcW w:w="9780" w:type="dxa"/>
            <w:vAlign w:val="bottom"/>
            <w:vMerge w:val="restart"/>
          </w:tcPr>
          <w:p>
            <w:pPr>
              <w:ind w:left="740"/>
              <w:spacing w:after="0"/>
              <w:rPr>
                <w:sz w:val="20"/>
                <w:szCs w:val="20"/>
                <w:color w:val="auto"/>
              </w:rPr>
            </w:pPr>
            <w:r>
              <w:rPr>
                <w:rFonts w:ascii="Arial" w:cs="Arial" w:eastAsia="Arial" w:hAnsi="Arial"/>
                <w:sz w:val="15"/>
                <w:szCs w:val="15"/>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93"/>
              <w:spacing w:after="0"/>
              <w:rPr>
                <w:sz w:val="20"/>
                <w:szCs w:val="20"/>
                <w:color w:val="auto"/>
              </w:rPr>
            </w:pPr>
            <w:r>
              <w:rPr>
                <w:rFonts w:ascii="Arial" w:cs="Arial" w:eastAsia="Arial" w:hAnsi="Arial"/>
                <w:sz w:val="15"/>
                <w:szCs w:val="15"/>
                <w:color w:val="auto"/>
                <w:w w:val="95"/>
              </w:rPr>
              <w:t>2,904.1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2,669.3</w:t>
            </w:r>
          </w:p>
        </w:tc>
        <w:tc>
          <w:tcPr>
            <w:tcW w:w="0" w:type="dxa"/>
            <w:vAlign w:val="bottom"/>
          </w:tcPr>
          <w:p>
            <w:pPr>
              <w:spacing w:after="0"/>
              <w:rPr>
                <w:sz w:val="1"/>
                <w:szCs w:val="1"/>
                <w:color w:val="auto"/>
              </w:rPr>
            </w:pPr>
          </w:p>
        </w:tc>
      </w:tr>
      <w:tr>
        <w:trPr>
          <w:trHeight w:val="24"/>
        </w:trPr>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78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93"/>
              <w:spacing w:after="0"/>
              <w:rPr>
                <w:sz w:val="20"/>
                <w:szCs w:val="20"/>
                <w:color w:val="auto"/>
              </w:rPr>
            </w:pPr>
            <w:r>
              <w:rPr>
                <w:rFonts w:ascii="Arial" w:cs="Arial" w:eastAsia="Arial" w:hAnsi="Arial"/>
                <w:sz w:val="15"/>
                <w:szCs w:val="15"/>
                <w:color w:val="auto"/>
                <w:w w:val="95"/>
              </w:rPr>
              <w:t>7,887.5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7,224.4</w:t>
            </w: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Statements of Cash Flows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0"/>
              </w:rPr>
              <w:t>Six Months Ended</w:t>
            </w:r>
          </w:p>
        </w:tc>
      </w:tr>
      <w:tr>
        <w:trPr>
          <w:trHeight w:val="140"/>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Jun. 30</w:t>
            </w: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Borders>
              <w:bottom w:val="single" w:sz="8" w:color="auto"/>
            </w:tcBorders>
          </w:tcPr>
          <w:p>
            <w:pPr>
              <w:jc w:val="right"/>
              <w:ind w:right="45"/>
              <w:spacing w:after="0" w:line="121" w:lineRule="exact"/>
              <w:rPr>
                <w:sz w:val="20"/>
                <w:szCs w:val="20"/>
                <w:color w:val="auto"/>
              </w:rPr>
            </w:pPr>
            <w:r>
              <w:rPr>
                <w:rFonts w:ascii="Arial" w:cs="Arial" w:eastAsia="Arial" w:hAnsi="Arial"/>
                <w:sz w:val="12"/>
                <w:szCs w:val="12"/>
                <w:b w:val="1"/>
                <w:bCs w:val="1"/>
                <w:color w:val="auto"/>
              </w:rPr>
              <w:t>2008</w:t>
            </w:r>
          </w:p>
        </w:tc>
        <w:tc>
          <w:tcPr>
            <w:tcW w:w="400" w:type="dxa"/>
            <w:vAlign w:val="bottom"/>
          </w:tcPr>
          <w:p>
            <w:pPr>
              <w:spacing w:after="0"/>
              <w:rPr>
                <w:sz w:val="10"/>
                <w:szCs w:val="10"/>
                <w:color w:val="auto"/>
              </w:rPr>
            </w:pPr>
          </w:p>
        </w:tc>
        <w:tc>
          <w:tcPr>
            <w:tcW w:w="480" w:type="dxa"/>
            <w:vAlign w:val="bottom"/>
            <w:tcBorders>
              <w:bottom w:val="single" w:sz="8" w:color="auto"/>
            </w:tcBorders>
          </w:tcPr>
          <w:p>
            <w:pPr>
              <w:jc w:val="right"/>
              <w:ind w:right="44"/>
              <w:spacing w:after="0" w:line="121" w:lineRule="exact"/>
              <w:rPr>
                <w:sz w:val="20"/>
                <w:szCs w:val="20"/>
                <w:color w:val="auto"/>
              </w:rPr>
            </w:pPr>
            <w:r>
              <w:rPr>
                <w:rFonts w:ascii="Arial" w:cs="Arial" w:eastAsia="Arial" w:hAnsi="Arial"/>
                <w:sz w:val="12"/>
                <w:szCs w:val="12"/>
                <w:b w:val="1"/>
                <w:bCs w:val="1"/>
                <w:color w:val="auto"/>
              </w:rPr>
              <w:t>2007</w:t>
            </w:r>
          </w:p>
        </w:tc>
        <w:tc>
          <w:tcPr>
            <w:tcW w:w="6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w w:val="79"/>
              </w:rPr>
              <w:t>(Unaudited)</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Net earnings</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w w:val="91"/>
              </w:rPr>
              <w:t>$ 182.9</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w w:val="91"/>
              </w:rPr>
              <w:t>$ 219.9</w:t>
            </w: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Depreciation and amortization</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rPr>
              <w:t>53.4</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44.1</w:t>
            </w: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Deferred income taxes</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8.7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41.8</w:t>
            </w: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Provision for doubtful accounts</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rPr>
              <w:t>8.4</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8.8</w:t>
            </w: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Share-based compensation</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14.3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11.8</w:t>
            </w: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Excess tax benefit on exercise of stock options</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(0.1)</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(5.4)</w:t>
            </w: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Accounts receivable</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(75.8)</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(296.2)</w:t>
            </w: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assets</w:t>
            </w:r>
          </w:p>
        </w:tc>
        <w:tc>
          <w:tcPr>
            <w:tcW w:w="880" w:type="dxa"/>
            <w:vAlign w:val="bottom"/>
            <w:gridSpan w:val="2"/>
            <w:shd w:val="clear" w:color="auto" w:fill="CCEEFF"/>
          </w:tcPr>
          <w:p>
            <w:pPr>
              <w:jc w:val="right"/>
              <w:ind w:right="307"/>
              <w:spacing w:after="0"/>
              <w:rPr>
                <w:sz w:val="20"/>
                <w:szCs w:val="20"/>
                <w:color w:val="auto"/>
              </w:rPr>
            </w:pPr>
            <w:r>
              <w:rPr>
                <w:rFonts w:ascii="Arial" w:cs="Arial" w:eastAsia="Arial" w:hAnsi="Arial"/>
                <w:sz w:val="15"/>
                <w:szCs w:val="15"/>
                <w:color w:val="auto"/>
              </w:rPr>
              <w:t>(6.1)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(42.9)</w:t>
            </w:r>
          </w:p>
        </w:tc>
      </w:tr>
      <w:tr>
        <w:trPr>
          <w:trHeight w:val="192"/>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Other liabilities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78.3</w:t>
            </w:r>
          </w:p>
        </w:tc>
        <w:tc>
          <w:tcPr>
            <w:tcW w:w="4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159.4</w:t>
            </w:r>
          </w:p>
        </w:tc>
        <w:tc>
          <w:tcPr>
            <w:tcW w:w="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Cash provided by operating activities</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264.0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141.3</w:t>
            </w:r>
          </w:p>
        </w:tc>
      </w:tr>
      <w:tr>
        <w:trPr>
          <w:trHeight w:val="191"/>
        </w:trPr>
        <w:tc>
          <w:tcPr>
            <w:tcW w:w="1002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48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Capital expenditures</w:t>
            </w:r>
          </w:p>
        </w:tc>
        <w:tc>
          <w:tcPr>
            <w:tcW w:w="880" w:type="dxa"/>
            <w:vAlign w:val="bottom"/>
            <w:gridSpan w:val="2"/>
            <w:shd w:val="clear" w:color="auto" w:fill="CCEEFF"/>
          </w:tcPr>
          <w:p>
            <w:pPr>
              <w:jc w:val="right"/>
              <w:ind w:right="307"/>
              <w:spacing w:after="0"/>
              <w:rPr>
                <w:sz w:val="20"/>
                <w:szCs w:val="20"/>
                <w:color w:val="auto"/>
              </w:rPr>
            </w:pPr>
            <w:r>
              <w:rPr>
                <w:rFonts w:ascii="Arial" w:cs="Arial" w:eastAsia="Arial" w:hAnsi="Arial"/>
                <w:sz w:val="15"/>
                <w:szCs w:val="15"/>
                <w:color w:val="auto"/>
              </w:rPr>
              <w:t>(51.4)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(41.8)</w:t>
            </w: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Acquisitions of businesses, net of cash acquired</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(193.7)</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(18.1)</w:t>
            </w: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the sale of property and equipment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4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6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10000" w:type="dxa"/>
            <w:vAlign w:val="bottom"/>
          </w:tcPr>
          <w:p>
            <w:pPr>
              <w:ind w:left="1100"/>
              <w:spacing w:after="0"/>
              <w:rPr>
                <w:sz w:val="20"/>
                <w:szCs w:val="20"/>
                <w:color w:val="auto"/>
              </w:rPr>
            </w:pPr>
            <w:r>
              <w:rPr>
                <w:rFonts w:ascii="Arial" w:cs="Arial" w:eastAsia="Arial" w:hAnsi="Arial"/>
                <w:sz w:val="15"/>
                <w:szCs w:val="15"/>
                <w:color w:val="auto"/>
              </w:rPr>
              <w:t>Cash used by investing activities</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(240.7)</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(54.9)</w:t>
            </w: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4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Net borrowings of short-term facilities and long-term debt</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rPr>
              <w:t>26.0</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stock option and purchase plans</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11.1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31.7</w:t>
            </w: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Excess tax benefit on exercise of stock options</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rPr>
              <w:t>0.1</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5.4</w:t>
            </w: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Repurchases of common stock</w:t>
            </w:r>
          </w:p>
        </w:tc>
        <w:tc>
          <w:tcPr>
            <w:tcW w:w="880" w:type="dxa"/>
            <w:vAlign w:val="bottom"/>
            <w:gridSpan w:val="2"/>
            <w:shd w:val="clear" w:color="auto" w:fill="CCEEFF"/>
          </w:tcPr>
          <w:p>
            <w:pPr>
              <w:jc w:val="right"/>
              <w:ind w:right="307"/>
              <w:spacing w:after="0"/>
              <w:rPr>
                <w:sz w:val="20"/>
                <w:szCs w:val="20"/>
                <w:color w:val="auto"/>
              </w:rPr>
            </w:pPr>
            <w:r>
              <w:rPr>
                <w:rFonts w:ascii="Arial" w:cs="Arial" w:eastAsia="Arial" w:hAnsi="Arial"/>
                <w:sz w:val="15"/>
                <w:szCs w:val="15"/>
                <w:color w:val="auto"/>
              </w:rPr>
              <w:t>(52.7)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(89.0)</w:t>
            </w: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Dividends paid</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(29.2)</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(27.1)</w:t>
            </w:r>
          </w:p>
        </w:tc>
      </w:tr>
      <w:tr>
        <w:trPr>
          <w:trHeight w:val="24"/>
        </w:trPr>
        <w:tc>
          <w:tcPr>
            <w:tcW w:w="2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Cash used by financing activities</w:t>
            </w:r>
          </w:p>
        </w:tc>
        <w:tc>
          <w:tcPr>
            <w:tcW w:w="880" w:type="dxa"/>
            <w:vAlign w:val="bottom"/>
            <w:gridSpan w:val="2"/>
            <w:shd w:val="clear" w:color="auto" w:fill="CCEEFF"/>
          </w:tcPr>
          <w:p>
            <w:pPr>
              <w:jc w:val="right"/>
              <w:ind w:right="307"/>
              <w:spacing w:after="0"/>
              <w:rPr>
                <w:sz w:val="20"/>
                <w:szCs w:val="20"/>
                <w:color w:val="auto"/>
              </w:rPr>
            </w:pPr>
            <w:r>
              <w:rPr>
                <w:rFonts w:ascii="Arial" w:cs="Arial" w:eastAsia="Arial" w:hAnsi="Arial"/>
                <w:sz w:val="15"/>
                <w:szCs w:val="15"/>
                <w:color w:val="auto"/>
              </w:rPr>
              <w:t>(44.7)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(76.0)</w:t>
            </w:r>
          </w:p>
        </w:tc>
      </w:tr>
      <w:tr>
        <w:trPr>
          <w:trHeight w:val="195"/>
        </w:trPr>
        <w:tc>
          <w:tcPr>
            <w:tcW w:w="10020" w:type="dxa"/>
            <w:vAlign w:val="bottom"/>
            <w:gridSpan w:val="2"/>
          </w:tcPr>
          <w:p>
            <w:pPr>
              <w:spacing w:after="0"/>
              <w:rPr>
                <w:sz w:val="20"/>
                <w:szCs w:val="20"/>
                <w:color w:val="auto"/>
              </w:rPr>
            </w:pPr>
            <w:r>
              <w:rPr>
                <w:rFonts w:ascii="Arial" w:cs="Arial" w:eastAsia="Arial" w:hAnsi="Arial"/>
                <w:sz w:val="15"/>
                <w:szCs w:val="15"/>
                <w:color w:val="auto"/>
              </w:rPr>
              <w:t>Effect of exchange rate changes on cash</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45.2</w:t>
            </w:r>
          </w:p>
        </w:tc>
        <w:tc>
          <w:tcPr>
            <w:tcW w:w="4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Change in cash and cash equivalents</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23.8</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22.9</w:t>
            </w:r>
          </w:p>
        </w:tc>
      </w:tr>
      <w:tr>
        <w:trPr>
          <w:trHeight w:val="192"/>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Cash and cash equivalents, beginning of period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537.5</w:t>
            </w:r>
          </w:p>
        </w:tc>
        <w:tc>
          <w:tcPr>
            <w:tcW w:w="4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687.9</w:t>
            </w:r>
          </w:p>
        </w:tc>
        <w:tc>
          <w:tcPr>
            <w:tcW w:w="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end of period</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w w:val="91"/>
              </w:rPr>
              <w:t>$ 561.3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1"/>
              </w:rPr>
              <w:t>$ 710.8</w:t>
            </w: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12" w:name="page13"/>
    <w:bookmarkEnd w:id="12"/>
    <w:p>
      <w:pPr>
        <w:ind w:left="87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99.2</w:t>
      </w:r>
    </w:p>
    <w:p>
      <w:pPr>
        <w:spacing w:after="0" w:line="330" w:lineRule="exact"/>
        <w:rPr>
          <w:sz w:val="20"/>
          <w:szCs w:val="20"/>
          <w:color w:val="auto"/>
        </w:rPr>
      </w:pPr>
    </w:p>
    <w:p>
      <w:pPr>
        <w:jc w:val="right"/>
        <w:ind w:right="500"/>
        <w:spacing w:after="0"/>
        <w:rPr>
          <w:sz w:val="20"/>
          <w:szCs w:val="20"/>
          <w:color w:val="auto"/>
        </w:rPr>
      </w:pPr>
      <w:r>
        <w:rPr>
          <w:rFonts w:ascii="Arial" w:cs="Arial" w:eastAsia="Arial" w:hAnsi="Arial"/>
          <w:sz w:val="25"/>
          <w:szCs w:val="25"/>
          <w:color w:val="FFFFFF"/>
        </w:rPr>
        <w:t>MANPOWER INC.</w:t>
      </w:r>
    </w:p>
    <w:p>
      <w:pPr>
        <w:jc w:val="right"/>
        <w:ind w:right="520"/>
        <w:spacing w:after="0" w:line="180" w:lineRule="auto"/>
        <w:rPr>
          <w:sz w:val="20"/>
          <w:szCs w:val="20"/>
          <w:color w:val="auto"/>
        </w:rPr>
      </w:pPr>
      <w:r>
        <w:rPr>
          <w:rFonts w:ascii="Arial" w:cs="Arial" w:eastAsia="Arial" w:hAnsi="Arial"/>
          <w:sz w:val="23"/>
          <w:szCs w:val="23"/>
          <w:color w:val="FFFFFF"/>
        </w:rPr>
        <w:t>2008 2</w:t>
      </w:r>
      <w:r>
        <w:rPr>
          <w:rFonts w:ascii="Arial" w:cs="Arial" w:eastAsia="Arial" w:hAnsi="Arial"/>
          <w:sz w:val="41"/>
          <w:szCs w:val="41"/>
          <w:color w:val="FFFFFF"/>
          <w:vertAlign w:val="superscript"/>
        </w:rPr>
        <w:t>nd</w:t>
      </w:r>
      <w:r>
        <w:rPr>
          <w:rFonts w:ascii="Arial" w:cs="Arial" w:eastAsia="Arial" w:hAnsi="Arial"/>
          <w:sz w:val="23"/>
          <w:szCs w:val="23"/>
          <w:color w:val="FFFFFF"/>
        </w:rPr>
        <w:t xml:space="preserve"> QUARTER RESULTS</w:t>
      </w:r>
    </w:p>
    <w:p>
      <w:pPr>
        <w:ind w:left="8220"/>
        <w:spacing w:after="0"/>
        <w:rPr>
          <w:sz w:val="20"/>
          <w:szCs w:val="20"/>
          <w:color w:val="auto"/>
        </w:rPr>
      </w:pPr>
      <w:r>
        <w:rPr>
          <w:rFonts w:ascii="Arial" w:cs="Arial" w:eastAsia="Arial" w:hAnsi="Arial"/>
          <w:sz w:val="19"/>
          <w:szCs w:val="19"/>
          <w:color w:val="auto"/>
        </w:rPr>
        <w:t>JULY 18, 2008</w:t>
      </w:r>
    </w:p>
    <w:p>
      <w:pPr>
        <w:sectPr>
          <w:pgSz w:w="11900" w:h="16838" w:orient="portrait"/>
          <w:cols w:equalWidth="0" w:num="1">
            <w:col w:w="9940"/>
          </w:cols>
          <w:pgMar w:left="1440" w:top="556" w:right="51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482"/>
        </w:trPr>
        <w:tc>
          <w:tcPr>
            <w:tcW w:w="688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2980" w:type="dxa"/>
            <w:vAlign w:val="bottom"/>
          </w:tcPr>
          <w:p>
            <w:pPr>
              <w:jc w:val="right"/>
              <w:spacing w:after="0"/>
              <w:rPr>
                <w:sz w:val="20"/>
                <w:szCs w:val="20"/>
                <w:color w:val="auto"/>
              </w:rPr>
            </w:pPr>
            <w:r>
              <w:rPr>
                <w:rFonts w:ascii="Arial" w:cs="Arial" w:eastAsia="Arial" w:hAnsi="Arial"/>
                <w:sz w:val="22"/>
                <w:szCs w:val="22"/>
                <w:color w:val="FFFFFF"/>
              </w:rPr>
              <w:t>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343"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Forward Looking Statement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80"/>
        <w:spacing w:after="0" w:line="246" w:lineRule="auto"/>
        <w:rPr>
          <w:sz w:val="20"/>
          <w:szCs w:val="20"/>
          <w:color w:val="auto"/>
        </w:rPr>
      </w:pPr>
      <w:r>
        <w:rPr>
          <w:rFonts w:ascii="Arial" w:cs="Arial" w:eastAsia="Arial" w:hAnsi="Arial"/>
          <w:sz w:val="32"/>
          <w:szCs w:val="32"/>
          <w:color w:val="auto"/>
        </w:rPr>
        <w:t>This presentation includes forward-looking statements which are subject to risks and uncertainties. Actual results might differ materially from those projected in the forward-looking statements. Forward-looking statements can be identified by words such as “expect,” “plan,” “may,” “will,” and similar expressions. Additional information concerning factors that could cause actual results to materially differ from those in the forward-looking statements is contained in the Company’s Annual Report on Form 10-K dated December 31, 2007, which information is incorporated herein by reference, and such other factors as may be described from time to time in the Company’s SEC filings.</w:t>
      </w:r>
    </w:p>
    <w:p>
      <w:pPr>
        <w:sectPr>
          <w:pgSz w:w="11900" w:h="16838" w:orient="portrait"/>
          <w:cols w:equalWidth="0" w:num="1">
            <w:col w:w="9880"/>
          </w:cols>
          <w:pgMar w:left="1200" w:top="498" w:right="819" w:bottom="1440" w:gutter="0" w:footer="0" w:header="0"/>
        </w:sectPr>
      </w:pPr>
    </w:p>
    <w:bookmarkStart w:id="14" w:name="page15"/>
    <w:bookmarkEnd w:id="14"/>
    <w:tbl>
      <w:tblPr>
        <w:tblLayout w:type="fixed"/>
        <w:tblInd w:w="198" w:type="dxa"/>
        <w:tblCellMar>
          <w:top w:w="0" w:type="dxa"/>
          <w:left w:w="0" w:type="dxa"/>
          <w:bottom w:w="0" w:type="dxa"/>
          <w:right w:w="0" w:type="dxa"/>
        </w:tblCellMar>
      </w:tblPr>
      <w:tr>
        <w:trPr>
          <w:trHeight w:val="482"/>
        </w:trPr>
        <w:tc>
          <w:tcPr>
            <w:tcW w:w="688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2980" w:type="dxa"/>
            <w:vAlign w:val="bottom"/>
          </w:tcPr>
          <w:p>
            <w:pPr>
              <w:jc w:val="right"/>
              <w:spacing w:after="0"/>
              <w:rPr>
                <w:sz w:val="20"/>
                <w:szCs w:val="20"/>
                <w:color w:val="auto"/>
              </w:rPr>
            </w:pPr>
            <w:r>
              <w:rPr>
                <w:rFonts w:ascii="Arial" w:cs="Arial" w:eastAsia="Arial" w:hAnsi="Arial"/>
                <w:sz w:val="22"/>
                <w:szCs w:val="22"/>
                <w:color w:val="FFFFFF"/>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96" w:lineRule="exact"/>
        <w:rPr>
          <w:sz w:val="20"/>
          <w:szCs w:val="20"/>
          <w:color w:val="auto"/>
        </w:rPr>
      </w:pPr>
    </w:p>
    <w:p>
      <w:pPr>
        <w:ind w:left="198"/>
        <w:spacing w:after="0"/>
        <w:rPr>
          <w:sz w:val="20"/>
          <w:szCs w:val="20"/>
          <w:color w:val="auto"/>
        </w:rPr>
      </w:pPr>
      <w:r>
        <w:rPr>
          <w:rFonts w:ascii="Arial" w:cs="Arial" w:eastAsia="Arial" w:hAnsi="Arial"/>
          <w:sz w:val="47"/>
          <w:szCs w:val="47"/>
          <w:color w:val="6698C2"/>
        </w:rPr>
        <w:t>Consolidated Financial Highlights</w:t>
      </w:r>
    </w:p>
    <w:p>
      <w:pPr>
        <w:sectPr>
          <w:pgSz w:w="11900" w:h="16838" w:orient="portrait"/>
          <w:cols w:equalWidth="0" w:num="1">
            <w:col w:w="10058"/>
          </w:cols>
          <w:pgMar w:left="1022" w:top="498" w:right="819" w:bottom="1440" w:gutter="0" w:footer="0" w:header="0"/>
        </w:sectPr>
      </w:pPr>
    </w:p>
    <w:p>
      <w:pPr>
        <w:spacing w:after="0" w:line="174" w:lineRule="exact"/>
        <w:rPr>
          <w:sz w:val="20"/>
          <w:szCs w:val="20"/>
          <w:color w:val="auto"/>
        </w:rPr>
      </w:pPr>
    </w:p>
    <w:tbl>
      <w:tblPr>
        <w:tblLayout w:type="fixed"/>
        <w:tblInd w:w="238" w:type="dxa"/>
        <w:tblCellMar>
          <w:top w:w="0" w:type="dxa"/>
          <w:left w:w="0" w:type="dxa"/>
          <w:bottom w:w="0" w:type="dxa"/>
          <w:right w:w="0" w:type="dxa"/>
        </w:tblCellMar>
      </w:tblPr>
      <w:tr>
        <w:trPr>
          <w:trHeight w:val="270"/>
        </w:trPr>
        <w:tc>
          <w:tcPr>
            <w:tcW w:w="1740" w:type="dxa"/>
            <w:vAlign w:val="bottom"/>
          </w:tcPr>
          <w:p>
            <w:pPr>
              <w:spacing w:after="0"/>
              <w:rPr>
                <w:sz w:val="23"/>
                <w:szCs w:val="23"/>
                <w:color w:val="auto"/>
              </w:rPr>
            </w:pPr>
          </w:p>
        </w:tc>
        <w:tc>
          <w:tcPr>
            <w:tcW w:w="1740" w:type="dxa"/>
            <w:vAlign w:val="bottom"/>
          </w:tcPr>
          <w:p>
            <w:pPr>
              <w:jc w:val="right"/>
              <w:ind w:right="50"/>
              <w:spacing w:after="0"/>
              <w:rPr>
                <w:sz w:val="20"/>
                <w:szCs w:val="20"/>
                <w:color w:val="auto"/>
              </w:rPr>
            </w:pPr>
            <w:r>
              <w:rPr>
                <w:rFonts w:ascii="Arial" w:cs="Arial" w:eastAsia="Arial" w:hAnsi="Arial"/>
                <w:sz w:val="22"/>
                <w:szCs w:val="22"/>
                <w:b w:val="1"/>
                <w:bCs w:val="1"/>
                <w:color w:val="auto"/>
              </w:rPr>
              <w:t>Excluding</w:t>
            </w:r>
          </w:p>
        </w:tc>
      </w:tr>
      <w:tr>
        <w:trPr>
          <w:trHeight w:val="230"/>
        </w:trPr>
        <w:tc>
          <w:tcPr>
            <w:tcW w:w="1740" w:type="dxa"/>
            <w:vAlign w:val="bottom"/>
          </w:tcPr>
          <w:p>
            <w:pPr>
              <w:jc w:val="center"/>
              <w:ind w:right="204"/>
              <w:spacing w:after="0" w:line="230" w:lineRule="exact"/>
              <w:rPr>
                <w:sz w:val="20"/>
                <w:szCs w:val="20"/>
                <w:color w:val="auto"/>
              </w:rPr>
            </w:pPr>
            <w:r>
              <w:rPr>
                <w:rFonts w:ascii="Arial" w:cs="Arial" w:eastAsia="Arial" w:hAnsi="Arial"/>
                <w:sz w:val="22"/>
                <w:szCs w:val="22"/>
                <w:b w:val="1"/>
                <w:bCs w:val="1"/>
                <w:color w:val="auto"/>
                <w:w w:val="99"/>
              </w:rPr>
              <w:t>As</w:t>
            </w:r>
          </w:p>
        </w:tc>
        <w:tc>
          <w:tcPr>
            <w:tcW w:w="1740" w:type="dxa"/>
            <w:vAlign w:val="bottom"/>
          </w:tcPr>
          <w:p>
            <w:pPr>
              <w:jc w:val="right"/>
              <w:spacing w:after="0" w:line="230" w:lineRule="exact"/>
              <w:rPr>
                <w:sz w:val="20"/>
                <w:szCs w:val="20"/>
                <w:color w:val="auto"/>
              </w:rPr>
            </w:pPr>
            <w:r>
              <w:rPr>
                <w:rFonts w:ascii="Arial" w:cs="Arial" w:eastAsia="Arial" w:hAnsi="Arial"/>
                <w:sz w:val="22"/>
                <w:szCs w:val="22"/>
                <w:b w:val="1"/>
                <w:bCs w:val="1"/>
                <w:color w:val="auto"/>
              </w:rPr>
              <w:t>Non-recurring</w:t>
            </w:r>
          </w:p>
        </w:tc>
      </w:tr>
      <w:tr>
        <w:trPr>
          <w:trHeight w:val="473"/>
        </w:trPr>
        <w:tc>
          <w:tcPr>
            <w:tcW w:w="1740" w:type="dxa"/>
            <w:vAlign w:val="bottom"/>
          </w:tcPr>
          <w:p>
            <w:pPr>
              <w:jc w:val="center"/>
              <w:ind w:right="184"/>
              <w:spacing w:after="0"/>
              <w:rPr>
                <w:sz w:val="20"/>
                <w:szCs w:val="20"/>
                <w:color w:val="auto"/>
              </w:rPr>
            </w:pPr>
            <w:r>
              <w:rPr>
                <w:rFonts w:ascii="Arial" w:cs="Arial" w:eastAsia="Arial" w:hAnsi="Arial"/>
                <w:sz w:val="22"/>
                <w:szCs w:val="22"/>
                <w:b w:val="1"/>
                <w:bCs w:val="1"/>
                <w:color w:val="auto"/>
              </w:rPr>
              <w:t>Reported</w:t>
            </w:r>
          </w:p>
        </w:tc>
        <w:tc>
          <w:tcPr>
            <w:tcW w:w="1740" w:type="dxa"/>
            <w:vAlign w:val="bottom"/>
          </w:tcPr>
          <w:p>
            <w:pPr>
              <w:jc w:val="center"/>
              <w:ind w:left="270"/>
              <w:spacing w:after="0"/>
              <w:rPr>
                <w:sz w:val="20"/>
                <w:szCs w:val="20"/>
                <w:color w:val="auto"/>
              </w:rPr>
            </w:pPr>
            <w:r>
              <w:rPr>
                <w:rFonts w:ascii="Arial" w:cs="Arial" w:eastAsia="Arial" w:hAnsi="Arial"/>
                <w:sz w:val="22"/>
                <w:szCs w:val="22"/>
                <w:b w:val="1"/>
                <w:bCs w:val="1"/>
                <w:color w:val="auto"/>
                <w:w w:val="90"/>
              </w:rPr>
              <w:t>Items</w:t>
            </w:r>
            <w:r>
              <w:rPr>
                <w:rFonts w:ascii="Arial" w:cs="Arial" w:eastAsia="Arial" w:hAnsi="Arial"/>
                <w:sz w:val="35"/>
                <w:szCs w:val="35"/>
                <w:b w:val="1"/>
                <w:bCs w:val="1"/>
                <w:color w:val="6698C2"/>
                <w:w w:val="90"/>
                <w:vertAlign w:val="superscript"/>
              </w:rPr>
              <w:t>(1)</w:t>
            </w:r>
          </w:p>
        </w:tc>
      </w:tr>
      <w:tr>
        <w:trPr>
          <w:trHeight w:val="468"/>
        </w:trPr>
        <w:tc>
          <w:tcPr>
            <w:tcW w:w="1740" w:type="dxa"/>
            <w:vAlign w:val="bottom"/>
          </w:tcPr>
          <w:p>
            <w:pPr>
              <w:jc w:val="right"/>
              <w:ind w:right="264"/>
              <w:spacing w:after="0"/>
              <w:rPr>
                <w:sz w:val="20"/>
                <w:szCs w:val="20"/>
                <w:color w:val="auto"/>
              </w:rPr>
            </w:pPr>
            <w:r>
              <w:rPr>
                <w:rFonts w:ascii="Arial" w:cs="Arial" w:eastAsia="Arial" w:hAnsi="Arial"/>
                <w:sz w:val="38"/>
                <w:szCs w:val="38"/>
                <w:color w:val="auto"/>
              </w:rPr>
              <w:t>17%</w:t>
            </w:r>
          </w:p>
        </w:tc>
        <w:tc>
          <w:tcPr>
            <w:tcW w:w="1740" w:type="dxa"/>
            <w:vAlign w:val="bottom"/>
          </w:tcPr>
          <w:p>
            <w:pPr>
              <w:jc w:val="right"/>
              <w:ind w:right="50"/>
              <w:spacing w:after="0"/>
              <w:rPr>
                <w:sz w:val="20"/>
                <w:szCs w:val="20"/>
                <w:color w:val="auto"/>
              </w:rPr>
            </w:pPr>
            <w:r>
              <w:rPr>
                <w:rFonts w:ascii="Arial" w:cs="Arial" w:eastAsia="Arial" w:hAnsi="Arial"/>
                <w:sz w:val="38"/>
                <w:szCs w:val="38"/>
                <w:color w:val="auto"/>
              </w:rPr>
              <w:t>17%</w:t>
            </w:r>
          </w:p>
        </w:tc>
      </w:tr>
      <w:tr>
        <w:trPr>
          <w:trHeight w:val="452"/>
        </w:trPr>
        <w:tc>
          <w:tcPr>
            <w:tcW w:w="1740" w:type="dxa"/>
            <w:vAlign w:val="bottom"/>
          </w:tcPr>
          <w:p>
            <w:pPr>
              <w:jc w:val="right"/>
              <w:ind w:right="164"/>
              <w:spacing w:after="0"/>
              <w:rPr>
                <w:sz w:val="20"/>
                <w:szCs w:val="20"/>
                <w:color w:val="auto"/>
              </w:rPr>
            </w:pPr>
            <w:r>
              <w:rPr>
                <w:rFonts w:ascii="Arial" w:cs="Arial" w:eastAsia="Arial" w:hAnsi="Arial"/>
                <w:sz w:val="38"/>
                <w:szCs w:val="38"/>
                <w:color w:val="auto"/>
              </w:rPr>
              <w:t>5% CC</w:t>
            </w:r>
          </w:p>
        </w:tc>
        <w:tc>
          <w:tcPr>
            <w:tcW w:w="1740" w:type="dxa"/>
            <w:vAlign w:val="bottom"/>
          </w:tcPr>
          <w:p>
            <w:pPr>
              <w:jc w:val="center"/>
              <w:ind w:left="150"/>
              <w:spacing w:after="0"/>
              <w:rPr>
                <w:sz w:val="20"/>
                <w:szCs w:val="20"/>
                <w:color w:val="auto"/>
              </w:rPr>
            </w:pPr>
            <w:r>
              <w:rPr>
                <w:rFonts w:ascii="Arial" w:cs="Arial" w:eastAsia="Arial" w:hAnsi="Arial"/>
                <w:sz w:val="38"/>
                <w:szCs w:val="38"/>
                <w:color w:val="auto"/>
                <w:w w:val="98"/>
              </w:rPr>
              <w:t>5% CC</w:t>
            </w:r>
          </w:p>
        </w:tc>
      </w:tr>
      <w:tr>
        <w:trPr>
          <w:trHeight w:val="647"/>
        </w:trPr>
        <w:tc>
          <w:tcPr>
            <w:tcW w:w="1740" w:type="dxa"/>
            <w:vAlign w:val="bottom"/>
          </w:tcPr>
          <w:p>
            <w:pPr>
              <w:jc w:val="right"/>
              <w:ind w:right="124"/>
              <w:spacing w:after="0"/>
              <w:rPr>
                <w:sz w:val="20"/>
                <w:szCs w:val="20"/>
                <w:color w:val="auto"/>
              </w:rPr>
            </w:pPr>
            <w:r>
              <w:rPr>
                <w:rFonts w:ascii="Arial" w:cs="Arial" w:eastAsia="Arial" w:hAnsi="Arial"/>
                <w:sz w:val="38"/>
                <w:szCs w:val="38"/>
                <w:color w:val="auto"/>
              </w:rPr>
              <w:t>80 bps</w:t>
            </w:r>
          </w:p>
        </w:tc>
        <w:tc>
          <w:tcPr>
            <w:tcW w:w="1740" w:type="dxa"/>
            <w:vAlign w:val="bottom"/>
          </w:tcPr>
          <w:p>
            <w:pPr>
              <w:jc w:val="center"/>
              <w:ind w:left="290"/>
              <w:spacing w:after="0"/>
              <w:rPr>
                <w:sz w:val="20"/>
                <w:szCs w:val="20"/>
                <w:color w:val="auto"/>
              </w:rPr>
            </w:pPr>
            <w:r>
              <w:rPr>
                <w:rFonts w:ascii="Arial" w:cs="Arial" w:eastAsia="Arial" w:hAnsi="Arial"/>
                <w:sz w:val="38"/>
                <w:szCs w:val="38"/>
                <w:color w:val="auto"/>
                <w:w w:val="98"/>
              </w:rPr>
              <w:t>55 bps</w:t>
            </w:r>
          </w:p>
        </w:tc>
      </w:tr>
      <w:tr>
        <w:trPr>
          <w:trHeight w:val="741"/>
        </w:trPr>
        <w:tc>
          <w:tcPr>
            <w:tcW w:w="1740" w:type="dxa"/>
            <w:vAlign w:val="bottom"/>
          </w:tcPr>
          <w:p>
            <w:pPr>
              <w:jc w:val="right"/>
              <w:ind w:right="224"/>
              <w:spacing w:after="0"/>
              <w:rPr>
                <w:sz w:val="20"/>
                <w:szCs w:val="20"/>
                <w:color w:val="auto"/>
              </w:rPr>
            </w:pPr>
            <w:r>
              <w:rPr>
                <w:rFonts w:ascii="Arial" w:cs="Arial" w:eastAsia="Arial" w:hAnsi="Arial"/>
                <w:sz w:val="38"/>
                <w:szCs w:val="38"/>
                <w:color w:val="auto"/>
              </w:rPr>
              <w:t>25%</w:t>
            </w:r>
          </w:p>
        </w:tc>
        <w:tc>
          <w:tcPr>
            <w:tcW w:w="1740" w:type="dxa"/>
            <w:vAlign w:val="bottom"/>
          </w:tcPr>
          <w:p>
            <w:pPr>
              <w:jc w:val="right"/>
              <w:ind w:right="10"/>
              <w:spacing w:after="0"/>
              <w:rPr>
                <w:sz w:val="20"/>
                <w:szCs w:val="20"/>
                <w:color w:val="auto"/>
              </w:rPr>
            </w:pPr>
            <w:r>
              <w:rPr>
                <w:rFonts w:ascii="Arial" w:cs="Arial" w:eastAsia="Arial" w:hAnsi="Arial"/>
                <w:sz w:val="38"/>
                <w:szCs w:val="38"/>
                <w:color w:val="auto"/>
              </w:rPr>
              <w:t>17%</w:t>
            </w:r>
          </w:p>
        </w:tc>
      </w:tr>
      <w:tr>
        <w:trPr>
          <w:trHeight w:val="459"/>
        </w:trPr>
        <w:tc>
          <w:tcPr>
            <w:tcW w:w="1740" w:type="dxa"/>
            <w:vAlign w:val="bottom"/>
          </w:tcPr>
          <w:p>
            <w:pPr>
              <w:jc w:val="center"/>
              <w:ind w:right="124"/>
              <w:spacing w:after="0"/>
              <w:rPr>
                <w:sz w:val="20"/>
                <w:szCs w:val="20"/>
                <w:color w:val="auto"/>
              </w:rPr>
            </w:pPr>
            <w:r>
              <w:rPr>
                <w:rFonts w:ascii="Arial" w:cs="Arial" w:eastAsia="Arial" w:hAnsi="Arial"/>
                <w:sz w:val="38"/>
                <w:szCs w:val="38"/>
                <w:color w:val="auto"/>
                <w:w w:val="98"/>
              </w:rPr>
              <w:t>35% CC</w:t>
            </w:r>
          </w:p>
        </w:tc>
        <w:tc>
          <w:tcPr>
            <w:tcW w:w="1740" w:type="dxa"/>
            <w:vAlign w:val="bottom"/>
          </w:tcPr>
          <w:p>
            <w:pPr>
              <w:jc w:val="center"/>
              <w:ind w:left="190"/>
              <w:spacing w:after="0"/>
              <w:rPr>
                <w:sz w:val="20"/>
                <w:szCs w:val="20"/>
                <w:color w:val="auto"/>
              </w:rPr>
            </w:pPr>
            <w:r>
              <w:rPr>
                <w:rFonts w:ascii="Arial" w:cs="Arial" w:eastAsia="Arial" w:hAnsi="Arial"/>
                <w:sz w:val="38"/>
                <w:szCs w:val="38"/>
                <w:color w:val="auto"/>
                <w:w w:val="98"/>
              </w:rPr>
              <w:t>2% CC</w:t>
            </w:r>
          </w:p>
        </w:tc>
      </w:tr>
      <w:tr>
        <w:trPr>
          <w:trHeight w:val="717"/>
        </w:trPr>
        <w:tc>
          <w:tcPr>
            <w:tcW w:w="1740" w:type="dxa"/>
            <w:vAlign w:val="bottom"/>
          </w:tcPr>
          <w:p>
            <w:pPr>
              <w:jc w:val="right"/>
              <w:ind w:right="84"/>
              <w:spacing w:after="0"/>
              <w:rPr>
                <w:sz w:val="20"/>
                <w:szCs w:val="20"/>
                <w:color w:val="auto"/>
              </w:rPr>
            </w:pPr>
            <w:r>
              <w:rPr>
                <w:rFonts w:ascii="Arial" w:cs="Arial" w:eastAsia="Arial" w:hAnsi="Arial"/>
                <w:sz w:val="38"/>
                <w:szCs w:val="38"/>
                <w:color w:val="auto"/>
              </w:rPr>
              <w:t>200 bps</w:t>
            </w:r>
          </w:p>
        </w:tc>
        <w:tc>
          <w:tcPr>
            <w:tcW w:w="1740" w:type="dxa"/>
            <w:vAlign w:val="bottom"/>
          </w:tcPr>
          <w:p>
            <w:pPr>
              <w:jc w:val="center"/>
              <w:ind w:left="170"/>
              <w:spacing w:after="0"/>
              <w:rPr>
                <w:sz w:val="20"/>
                <w:szCs w:val="20"/>
                <w:color w:val="auto"/>
              </w:rPr>
            </w:pPr>
            <w:r>
              <w:rPr>
                <w:rFonts w:ascii="Arial" w:cs="Arial" w:eastAsia="Arial" w:hAnsi="Arial"/>
                <w:sz w:val="38"/>
                <w:szCs w:val="38"/>
                <w:color w:val="auto"/>
                <w:w w:val="98"/>
              </w:rPr>
              <w:t>0 bps</w:t>
            </w:r>
          </w:p>
        </w:tc>
      </w:tr>
      <w:tr>
        <w:trPr>
          <w:trHeight w:val="723"/>
        </w:trPr>
        <w:tc>
          <w:tcPr>
            <w:tcW w:w="1740" w:type="dxa"/>
            <w:vAlign w:val="bottom"/>
          </w:tcPr>
          <w:p>
            <w:pPr>
              <w:jc w:val="right"/>
              <w:ind w:right="224"/>
              <w:spacing w:after="0"/>
              <w:rPr>
                <w:sz w:val="20"/>
                <w:szCs w:val="20"/>
                <w:color w:val="auto"/>
              </w:rPr>
            </w:pPr>
            <w:r>
              <w:rPr>
                <w:rFonts w:ascii="Arial" w:cs="Arial" w:eastAsia="Arial" w:hAnsi="Arial"/>
                <w:sz w:val="44"/>
                <w:szCs w:val="44"/>
                <w:color w:val="auto"/>
              </w:rPr>
              <w:t>28%</w:t>
            </w:r>
          </w:p>
        </w:tc>
        <w:tc>
          <w:tcPr>
            <w:tcW w:w="1740" w:type="dxa"/>
            <w:vAlign w:val="bottom"/>
          </w:tcPr>
          <w:p>
            <w:pPr>
              <w:jc w:val="right"/>
              <w:spacing w:after="0"/>
              <w:rPr>
                <w:sz w:val="20"/>
                <w:szCs w:val="20"/>
                <w:color w:val="auto"/>
              </w:rPr>
            </w:pPr>
            <w:r>
              <w:rPr>
                <w:rFonts w:ascii="Arial" w:cs="Arial" w:eastAsia="Arial" w:hAnsi="Arial"/>
                <w:sz w:val="44"/>
                <w:szCs w:val="44"/>
                <w:color w:val="auto"/>
              </w:rPr>
              <w:t>27%</w:t>
            </w:r>
          </w:p>
        </w:tc>
      </w:tr>
      <w:tr>
        <w:trPr>
          <w:trHeight w:val="452"/>
        </w:trPr>
        <w:tc>
          <w:tcPr>
            <w:tcW w:w="1740" w:type="dxa"/>
            <w:vAlign w:val="bottom"/>
          </w:tcPr>
          <w:p>
            <w:pPr>
              <w:jc w:val="center"/>
              <w:ind w:right="164"/>
              <w:spacing w:after="0"/>
              <w:rPr>
                <w:sz w:val="20"/>
                <w:szCs w:val="20"/>
                <w:color w:val="auto"/>
              </w:rPr>
            </w:pPr>
            <w:r>
              <w:rPr>
                <w:rFonts w:ascii="Arial" w:cs="Arial" w:eastAsia="Arial" w:hAnsi="Arial"/>
                <w:sz w:val="38"/>
                <w:szCs w:val="38"/>
                <w:color w:val="auto"/>
                <w:w w:val="98"/>
              </w:rPr>
              <w:t>38% CC</w:t>
            </w:r>
          </w:p>
        </w:tc>
        <w:tc>
          <w:tcPr>
            <w:tcW w:w="1740" w:type="dxa"/>
            <w:vAlign w:val="bottom"/>
          </w:tcPr>
          <w:p>
            <w:pPr>
              <w:jc w:val="center"/>
              <w:ind w:left="170"/>
              <w:spacing w:after="0"/>
              <w:rPr>
                <w:sz w:val="20"/>
                <w:szCs w:val="20"/>
                <w:color w:val="auto"/>
              </w:rPr>
            </w:pPr>
            <w:r>
              <w:rPr>
                <w:rFonts w:ascii="Arial" w:cs="Arial" w:eastAsia="Arial" w:hAnsi="Arial"/>
                <w:sz w:val="38"/>
                <w:szCs w:val="38"/>
                <w:color w:val="auto"/>
                <w:w w:val="99"/>
              </w:rPr>
              <w:t>9% CC</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20" w:right="2120" w:firstLine="1070"/>
        <w:spacing w:after="0" w:line="417" w:lineRule="auto"/>
        <w:rPr>
          <w:sz w:val="20"/>
          <w:szCs w:val="20"/>
          <w:color w:val="auto"/>
        </w:rPr>
      </w:pPr>
      <w:r>
        <w:rPr>
          <w:rFonts w:ascii="Arial" w:cs="Arial" w:eastAsia="Arial" w:hAnsi="Arial"/>
          <w:sz w:val="41"/>
          <w:szCs w:val="41"/>
          <w:b w:val="1"/>
          <w:bCs w:val="1"/>
          <w:color w:val="auto"/>
        </w:rPr>
        <w:t xml:space="preserve">Q2 Highlights Revenue </w:t>
      </w:r>
      <w:r>
        <w:rPr>
          <w:rFonts w:ascii="Arial" w:cs="Arial" w:eastAsia="Arial" w:hAnsi="Arial"/>
          <w:sz w:val="43"/>
          <w:szCs w:val="43"/>
          <w:b w:val="1"/>
          <w:bCs w:val="1"/>
          <w:color w:val="6698C2"/>
        </w:rPr>
        <w:t>$5.9B</w:t>
      </w:r>
    </w:p>
    <w:p>
      <w:pPr>
        <w:spacing w:after="0" w:line="3" w:lineRule="exact"/>
        <w:rPr>
          <w:sz w:val="20"/>
          <w:szCs w:val="20"/>
          <w:color w:val="auto"/>
        </w:rPr>
      </w:pPr>
    </w:p>
    <w:p>
      <w:pPr>
        <w:ind w:left="20" w:right="1160"/>
        <w:spacing w:after="0" w:line="461" w:lineRule="auto"/>
        <w:rPr>
          <w:sz w:val="20"/>
          <w:szCs w:val="20"/>
          <w:color w:val="auto"/>
        </w:rPr>
      </w:pPr>
      <w:r>
        <w:rPr>
          <w:rFonts w:ascii="Arial" w:cs="Arial" w:eastAsia="Arial" w:hAnsi="Arial"/>
          <w:sz w:val="41"/>
          <w:szCs w:val="41"/>
          <w:b w:val="1"/>
          <w:bCs w:val="1"/>
          <w:color w:val="auto"/>
        </w:rPr>
        <w:t xml:space="preserve">Gross Margin </w:t>
      </w:r>
      <w:r>
        <w:rPr>
          <w:rFonts w:ascii="Arial" w:cs="Arial" w:eastAsia="Arial" w:hAnsi="Arial"/>
          <w:sz w:val="43"/>
          <w:szCs w:val="43"/>
          <w:b w:val="1"/>
          <w:bCs w:val="1"/>
          <w:color w:val="6698C2"/>
        </w:rPr>
        <w:t>19.5%</w:t>
      </w:r>
      <w:r>
        <w:rPr>
          <w:rFonts w:ascii="Arial" w:cs="Arial" w:eastAsia="Arial" w:hAnsi="Arial"/>
          <w:sz w:val="41"/>
          <w:szCs w:val="41"/>
          <w:b w:val="1"/>
          <w:bCs w:val="1"/>
          <w:color w:val="auto"/>
        </w:rPr>
        <w:t xml:space="preserve"> Operating Profit </w:t>
      </w:r>
      <w:r>
        <w:rPr>
          <w:rFonts w:ascii="Arial" w:cs="Arial" w:eastAsia="Arial" w:hAnsi="Arial"/>
          <w:sz w:val="43"/>
          <w:szCs w:val="43"/>
          <w:b w:val="1"/>
          <w:bCs w:val="1"/>
          <w:color w:val="6698C2"/>
        </w:rPr>
        <w:t>$207M</w:t>
      </w:r>
      <w:r>
        <w:rPr>
          <w:rFonts w:ascii="Arial" w:cs="Arial" w:eastAsia="Arial" w:hAnsi="Arial"/>
          <w:sz w:val="41"/>
          <w:szCs w:val="41"/>
          <w:b w:val="1"/>
          <w:bCs w:val="1"/>
          <w:color w:val="auto"/>
        </w:rPr>
        <w:t xml:space="preserve"> OP Margin </w:t>
      </w:r>
      <w:r>
        <w:rPr>
          <w:rFonts w:ascii="Arial" w:cs="Arial" w:eastAsia="Arial" w:hAnsi="Arial"/>
          <w:sz w:val="43"/>
          <w:szCs w:val="43"/>
          <w:b w:val="1"/>
          <w:bCs w:val="1"/>
          <w:color w:val="6698C2"/>
        </w:rPr>
        <w:t>3.5%</w:t>
      </w:r>
    </w:p>
    <w:p>
      <w:pPr>
        <w:spacing w:after="0" w:line="2" w:lineRule="exact"/>
        <w:rPr>
          <w:sz w:val="20"/>
          <w:szCs w:val="20"/>
          <w:color w:val="auto"/>
        </w:rPr>
      </w:pPr>
    </w:p>
    <w:p>
      <w:pPr>
        <w:spacing w:after="0"/>
        <w:rPr>
          <w:sz w:val="20"/>
          <w:szCs w:val="20"/>
          <w:color w:val="auto"/>
        </w:rPr>
      </w:pPr>
      <w:r>
        <w:rPr>
          <w:rFonts w:ascii="Arial" w:cs="Arial" w:eastAsia="Arial" w:hAnsi="Arial"/>
          <w:sz w:val="41"/>
          <w:szCs w:val="41"/>
          <w:b w:val="1"/>
          <w:bCs w:val="1"/>
          <w:color w:val="auto"/>
        </w:rPr>
        <w:t xml:space="preserve">EPS </w:t>
      </w:r>
      <w:r>
        <w:rPr>
          <w:rFonts w:ascii="Arial" w:cs="Arial" w:eastAsia="Arial" w:hAnsi="Arial"/>
          <w:sz w:val="56"/>
          <w:szCs w:val="56"/>
          <w:b w:val="1"/>
          <w:bCs w:val="1"/>
          <w:color w:val="6698C2"/>
        </w:rPr>
        <w:t>$1.34</w:t>
      </w:r>
    </w:p>
    <w:p>
      <w:pPr>
        <w:spacing w:after="0" w:line="181" w:lineRule="exact"/>
        <w:rPr>
          <w:sz w:val="20"/>
          <w:szCs w:val="20"/>
          <w:color w:val="auto"/>
        </w:rPr>
      </w:pPr>
    </w:p>
    <w:p>
      <w:pPr>
        <w:sectPr>
          <w:pgSz w:w="11900" w:h="16838" w:orient="portrait"/>
          <w:cols w:equalWidth="0" w:num="2">
            <w:col w:w="3718" w:space="460"/>
            <w:col w:w="5880"/>
          </w:cols>
          <w:pgMar w:left="1022" w:top="498" w:right="819" w:bottom="1440" w:gutter="0" w:footer="0" w:header="0"/>
          <w:type w:val="continuous"/>
        </w:sectPr>
      </w:pPr>
    </w:p>
    <w:p>
      <w:pPr>
        <w:ind w:left="218" w:hanging="218"/>
        <w:spacing w:after="0" w:line="228" w:lineRule="auto"/>
        <w:tabs>
          <w:tab w:leader="none" w:pos="218" w:val="left"/>
        </w:tabs>
        <w:numPr>
          <w:ilvl w:val="0"/>
          <w:numId w:val="6"/>
        </w:numPr>
        <w:rPr>
          <w:rFonts w:ascii="Arial" w:cs="Arial" w:eastAsia="Arial" w:hAnsi="Arial"/>
          <w:sz w:val="26"/>
          <w:szCs w:val="26"/>
          <w:b w:val="1"/>
          <w:bCs w:val="1"/>
          <w:color w:val="auto"/>
          <w:vertAlign w:val="superscript"/>
        </w:rPr>
      </w:pPr>
      <w:r>
        <w:rPr>
          <w:rFonts w:ascii="Arial" w:cs="Arial" w:eastAsia="Arial" w:hAnsi="Arial"/>
          <w:sz w:val="19"/>
          <w:szCs w:val="19"/>
          <w:color w:val="auto"/>
        </w:rPr>
        <w:t>Excludes the impact of the French payroll tax change from both years, and the French legal</w:t>
      </w:r>
    </w:p>
    <w:p>
      <w:pPr>
        <w:spacing w:after="0" w:line="33" w:lineRule="exact"/>
        <w:rPr>
          <w:sz w:val="20"/>
          <w:szCs w:val="20"/>
          <w:color w:val="auto"/>
        </w:rPr>
      </w:pPr>
    </w:p>
    <w:p>
      <w:pPr>
        <w:ind w:left="198"/>
        <w:spacing w:after="0"/>
        <w:rPr>
          <w:sz w:val="20"/>
          <w:szCs w:val="20"/>
          <w:color w:val="auto"/>
        </w:rPr>
      </w:pPr>
      <w:r>
        <w:rPr>
          <w:rFonts w:ascii="Arial" w:cs="Arial" w:eastAsia="Arial" w:hAnsi="Arial"/>
          <w:sz w:val="19"/>
          <w:szCs w:val="19"/>
          <w:color w:val="auto"/>
        </w:rPr>
        <w:t>reserve in 2008.</w:t>
      </w:r>
    </w:p>
    <w:p>
      <w:pPr>
        <w:spacing w:after="0" w:line="8" w:lineRule="exact"/>
        <w:rPr>
          <w:sz w:val="20"/>
          <w:szCs w:val="20"/>
          <w:color w:val="auto"/>
        </w:rPr>
      </w:pPr>
    </w:p>
    <w:p>
      <w:pPr>
        <w:ind w:left="218" w:right="220"/>
        <w:spacing w:after="0" w:line="289" w:lineRule="auto"/>
        <w:rPr>
          <w:sz w:val="20"/>
          <w:szCs w:val="20"/>
          <w:color w:val="auto"/>
        </w:rPr>
      </w:pPr>
      <w:r>
        <w:rPr>
          <w:rFonts w:ascii="Arial" w:cs="Arial" w:eastAsia="Arial" w:hAnsi="Arial"/>
          <w:sz w:val="17"/>
          <w:szCs w:val="17"/>
          <w:b w:val="1"/>
          <w:bCs w:val="1"/>
          <w:color w:val="auto"/>
        </w:rPr>
        <w:t>Throughout this presentation, the difference between reported variances and Constant Currency (CC) variances represents the impact of currency on our financial results. Constant Currency is further explained on our Web site.</w:t>
      </w:r>
    </w:p>
    <w:p>
      <w:pPr>
        <w:sectPr>
          <w:pgSz w:w="11900" w:h="16838" w:orient="portrait"/>
          <w:cols w:equalWidth="0" w:num="1">
            <w:col w:w="10058"/>
          </w:cols>
          <w:pgMar w:left="1022" w:top="498" w:right="819" w:bottom="1440" w:gutter="0" w:footer="0" w:header="0"/>
          <w:type w:val="continuous"/>
        </w:sectPr>
      </w:pPr>
    </w:p>
    <w:bookmarkStart w:id="15" w:name="page16"/>
    <w:bookmarkEnd w:id="15"/>
    <w:tbl>
      <w:tblPr>
        <w:tblLayout w:type="fixed"/>
        <w:tblInd w:w="160" w:type="dxa"/>
        <w:tblCellMar>
          <w:top w:w="0" w:type="dxa"/>
          <w:left w:w="0" w:type="dxa"/>
          <w:bottom w:w="0" w:type="dxa"/>
          <w:right w:w="0" w:type="dxa"/>
        </w:tblCellMar>
      </w:tblPr>
      <w:tr>
        <w:trPr>
          <w:trHeight w:val="482"/>
        </w:trPr>
        <w:tc>
          <w:tcPr>
            <w:tcW w:w="688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2980" w:type="dxa"/>
            <w:vAlign w:val="bottom"/>
          </w:tcPr>
          <w:p>
            <w:pPr>
              <w:jc w:val="right"/>
              <w:spacing w:after="0"/>
              <w:rPr>
                <w:sz w:val="20"/>
                <w:szCs w:val="20"/>
                <w:color w:val="auto"/>
              </w:rPr>
            </w:pPr>
            <w:r>
              <w:rPr>
                <w:rFonts w:ascii="Arial" w:cs="Arial" w:eastAsia="Arial" w:hAnsi="Arial"/>
                <w:sz w:val="22"/>
                <w:szCs w:val="22"/>
                <w:color w:val="FFFFFF"/>
              </w:rPr>
              <w:t>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47"/>
          <w:szCs w:val="47"/>
          <w:color w:val="7EA190"/>
        </w:rPr>
        <w:t>Consolidated Gross Profit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220" w:type="dxa"/>
            <w:vAlign w:val="bottom"/>
          </w:tcPr>
          <w:p>
            <w:pPr>
              <w:jc w:val="right"/>
              <w:ind w:right="1648"/>
              <w:spacing w:after="0"/>
              <w:rPr>
                <w:sz w:val="20"/>
                <w:szCs w:val="20"/>
                <w:color w:val="auto"/>
              </w:rPr>
            </w:pPr>
            <w:r>
              <w:rPr>
                <w:rFonts w:ascii="Arial" w:cs="Arial" w:eastAsia="Arial" w:hAnsi="Arial"/>
                <w:sz w:val="22"/>
                <w:szCs w:val="22"/>
                <w:b w:val="1"/>
                <w:bCs w:val="1"/>
                <w:color w:val="auto"/>
                <w:w w:val="99"/>
              </w:rPr>
              <w:t>21%</w:t>
            </w:r>
          </w:p>
        </w:tc>
        <w:tc>
          <w:tcPr>
            <w:tcW w:w="3120" w:type="dxa"/>
            <w:vAlign w:val="bottom"/>
            <w:vMerge w:val="restart"/>
          </w:tcPr>
          <w:p>
            <w:pPr>
              <w:jc w:val="right"/>
              <w:ind w:right="1808"/>
              <w:spacing w:after="0"/>
              <w:rPr>
                <w:sz w:val="20"/>
                <w:szCs w:val="20"/>
                <w:color w:val="auto"/>
              </w:rPr>
            </w:pPr>
            <w:r>
              <w:rPr>
                <w:rFonts w:ascii="Arial" w:cs="Arial" w:eastAsia="Arial" w:hAnsi="Arial"/>
                <w:sz w:val="22"/>
                <w:szCs w:val="22"/>
                <w:b w:val="1"/>
                <w:bCs w:val="1"/>
                <w:color w:val="auto"/>
              </w:rPr>
              <w:t>- 1.35%</w:t>
            </w:r>
          </w:p>
        </w:tc>
        <w:tc>
          <w:tcPr>
            <w:tcW w:w="1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220" w:type="dxa"/>
            <w:vAlign w:val="bottom"/>
          </w:tcPr>
          <w:p>
            <w:pPr>
              <w:spacing w:after="0"/>
              <w:rPr>
                <w:sz w:val="12"/>
                <w:szCs w:val="12"/>
                <w:color w:val="auto"/>
              </w:rPr>
            </w:pPr>
          </w:p>
        </w:tc>
        <w:tc>
          <w:tcPr>
            <w:tcW w:w="312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2220" w:type="dxa"/>
            <w:vAlign w:val="bottom"/>
            <w:vMerge w:val="restart"/>
          </w:tcPr>
          <w:p>
            <w:pPr>
              <w:jc w:val="right"/>
              <w:ind w:right="308"/>
              <w:spacing w:after="0"/>
              <w:rPr>
                <w:sz w:val="20"/>
                <w:szCs w:val="20"/>
                <w:color w:val="auto"/>
              </w:rPr>
            </w:pPr>
            <w:r>
              <w:rPr>
                <w:rFonts w:ascii="Arial" w:cs="Arial" w:eastAsia="Arial" w:hAnsi="Arial"/>
                <w:sz w:val="22"/>
                <w:szCs w:val="22"/>
                <w:b w:val="1"/>
                <w:bCs w:val="1"/>
                <w:color w:val="FFFFFF"/>
              </w:rPr>
              <w:t>20.34%</w:t>
            </w:r>
          </w:p>
        </w:tc>
        <w:tc>
          <w:tcPr>
            <w:tcW w:w="3120" w:type="dxa"/>
            <w:vAlign w:val="bottom"/>
            <w:vMerge w:val="restart"/>
          </w:tcPr>
          <w:p>
            <w:pPr>
              <w:jc w:val="right"/>
              <w:ind w:right="288"/>
              <w:spacing w:after="0"/>
              <w:rPr>
                <w:sz w:val="20"/>
                <w:szCs w:val="20"/>
                <w:color w:val="auto"/>
              </w:rPr>
            </w:pPr>
            <w:r>
              <w:rPr>
                <w:rFonts w:ascii="Arial" w:cs="Arial" w:eastAsia="Arial" w:hAnsi="Arial"/>
                <w:sz w:val="22"/>
                <w:szCs w:val="22"/>
                <w:b w:val="1"/>
                <w:bCs w:val="1"/>
                <w:color w:val="auto"/>
              </w:rPr>
              <w:t>+ 0.47%</w:t>
            </w:r>
          </w:p>
        </w:tc>
        <w:tc>
          <w:tcPr>
            <w:tcW w:w="1580" w:type="dxa"/>
            <w:vAlign w:val="bottom"/>
          </w:tcPr>
          <w:p>
            <w:pPr>
              <w:jc w:val="right"/>
              <w:ind w:right="268"/>
              <w:spacing w:after="0"/>
              <w:rPr>
                <w:sz w:val="20"/>
                <w:szCs w:val="20"/>
                <w:color w:val="auto"/>
              </w:rPr>
            </w:pPr>
            <w:r>
              <w:rPr>
                <w:rFonts w:ascii="Arial" w:cs="Arial" w:eastAsia="Arial" w:hAnsi="Arial"/>
                <w:sz w:val="22"/>
                <w:szCs w:val="22"/>
                <w:b w:val="1"/>
                <w:bCs w:val="1"/>
                <w:color w:val="auto"/>
              </w:rPr>
              <w:t>+ 0.28%</w:t>
            </w:r>
          </w:p>
        </w:tc>
        <w:tc>
          <w:tcPr>
            <w:tcW w:w="2720" w:type="dxa"/>
            <w:vAlign w:val="bottom"/>
          </w:tcPr>
          <w:p>
            <w:pPr>
              <w:jc w:val="right"/>
              <w:ind w:right="1468"/>
              <w:spacing w:after="0"/>
              <w:rPr>
                <w:sz w:val="20"/>
                <w:szCs w:val="20"/>
                <w:color w:val="auto"/>
              </w:rPr>
            </w:pPr>
            <w:r>
              <w:rPr>
                <w:rFonts w:ascii="Arial" w:cs="Arial" w:eastAsia="Arial" w:hAnsi="Arial"/>
                <w:sz w:val="22"/>
                <w:szCs w:val="22"/>
                <w:b w:val="1"/>
                <w:bCs w:val="1"/>
                <w:color w:val="auto"/>
              </w:rPr>
              <w:t>- 0.20%</w:t>
            </w:r>
          </w:p>
        </w:tc>
        <w:tc>
          <w:tcPr>
            <w:tcW w:w="0" w:type="dxa"/>
            <w:vAlign w:val="bottom"/>
          </w:tcPr>
          <w:p>
            <w:pPr>
              <w:spacing w:after="0"/>
              <w:rPr>
                <w:sz w:val="1"/>
                <w:szCs w:val="1"/>
                <w:color w:val="auto"/>
              </w:rPr>
            </w:pPr>
          </w:p>
        </w:tc>
      </w:tr>
      <w:tr>
        <w:trPr>
          <w:trHeight w:val="153"/>
        </w:trPr>
        <w:tc>
          <w:tcPr>
            <w:tcW w:w="2220" w:type="dxa"/>
            <w:vAlign w:val="bottom"/>
            <w:vMerge w:val="continue"/>
          </w:tcPr>
          <w:p>
            <w:pPr>
              <w:spacing w:after="0"/>
              <w:rPr>
                <w:sz w:val="13"/>
                <w:szCs w:val="13"/>
                <w:color w:val="auto"/>
              </w:rPr>
            </w:pPr>
          </w:p>
        </w:tc>
        <w:tc>
          <w:tcPr>
            <w:tcW w:w="31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0"/>
        </w:trPr>
        <w:tc>
          <w:tcPr>
            <w:tcW w:w="2220" w:type="dxa"/>
            <w:vAlign w:val="bottom"/>
          </w:tcPr>
          <w:p>
            <w:pPr>
              <w:jc w:val="right"/>
              <w:ind w:right="1648"/>
              <w:spacing w:after="0"/>
              <w:rPr>
                <w:sz w:val="20"/>
                <w:szCs w:val="20"/>
                <w:color w:val="auto"/>
              </w:rPr>
            </w:pPr>
            <w:r>
              <w:rPr>
                <w:rFonts w:ascii="Arial" w:cs="Arial" w:eastAsia="Arial" w:hAnsi="Arial"/>
                <w:sz w:val="22"/>
                <w:szCs w:val="22"/>
                <w:b w:val="1"/>
                <w:bCs w:val="1"/>
                <w:color w:val="auto"/>
                <w:w w:val="99"/>
              </w:rPr>
              <w:t>19%</w:t>
            </w:r>
          </w:p>
        </w:tc>
        <w:tc>
          <w:tcPr>
            <w:tcW w:w="3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22"/>
                <w:szCs w:val="22"/>
                <w:b w:val="1"/>
                <w:bCs w:val="1"/>
                <w:color w:val="FFFFFF"/>
              </w:rPr>
              <w:t>19.54%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w:t>
      </w:r>
    </w:p>
    <w:p>
      <w:pPr>
        <w:spacing w:after="0" w:line="76" w:lineRule="exact"/>
        <w:rPr>
          <w:sz w:val="20"/>
          <w:szCs w:val="20"/>
          <w:color w:val="auto"/>
        </w:rPr>
      </w:pPr>
    </w:p>
    <w:tbl>
      <w:tblPr>
        <w:tblLayout w:type="fixed"/>
        <w:tblInd w:w="100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Arial" w:cs="Arial" w:eastAsia="Arial" w:hAnsi="Arial"/>
                <w:sz w:val="22"/>
                <w:szCs w:val="22"/>
                <w:b w:val="1"/>
                <w:bCs w:val="1"/>
                <w:color w:val="auto"/>
              </w:rPr>
              <w:t>Q2 2007</w:t>
            </w:r>
          </w:p>
        </w:tc>
        <w:tc>
          <w:tcPr>
            <w:tcW w:w="1660" w:type="dxa"/>
            <w:vAlign w:val="bottom"/>
          </w:tcPr>
          <w:p>
            <w:pPr>
              <w:jc w:val="center"/>
              <w:ind w:left="8"/>
              <w:spacing w:after="0"/>
              <w:rPr>
                <w:sz w:val="20"/>
                <w:szCs w:val="20"/>
                <w:color w:val="auto"/>
              </w:rPr>
            </w:pPr>
            <w:r>
              <w:rPr>
                <w:rFonts w:ascii="Arial" w:cs="Arial" w:eastAsia="Arial" w:hAnsi="Arial"/>
                <w:sz w:val="22"/>
                <w:szCs w:val="22"/>
                <w:b w:val="1"/>
                <w:bCs w:val="1"/>
                <w:color w:val="auto"/>
              </w:rPr>
              <w:t>Decrease in</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w w:val="98"/>
              </w:rPr>
              <w:t>Temporary</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rPr>
              <w:t>Permanent</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rPr>
              <w:t>Mix -</w:t>
            </w:r>
          </w:p>
        </w:tc>
        <w:tc>
          <w:tcPr>
            <w:tcW w:w="1180" w:type="dxa"/>
            <w:vAlign w:val="bottom"/>
          </w:tcPr>
          <w:p>
            <w:pPr>
              <w:ind w:left="320"/>
              <w:spacing w:after="0"/>
              <w:rPr>
                <w:sz w:val="20"/>
                <w:szCs w:val="20"/>
                <w:color w:val="auto"/>
              </w:rPr>
            </w:pPr>
            <w:r>
              <w:rPr>
                <w:rFonts w:ascii="Arial" w:cs="Arial" w:eastAsia="Arial" w:hAnsi="Arial"/>
                <w:sz w:val="22"/>
                <w:szCs w:val="22"/>
                <w:b w:val="1"/>
                <w:bCs w:val="1"/>
                <w:color w:val="auto"/>
                <w:w w:val="99"/>
              </w:rPr>
              <w:t>Q2 2008</w:t>
            </w:r>
          </w:p>
        </w:tc>
      </w:tr>
      <w:tr>
        <w:trPr>
          <w:trHeight w:val="282"/>
        </w:trPr>
        <w:tc>
          <w:tcPr>
            <w:tcW w:w="1100" w:type="dxa"/>
            <w:vAlign w:val="bottom"/>
          </w:tcPr>
          <w:p>
            <w:pPr>
              <w:spacing w:after="0"/>
              <w:rPr>
                <w:sz w:val="24"/>
                <w:szCs w:val="24"/>
                <w:color w:val="auto"/>
              </w:rPr>
            </w:pPr>
          </w:p>
        </w:tc>
        <w:tc>
          <w:tcPr>
            <w:tcW w:w="1660" w:type="dxa"/>
            <w:vAlign w:val="bottom"/>
          </w:tcPr>
          <w:p>
            <w:pPr>
              <w:jc w:val="center"/>
              <w:ind w:left="48"/>
              <w:spacing w:after="0"/>
              <w:rPr>
                <w:sz w:val="20"/>
                <w:szCs w:val="20"/>
                <w:color w:val="auto"/>
              </w:rPr>
            </w:pPr>
            <w:r>
              <w:rPr>
                <w:rFonts w:ascii="Arial" w:cs="Arial" w:eastAsia="Arial" w:hAnsi="Arial"/>
                <w:sz w:val="22"/>
                <w:szCs w:val="22"/>
                <w:b w:val="1"/>
                <w:bCs w:val="1"/>
                <w:color w:val="auto"/>
              </w:rPr>
              <w:t>Impact of</w:t>
            </w:r>
          </w:p>
        </w:tc>
        <w:tc>
          <w:tcPr>
            <w:tcW w:w="1580" w:type="dxa"/>
            <w:vAlign w:val="bottom"/>
          </w:tcPr>
          <w:p>
            <w:pPr>
              <w:jc w:val="center"/>
              <w:spacing w:after="0"/>
              <w:rPr>
                <w:sz w:val="20"/>
                <w:szCs w:val="20"/>
                <w:color w:val="auto"/>
              </w:rPr>
            </w:pPr>
            <w:r>
              <w:rPr>
                <w:rFonts w:ascii="Arial" w:cs="Arial" w:eastAsia="Arial" w:hAnsi="Arial"/>
                <w:sz w:val="22"/>
                <w:szCs w:val="22"/>
                <w:b w:val="1"/>
                <w:bCs w:val="1"/>
                <w:color w:val="auto"/>
              </w:rPr>
              <w:t>Recruitment</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rPr>
              <w:t>Recruitment</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rPr>
              <w:t>Specialty</w:t>
            </w:r>
          </w:p>
        </w:tc>
        <w:tc>
          <w:tcPr>
            <w:tcW w:w="1180" w:type="dxa"/>
            <w:vAlign w:val="bottom"/>
          </w:tcPr>
          <w:p>
            <w:pPr>
              <w:spacing w:after="0"/>
              <w:rPr>
                <w:sz w:val="24"/>
                <w:szCs w:val="24"/>
                <w:color w:val="auto"/>
              </w:rPr>
            </w:pPr>
          </w:p>
        </w:tc>
      </w:tr>
      <w:tr>
        <w:trPr>
          <w:trHeight w:val="282"/>
        </w:trPr>
        <w:tc>
          <w:tcPr>
            <w:tcW w:w="1100" w:type="dxa"/>
            <w:vAlign w:val="bottom"/>
          </w:tcPr>
          <w:p>
            <w:pPr>
              <w:spacing w:after="0"/>
              <w:rPr>
                <w:sz w:val="24"/>
                <w:szCs w:val="24"/>
                <w:color w:val="auto"/>
              </w:rPr>
            </w:pPr>
          </w:p>
        </w:tc>
        <w:tc>
          <w:tcPr>
            <w:tcW w:w="1660" w:type="dxa"/>
            <w:vAlign w:val="bottom"/>
          </w:tcPr>
          <w:p>
            <w:pPr>
              <w:jc w:val="center"/>
              <w:ind w:left="8"/>
              <w:spacing w:after="0"/>
              <w:rPr>
                <w:sz w:val="20"/>
                <w:szCs w:val="20"/>
                <w:color w:val="auto"/>
              </w:rPr>
            </w:pPr>
            <w:r>
              <w:rPr>
                <w:rFonts w:ascii="Arial" w:cs="Arial" w:eastAsia="Arial" w:hAnsi="Arial"/>
                <w:sz w:val="22"/>
                <w:szCs w:val="22"/>
                <w:b w:val="1"/>
                <w:bCs w:val="1"/>
                <w:color w:val="auto"/>
              </w:rPr>
              <w:t>Payroll Tax</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6"/>
        </w:trPr>
        <w:tc>
          <w:tcPr>
            <w:tcW w:w="1100" w:type="dxa"/>
            <w:vAlign w:val="bottom"/>
          </w:tcPr>
          <w:p>
            <w:pPr>
              <w:spacing w:after="0"/>
              <w:rPr>
                <w:sz w:val="24"/>
                <w:szCs w:val="24"/>
                <w:color w:val="auto"/>
              </w:rPr>
            </w:pPr>
          </w:p>
        </w:tc>
        <w:tc>
          <w:tcPr>
            <w:tcW w:w="1660" w:type="dxa"/>
            <w:vAlign w:val="bottom"/>
          </w:tcPr>
          <w:p>
            <w:pPr>
              <w:jc w:val="center"/>
              <w:ind w:left="8"/>
              <w:spacing w:after="0"/>
              <w:rPr>
                <w:sz w:val="20"/>
                <w:szCs w:val="20"/>
                <w:color w:val="auto"/>
              </w:rPr>
            </w:pPr>
            <w:r>
              <w:rPr>
                <w:rFonts w:ascii="Arial" w:cs="Arial" w:eastAsia="Arial" w:hAnsi="Arial"/>
                <w:sz w:val="22"/>
                <w:szCs w:val="22"/>
                <w:b w:val="1"/>
                <w:bCs w:val="1"/>
                <w:color w:val="auto"/>
              </w:rPr>
              <w:t>Changes</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020"/>
          </w:cols>
          <w:pgMar w:left="1060" w:top="498" w:right="8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82"/>
        </w:trPr>
        <w:tc>
          <w:tcPr>
            <w:tcW w:w="688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2980" w:type="dxa"/>
            <w:vAlign w:val="bottom"/>
          </w:tcPr>
          <w:p>
            <w:pPr>
              <w:jc w:val="right"/>
              <w:spacing w:after="0"/>
              <w:rPr>
                <w:sz w:val="20"/>
                <w:szCs w:val="20"/>
                <w:color w:val="auto"/>
              </w:rPr>
            </w:pPr>
            <w:r>
              <w:rPr>
                <w:rFonts w:ascii="Arial" w:cs="Arial" w:eastAsia="Arial" w:hAnsi="Arial"/>
                <w:sz w:val="22"/>
                <w:szCs w:val="22"/>
                <w:color w:val="FFFFFF"/>
              </w:rPr>
              <w:t>5</w:t>
            </w: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47"/>
          <w:szCs w:val="47"/>
          <w:color w:val="C8504F"/>
        </w:rPr>
        <w:t>United States Segment</w:t>
      </w:r>
    </w:p>
    <w:p>
      <w:pPr>
        <w:spacing w:after="0"/>
        <w:rPr>
          <w:sz w:val="20"/>
          <w:szCs w:val="20"/>
          <w:color w:val="auto"/>
        </w:rPr>
      </w:pPr>
      <w:r>
        <w:rPr>
          <w:rFonts w:ascii="Arial" w:cs="Arial" w:eastAsia="Arial" w:hAnsi="Arial"/>
          <w:sz w:val="32"/>
          <w:szCs w:val="32"/>
          <w:color w:val="C8504F"/>
        </w:rPr>
        <w:t>(8% of Revenue)</w:t>
      </w:r>
    </w:p>
    <w:p>
      <w:pPr>
        <w:spacing w:after="0" w:line="259"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spacing w:after="0" w:line="399" w:lineRule="exact"/>
        <w:rPr>
          <w:sz w:val="20"/>
          <w:szCs w:val="20"/>
          <w:color w:val="auto"/>
        </w:rPr>
      </w:pPr>
    </w:p>
    <w:p>
      <w:pPr>
        <w:ind w:left="2180"/>
        <w:spacing w:after="0"/>
        <w:tabs>
          <w:tab w:leader="none" w:pos="3400" w:val="left"/>
        </w:tabs>
        <w:rPr>
          <w:sz w:val="20"/>
          <w:szCs w:val="20"/>
          <w:color w:val="auto"/>
        </w:rPr>
      </w:pPr>
      <w:r>
        <w:rPr>
          <w:rFonts w:ascii="Arial" w:cs="Arial" w:eastAsia="Arial" w:hAnsi="Arial"/>
          <w:sz w:val="38"/>
          <w:szCs w:val="38"/>
          <w:color w:val="auto"/>
        </w:rPr>
        <w:t>1%</w:t>
      </w:r>
      <w:r>
        <w:rPr>
          <w:rFonts w:ascii="Arial" w:cs="Arial" w:eastAsia="Arial" w:hAnsi="Arial"/>
          <w:sz w:val="38"/>
          <w:szCs w:val="38"/>
          <w:b w:val="1"/>
          <w:bCs w:val="1"/>
          <w:color w:val="C8504F"/>
          <w:vertAlign w:val="superscript"/>
        </w:rPr>
        <w:t>(1)</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$492M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00"/>
        <w:spacing w:after="0"/>
        <w:tabs>
          <w:tab w:leader="none" w:pos="3440" w:val="left"/>
        </w:tabs>
        <w:rPr>
          <w:sz w:val="20"/>
          <w:szCs w:val="20"/>
          <w:color w:val="auto"/>
        </w:rPr>
      </w:pPr>
      <w:r>
        <w:rPr>
          <w:rFonts w:ascii="Arial" w:cs="Arial" w:eastAsia="Arial" w:hAnsi="Arial"/>
          <w:sz w:val="38"/>
          <w:szCs w:val="38"/>
          <w:color w:val="auto"/>
        </w:rPr>
        <w:t>43%</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$15M</w:t>
      </w:r>
    </w:p>
    <w:p>
      <w:pPr>
        <w:spacing w:after="0" w:line="200" w:lineRule="exact"/>
        <w:rPr>
          <w:sz w:val="20"/>
          <w:szCs w:val="20"/>
          <w:color w:val="auto"/>
        </w:rPr>
      </w:pPr>
    </w:p>
    <w:p>
      <w:pPr>
        <w:spacing w:after="0" w:line="399" w:lineRule="exact"/>
        <w:rPr>
          <w:sz w:val="20"/>
          <w:szCs w:val="20"/>
          <w:color w:val="auto"/>
        </w:rPr>
      </w:pPr>
    </w:p>
    <w:p>
      <w:pPr>
        <w:ind w:left="1720"/>
        <w:spacing w:after="0"/>
        <w:tabs>
          <w:tab w:leader="none" w:pos="3420" w:val="left"/>
        </w:tabs>
        <w:rPr>
          <w:sz w:val="20"/>
          <w:szCs w:val="20"/>
          <w:color w:val="auto"/>
        </w:rPr>
      </w:pPr>
      <w:r>
        <w:rPr>
          <w:rFonts w:ascii="Arial" w:cs="Arial" w:eastAsia="Arial" w:hAnsi="Arial"/>
          <w:sz w:val="38"/>
          <w:szCs w:val="38"/>
          <w:color w:val="auto"/>
        </w:rPr>
        <w:t>230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 w:hanging="216"/>
        <w:spacing w:after="0"/>
        <w:tabs>
          <w:tab w:leader="none" w:pos="300" w:val="left"/>
        </w:tabs>
        <w:numPr>
          <w:ilvl w:val="0"/>
          <w:numId w:val="7"/>
        </w:numPr>
        <w:rPr>
          <w:rFonts w:ascii="Arial" w:cs="Arial" w:eastAsia="Arial" w:hAnsi="Arial"/>
          <w:sz w:val="26"/>
          <w:szCs w:val="26"/>
          <w:b w:val="1"/>
          <w:bCs w:val="1"/>
          <w:color w:val="auto"/>
          <w:vertAlign w:val="superscript"/>
        </w:rPr>
      </w:pPr>
      <w:r>
        <w:rPr>
          <w:rFonts w:ascii="Arial" w:cs="Arial" w:eastAsia="Arial" w:hAnsi="Arial"/>
          <w:sz w:val="19"/>
          <w:szCs w:val="19"/>
          <w:color w:val="auto"/>
        </w:rPr>
        <w:t>The results above include the impact of acquisitions. On an organic basis, revenue decreased 9%.</w:t>
      </w:r>
    </w:p>
    <w:p>
      <w:pPr>
        <w:spacing w:after="0" w:line="209" w:lineRule="exact"/>
        <w:rPr>
          <w:sz w:val="20"/>
          <w:szCs w:val="20"/>
          <w:color w:val="auto"/>
        </w:rPr>
      </w:pPr>
    </w:p>
    <w:p>
      <w:pPr>
        <w:ind w:left="80" w:right="1840"/>
        <w:spacing w:after="0" w:line="275" w:lineRule="auto"/>
        <w:rPr>
          <w:sz w:val="20"/>
          <w:szCs w:val="20"/>
          <w:color w:val="auto"/>
        </w:rPr>
      </w:pPr>
      <w:r>
        <w:rPr>
          <w:rFonts w:ascii="Arial" w:cs="Arial" w:eastAsia="Arial" w:hAnsi="Arial"/>
          <w:sz w:val="20"/>
          <w:szCs w:val="20"/>
          <w:b w:val="1"/>
          <w:bCs w:val="1"/>
          <w:color w:val="auto"/>
        </w:rPr>
        <w:t>Operating Unit Profit (OUP) is the measure that we use to evaluate segment performance. OUP is equal to segment revenues less direct costs and branch and national headquarters operating costs.</w:t>
      </w:r>
    </w:p>
    <w:p>
      <w:pPr>
        <w:sectPr>
          <w:pgSz w:w="11900" w:h="16838" w:orient="portrait"/>
          <w:cols w:equalWidth="0" w:num="1">
            <w:col w:w="9860"/>
          </w:cols>
          <w:pgMar w:left="1220" w:top="498" w:right="8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482"/>
        </w:trPr>
        <w:tc>
          <w:tcPr>
            <w:tcW w:w="688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2980" w:type="dxa"/>
            <w:vAlign w:val="bottom"/>
          </w:tcPr>
          <w:p>
            <w:pPr>
              <w:jc w:val="right"/>
              <w:spacing w:after="0"/>
              <w:rPr>
                <w:sz w:val="20"/>
                <w:szCs w:val="20"/>
                <w:color w:val="auto"/>
              </w:rPr>
            </w:pPr>
            <w:r>
              <w:rPr>
                <w:rFonts w:ascii="Arial" w:cs="Arial" w:eastAsia="Arial" w:hAnsi="Arial"/>
                <w:sz w:val="22"/>
                <w:szCs w:val="22"/>
                <w:color w:val="FFFFFF"/>
              </w:rPr>
              <w:t>6</w:t>
            </w:r>
          </w:p>
        </w:tc>
      </w:tr>
    </w:tbl>
    <w:p>
      <w:pPr>
        <w:jc w:val="right"/>
        <w:spacing w:after="0"/>
        <w:rPr>
          <w:sz w:val="20"/>
          <w:szCs w:val="20"/>
          <w:color w:val="auto"/>
        </w:rPr>
        <w:sectPr>
          <w:pgSz w:w="11900" w:h="16838" w:orient="portrait"/>
          <w:cols w:equalWidth="0" w:num="1">
            <w:col w:w="9860"/>
          </w:cols>
          <w:pgMar w:left="1220" w:top="498" w:right="819" w:bottom="1440" w:gutter="0" w:footer="0" w:header="0"/>
        </w:sect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7"/>
          <w:szCs w:val="47"/>
          <w:color w:val="D47C18"/>
        </w:rPr>
        <w:t>France Segment</w:t>
      </w:r>
    </w:p>
    <w:p>
      <w:pPr>
        <w:spacing w:after="0"/>
        <w:rPr>
          <w:sz w:val="20"/>
          <w:szCs w:val="20"/>
          <w:color w:val="auto"/>
        </w:rPr>
      </w:pPr>
      <w:r>
        <w:rPr>
          <w:rFonts w:ascii="Arial" w:cs="Arial" w:eastAsia="Arial" w:hAnsi="Arial"/>
          <w:sz w:val="32"/>
          <w:szCs w:val="32"/>
          <w:color w:val="D47C18"/>
        </w:rPr>
        <w:t>(33% of Revenue)</w:t>
      </w:r>
    </w:p>
    <w:p>
      <w:pPr>
        <w:spacing w:after="0" w:line="348" w:lineRule="exact"/>
        <w:rPr>
          <w:sz w:val="20"/>
          <w:szCs w:val="20"/>
          <w:color w:val="auto"/>
        </w:rPr>
      </w:pPr>
    </w:p>
    <w:tbl>
      <w:tblPr>
        <w:tblLayout w:type="fixed"/>
        <w:tblInd w:w="440" w:type="dxa"/>
        <w:tblCellMar>
          <w:top w:w="0" w:type="dxa"/>
          <w:left w:w="0" w:type="dxa"/>
          <w:bottom w:w="0" w:type="dxa"/>
          <w:right w:w="0" w:type="dxa"/>
        </w:tblCellMar>
      </w:tblPr>
      <w:tr>
        <w:trPr>
          <w:trHeight w:val="270"/>
        </w:trPr>
        <w:tc>
          <w:tcPr>
            <w:tcW w:w="1540" w:type="dxa"/>
            <w:vAlign w:val="bottom"/>
            <w:vMerge w:val="restart"/>
          </w:tcPr>
          <w:p>
            <w:pPr>
              <w:jc w:val="center"/>
              <w:ind w:right="94"/>
              <w:spacing w:after="0"/>
              <w:rPr>
                <w:sz w:val="20"/>
                <w:szCs w:val="20"/>
                <w:color w:val="auto"/>
              </w:rPr>
            </w:pPr>
            <w:r>
              <w:rPr>
                <w:rFonts w:ascii="Arial" w:cs="Arial" w:eastAsia="Arial" w:hAnsi="Arial"/>
                <w:sz w:val="22"/>
                <w:szCs w:val="22"/>
                <w:b w:val="1"/>
                <w:bCs w:val="1"/>
                <w:color w:val="auto"/>
                <w:w w:val="99"/>
              </w:rPr>
              <w:t>As</w:t>
            </w:r>
          </w:p>
        </w:tc>
        <w:tc>
          <w:tcPr>
            <w:tcW w:w="1620" w:type="dxa"/>
            <w:vAlign w:val="bottom"/>
          </w:tcPr>
          <w:p>
            <w:pPr>
              <w:jc w:val="center"/>
              <w:spacing w:after="0"/>
              <w:rPr>
                <w:sz w:val="20"/>
                <w:szCs w:val="20"/>
                <w:color w:val="auto"/>
              </w:rPr>
            </w:pPr>
            <w:r>
              <w:rPr>
                <w:rFonts w:ascii="Arial" w:cs="Arial" w:eastAsia="Arial" w:hAnsi="Arial"/>
                <w:sz w:val="22"/>
                <w:szCs w:val="22"/>
                <w:b w:val="1"/>
                <w:bCs w:val="1"/>
                <w:color w:val="auto"/>
              </w:rPr>
              <w:t>Excluding</w:t>
            </w:r>
          </w:p>
        </w:tc>
        <w:tc>
          <w:tcPr>
            <w:tcW w:w="0" w:type="dxa"/>
            <w:vAlign w:val="bottom"/>
          </w:tcPr>
          <w:p>
            <w:pPr>
              <w:spacing w:after="0"/>
              <w:rPr>
                <w:sz w:val="1"/>
                <w:szCs w:val="1"/>
                <w:color w:val="auto"/>
              </w:rPr>
            </w:pPr>
          </w:p>
        </w:tc>
      </w:tr>
      <w:tr>
        <w:trPr>
          <w:trHeight w:val="230"/>
        </w:trPr>
        <w:tc>
          <w:tcPr>
            <w:tcW w:w="1540" w:type="dxa"/>
            <w:vAlign w:val="bottom"/>
            <w:vMerge w:val="continue"/>
          </w:tcPr>
          <w:p>
            <w:pPr>
              <w:spacing w:after="0"/>
              <w:rPr>
                <w:sz w:val="20"/>
                <w:szCs w:val="20"/>
                <w:color w:val="auto"/>
              </w:rPr>
            </w:pPr>
          </w:p>
        </w:tc>
        <w:tc>
          <w:tcPr>
            <w:tcW w:w="1620" w:type="dxa"/>
            <w:vAlign w:val="bottom"/>
          </w:tcPr>
          <w:p>
            <w:pPr>
              <w:jc w:val="center"/>
              <w:spacing w:after="0" w:line="230" w:lineRule="exact"/>
              <w:rPr>
                <w:sz w:val="20"/>
                <w:szCs w:val="20"/>
                <w:color w:val="auto"/>
              </w:rPr>
            </w:pPr>
            <w:r>
              <w:rPr>
                <w:rFonts w:ascii="Arial" w:cs="Arial" w:eastAsia="Arial" w:hAnsi="Arial"/>
                <w:sz w:val="22"/>
                <w:szCs w:val="22"/>
                <w:b w:val="1"/>
                <w:bCs w:val="1"/>
                <w:color w:val="auto"/>
              </w:rPr>
              <w:t>Non-recurring</w:t>
            </w:r>
          </w:p>
        </w:tc>
        <w:tc>
          <w:tcPr>
            <w:tcW w:w="0" w:type="dxa"/>
            <w:vAlign w:val="bottom"/>
          </w:tcPr>
          <w:p>
            <w:pPr>
              <w:spacing w:after="0"/>
              <w:rPr>
                <w:sz w:val="1"/>
                <w:szCs w:val="1"/>
                <w:color w:val="auto"/>
              </w:rPr>
            </w:pPr>
          </w:p>
        </w:tc>
      </w:tr>
      <w:tr>
        <w:trPr>
          <w:trHeight w:val="473"/>
        </w:trPr>
        <w:tc>
          <w:tcPr>
            <w:tcW w:w="1540" w:type="dxa"/>
            <w:vAlign w:val="bottom"/>
          </w:tcPr>
          <w:p>
            <w:pPr>
              <w:jc w:val="center"/>
              <w:ind w:right="74"/>
              <w:spacing w:after="0"/>
              <w:rPr>
                <w:sz w:val="20"/>
                <w:szCs w:val="20"/>
                <w:color w:val="auto"/>
              </w:rPr>
            </w:pPr>
            <w:r>
              <w:rPr>
                <w:rFonts w:ascii="Arial" w:cs="Arial" w:eastAsia="Arial" w:hAnsi="Arial"/>
                <w:sz w:val="22"/>
                <w:szCs w:val="22"/>
                <w:b w:val="1"/>
                <w:bCs w:val="1"/>
                <w:color w:val="auto"/>
              </w:rPr>
              <w:t>Reported</w:t>
            </w:r>
          </w:p>
        </w:tc>
        <w:tc>
          <w:tcPr>
            <w:tcW w:w="1620" w:type="dxa"/>
            <w:vAlign w:val="bottom"/>
          </w:tcPr>
          <w:p>
            <w:pPr>
              <w:jc w:val="center"/>
              <w:ind w:left="181"/>
              <w:spacing w:after="0"/>
              <w:rPr>
                <w:sz w:val="20"/>
                <w:szCs w:val="20"/>
                <w:color w:val="auto"/>
              </w:rPr>
            </w:pPr>
            <w:r>
              <w:rPr>
                <w:rFonts w:ascii="Arial" w:cs="Arial" w:eastAsia="Arial" w:hAnsi="Arial"/>
                <w:sz w:val="22"/>
                <w:szCs w:val="22"/>
                <w:b w:val="1"/>
                <w:bCs w:val="1"/>
                <w:color w:val="auto"/>
                <w:w w:val="92"/>
              </w:rPr>
              <w:t>Items</w:t>
            </w:r>
            <w:r>
              <w:rPr>
                <w:rFonts w:ascii="Arial" w:cs="Arial" w:eastAsia="Arial" w:hAnsi="Arial"/>
                <w:sz w:val="35"/>
                <w:szCs w:val="35"/>
                <w:b w:val="1"/>
                <w:bCs w:val="1"/>
                <w:color w:val="D47C18"/>
                <w:w w:val="92"/>
                <w:vertAlign w:val="superscript"/>
              </w:rPr>
              <w:t>(1)</w:t>
            </w:r>
          </w:p>
        </w:tc>
        <w:tc>
          <w:tcPr>
            <w:tcW w:w="0" w:type="dxa"/>
            <w:vAlign w:val="bottom"/>
          </w:tcPr>
          <w:p>
            <w:pPr>
              <w:spacing w:after="0"/>
              <w:rPr>
                <w:sz w:val="1"/>
                <w:szCs w:val="1"/>
                <w:color w:val="auto"/>
              </w:rPr>
            </w:pPr>
          </w:p>
        </w:tc>
      </w:tr>
      <w:tr>
        <w:trPr>
          <w:trHeight w:val="521"/>
        </w:trPr>
        <w:tc>
          <w:tcPr>
            <w:tcW w:w="1540" w:type="dxa"/>
            <w:vAlign w:val="bottom"/>
          </w:tcPr>
          <w:p>
            <w:pPr>
              <w:ind w:left="360"/>
              <w:spacing w:after="0"/>
              <w:rPr>
                <w:sz w:val="20"/>
                <w:szCs w:val="20"/>
                <w:color w:val="auto"/>
              </w:rPr>
            </w:pPr>
            <w:r>
              <w:rPr>
                <w:rFonts w:ascii="Arial" w:cs="Arial" w:eastAsia="Arial" w:hAnsi="Arial"/>
                <w:sz w:val="38"/>
                <w:szCs w:val="38"/>
                <w:color w:val="auto"/>
              </w:rPr>
              <w:t>10%</w:t>
            </w:r>
          </w:p>
        </w:tc>
        <w:tc>
          <w:tcPr>
            <w:tcW w:w="1620" w:type="dxa"/>
            <w:vAlign w:val="bottom"/>
          </w:tcPr>
          <w:p>
            <w:pPr>
              <w:jc w:val="center"/>
              <w:ind w:left="241"/>
              <w:spacing w:after="0"/>
              <w:rPr>
                <w:sz w:val="20"/>
                <w:szCs w:val="20"/>
                <w:color w:val="auto"/>
              </w:rPr>
            </w:pPr>
            <w:r>
              <w:rPr>
                <w:rFonts w:ascii="Arial" w:cs="Arial" w:eastAsia="Arial" w:hAnsi="Arial"/>
                <w:sz w:val="38"/>
                <w:szCs w:val="38"/>
                <w:color w:val="auto"/>
                <w:w w:val="97"/>
              </w:rPr>
              <w:t>10%</w:t>
            </w:r>
          </w:p>
        </w:tc>
        <w:tc>
          <w:tcPr>
            <w:tcW w:w="0" w:type="dxa"/>
            <w:vAlign w:val="bottom"/>
          </w:tcPr>
          <w:p>
            <w:pPr>
              <w:spacing w:after="0"/>
              <w:rPr>
                <w:sz w:val="1"/>
                <w:szCs w:val="1"/>
                <w:color w:val="auto"/>
              </w:rPr>
            </w:pPr>
          </w:p>
        </w:tc>
      </w:tr>
      <w:tr>
        <w:trPr>
          <w:trHeight w:val="459"/>
        </w:trPr>
        <w:tc>
          <w:tcPr>
            <w:tcW w:w="1540" w:type="dxa"/>
            <w:vAlign w:val="bottom"/>
          </w:tcPr>
          <w:p>
            <w:pPr>
              <w:jc w:val="center"/>
              <w:spacing w:after="0"/>
              <w:rPr>
                <w:sz w:val="20"/>
                <w:szCs w:val="20"/>
                <w:color w:val="auto"/>
              </w:rPr>
            </w:pPr>
            <w:r>
              <w:rPr>
                <w:rFonts w:ascii="Arial" w:cs="Arial" w:eastAsia="Arial" w:hAnsi="Arial"/>
                <w:sz w:val="38"/>
                <w:szCs w:val="38"/>
                <w:color w:val="auto"/>
                <w:w w:val="98"/>
              </w:rPr>
              <w:t>5% CC</w:t>
            </w:r>
          </w:p>
        </w:tc>
        <w:tc>
          <w:tcPr>
            <w:tcW w:w="1620" w:type="dxa"/>
            <w:vAlign w:val="bottom"/>
          </w:tcPr>
          <w:p>
            <w:pPr>
              <w:jc w:val="center"/>
              <w:ind w:left="161"/>
              <w:spacing w:after="0"/>
              <w:rPr>
                <w:sz w:val="20"/>
                <w:szCs w:val="20"/>
                <w:color w:val="auto"/>
              </w:rPr>
            </w:pPr>
            <w:r>
              <w:rPr>
                <w:rFonts w:ascii="Arial" w:cs="Arial" w:eastAsia="Arial" w:hAnsi="Arial"/>
                <w:sz w:val="38"/>
                <w:szCs w:val="38"/>
                <w:color w:val="auto"/>
                <w:w w:val="98"/>
              </w:rPr>
              <w:t>5% CC</w:t>
            </w:r>
          </w:p>
        </w:tc>
        <w:tc>
          <w:tcPr>
            <w:tcW w:w="0" w:type="dxa"/>
            <w:vAlign w:val="bottom"/>
          </w:tcPr>
          <w:p>
            <w:pPr>
              <w:spacing w:after="0"/>
              <w:rPr>
                <w:sz w:val="1"/>
                <w:szCs w:val="1"/>
                <w:color w:val="auto"/>
              </w:rPr>
            </w:pPr>
          </w:p>
        </w:tc>
      </w:tr>
      <w:tr>
        <w:trPr>
          <w:trHeight w:val="682"/>
        </w:trPr>
        <w:tc>
          <w:tcPr>
            <w:tcW w:w="1540" w:type="dxa"/>
            <w:vAlign w:val="bottom"/>
          </w:tcPr>
          <w:p>
            <w:pPr>
              <w:ind w:left="340"/>
              <w:spacing w:after="0"/>
              <w:rPr>
                <w:sz w:val="20"/>
                <w:szCs w:val="20"/>
                <w:color w:val="auto"/>
              </w:rPr>
            </w:pPr>
            <w:r>
              <w:rPr>
                <w:rFonts w:ascii="Arial" w:cs="Arial" w:eastAsia="Arial" w:hAnsi="Arial"/>
                <w:sz w:val="38"/>
                <w:szCs w:val="38"/>
                <w:color w:val="auto"/>
              </w:rPr>
              <w:t>57%</w:t>
            </w:r>
          </w:p>
        </w:tc>
        <w:tc>
          <w:tcPr>
            <w:tcW w:w="1620" w:type="dxa"/>
            <w:vAlign w:val="bottom"/>
          </w:tcPr>
          <w:p>
            <w:pPr>
              <w:jc w:val="center"/>
              <w:ind w:left="201"/>
              <w:spacing w:after="0"/>
              <w:rPr>
                <w:sz w:val="20"/>
                <w:szCs w:val="20"/>
                <w:color w:val="auto"/>
              </w:rPr>
            </w:pPr>
            <w:r>
              <w:rPr>
                <w:rFonts w:ascii="Arial" w:cs="Arial" w:eastAsia="Arial" w:hAnsi="Arial"/>
                <w:sz w:val="38"/>
                <w:szCs w:val="38"/>
                <w:color w:val="auto"/>
                <w:w w:val="98"/>
              </w:rPr>
              <w:t>9%</w:t>
            </w:r>
          </w:p>
        </w:tc>
        <w:tc>
          <w:tcPr>
            <w:tcW w:w="0" w:type="dxa"/>
            <w:vAlign w:val="bottom"/>
          </w:tcPr>
          <w:p>
            <w:pPr>
              <w:spacing w:after="0"/>
              <w:rPr>
                <w:sz w:val="1"/>
                <w:szCs w:val="1"/>
                <w:color w:val="auto"/>
              </w:rPr>
            </w:pPr>
          </w:p>
        </w:tc>
      </w:tr>
      <w:tr>
        <w:trPr>
          <w:trHeight w:val="459"/>
        </w:trPr>
        <w:tc>
          <w:tcPr>
            <w:tcW w:w="1540" w:type="dxa"/>
            <w:vAlign w:val="bottom"/>
          </w:tcPr>
          <w:p>
            <w:pPr>
              <w:jc w:val="center"/>
              <w:spacing w:after="0"/>
              <w:rPr>
                <w:sz w:val="20"/>
                <w:szCs w:val="20"/>
                <w:color w:val="auto"/>
              </w:rPr>
            </w:pPr>
            <w:r>
              <w:rPr>
                <w:rFonts w:ascii="Arial" w:cs="Arial" w:eastAsia="Arial" w:hAnsi="Arial"/>
                <w:sz w:val="38"/>
                <w:szCs w:val="38"/>
                <w:color w:val="auto"/>
                <w:w w:val="98"/>
              </w:rPr>
              <w:t>63% CC</w:t>
            </w:r>
          </w:p>
        </w:tc>
        <w:tc>
          <w:tcPr>
            <w:tcW w:w="1620" w:type="dxa"/>
            <w:vAlign w:val="bottom"/>
          </w:tcPr>
          <w:p>
            <w:pPr>
              <w:jc w:val="center"/>
              <w:ind w:left="161"/>
              <w:spacing w:after="0"/>
              <w:rPr>
                <w:sz w:val="20"/>
                <w:szCs w:val="20"/>
                <w:color w:val="auto"/>
              </w:rPr>
            </w:pPr>
            <w:r>
              <w:rPr>
                <w:rFonts w:ascii="Arial" w:cs="Arial" w:eastAsia="Arial" w:hAnsi="Arial"/>
                <w:sz w:val="38"/>
                <w:szCs w:val="38"/>
                <w:color w:val="auto"/>
                <w:w w:val="98"/>
              </w:rPr>
              <w:t>6% CC</w:t>
            </w:r>
          </w:p>
        </w:tc>
        <w:tc>
          <w:tcPr>
            <w:tcW w:w="0" w:type="dxa"/>
            <w:vAlign w:val="bottom"/>
          </w:tcPr>
          <w:p>
            <w:pPr>
              <w:spacing w:after="0"/>
              <w:rPr>
                <w:sz w:val="1"/>
                <w:szCs w:val="1"/>
                <w:color w:val="auto"/>
              </w:rPr>
            </w:pPr>
          </w:p>
        </w:tc>
      </w:tr>
      <w:tr>
        <w:trPr>
          <w:trHeight w:val="894"/>
        </w:trPr>
        <w:tc>
          <w:tcPr>
            <w:tcW w:w="1540" w:type="dxa"/>
            <w:vAlign w:val="bottom"/>
          </w:tcPr>
          <w:p>
            <w:pPr>
              <w:jc w:val="center"/>
              <w:ind w:right="34"/>
              <w:spacing w:after="0"/>
              <w:rPr>
                <w:sz w:val="20"/>
                <w:szCs w:val="20"/>
                <w:color w:val="auto"/>
              </w:rPr>
            </w:pPr>
            <w:r>
              <w:rPr>
                <w:rFonts w:ascii="Arial" w:cs="Arial" w:eastAsia="Arial" w:hAnsi="Arial"/>
                <w:sz w:val="38"/>
                <w:szCs w:val="38"/>
                <w:color w:val="auto"/>
                <w:w w:val="99"/>
              </w:rPr>
              <w:t>560 bps</w:t>
            </w:r>
          </w:p>
        </w:tc>
        <w:tc>
          <w:tcPr>
            <w:tcW w:w="1620" w:type="dxa"/>
            <w:vAlign w:val="bottom"/>
          </w:tcPr>
          <w:p>
            <w:pPr>
              <w:jc w:val="center"/>
              <w:ind w:left="141"/>
              <w:spacing w:after="0"/>
              <w:rPr>
                <w:sz w:val="20"/>
                <w:szCs w:val="20"/>
                <w:color w:val="auto"/>
              </w:rPr>
            </w:pPr>
            <w:r>
              <w:rPr>
                <w:rFonts w:ascii="Arial" w:cs="Arial" w:eastAsia="Arial" w:hAnsi="Arial"/>
                <w:sz w:val="38"/>
                <w:szCs w:val="38"/>
                <w:color w:val="auto"/>
                <w:w w:val="98"/>
              </w:rPr>
              <w:t>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0" w:firstLine="47"/>
        <w:spacing w:after="0" w:line="488" w:lineRule="auto"/>
        <w:rPr>
          <w:sz w:val="20"/>
          <w:szCs w:val="20"/>
          <w:color w:val="auto"/>
        </w:rPr>
      </w:pPr>
      <w:r>
        <w:rPr>
          <w:rFonts w:ascii="Arial" w:cs="Arial" w:eastAsia="Arial" w:hAnsi="Arial"/>
          <w:sz w:val="41"/>
          <w:szCs w:val="41"/>
          <w:b w:val="1"/>
          <w:bCs w:val="1"/>
          <w:color w:val="auto"/>
        </w:rPr>
        <w:t xml:space="preserve">Q2 Financial Highlights Revenue </w:t>
      </w:r>
      <w:r>
        <w:rPr>
          <w:rFonts w:ascii="Arial" w:cs="Arial" w:eastAsia="Arial" w:hAnsi="Arial"/>
          <w:sz w:val="43"/>
          <w:szCs w:val="43"/>
          <w:b w:val="1"/>
          <w:bCs w:val="1"/>
          <w:color w:val="D47C18"/>
        </w:rPr>
        <w:t>$2.0B</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$70M</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3.6%</w:t>
      </w:r>
    </w:p>
    <w:p>
      <w:pPr>
        <w:spacing w:after="0" w:line="288" w:lineRule="exact"/>
        <w:rPr>
          <w:sz w:val="20"/>
          <w:szCs w:val="20"/>
          <w:color w:val="auto"/>
        </w:rPr>
      </w:pPr>
    </w:p>
    <w:p>
      <w:pPr>
        <w:sectPr>
          <w:pgSz w:w="11900" w:h="16838" w:orient="portrait"/>
          <w:cols w:equalWidth="0" w:num="2">
            <w:col w:w="3600" w:space="440"/>
            <w:col w:w="5820"/>
          </w:cols>
          <w:pgMar w:left="1220" w:top="498"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0" w:right="1160" w:hanging="227"/>
        <w:spacing w:after="0" w:line="208" w:lineRule="auto"/>
        <w:tabs>
          <w:tab w:leader="none" w:pos="228" w:val="left"/>
        </w:tabs>
        <w:numPr>
          <w:ilvl w:val="0"/>
          <w:numId w:val="8"/>
        </w:numPr>
        <w:rPr>
          <w:rFonts w:ascii="Arial" w:cs="Arial" w:eastAsia="Arial" w:hAnsi="Arial"/>
          <w:sz w:val="26"/>
          <w:szCs w:val="26"/>
          <w:b w:val="1"/>
          <w:bCs w:val="1"/>
          <w:color w:val="auto"/>
          <w:vertAlign w:val="superscript"/>
        </w:rPr>
      </w:pPr>
      <w:r>
        <w:rPr>
          <w:rFonts w:ascii="Arial" w:cs="Arial" w:eastAsia="Arial" w:hAnsi="Arial"/>
          <w:sz w:val="19"/>
          <w:szCs w:val="19"/>
          <w:color w:val="auto"/>
        </w:rPr>
        <w:t>Excludes the impact of the French payroll tax change from both years, and the French legal reserve in 2008.</w:t>
      </w:r>
    </w:p>
    <w:p>
      <w:pPr>
        <w:sectPr>
          <w:pgSz w:w="11900" w:h="16838" w:orient="portrait"/>
          <w:cols w:equalWidth="0" w:num="1">
            <w:col w:w="9860"/>
          </w:cols>
          <w:pgMar w:left="1220" w:top="498" w:right="81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482"/>
        </w:trPr>
        <w:tc>
          <w:tcPr>
            <w:tcW w:w="688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2980" w:type="dxa"/>
            <w:vAlign w:val="bottom"/>
          </w:tcPr>
          <w:p>
            <w:pPr>
              <w:jc w:val="right"/>
              <w:spacing w:after="0"/>
              <w:rPr>
                <w:sz w:val="20"/>
                <w:szCs w:val="20"/>
                <w:color w:val="auto"/>
              </w:rPr>
            </w:pPr>
            <w:r>
              <w:rPr>
                <w:rFonts w:ascii="Arial" w:cs="Arial" w:eastAsia="Arial" w:hAnsi="Arial"/>
                <w:sz w:val="22"/>
                <w:szCs w:val="22"/>
                <w:color w:val="FFFFFF"/>
              </w:rPr>
              <w:t>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47"/>
          <w:szCs w:val="47"/>
          <w:color w:val="5F81AA"/>
        </w:rPr>
        <w:t>Other EMEA Segment</w:t>
      </w:r>
    </w:p>
    <w:p>
      <w:pPr>
        <w:spacing w:after="0"/>
        <w:rPr>
          <w:sz w:val="20"/>
          <w:szCs w:val="20"/>
          <w:color w:val="auto"/>
        </w:rPr>
      </w:pPr>
      <w:r>
        <w:rPr>
          <w:rFonts w:ascii="Arial" w:cs="Arial" w:eastAsia="Arial" w:hAnsi="Arial"/>
          <w:sz w:val="32"/>
          <w:szCs w:val="32"/>
          <w:color w:val="5F81AA"/>
        </w:rPr>
        <w:t>(35% of Revenue)</w:t>
      </w:r>
    </w:p>
    <w:p>
      <w:pPr>
        <w:spacing w:after="0" w:line="259" w:lineRule="exact"/>
        <w:rPr>
          <w:sz w:val="20"/>
          <w:szCs w:val="20"/>
          <w:color w:val="auto"/>
        </w:rPr>
      </w:pPr>
    </w:p>
    <w:p>
      <w:pPr>
        <w:ind w:left="3540"/>
        <w:spacing w:after="0"/>
        <w:rPr>
          <w:sz w:val="20"/>
          <w:szCs w:val="20"/>
          <w:color w:val="auto"/>
        </w:rPr>
      </w:pPr>
      <w:r>
        <w:rPr>
          <w:rFonts w:ascii="Arial" w:cs="Arial" w:eastAsia="Arial" w:hAnsi="Arial"/>
          <w:sz w:val="41"/>
          <w:szCs w:val="41"/>
          <w:b w:val="1"/>
          <w:bCs w:val="1"/>
          <w:color w:val="auto"/>
        </w:rPr>
        <w:t>Q2 Financial Highlights</w:t>
      </w:r>
    </w:p>
    <w:p>
      <w:pPr>
        <w:spacing w:after="0" w:line="230" w:lineRule="exact"/>
        <w:rPr>
          <w:sz w:val="20"/>
          <w:szCs w:val="20"/>
          <w:color w:val="auto"/>
        </w:rPr>
      </w:pPr>
    </w:p>
    <w:p>
      <w:pPr>
        <w:ind w:left="2800"/>
        <w:spacing w:after="0"/>
        <w:rPr>
          <w:sz w:val="20"/>
          <w:szCs w:val="20"/>
          <w:color w:val="auto"/>
        </w:rPr>
      </w:pPr>
      <w:r>
        <w:rPr>
          <w:rFonts w:ascii="Arial" w:cs="Arial" w:eastAsia="Arial" w:hAnsi="Arial"/>
          <w:sz w:val="35"/>
          <w:szCs w:val="35"/>
          <w:b w:val="1"/>
          <w:bCs w:val="1"/>
          <w:color w:val="5F81AA"/>
          <w:vertAlign w:val="superscript"/>
        </w:rPr>
        <w:t>(1)</w:t>
      </w:r>
    </w:p>
    <w:p>
      <w:pPr>
        <w:spacing w:after="0" w:line="132"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18% CC</w:t>
      </w:r>
    </w:p>
    <w:p>
      <w:pPr>
        <w:ind w:left="2120"/>
        <w:spacing w:after="0" w:line="182" w:lineRule="auto"/>
        <w:tabs>
          <w:tab w:leader="none" w:pos="3500" w:val="left"/>
        </w:tabs>
        <w:rPr>
          <w:sz w:val="20"/>
          <w:szCs w:val="20"/>
          <w:color w:val="auto"/>
        </w:rPr>
      </w:pPr>
      <w:r>
        <w:rPr>
          <w:rFonts w:ascii="Arial" w:cs="Arial" w:eastAsia="Arial" w:hAnsi="Arial"/>
          <w:sz w:val="66"/>
          <w:szCs w:val="66"/>
          <w:color w:val="auto"/>
          <w:vertAlign w:val="superscript"/>
        </w:rPr>
        <w:t>53%</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5F81AA"/>
        </w:rPr>
        <w:t>$85M</w:t>
      </w:r>
    </w:p>
    <w:p>
      <w:pPr>
        <w:spacing w:after="0" w:line="140" w:lineRule="exact"/>
        <w:rPr>
          <w:sz w:val="20"/>
          <w:szCs w:val="20"/>
          <w:color w:val="auto"/>
        </w:rPr>
      </w:pPr>
    </w:p>
    <w:p>
      <w:pPr>
        <w:ind w:left="1760"/>
        <w:spacing w:after="0"/>
        <w:rPr>
          <w:sz w:val="20"/>
          <w:szCs w:val="20"/>
          <w:color w:val="auto"/>
        </w:rPr>
      </w:pPr>
      <w:r>
        <w:rPr>
          <w:rFonts w:ascii="Arial" w:cs="Arial" w:eastAsia="Arial" w:hAnsi="Arial"/>
          <w:sz w:val="38"/>
          <w:szCs w:val="38"/>
          <w:color w:val="auto"/>
        </w:rPr>
        <w:t>36% CC</w:t>
      </w:r>
    </w:p>
    <w:p>
      <w:pPr>
        <w:spacing w:after="0" w:line="314" w:lineRule="exact"/>
        <w:rPr>
          <w:sz w:val="20"/>
          <w:szCs w:val="20"/>
          <w:color w:val="auto"/>
        </w:rPr>
      </w:pPr>
    </w:p>
    <w:p>
      <w:pPr>
        <w:ind w:left="1820"/>
        <w:spacing w:after="0"/>
        <w:tabs>
          <w:tab w:leader="none" w:pos="3500" w:val="left"/>
        </w:tabs>
        <w:rPr>
          <w:sz w:val="20"/>
          <w:szCs w:val="20"/>
          <w:color w:val="auto"/>
        </w:rPr>
      </w:pPr>
      <w:r>
        <w:rPr>
          <w:rFonts w:ascii="Arial" w:cs="Arial" w:eastAsia="Arial" w:hAnsi="Arial"/>
          <w:sz w:val="38"/>
          <w:szCs w:val="38"/>
          <w:color w:val="auto"/>
        </w:rPr>
        <w:t>70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right="1140" w:hanging="223"/>
        <w:spacing w:after="0" w:line="218" w:lineRule="auto"/>
        <w:tabs>
          <w:tab w:leader="none" w:pos="248" w:val="left"/>
        </w:tabs>
        <w:numPr>
          <w:ilvl w:val="0"/>
          <w:numId w:val="9"/>
        </w:numPr>
        <w:rPr>
          <w:rFonts w:ascii="Arial" w:cs="Arial" w:eastAsia="Arial" w:hAnsi="Arial"/>
          <w:sz w:val="25"/>
          <w:szCs w:val="25"/>
          <w:b w:val="1"/>
          <w:bCs w:val="1"/>
          <w:color w:val="auto"/>
          <w:vertAlign w:val="superscript"/>
        </w:rPr>
      </w:pPr>
      <w:r>
        <w:rPr>
          <w:rFonts w:ascii="Arial" w:cs="Arial" w:eastAsia="Arial" w:hAnsi="Arial"/>
          <w:sz w:val="18"/>
          <w:szCs w:val="18"/>
          <w:color w:val="auto"/>
        </w:rPr>
        <w:t>The results above include the results of Vitae, which was acquired in April 2008. On an organic basis, revenue increased 27% in USD (15% in CC).</w:t>
      </w:r>
    </w:p>
    <w:p>
      <w:pPr>
        <w:sectPr>
          <w:pgSz w:w="11900" w:h="16838" w:orient="portrait"/>
          <w:cols w:equalWidth="0" w:num="1">
            <w:col w:w="9860"/>
          </w:cols>
          <w:pgMar w:left="1220" w:top="498" w:right="8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482"/>
        </w:trPr>
        <w:tc>
          <w:tcPr>
            <w:tcW w:w="688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2980" w:type="dxa"/>
            <w:vAlign w:val="bottom"/>
          </w:tcPr>
          <w:p>
            <w:pPr>
              <w:jc w:val="right"/>
              <w:spacing w:after="0"/>
              <w:rPr>
                <w:sz w:val="20"/>
                <w:szCs w:val="20"/>
                <w:color w:val="auto"/>
              </w:rPr>
            </w:pPr>
            <w:r>
              <w:rPr>
                <w:rFonts w:ascii="Arial" w:cs="Arial" w:eastAsia="Arial" w:hAnsi="Arial"/>
                <w:sz w:val="22"/>
                <w:szCs w:val="22"/>
                <w:color w:val="FFFFFF"/>
              </w:rPr>
              <w:t>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1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27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47"/>
          <w:szCs w:val="47"/>
          <w:color w:val="6698C2"/>
        </w:rPr>
        <w:t>Other EMEA – Q2 Revenue Growth YoY</w:t>
      </w:r>
    </w:p>
    <w:p>
      <w:pPr>
        <w:sectPr>
          <w:pgSz w:w="11900" w:h="16838" w:orient="portrait"/>
          <w:cols w:equalWidth="0" w:num="1">
            <w:col w:w="9860"/>
          </w:cols>
          <w:pgMar w:left="1220" w:top="498" w:right="819" w:bottom="1440" w:gutter="0" w:footer="0" w:header="0"/>
        </w:sectPr>
      </w:pPr>
    </w:p>
    <w:p>
      <w:pPr>
        <w:spacing w:after="0" w:line="29" w:lineRule="exact"/>
        <w:rPr>
          <w:sz w:val="20"/>
          <w:szCs w:val="20"/>
          <w:color w:val="auto"/>
        </w:rPr>
      </w:pPr>
    </w:p>
    <w:p>
      <w:pPr>
        <w:ind w:left="60" w:right="2400"/>
        <w:spacing w:after="0" w:line="305" w:lineRule="auto"/>
        <w:tabs>
          <w:tab w:leader="none" w:pos="334"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29" w:lineRule="exact"/>
        <w:rPr>
          <w:sz w:val="20"/>
          <w:szCs w:val="20"/>
          <w:color w:val="auto"/>
        </w:rPr>
      </w:pPr>
    </w:p>
    <w:p>
      <w:pPr>
        <w:ind w:left="240"/>
        <w:spacing w:after="0"/>
        <w:tabs>
          <w:tab w:leader="none" w:pos="2180" w:val="left"/>
        </w:tabs>
        <w:rPr>
          <w:sz w:val="20"/>
          <w:szCs w:val="20"/>
          <w:color w:val="auto"/>
        </w:rPr>
      </w:pPr>
      <w:r>
        <w:rPr>
          <w:rFonts w:ascii="Arial" w:cs="Arial" w:eastAsia="Arial" w:hAnsi="Arial"/>
          <w:sz w:val="28"/>
          <w:szCs w:val="28"/>
          <w:b w:val="1"/>
          <w:bCs w:val="1"/>
          <w:color w:val="D47C18"/>
        </w:rPr>
        <w:t>20%</w:t>
      </w:r>
      <w:r>
        <w:rPr>
          <w:sz w:val="20"/>
          <w:szCs w:val="20"/>
          <w:color w:val="auto"/>
        </w:rPr>
        <w:tab/>
      </w:r>
      <w:r>
        <w:rPr>
          <w:rFonts w:ascii="Arial" w:cs="Arial" w:eastAsia="Arial" w:hAnsi="Arial"/>
          <w:sz w:val="26"/>
          <w:szCs w:val="26"/>
          <w:b w:val="1"/>
          <w:bCs w:val="1"/>
          <w:color w:val="auto"/>
        </w:rPr>
        <w:t>Nordics</w:t>
      </w:r>
    </w:p>
    <w:p>
      <w:pPr>
        <w:spacing w:after="0" w:line="348" w:lineRule="exact"/>
        <w:rPr>
          <w:sz w:val="20"/>
          <w:szCs w:val="20"/>
          <w:color w:val="auto"/>
        </w:rPr>
      </w:pPr>
    </w:p>
    <w:p>
      <w:pPr>
        <w:ind w:left="240"/>
        <w:spacing w:after="0"/>
        <w:tabs>
          <w:tab w:leader="none" w:pos="2580" w:val="left"/>
        </w:tabs>
        <w:rPr>
          <w:sz w:val="20"/>
          <w:szCs w:val="20"/>
          <w:color w:val="auto"/>
        </w:rPr>
      </w:pPr>
      <w:r>
        <w:rPr>
          <w:rFonts w:ascii="Arial" w:cs="Arial" w:eastAsia="Arial" w:hAnsi="Arial"/>
          <w:sz w:val="28"/>
          <w:szCs w:val="28"/>
          <w:b w:val="1"/>
          <w:bCs w:val="1"/>
          <w:color w:val="D47C18"/>
        </w:rPr>
        <w:t>17%</w:t>
      </w:r>
      <w:r>
        <w:rPr>
          <w:sz w:val="20"/>
          <w:szCs w:val="20"/>
          <w:color w:val="auto"/>
        </w:rPr>
        <w:tab/>
      </w:r>
      <w:r>
        <w:rPr>
          <w:rFonts w:ascii="Arial" w:cs="Arial" w:eastAsia="Arial" w:hAnsi="Arial"/>
          <w:sz w:val="26"/>
          <w:szCs w:val="26"/>
          <w:b w:val="1"/>
          <w:bCs w:val="1"/>
          <w:color w:val="auto"/>
        </w:rPr>
        <w:t>Elan</w:t>
      </w:r>
    </w:p>
    <w:p>
      <w:pPr>
        <w:spacing w:after="0" w:line="348"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28"/>
          <w:szCs w:val="28"/>
          <w:b w:val="1"/>
          <w:bCs w:val="1"/>
          <w:color w:val="D47C18"/>
        </w:rPr>
        <w:t>13%</w:t>
      </w:r>
      <w:r>
        <w:rPr>
          <w:sz w:val="20"/>
          <w:szCs w:val="20"/>
          <w:color w:val="auto"/>
        </w:rPr>
        <w:tab/>
      </w:r>
      <w:r>
        <w:rPr>
          <w:rFonts w:ascii="Arial" w:cs="Arial" w:eastAsia="Arial" w:hAnsi="Arial"/>
          <w:sz w:val="26"/>
          <w:szCs w:val="26"/>
          <w:b w:val="1"/>
          <w:bCs w:val="1"/>
          <w:color w:val="auto"/>
        </w:rPr>
        <w:t>UK - Manpower</w:t>
      </w:r>
    </w:p>
    <w:p>
      <w:pPr>
        <w:spacing w:after="0" w:line="348" w:lineRule="exact"/>
        <w:rPr>
          <w:sz w:val="20"/>
          <w:szCs w:val="20"/>
          <w:color w:val="auto"/>
        </w:rPr>
      </w:pPr>
    </w:p>
    <w:p>
      <w:pPr>
        <w:ind w:left="240"/>
        <w:spacing w:after="0"/>
        <w:tabs>
          <w:tab w:leader="none" w:pos="2020" w:val="left"/>
        </w:tabs>
        <w:rPr>
          <w:sz w:val="20"/>
          <w:szCs w:val="20"/>
          <w:color w:val="auto"/>
        </w:rPr>
      </w:pPr>
      <w:r>
        <w:rPr>
          <w:rFonts w:ascii="Arial" w:cs="Arial" w:eastAsia="Arial" w:hAnsi="Arial"/>
          <w:sz w:val="28"/>
          <w:szCs w:val="28"/>
          <w:b w:val="1"/>
          <w:bCs w:val="1"/>
          <w:color w:val="D47C18"/>
        </w:rPr>
        <w:t>11%</w:t>
      </w:r>
      <w:r>
        <w:rPr>
          <w:sz w:val="20"/>
          <w:szCs w:val="20"/>
          <w:color w:val="auto"/>
        </w:rPr>
        <w:tab/>
      </w:r>
      <w:r>
        <w:rPr>
          <w:rFonts w:ascii="Arial" w:cs="Arial" w:eastAsia="Arial" w:hAnsi="Arial"/>
          <w:sz w:val="26"/>
          <w:szCs w:val="26"/>
          <w:b w:val="1"/>
          <w:bCs w:val="1"/>
          <w:color w:val="auto"/>
        </w:rPr>
        <w:t>Germany</w:t>
      </w:r>
    </w:p>
    <w:p>
      <w:pPr>
        <w:spacing w:after="0" w:line="352" w:lineRule="exact"/>
        <w:rPr>
          <w:sz w:val="20"/>
          <w:szCs w:val="20"/>
          <w:color w:val="auto"/>
        </w:rPr>
      </w:pPr>
    </w:p>
    <w:tbl>
      <w:tblPr>
        <w:tblLayout w:type="fixed"/>
        <w:tblInd w:w="320" w:type="dxa"/>
        <w:tblCellMar>
          <w:top w:w="0" w:type="dxa"/>
          <w:left w:w="0" w:type="dxa"/>
          <w:bottom w:w="0" w:type="dxa"/>
          <w:right w:w="0" w:type="dxa"/>
        </w:tblCellMar>
      </w:tblPr>
      <w:tr>
        <w:trPr>
          <w:trHeight w:val="473"/>
        </w:trPr>
        <w:tc>
          <w:tcPr>
            <w:tcW w:w="960" w:type="dxa"/>
            <w:vAlign w:val="bottom"/>
          </w:tcPr>
          <w:p>
            <w:pPr>
              <w:jc w:val="right"/>
              <w:ind w:right="259"/>
              <w:spacing w:after="0"/>
              <w:rPr>
                <w:sz w:val="20"/>
                <w:szCs w:val="20"/>
                <w:color w:val="auto"/>
              </w:rPr>
            </w:pPr>
            <w:r>
              <w:rPr>
                <w:rFonts w:ascii="Arial" w:cs="Arial" w:eastAsia="Arial" w:hAnsi="Arial"/>
                <w:sz w:val="28"/>
                <w:szCs w:val="28"/>
                <w:b w:val="1"/>
                <w:bCs w:val="1"/>
                <w:color w:val="D47C18"/>
                <w:w w:val="96"/>
              </w:rPr>
              <w:t>10%</w:t>
            </w:r>
          </w:p>
        </w:tc>
        <w:tc>
          <w:tcPr>
            <w:tcW w:w="2160" w:type="dxa"/>
            <w:vAlign w:val="bottom"/>
          </w:tcPr>
          <w:p>
            <w:pPr>
              <w:jc w:val="right"/>
              <w:spacing w:after="0"/>
              <w:rPr>
                <w:sz w:val="20"/>
                <w:szCs w:val="20"/>
                <w:color w:val="auto"/>
              </w:rPr>
            </w:pPr>
            <w:r>
              <w:rPr>
                <w:rFonts w:ascii="Arial" w:cs="Arial" w:eastAsia="Arial" w:hAnsi="Arial"/>
                <w:sz w:val="26"/>
                <w:szCs w:val="26"/>
                <w:b w:val="1"/>
                <w:bCs w:val="1"/>
                <w:color w:val="auto"/>
              </w:rPr>
              <w:t>Netherlands</w:t>
            </w:r>
            <w:r>
              <w:rPr>
                <w:rFonts w:ascii="Arial" w:cs="Arial" w:eastAsia="Arial" w:hAnsi="Arial"/>
                <w:sz w:val="35"/>
                <w:szCs w:val="35"/>
                <w:b w:val="1"/>
                <w:bCs w:val="1"/>
                <w:color w:val="6698C2"/>
                <w:vertAlign w:val="superscript"/>
              </w:rPr>
              <w:t>(1)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60" w:type="dxa"/>
            <w:vAlign w:val="bottom"/>
          </w:tcPr>
          <w:p>
            <w:pPr>
              <w:jc w:val="right"/>
              <w:ind w:right="339"/>
              <w:spacing w:after="0"/>
              <w:rPr>
                <w:sz w:val="20"/>
                <w:szCs w:val="20"/>
                <w:color w:val="auto"/>
              </w:rPr>
            </w:pPr>
            <w:r>
              <w:rPr>
                <w:rFonts w:ascii="Arial" w:cs="Arial" w:eastAsia="Arial" w:hAnsi="Arial"/>
                <w:sz w:val="28"/>
                <w:szCs w:val="28"/>
                <w:b w:val="1"/>
                <w:bCs w:val="1"/>
                <w:color w:val="D47C18"/>
              </w:rPr>
              <w:t>6%</w:t>
            </w:r>
          </w:p>
        </w:tc>
        <w:tc>
          <w:tcPr>
            <w:tcW w:w="2160" w:type="dxa"/>
            <w:vAlign w:val="bottom"/>
          </w:tcPr>
          <w:p>
            <w:pPr>
              <w:jc w:val="right"/>
              <w:ind w:right="151"/>
              <w:spacing w:after="0"/>
              <w:rPr>
                <w:sz w:val="20"/>
                <w:szCs w:val="20"/>
                <w:color w:val="auto"/>
              </w:rPr>
            </w:pPr>
            <w:r>
              <w:rPr>
                <w:rFonts w:ascii="Arial" w:cs="Arial" w:eastAsia="Arial" w:hAnsi="Arial"/>
                <w:sz w:val="26"/>
                <w:szCs w:val="26"/>
                <w:b w:val="1"/>
                <w:bCs w:val="1"/>
                <w:color w:val="auto"/>
              </w:rPr>
              <w:t>Spain</w:t>
            </w:r>
          </w:p>
        </w:tc>
        <w:tc>
          <w:tcPr>
            <w:tcW w:w="580" w:type="dxa"/>
            <w:vAlign w:val="bottom"/>
            <w:vMerge w:val="restart"/>
          </w:tcPr>
          <w:p>
            <w:pPr>
              <w:jc w:val="right"/>
              <w:spacing w:after="0"/>
              <w:rPr>
                <w:sz w:val="20"/>
                <w:szCs w:val="20"/>
                <w:color w:val="auto"/>
              </w:rPr>
            </w:pPr>
            <w:r>
              <w:rPr>
                <w:rFonts w:ascii="Arial" w:cs="Arial" w:eastAsia="Arial" w:hAnsi="Arial"/>
                <w:sz w:val="22"/>
                <w:szCs w:val="22"/>
                <w:b w:val="1"/>
                <w:bCs w:val="1"/>
                <w:color w:val="FFFFFF"/>
              </w:rPr>
              <w:t>-14%</w:t>
            </w: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5"/>
        </w:trPr>
        <w:tc>
          <w:tcPr>
            <w:tcW w:w="960" w:type="dxa"/>
            <w:vAlign w:val="bottom"/>
          </w:tcPr>
          <w:p>
            <w:pPr>
              <w:jc w:val="right"/>
              <w:ind w:right="239"/>
              <w:spacing w:after="0"/>
              <w:rPr>
                <w:sz w:val="20"/>
                <w:szCs w:val="20"/>
                <w:color w:val="auto"/>
              </w:rPr>
            </w:pPr>
            <w:r>
              <w:rPr>
                <w:rFonts w:ascii="Arial" w:cs="Arial" w:eastAsia="Arial" w:hAnsi="Arial"/>
                <w:sz w:val="28"/>
                <w:szCs w:val="28"/>
                <w:b w:val="1"/>
                <w:bCs w:val="1"/>
                <w:color w:val="D47C18"/>
                <w:w w:val="99"/>
              </w:rPr>
              <w:t>23%</w:t>
            </w:r>
          </w:p>
        </w:tc>
        <w:tc>
          <w:tcPr>
            <w:tcW w:w="2160" w:type="dxa"/>
            <w:vAlign w:val="bottom"/>
          </w:tcPr>
          <w:p>
            <w:pPr>
              <w:jc w:val="right"/>
              <w:ind w:right="171"/>
              <w:spacing w:after="0"/>
              <w:rPr>
                <w:sz w:val="20"/>
                <w:szCs w:val="20"/>
                <w:color w:val="auto"/>
              </w:rPr>
            </w:pPr>
            <w:r>
              <w:rPr>
                <w:rFonts w:ascii="Arial" w:cs="Arial" w:eastAsia="Arial" w:hAnsi="Arial"/>
                <w:sz w:val="26"/>
                <w:szCs w:val="26"/>
                <w:b w:val="1"/>
                <w:bCs w:val="1"/>
                <w:color w:val="auto"/>
              </w:rPr>
              <w:t>Other</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ind w:left="1680"/>
        <w:spacing w:after="0"/>
        <w:rPr>
          <w:sz w:val="20"/>
          <w:szCs w:val="20"/>
          <w:color w:val="auto"/>
        </w:rPr>
      </w:pPr>
      <w:r>
        <w:rPr>
          <w:rFonts w:ascii="Arial" w:cs="Arial" w:eastAsia="Arial" w:hAnsi="Arial"/>
          <w:sz w:val="22"/>
          <w:szCs w:val="22"/>
          <w:b w:val="1"/>
          <w:bCs w:val="1"/>
          <w:color w:val="FFFFFF"/>
        </w:rPr>
        <w:t>25%</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FFFFFF"/>
        </w:rPr>
        <w:t>7%</w:t>
      </w:r>
    </w:p>
    <w:p>
      <w:pPr>
        <w:spacing w:after="0" w:line="133"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FFFFFF"/>
        </w:rPr>
        <w:t>46%</w:t>
      </w:r>
    </w:p>
    <w:p>
      <w:pPr>
        <w:spacing w:after="0" w:line="43"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FFFFFF"/>
        </w:rPr>
        <w:t>42%</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FFFFFF"/>
        </w:rPr>
        <w:t>9%</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FFFFFF"/>
        </w:rPr>
        <w:t>10%</w:t>
      </w:r>
    </w:p>
    <w:p>
      <w:pPr>
        <w:spacing w:after="0" w:line="156"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FFFFFF"/>
        </w:rPr>
        <w:t>38%</w:t>
      </w:r>
    </w:p>
    <w:p>
      <w:pPr>
        <w:spacing w:after="0" w:line="43"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FFFFFF"/>
        </w:rPr>
        <w:t>19%</w:t>
      </w:r>
    </w:p>
    <w:p>
      <w:pPr>
        <w:spacing w:after="0" w:line="121" w:lineRule="exact"/>
        <w:rPr>
          <w:sz w:val="20"/>
          <w:szCs w:val="20"/>
          <w:color w:val="auto"/>
        </w:rPr>
      </w:pPr>
    </w:p>
    <w:p>
      <w:pPr>
        <w:jc w:val="right"/>
        <w:ind w:right="580"/>
        <w:spacing w:after="0"/>
        <w:rPr>
          <w:sz w:val="20"/>
          <w:szCs w:val="20"/>
          <w:color w:val="auto"/>
        </w:rPr>
      </w:pPr>
      <w:r>
        <w:rPr>
          <w:rFonts w:ascii="Arial" w:cs="Arial" w:eastAsia="Arial" w:hAnsi="Arial"/>
          <w:sz w:val="22"/>
          <w:szCs w:val="22"/>
          <w:b w:val="1"/>
          <w:bCs w:val="1"/>
          <w:color w:val="FFFFFF"/>
        </w:rPr>
        <w:t>52%</w:t>
      </w:r>
    </w:p>
    <w:p>
      <w:pPr>
        <w:spacing w:after="0" w:line="43"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FFFFFF"/>
        </w:rPr>
        <w:t>31%</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0%</w:t>
      </w:r>
    </w:p>
    <w:p>
      <w:pPr>
        <w:spacing w:after="0" w:line="200" w:lineRule="exact"/>
        <w:rPr>
          <w:sz w:val="20"/>
          <w:szCs w:val="20"/>
          <w:color w:val="auto"/>
        </w:rPr>
      </w:pPr>
    </w:p>
    <w:p>
      <w:pPr>
        <w:spacing w:after="0" w:line="205"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FFFFFF"/>
        </w:rPr>
        <w:t>37%</w:t>
      </w:r>
    </w:p>
    <w:p>
      <w:pPr>
        <w:spacing w:after="0" w:line="43" w:lineRule="exact"/>
        <w:rPr>
          <w:sz w:val="20"/>
          <w:szCs w:val="20"/>
          <w:color w:val="auto"/>
        </w:rPr>
      </w:pPr>
    </w:p>
    <w:p>
      <w:pPr>
        <w:ind w:left="1420"/>
        <w:spacing w:after="0"/>
        <w:rPr>
          <w:sz w:val="20"/>
          <w:szCs w:val="20"/>
          <w:color w:val="auto"/>
        </w:rPr>
      </w:pPr>
      <w:r>
        <w:rPr>
          <w:rFonts w:ascii="Arial" w:cs="Arial" w:eastAsia="Arial" w:hAnsi="Arial"/>
          <w:sz w:val="22"/>
          <w:szCs w:val="22"/>
          <w:b w:val="1"/>
          <w:bCs w:val="1"/>
          <w:color w:val="FFFFFF"/>
        </w:rPr>
        <w:t>22%</w:t>
      </w:r>
    </w:p>
    <w:p>
      <w:pPr>
        <w:spacing w:after="0" w:line="200" w:lineRule="exact"/>
        <w:rPr>
          <w:sz w:val="20"/>
          <w:szCs w:val="20"/>
          <w:color w:val="auto"/>
        </w:rPr>
      </w:pPr>
    </w:p>
    <w:p>
      <w:pPr>
        <w:sectPr>
          <w:pgSz w:w="11900" w:h="16838" w:orient="portrait"/>
          <w:cols w:equalWidth="0" w:num="2">
            <w:col w:w="4020" w:space="700"/>
            <w:col w:w="5140"/>
          </w:cols>
          <w:pgMar w:left="1220" w:top="498" w:right="819" w:bottom="1440" w:gutter="0" w:footer="0" w:header="0"/>
          <w:type w:val="continuous"/>
        </w:sectPr>
      </w:pPr>
    </w:p>
    <w:p>
      <w:pPr>
        <w:spacing w:after="0" w:line="156" w:lineRule="exact"/>
        <w:rPr>
          <w:sz w:val="20"/>
          <w:szCs w:val="20"/>
          <w:color w:val="auto"/>
        </w:rPr>
      </w:pPr>
    </w:p>
    <w:p>
      <w:pPr>
        <w:ind w:left="3280"/>
        <w:spacing w:after="0"/>
        <w:tabs>
          <w:tab w:leader="none" w:pos="548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2"/>
          <w:szCs w:val="22"/>
          <w:b w:val="1"/>
          <w:bCs w:val="1"/>
          <w:color w:val="auto"/>
        </w:rPr>
        <w:t>Revenue Growth - CC</w:t>
      </w:r>
    </w:p>
    <w:p>
      <w:pPr>
        <w:spacing w:after="0" w:line="113" w:lineRule="exact"/>
        <w:rPr>
          <w:sz w:val="20"/>
          <w:szCs w:val="20"/>
          <w:color w:val="auto"/>
        </w:rPr>
      </w:pPr>
    </w:p>
    <w:p>
      <w:pPr>
        <w:ind w:left="440" w:right="1020" w:hanging="215"/>
        <w:spacing w:after="0" w:line="228" w:lineRule="auto"/>
        <w:tabs>
          <w:tab w:leader="none" w:pos="428" w:val="left"/>
        </w:tabs>
        <w:numPr>
          <w:ilvl w:val="0"/>
          <w:numId w:val="11"/>
        </w:numPr>
        <w:rPr>
          <w:rFonts w:ascii="Arial" w:cs="Arial" w:eastAsia="Arial" w:hAnsi="Arial"/>
          <w:sz w:val="24"/>
          <w:szCs w:val="24"/>
          <w:b w:val="1"/>
          <w:bCs w:val="1"/>
          <w:color w:val="auto"/>
          <w:vertAlign w:val="superscript"/>
        </w:rPr>
      </w:pPr>
      <w:r>
        <w:rPr>
          <w:rFonts w:ascii="Arial" w:cs="Arial" w:eastAsia="Arial" w:hAnsi="Arial"/>
          <w:sz w:val="17"/>
          <w:szCs w:val="17"/>
          <w:color w:val="auto"/>
        </w:rPr>
        <w:t>The Netherlands results include the results of Vitae, which was acquired in April 2008. On an organic basis, revenue increased 22% in USD (5% in CC).</w:t>
      </w:r>
    </w:p>
    <w:p>
      <w:pPr>
        <w:sectPr>
          <w:pgSz w:w="11900" w:h="16838" w:orient="portrait"/>
          <w:cols w:equalWidth="0" w:num="1">
            <w:col w:w="9860"/>
          </w:cols>
          <w:pgMar w:left="1220" w:top="498" w:right="8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482"/>
        </w:trPr>
        <w:tc>
          <w:tcPr>
            <w:tcW w:w="688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2980" w:type="dxa"/>
            <w:vAlign w:val="bottom"/>
          </w:tcPr>
          <w:p>
            <w:pPr>
              <w:jc w:val="right"/>
              <w:spacing w:after="0"/>
              <w:rPr>
                <w:sz w:val="20"/>
                <w:szCs w:val="20"/>
                <w:color w:val="auto"/>
              </w:rPr>
            </w:pPr>
            <w:r>
              <w:rPr>
                <w:rFonts w:ascii="Arial" w:cs="Arial" w:eastAsia="Arial" w:hAnsi="Arial"/>
                <w:sz w:val="22"/>
                <w:szCs w:val="22"/>
                <w:color w:val="FFFFFF"/>
              </w:rPr>
              <w:t>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47"/>
          <w:szCs w:val="47"/>
          <w:color w:val="7EA190"/>
        </w:rPr>
        <w:t>Italy Segment</w:t>
      </w:r>
    </w:p>
    <w:p>
      <w:pPr>
        <w:spacing w:after="0"/>
        <w:rPr>
          <w:sz w:val="20"/>
          <w:szCs w:val="20"/>
          <w:color w:val="auto"/>
        </w:rPr>
      </w:pPr>
      <w:r>
        <w:rPr>
          <w:rFonts w:ascii="Arial" w:cs="Arial" w:eastAsia="Arial" w:hAnsi="Arial"/>
          <w:sz w:val="32"/>
          <w:szCs w:val="32"/>
          <w:color w:val="7EA190"/>
        </w:rPr>
        <w:t>(8% of Revenue)</w:t>
      </w:r>
    </w:p>
    <w:p>
      <w:pPr>
        <w:spacing w:after="0" w:line="259"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ind w:left="2080"/>
        <w:spacing w:after="0" w:line="216" w:lineRule="auto"/>
        <w:tabs>
          <w:tab w:leader="none" w:pos="3400" w:val="left"/>
        </w:tabs>
        <w:rPr>
          <w:sz w:val="20"/>
          <w:szCs w:val="20"/>
          <w:color w:val="auto"/>
        </w:rPr>
      </w:pPr>
      <w:r>
        <w:rPr>
          <w:rFonts w:ascii="Arial" w:cs="Arial" w:eastAsia="Arial" w:hAnsi="Arial"/>
          <w:sz w:val="75"/>
          <w:szCs w:val="75"/>
          <w:color w:val="auto"/>
          <w:vertAlign w:val="superscript"/>
        </w:rPr>
        <w:t>25%</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7EA190"/>
        </w:rPr>
        <w:t>$441M</w:t>
      </w:r>
    </w:p>
    <w:p>
      <w:pPr>
        <w:ind w:left="1800"/>
        <w:spacing w:after="0"/>
        <w:rPr>
          <w:sz w:val="20"/>
          <w:szCs w:val="20"/>
          <w:color w:val="auto"/>
        </w:rPr>
      </w:pPr>
      <w:r>
        <w:rPr>
          <w:rFonts w:ascii="Arial" w:cs="Arial" w:eastAsia="Arial" w:hAnsi="Arial"/>
          <w:sz w:val="38"/>
          <w:szCs w:val="38"/>
          <w:color w:val="auto"/>
        </w:rPr>
        <w:t>8% CC</w:t>
      </w:r>
    </w:p>
    <w:p>
      <w:pPr>
        <w:ind w:left="2120"/>
        <w:spacing w:after="0" w:line="181" w:lineRule="auto"/>
        <w:tabs>
          <w:tab w:leader="none" w:pos="3440" w:val="left"/>
        </w:tabs>
        <w:rPr>
          <w:sz w:val="20"/>
          <w:szCs w:val="20"/>
          <w:color w:val="auto"/>
        </w:rPr>
      </w:pPr>
      <w:r>
        <w:rPr>
          <w:rFonts w:ascii="Arial" w:cs="Arial" w:eastAsia="Arial" w:hAnsi="Arial"/>
          <w:sz w:val="65"/>
          <w:szCs w:val="65"/>
          <w:color w:val="auto"/>
          <w:vertAlign w:val="superscript"/>
        </w:rPr>
        <w:t>29%</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7EA190"/>
        </w:rPr>
        <w:t>$38M</w:t>
      </w:r>
    </w:p>
    <w:p>
      <w:pPr>
        <w:spacing w:after="0" w:line="128" w:lineRule="exact"/>
        <w:rPr>
          <w:sz w:val="20"/>
          <w:szCs w:val="20"/>
          <w:color w:val="auto"/>
        </w:rPr>
      </w:pPr>
    </w:p>
    <w:p>
      <w:pPr>
        <w:ind w:left="1700"/>
        <w:spacing w:after="0"/>
        <w:rPr>
          <w:sz w:val="20"/>
          <w:szCs w:val="20"/>
          <w:color w:val="auto"/>
        </w:rPr>
      </w:pPr>
      <w:r>
        <w:rPr>
          <w:rFonts w:ascii="Arial" w:cs="Arial" w:eastAsia="Arial" w:hAnsi="Arial"/>
          <w:sz w:val="38"/>
          <w:szCs w:val="38"/>
          <w:color w:val="auto"/>
        </w:rPr>
        <w:t>12% CC</w:t>
      </w:r>
    </w:p>
    <w:p>
      <w:pPr>
        <w:spacing w:after="0" w:line="326"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30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7EA190"/>
        </w:rPr>
        <w:t>8.5%</w:t>
      </w:r>
    </w:p>
    <w:p>
      <w:pPr>
        <w:sectPr>
          <w:pgSz w:w="11900" w:h="16838" w:orient="portrait"/>
          <w:cols w:equalWidth="0" w:num="1">
            <w:col w:w="9860"/>
          </w:cols>
          <w:pgMar w:left="1220" w:top="498" w:right="819" w:bottom="1440" w:gutter="0" w:footer="0" w:header="0"/>
        </w:sectPr>
      </w:pPr>
    </w:p>
    <w:bookmarkStart w:id="21" w:name="page22"/>
    <w:bookmarkEnd w:id="21"/>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10</w:t>
      </w:r>
    </w:p>
    <w:p>
      <w:pPr>
        <w:sectPr>
          <w:pgSz w:w="11900" w:h="16838" w:orient="portrait"/>
          <w:cols w:equalWidth="0" w:num="1">
            <w:col w:w="9860"/>
          </w:cols>
          <w:pgMar w:left="1220" w:top="498" w:right="81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47"/>
          <w:szCs w:val="47"/>
          <w:color w:val="C8504F"/>
        </w:rPr>
        <w:t>Jefferson Wells Segment</w:t>
      </w:r>
    </w:p>
    <w:p>
      <w:pPr>
        <w:ind w:left="20"/>
        <w:spacing w:after="0"/>
        <w:rPr>
          <w:sz w:val="20"/>
          <w:szCs w:val="20"/>
          <w:color w:val="auto"/>
        </w:rPr>
      </w:pPr>
      <w:r>
        <w:rPr>
          <w:rFonts w:ascii="Arial" w:cs="Arial" w:eastAsia="Arial" w:hAnsi="Arial"/>
          <w:sz w:val="32"/>
          <w:szCs w:val="32"/>
          <w:color w:val="C8504F"/>
        </w:rPr>
        <w:t>(1% of Revenue)</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spacing w:after="0" w:line="200" w:lineRule="exact"/>
        <w:rPr>
          <w:sz w:val="20"/>
          <w:szCs w:val="20"/>
          <w:color w:val="auto"/>
        </w:rPr>
      </w:pPr>
    </w:p>
    <w:p>
      <w:pPr>
        <w:spacing w:after="0" w:line="255" w:lineRule="exact"/>
        <w:rPr>
          <w:sz w:val="20"/>
          <w:szCs w:val="20"/>
          <w:color w:val="auto"/>
        </w:rPr>
      </w:pPr>
    </w:p>
    <w:p>
      <w:pPr>
        <w:ind w:left="2020"/>
        <w:spacing w:after="0"/>
        <w:tabs>
          <w:tab w:leader="none" w:pos="3400" w:val="left"/>
        </w:tabs>
        <w:rPr>
          <w:sz w:val="20"/>
          <w:szCs w:val="20"/>
          <w:color w:val="auto"/>
        </w:rPr>
      </w:pPr>
      <w:r>
        <w:rPr>
          <w:rFonts w:ascii="Arial" w:cs="Arial" w:eastAsia="Arial" w:hAnsi="Arial"/>
          <w:sz w:val="38"/>
          <w:szCs w:val="38"/>
          <w:color w:val="auto"/>
        </w:rPr>
        <w:t>10%</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$76M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00"/>
        <w:spacing w:after="0"/>
        <w:tabs>
          <w:tab w:leader="none" w:pos="3440" w:val="left"/>
        </w:tabs>
        <w:rPr>
          <w:sz w:val="20"/>
          <w:szCs w:val="20"/>
          <w:color w:val="auto"/>
        </w:rPr>
      </w:pPr>
      <w:r>
        <w:rPr>
          <w:rFonts w:ascii="Arial" w:cs="Arial" w:eastAsia="Arial" w:hAnsi="Arial"/>
          <w:sz w:val="38"/>
          <w:szCs w:val="38"/>
          <w:color w:val="auto"/>
        </w:rPr>
        <w:t>N/A</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$(2M)</w:t>
      </w:r>
    </w:p>
    <w:p>
      <w:pPr>
        <w:spacing w:after="0" w:line="200" w:lineRule="exact"/>
        <w:rPr>
          <w:sz w:val="20"/>
          <w:szCs w:val="20"/>
          <w:color w:val="auto"/>
        </w:rPr>
      </w:pPr>
    </w:p>
    <w:p>
      <w:pPr>
        <w:spacing w:after="0" w:line="399" w:lineRule="exact"/>
        <w:rPr>
          <w:sz w:val="20"/>
          <w:szCs w:val="20"/>
          <w:color w:val="auto"/>
        </w:rPr>
      </w:pPr>
    </w:p>
    <w:p>
      <w:pPr>
        <w:ind w:left="1640"/>
        <w:spacing w:after="0"/>
        <w:tabs>
          <w:tab w:leader="none" w:pos="3420" w:val="left"/>
        </w:tabs>
        <w:rPr>
          <w:sz w:val="20"/>
          <w:szCs w:val="20"/>
          <w:color w:val="auto"/>
        </w:rPr>
      </w:pPr>
      <w:r>
        <w:rPr>
          <w:rFonts w:ascii="Arial" w:cs="Arial" w:eastAsia="Arial" w:hAnsi="Arial"/>
          <w:sz w:val="38"/>
          <w:szCs w:val="38"/>
          <w:color w:val="auto"/>
        </w:rPr>
        <w:t>350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- 2.2%</w:t>
      </w:r>
    </w:p>
    <w:p>
      <w:pPr>
        <w:sectPr>
          <w:pgSz w:w="11900" w:h="16838" w:orient="portrait"/>
          <w:cols w:equalWidth="0" w:num="1">
            <w:col w:w="9860"/>
          </w:cols>
          <w:pgMar w:left="1220" w:top="498" w:right="819" w:bottom="1440" w:gutter="0" w:footer="0" w:header="0"/>
          <w:type w:val="continuous"/>
        </w:sectPr>
      </w:pPr>
    </w:p>
    <w:bookmarkStart w:id="22" w:name="page23"/>
    <w:bookmarkEnd w:id="22"/>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11</w:t>
      </w:r>
    </w:p>
    <w:p>
      <w:pPr>
        <w:sectPr>
          <w:pgSz w:w="11900" w:h="16838" w:orient="portrait"/>
          <w:cols w:equalWidth="0" w:num="1">
            <w:col w:w="9860"/>
          </w:cols>
          <w:pgMar w:left="1220" w:top="498" w:right="81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47"/>
          <w:szCs w:val="47"/>
          <w:color w:val="D47C18"/>
        </w:rPr>
        <w:t>Right Management Segment</w:t>
      </w:r>
    </w:p>
    <w:p>
      <w:pPr>
        <w:spacing w:after="0"/>
        <w:rPr>
          <w:sz w:val="20"/>
          <w:szCs w:val="20"/>
          <w:color w:val="auto"/>
        </w:rPr>
      </w:pPr>
      <w:r>
        <w:rPr>
          <w:rFonts w:ascii="Arial" w:cs="Arial" w:eastAsia="Arial" w:hAnsi="Arial"/>
          <w:sz w:val="32"/>
          <w:szCs w:val="32"/>
          <w:color w:val="D47C18"/>
        </w:rPr>
        <w:t>(2% of Revenue)</w:t>
      </w:r>
    </w:p>
    <w:p>
      <w:pPr>
        <w:spacing w:after="0" w:line="271" w:lineRule="exact"/>
        <w:rPr>
          <w:sz w:val="20"/>
          <w:szCs w:val="20"/>
          <w:color w:val="auto"/>
        </w:rPr>
      </w:pPr>
    </w:p>
    <w:tbl>
      <w:tblPr>
        <w:tblLayout w:type="fixed"/>
        <w:tblInd w:w="1640" w:type="dxa"/>
        <w:tblCellMar>
          <w:top w:w="0" w:type="dxa"/>
          <w:left w:w="0" w:type="dxa"/>
          <w:bottom w:w="0" w:type="dxa"/>
          <w:right w:w="0" w:type="dxa"/>
        </w:tblCellMar>
      </w:tblPr>
      <w:tr>
        <w:trPr>
          <w:trHeight w:val="548"/>
        </w:trPr>
        <w:tc>
          <w:tcPr>
            <w:tcW w:w="162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Q2 Financial Highlights</w:t>
            </w:r>
          </w:p>
        </w:tc>
        <w:tc>
          <w:tcPr>
            <w:tcW w:w="0" w:type="dxa"/>
            <w:vAlign w:val="bottom"/>
          </w:tcPr>
          <w:p>
            <w:pPr>
              <w:spacing w:after="0"/>
              <w:rPr>
                <w:sz w:val="1"/>
                <w:szCs w:val="1"/>
                <w:color w:val="auto"/>
              </w:rPr>
            </w:pPr>
          </w:p>
        </w:tc>
      </w:tr>
      <w:tr>
        <w:trPr>
          <w:trHeight w:val="693"/>
        </w:trPr>
        <w:tc>
          <w:tcPr>
            <w:tcW w:w="1620" w:type="dxa"/>
            <w:vAlign w:val="bottom"/>
          </w:tcPr>
          <w:p>
            <w:pPr>
              <w:jc w:val="right"/>
              <w:ind w:right="272"/>
              <w:spacing w:after="0"/>
              <w:rPr>
                <w:sz w:val="20"/>
                <w:szCs w:val="20"/>
                <w:color w:val="auto"/>
              </w:rPr>
            </w:pPr>
            <w:r>
              <w:rPr>
                <w:rFonts w:ascii="Arial" w:cs="Arial" w:eastAsia="Arial" w:hAnsi="Arial"/>
                <w:sz w:val="38"/>
                <w:szCs w:val="38"/>
                <w:color w:val="auto"/>
              </w:rPr>
              <w:t>9%</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$116M</w:t>
            </w:r>
          </w:p>
        </w:tc>
        <w:tc>
          <w:tcPr>
            <w:tcW w:w="0" w:type="dxa"/>
            <w:vAlign w:val="bottom"/>
          </w:tcPr>
          <w:p>
            <w:pPr>
              <w:spacing w:after="0"/>
              <w:rPr>
                <w:sz w:val="1"/>
                <w:szCs w:val="1"/>
                <w:color w:val="auto"/>
              </w:rPr>
            </w:pPr>
          </w:p>
        </w:tc>
      </w:tr>
      <w:tr>
        <w:trPr>
          <w:trHeight w:val="482"/>
        </w:trPr>
        <w:tc>
          <w:tcPr>
            <w:tcW w:w="1620" w:type="dxa"/>
            <w:vAlign w:val="bottom"/>
          </w:tcPr>
          <w:p>
            <w:pPr>
              <w:ind w:left="160"/>
              <w:spacing w:after="0"/>
              <w:rPr>
                <w:sz w:val="20"/>
                <w:szCs w:val="20"/>
                <w:color w:val="auto"/>
              </w:rPr>
            </w:pPr>
            <w:r>
              <w:rPr>
                <w:rFonts w:ascii="Arial" w:cs="Arial" w:eastAsia="Arial" w:hAnsi="Arial"/>
                <w:sz w:val="38"/>
                <w:szCs w:val="38"/>
                <w:color w:val="auto"/>
              </w:rPr>
              <w:t>4%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7"/>
        </w:trPr>
        <w:tc>
          <w:tcPr>
            <w:tcW w:w="1620" w:type="dxa"/>
            <w:vAlign w:val="bottom"/>
          </w:tcPr>
          <w:p>
            <w:pPr>
              <w:jc w:val="right"/>
              <w:ind w:right="172"/>
              <w:spacing w:after="0"/>
              <w:rPr>
                <w:sz w:val="20"/>
                <w:szCs w:val="20"/>
                <w:color w:val="auto"/>
              </w:rPr>
            </w:pPr>
            <w:r>
              <w:rPr>
                <w:rFonts w:ascii="Arial" w:cs="Arial" w:eastAsia="Arial" w:hAnsi="Arial"/>
                <w:sz w:val="38"/>
                <w:szCs w:val="38"/>
                <w:color w:val="auto"/>
              </w:rPr>
              <w:t>21%</w:t>
            </w: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$13M</w:t>
            </w:r>
          </w:p>
        </w:tc>
        <w:tc>
          <w:tcPr>
            <w:tcW w:w="0" w:type="dxa"/>
            <w:vAlign w:val="bottom"/>
          </w:tcPr>
          <w:p>
            <w:pPr>
              <w:spacing w:after="0"/>
              <w:rPr>
                <w:sz w:val="1"/>
                <w:szCs w:val="1"/>
                <w:color w:val="auto"/>
              </w:rPr>
            </w:pPr>
          </w:p>
        </w:tc>
      </w:tr>
      <w:tr>
        <w:trPr>
          <w:trHeight w:val="482"/>
        </w:trPr>
        <w:tc>
          <w:tcPr>
            <w:tcW w:w="1620" w:type="dxa"/>
            <w:vAlign w:val="bottom"/>
          </w:tcPr>
          <w:p>
            <w:pPr>
              <w:ind w:left="60"/>
              <w:spacing w:after="0"/>
              <w:rPr>
                <w:sz w:val="20"/>
                <w:szCs w:val="20"/>
                <w:color w:val="auto"/>
              </w:rPr>
            </w:pPr>
            <w:r>
              <w:rPr>
                <w:rFonts w:ascii="Arial" w:cs="Arial" w:eastAsia="Arial" w:hAnsi="Arial"/>
                <w:sz w:val="38"/>
                <w:szCs w:val="38"/>
                <w:color w:val="auto"/>
              </w:rPr>
              <w:t>16%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94"/>
        </w:trPr>
        <w:tc>
          <w:tcPr>
            <w:tcW w:w="1620" w:type="dxa"/>
            <w:vAlign w:val="bottom"/>
          </w:tcPr>
          <w:p>
            <w:pPr>
              <w:spacing w:after="0"/>
              <w:rPr>
                <w:sz w:val="20"/>
                <w:szCs w:val="20"/>
                <w:color w:val="auto"/>
              </w:rPr>
            </w:pPr>
            <w:r>
              <w:rPr>
                <w:rFonts w:ascii="Arial" w:cs="Arial" w:eastAsia="Arial" w:hAnsi="Arial"/>
                <w:sz w:val="38"/>
                <w:szCs w:val="38"/>
                <w:color w:val="auto"/>
              </w:rPr>
              <w:t>110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11.5%</w:t>
            </w:r>
          </w:p>
        </w:tc>
        <w:tc>
          <w:tcPr>
            <w:tcW w:w="0" w:type="dxa"/>
            <w:vAlign w:val="bottom"/>
          </w:tcPr>
          <w:p>
            <w:pPr>
              <w:spacing w:after="0"/>
              <w:rPr>
                <w:sz w:val="1"/>
                <w:szCs w:val="1"/>
                <w:color w:val="auto"/>
              </w:rPr>
            </w:pPr>
          </w:p>
        </w:tc>
      </w:tr>
    </w:tbl>
    <w:p>
      <w:pPr>
        <w:sectPr>
          <w:pgSz w:w="11900" w:h="16838" w:orient="portrait"/>
          <w:cols w:equalWidth="0" w:num="1">
            <w:col w:w="9860"/>
          </w:cols>
          <w:pgMar w:left="1220" w:top="498" w:right="819" w:bottom="1440" w:gutter="0" w:footer="0" w:header="0"/>
          <w:type w:val="continuous"/>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82"/>
        </w:trPr>
        <w:tc>
          <w:tcPr>
            <w:tcW w:w="682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12</w:t>
            </w: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47"/>
          <w:szCs w:val="47"/>
          <w:color w:val="5F81AA"/>
        </w:rPr>
        <w:t>Other Operations Segment</w:t>
      </w:r>
    </w:p>
    <w:p>
      <w:pPr>
        <w:spacing w:after="0"/>
        <w:rPr>
          <w:sz w:val="20"/>
          <w:szCs w:val="20"/>
          <w:color w:val="auto"/>
        </w:rPr>
      </w:pPr>
      <w:r>
        <w:rPr>
          <w:rFonts w:ascii="Arial" w:cs="Arial" w:eastAsia="Arial" w:hAnsi="Arial"/>
          <w:sz w:val="32"/>
          <w:szCs w:val="32"/>
          <w:color w:val="5F81AA"/>
        </w:rPr>
        <w:t>(13% of Revenue)</w:t>
      </w:r>
    </w:p>
    <w:p>
      <w:pPr>
        <w:spacing w:after="0" w:line="271"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ind w:left="2140"/>
        <w:spacing w:after="0" w:line="216" w:lineRule="auto"/>
        <w:tabs>
          <w:tab w:leader="none" w:pos="3400" w:val="left"/>
        </w:tabs>
        <w:rPr>
          <w:sz w:val="20"/>
          <w:szCs w:val="20"/>
          <w:color w:val="auto"/>
        </w:rPr>
      </w:pPr>
      <w:r>
        <w:rPr>
          <w:rFonts w:ascii="Arial" w:cs="Arial" w:eastAsia="Arial" w:hAnsi="Arial"/>
          <w:sz w:val="75"/>
          <w:szCs w:val="75"/>
          <w:color w:val="auto"/>
          <w:vertAlign w:val="superscript"/>
        </w:rPr>
        <w:t>21%</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5F81AA"/>
        </w:rPr>
        <w:t>$772M</w:t>
      </w:r>
    </w:p>
    <w:p>
      <w:pPr>
        <w:ind w:left="1700"/>
        <w:spacing w:after="0"/>
        <w:rPr>
          <w:sz w:val="20"/>
          <w:szCs w:val="20"/>
          <w:color w:val="auto"/>
        </w:rPr>
      </w:pPr>
      <w:r>
        <w:rPr>
          <w:rFonts w:ascii="Arial" w:cs="Arial" w:eastAsia="Arial" w:hAnsi="Arial"/>
          <w:sz w:val="38"/>
          <w:szCs w:val="38"/>
          <w:color w:val="auto"/>
        </w:rPr>
        <w:t>10% CC</w:t>
      </w:r>
    </w:p>
    <w:p>
      <w:pPr>
        <w:ind w:left="2220"/>
        <w:spacing w:after="0" w:line="181" w:lineRule="auto"/>
        <w:tabs>
          <w:tab w:leader="none" w:pos="3440" w:val="left"/>
        </w:tabs>
        <w:rPr>
          <w:sz w:val="20"/>
          <w:szCs w:val="20"/>
          <w:color w:val="auto"/>
        </w:rPr>
      </w:pPr>
      <w:r>
        <w:rPr>
          <w:rFonts w:ascii="Arial" w:cs="Arial" w:eastAsia="Arial" w:hAnsi="Arial"/>
          <w:sz w:val="65"/>
          <w:szCs w:val="65"/>
          <w:color w:val="auto"/>
          <w:vertAlign w:val="superscript"/>
        </w:rPr>
        <w:t>9%</w:t>
      </w:r>
      <w:r>
        <w:rPr>
          <w:sz w:val="20"/>
          <w:szCs w:val="20"/>
          <w:color w:val="auto"/>
        </w:rPr>
        <w:tab/>
      </w:r>
      <w:r>
        <w:rPr>
          <w:rFonts w:ascii="Arial" w:cs="Arial" w:eastAsia="Arial" w:hAnsi="Arial"/>
          <w:sz w:val="37"/>
          <w:szCs w:val="37"/>
          <w:b w:val="1"/>
          <w:bCs w:val="1"/>
          <w:color w:val="auto"/>
        </w:rPr>
        <w:t xml:space="preserve">OUP </w:t>
      </w:r>
      <w:r>
        <w:rPr>
          <w:rFonts w:ascii="Arial" w:cs="Arial" w:eastAsia="Arial" w:hAnsi="Arial"/>
          <w:sz w:val="39"/>
          <w:szCs w:val="39"/>
          <w:b w:val="1"/>
          <w:bCs w:val="1"/>
          <w:color w:val="5F81AA"/>
        </w:rPr>
        <w:t>$17M</w:t>
      </w:r>
    </w:p>
    <w:p>
      <w:pPr>
        <w:spacing w:after="0" w:line="128" w:lineRule="exact"/>
        <w:rPr>
          <w:sz w:val="20"/>
          <w:szCs w:val="20"/>
          <w:color w:val="auto"/>
        </w:rPr>
      </w:pPr>
    </w:p>
    <w:p>
      <w:pPr>
        <w:ind w:left="1800"/>
        <w:spacing w:after="0"/>
        <w:rPr>
          <w:sz w:val="20"/>
          <w:szCs w:val="20"/>
          <w:color w:val="auto"/>
        </w:rPr>
      </w:pPr>
      <w:r>
        <w:rPr>
          <w:rFonts w:ascii="Arial" w:cs="Arial" w:eastAsia="Arial" w:hAnsi="Arial"/>
          <w:sz w:val="38"/>
          <w:szCs w:val="38"/>
          <w:color w:val="auto"/>
        </w:rPr>
        <w:t>5% CC</w:t>
      </w:r>
    </w:p>
    <w:p>
      <w:pPr>
        <w:spacing w:after="0" w:line="326"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30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2.1%</w:t>
      </w:r>
    </w:p>
    <w:p>
      <w:pPr>
        <w:sectPr>
          <w:pgSz w:w="11900" w:h="16838" w:orient="portrait"/>
          <w:cols w:equalWidth="0" w:num="1">
            <w:col w:w="9860"/>
          </w:cols>
          <w:pgMar w:left="1220" w:top="498" w:right="819" w:bottom="1440" w:gutter="0" w:footer="0" w:header="0"/>
        </w:sectPr>
      </w:pPr>
    </w:p>
    <w:bookmarkStart w:id="24" w:name="page25"/>
    <w:bookmarkEnd w:id="24"/>
    <w:tbl>
      <w:tblPr>
        <w:tblLayout w:type="fixed"/>
        <w:tblInd w:w="22" w:type="dxa"/>
        <w:tblCellMar>
          <w:top w:w="0" w:type="dxa"/>
          <w:left w:w="0" w:type="dxa"/>
          <w:bottom w:w="0" w:type="dxa"/>
          <w:right w:w="0" w:type="dxa"/>
        </w:tblCellMar>
      </w:tblPr>
      <w:tr>
        <w:trPr>
          <w:trHeight w:val="482"/>
        </w:trPr>
        <w:tc>
          <w:tcPr>
            <w:tcW w:w="682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13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
        <w:spacing w:after="0"/>
        <w:rPr>
          <w:sz w:val="20"/>
          <w:szCs w:val="20"/>
          <w:color w:val="auto"/>
        </w:rPr>
      </w:pPr>
      <w:r>
        <w:rPr>
          <w:rFonts w:ascii="Arial" w:cs="Arial" w:eastAsia="Arial" w:hAnsi="Arial"/>
          <w:sz w:val="47"/>
          <w:szCs w:val="47"/>
          <w:color w:val="6698C2"/>
        </w:rPr>
        <w:t>Other Operations – Q2 Revenue Growth YoY</w:t>
      </w:r>
    </w:p>
    <w:p>
      <w:pPr>
        <w:spacing w:after="0" w:line="209" w:lineRule="exact"/>
        <w:rPr>
          <w:sz w:val="20"/>
          <w:szCs w:val="20"/>
          <w:color w:val="auto"/>
        </w:rPr>
      </w:pPr>
    </w:p>
    <w:p>
      <w:pPr>
        <w:ind w:left="2" w:right="8320" w:hanging="2"/>
        <w:spacing w:after="0" w:line="276" w:lineRule="auto"/>
        <w:tabs>
          <w:tab w:leader="none" w:pos="276"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tbl>
      <w:tblPr>
        <w:tblLayout w:type="fixed"/>
        <w:tblInd w:w="2" w:type="dxa"/>
        <w:tblCellMar>
          <w:top w:w="0" w:type="dxa"/>
          <w:left w:w="0" w:type="dxa"/>
          <w:bottom w:w="0" w:type="dxa"/>
          <w:right w:w="0" w:type="dxa"/>
        </w:tblCellMar>
      </w:tblPr>
      <w:tr>
        <w:trPr>
          <w:trHeight w:val="276"/>
        </w:trPr>
        <w:tc>
          <w:tcPr>
            <w:tcW w:w="740" w:type="dxa"/>
            <w:vAlign w:val="bottom"/>
            <w:vMerge w:val="restart"/>
          </w:tcPr>
          <w:p>
            <w:pPr>
              <w:spacing w:after="0"/>
              <w:rPr>
                <w:sz w:val="20"/>
                <w:szCs w:val="20"/>
                <w:color w:val="auto"/>
              </w:rPr>
            </w:pPr>
            <w:r>
              <w:rPr>
                <w:rFonts w:ascii="Arial" w:cs="Arial" w:eastAsia="Arial" w:hAnsi="Arial"/>
                <w:sz w:val="28"/>
                <w:szCs w:val="28"/>
                <w:b w:val="1"/>
                <w:bCs w:val="1"/>
                <w:color w:val="D47C18"/>
              </w:rPr>
              <w:t>34%</w:t>
            </w:r>
          </w:p>
        </w:tc>
        <w:tc>
          <w:tcPr>
            <w:tcW w:w="1980" w:type="dxa"/>
            <w:vAlign w:val="bottom"/>
            <w:vMerge w:val="restart"/>
          </w:tcPr>
          <w:p>
            <w:pPr>
              <w:jc w:val="center"/>
              <w:ind w:left="431"/>
              <w:spacing w:after="0"/>
              <w:rPr>
                <w:sz w:val="20"/>
                <w:szCs w:val="20"/>
                <w:color w:val="auto"/>
              </w:rPr>
            </w:pPr>
            <w:r>
              <w:rPr>
                <w:rFonts w:ascii="Arial" w:cs="Arial" w:eastAsia="Arial" w:hAnsi="Arial"/>
                <w:sz w:val="26"/>
                <w:szCs w:val="26"/>
                <w:b w:val="1"/>
                <w:bCs w:val="1"/>
                <w:color w:val="auto"/>
                <w:w w:val="98"/>
              </w:rPr>
              <w:t>Japan</w:t>
            </w:r>
          </w:p>
        </w:tc>
        <w:tc>
          <w:tcPr>
            <w:tcW w:w="6640" w:type="dxa"/>
            <w:vAlign w:val="bottom"/>
          </w:tcPr>
          <w:p>
            <w:pPr>
              <w:jc w:val="right"/>
              <w:ind w:right="1462"/>
              <w:spacing w:after="0"/>
              <w:rPr>
                <w:sz w:val="20"/>
                <w:szCs w:val="20"/>
                <w:color w:val="auto"/>
              </w:rPr>
            </w:pPr>
            <w:r>
              <w:rPr>
                <w:rFonts w:ascii="Arial" w:cs="Arial" w:eastAsia="Arial" w:hAnsi="Arial"/>
                <w:sz w:val="24"/>
                <w:szCs w:val="24"/>
                <w:b w:val="1"/>
                <w:bCs w:val="1"/>
                <w:color w:val="FFFFFF"/>
              </w:rPr>
              <w:t>21%</w:t>
            </w:r>
          </w:p>
        </w:tc>
        <w:tc>
          <w:tcPr>
            <w:tcW w:w="0" w:type="dxa"/>
            <w:vAlign w:val="bottom"/>
          </w:tcPr>
          <w:p>
            <w:pPr>
              <w:spacing w:after="0"/>
              <w:rPr>
                <w:sz w:val="1"/>
                <w:szCs w:val="1"/>
                <w:color w:val="auto"/>
              </w:rPr>
            </w:pPr>
          </w:p>
        </w:tc>
      </w:tr>
      <w:tr>
        <w:trPr>
          <w:trHeight w:val="221"/>
        </w:trPr>
        <w:tc>
          <w:tcPr>
            <w:tcW w:w="7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6640" w:type="dxa"/>
            <w:vAlign w:val="bottom"/>
            <w:vMerge w:val="restart"/>
          </w:tcPr>
          <w:p>
            <w:pPr>
              <w:jc w:val="right"/>
              <w:ind w:right="4642"/>
              <w:spacing w:after="0"/>
              <w:rPr>
                <w:sz w:val="20"/>
                <w:szCs w:val="20"/>
                <w:color w:val="auto"/>
              </w:rPr>
            </w:pPr>
            <w:r>
              <w:rPr>
                <w:rFonts w:ascii="Arial" w:cs="Arial" w:eastAsia="Arial" w:hAnsi="Arial"/>
                <w:sz w:val="24"/>
                <w:szCs w:val="24"/>
                <w:b w:val="1"/>
                <w:bCs w:val="1"/>
                <w:color w:val="FFFFFF"/>
              </w:rPr>
              <w:t>5%</w:t>
            </w:r>
          </w:p>
        </w:tc>
        <w:tc>
          <w:tcPr>
            <w:tcW w:w="0" w:type="dxa"/>
            <w:vAlign w:val="bottom"/>
          </w:tcPr>
          <w:p>
            <w:pPr>
              <w:spacing w:after="0"/>
              <w:rPr>
                <w:sz w:val="1"/>
                <w:szCs w:val="1"/>
                <w:color w:val="auto"/>
              </w:rPr>
            </w:pPr>
          </w:p>
        </w:tc>
      </w:tr>
      <w:tr>
        <w:trPr>
          <w:trHeight w:val="92"/>
        </w:trPr>
        <w:tc>
          <w:tcPr>
            <w:tcW w:w="7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1"/>
        </w:trPr>
        <w:tc>
          <w:tcPr>
            <w:tcW w:w="740" w:type="dxa"/>
            <w:vAlign w:val="bottom"/>
            <w:vMerge w:val="restart"/>
          </w:tcPr>
          <w:p>
            <w:pPr>
              <w:spacing w:after="0"/>
              <w:rPr>
                <w:sz w:val="20"/>
                <w:szCs w:val="20"/>
                <w:color w:val="auto"/>
              </w:rPr>
            </w:pPr>
            <w:r>
              <w:rPr>
                <w:rFonts w:ascii="Arial" w:cs="Arial" w:eastAsia="Arial" w:hAnsi="Arial"/>
                <w:sz w:val="28"/>
                <w:szCs w:val="28"/>
                <w:b w:val="1"/>
                <w:bCs w:val="1"/>
                <w:color w:val="D47C18"/>
              </w:rPr>
              <w:t>15%</w:t>
            </w:r>
          </w:p>
        </w:tc>
        <w:tc>
          <w:tcPr>
            <w:tcW w:w="1980" w:type="dxa"/>
            <w:vAlign w:val="bottom"/>
            <w:vMerge w:val="restart"/>
          </w:tcPr>
          <w:p>
            <w:pPr>
              <w:ind w:left="180"/>
              <w:spacing w:after="0"/>
              <w:rPr>
                <w:sz w:val="20"/>
                <w:szCs w:val="20"/>
                <w:color w:val="auto"/>
              </w:rPr>
            </w:pPr>
            <w:r>
              <w:rPr>
                <w:rFonts w:ascii="Arial" w:cs="Arial" w:eastAsia="Arial" w:hAnsi="Arial"/>
                <w:sz w:val="26"/>
                <w:szCs w:val="26"/>
                <w:b w:val="1"/>
                <w:bCs w:val="1"/>
                <w:color w:val="auto"/>
              </w:rPr>
              <w:t>Australia/NZ</w:t>
            </w:r>
          </w:p>
        </w:tc>
        <w:tc>
          <w:tcPr>
            <w:tcW w:w="6640" w:type="dxa"/>
            <w:vAlign w:val="bottom"/>
          </w:tcPr>
          <w:p>
            <w:pPr>
              <w:jc w:val="right"/>
              <w:ind w:right="3242"/>
              <w:spacing w:after="0"/>
              <w:rPr>
                <w:sz w:val="20"/>
                <w:szCs w:val="20"/>
                <w:color w:val="auto"/>
              </w:rPr>
            </w:pPr>
            <w:r>
              <w:rPr>
                <w:rFonts w:ascii="Arial" w:cs="Arial" w:eastAsia="Arial" w:hAnsi="Arial"/>
                <w:sz w:val="24"/>
                <w:szCs w:val="24"/>
                <w:b w:val="1"/>
                <w:bCs w:val="1"/>
                <w:color w:val="FFFFFF"/>
              </w:rPr>
              <w:t>12%</w:t>
            </w:r>
          </w:p>
        </w:tc>
        <w:tc>
          <w:tcPr>
            <w:tcW w:w="0" w:type="dxa"/>
            <w:vAlign w:val="bottom"/>
          </w:tcPr>
          <w:p>
            <w:pPr>
              <w:spacing w:after="0"/>
              <w:rPr>
                <w:sz w:val="1"/>
                <w:szCs w:val="1"/>
                <w:color w:val="auto"/>
              </w:rPr>
            </w:pPr>
          </w:p>
        </w:tc>
      </w:tr>
      <w:tr>
        <w:trPr>
          <w:trHeight w:val="197"/>
        </w:trPr>
        <w:tc>
          <w:tcPr>
            <w:tcW w:w="74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6640" w:type="dxa"/>
            <w:vAlign w:val="bottom"/>
            <w:vMerge w:val="restart"/>
          </w:tcPr>
          <w:p>
            <w:pPr>
              <w:jc w:val="right"/>
              <w:ind w:right="5842"/>
              <w:spacing w:after="0"/>
              <w:rPr>
                <w:sz w:val="20"/>
                <w:szCs w:val="20"/>
                <w:color w:val="auto"/>
              </w:rPr>
            </w:pPr>
            <w:r>
              <w:rPr>
                <w:rFonts w:ascii="Arial" w:cs="Arial" w:eastAsia="Arial" w:hAnsi="Arial"/>
                <w:sz w:val="24"/>
                <w:szCs w:val="24"/>
                <w:b w:val="1"/>
                <w:bCs w:val="1"/>
                <w:color w:val="auto"/>
              </w:rPr>
              <w:t>-1%</w:t>
            </w:r>
          </w:p>
        </w:tc>
        <w:tc>
          <w:tcPr>
            <w:tcW w:w="0" w:type="dxa"/>
            <w:vAlign w:val="bottom"/>
          </w:tcPr>
          <w:p>
            <w:pPr>
              <w:spacing w:after="0"/>
              <w:rPr>
                <w:sz w:val="1"/>
                <w:szCs w:val="1"/>
                <w:color w:val="auto"/>
              </w:rPr>
            </w:pPr>
          </w:p>
        </w:tc>
      </w:tr>
      <w:tr>
        <w:trPr>
          <w:trHeight w:val="115"/>
        </w:trPr>
        <w:tc>
          <w:tcPr>
            <w:tcW w:w="7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7"/>
        </w:trPr>
        <w:tc>
          <w:tcPr>
            <w:tcW w:w="740" w:type="dxa"/>
            <w:vAlign w:val="bottom"/>
            <w:vMerge w:val="restart"/>
          </w:tcPr>
          <w:p>
            <w:pPr>
              <w:spacing w:after="0"/>
              <w:rPr>
                <w:sz w:val="20"/>
                <w:szCs w:val="20"/>
                <w:color w:val="auto"/>
              </w:rPr>
            </w:pPr>
            <w:r>
              <w:rPr>
                <w:rFonts w:ascii="Arial" w:cs="Arial" w:eastAsia="Arial" w:hAnsi="Arial"/>
                <w:sz w:val="28"/>
                <w:szCs w:val="28"/>
                <w:b w:val="1"/>
                <w:bCs w:val="1"/>
                <w:color w:val="D47C18"/>
              </w:rPr>
              <w:t>14%</w:t>
            </w:r>
          </w:p>
        </w:tc>
        <w:tc>
          <w:tcPr>
            <w:tcW w:w="1980" w:type="dxa"/>
            <w:vAlign w:val="bottom"/>
            <w:vMerge w:val="restart"/>
          </w:tcPr>
          <w:p>
            <w:pPr>
              <w:jc w:val="center"/>
              <w:ind w:left="331"/>
              <w:spacing w:after="0"/>
              <w:rPr>
                <w:sz w:val="20"/>
                <w:szCs w:val="20"/>
                <w:color w:val="auto"/>
              </w:rPr>
            </w:pPr>
            <w:r>
              <w:rPr>
                <w:rFonts w:ascii="Arial" w:cs="Arial" w:eastAsia="Arial" w:hAnsi="Arial"/>
                <w:sz w:val="26"/>
                <w:szCs w:val="26"/>
                <w:b w:val="1"/>
                <w:bCs w:val="1"/>
                <w:color w:val="auto"/>
                <w:w w:val="99"/>
              </w:rPr>
              <w:t>Mexico</w:t>
            </w:r>
          </w:p>
        </w:tc>
        <w:tc>
          <w:tcPr>
            <w:tcW w:w="6640" w:type="dxa"/>
            <w:vAlign w:val="bottom"/>
          </w:tcPr>
          <w:p>
            <w:pPr>
              <w:jc w:val="right"/>
              <w:ind w:right="2662"/>
              <w:spacing w:after="0"/>
              <w:rPr>
                <w:sz w:val="20"/>
                <w:szCs w:val="20"/>
                <w:color w:val="auto"/>
              </w:rPr>
            </w:pPr>
            <w:r>
              <w:rPr>
                <w:rFonts w:ascii="Arial" w:cs="Arial" w:eastAsia="Arial" w:hAnsi="Arial"/>
                <w:sz w:val="24"/>
                <w:szCs w:val="24"/>
                <w:b w:val="1"/>
                <w:bCs w:val="1"/>
                <w:color w:val="FFFFFF"/>
              </w:rPr>
              <w:t>15%</w:t>
            </w: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6640" w:type="dxa"/>
            <w:vAlign w:val="bottom"/>
            <w:vMerge w:val="restart"/>
          </w:tcPr>
          <w:p>
            <w:pPr>
              <w:jc w:val="right"/>
              <w:ind w:right="3662"/>
              <w:spacing w:after="0"/>
              <w:rPr>
                <w:sz w:val="20"/>
                <w:szCs w:val="20"/>
                <w:color w:val="auto"/>
              </w:rPr>
            </w:pPr>
            <w:r>
              <w:rPr>
                <w:rFonts w:ascii="Arial" w:cs="Arial" w:eastAsia="Arial" w:hAnsi="Arial"/>
                <w:sz w:val="24"/>
                <w:szCs w:val="24"/>
                <w:b w:val="1"/>
                <w:bCs w:val="1"/>
                <w:color w:val="FFFFFF"/>
              </w:rPr>
              <w:t>10%</w:t>
            </w:r>
          </w:p>
        </w:tc>
        <w:tc>
          <w:tcPr>
            <w:tcW w:w="0" w:type="dxa"/>
            <w:vAlign w:val="bottom"/>
          </w:tcPr>
          <w:p>
            <w:pPr>
              <w:spacing w:after="0"/>
              <w:rPr>
                <w:sz w:val="1"/>
                <w:szCs w:val="1"/>
                <w:color w:val="auto"/>
              </w:rPr>
            </w:pPr>
          </w:p>
        </w:tc>
      </w:tr>
      <w:tr>
        <w:trPr>
          <w:trHeight w:val="127"/>
        </w:trPr>
        <w:tc>
          <w:tcPr>
            <w:tcW w:w="7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740" w:type="dxa"/>
            <w:vAlign w:val="bottom"/>
            <w:vMerge w:val="restart"/>
          </w:tcPr>
          <w:p>
            <w:pPr>
              <w:ind w:left="20"/>
              <w:spacing w:after="0"/>
              <w:rPr>
                <w:sz w:val="20"/>
                <w:szCs w:val="20"/>
                <w:color w:val="auto"/>
              </w:rPr>
            </w:pPr>
            <w:r>
              <w:rPr>
                <w:rFonts w:ascii="Arial" w:cs="Arial" w:eastAsia="Arial" w:hAnsi="Arial"/>
                <w:sz w:val="28"/>
                <w:szCs w:val="28"/>
                <w:b w:val="1"/>
                <w:bCs w:val="1"/>
                <w:color w:val="D47C18"/>
              </w:rPr>
              <w:t>37%</w:t>
            </w:r>
          </w:p>
        </w:tc>
        <w:tc>
          <w:tcPr>
            <w:tcW w:w="1980" w:type="dxa"/>
            <w:vAlign w:val="bottom"/>
            <w:vMerge w:val="restart"/>
          </w:tcPr>
          <w:p>
            <w:pPr>
              <w:jc w:val="center"/>
              <w:ind w:left="511"/>
              <w:spacing w:after="0"/>
              <w:rPr>
                <w:sz w:val="20"/>
                <w:szCs w:val="20"/>
                <w:color w:val="auto"/>
              </w:rPr>
            </w:pPr>
            <w:r>
              <w:rPr>
                <w:rFonts w:ascii="Arial" w:cs="Arial" w:eastAsia="Arial" w:hAnsi="Arial"/>
                <w:sz w:val="26"/>
                <w:szCs w:val="26"/>
                <w:b w:val="1"/>
                <w:bCs w:val="1"/>
                <w:color w:val="auto"/>
              </w:rPr>
              <w:t>Other</w:t>
            </w:r>
          </w:p>
        </w:tc>
        <w:tc>
          <w:tcPr>
            <w:tcW w:w="6640" w:type="dxa"/>
            <w:vAlign w:val="bottom"/>
          </w:tcPr>
          <w:p>
            <w:pPr>
              <w:jc w:val="right"/>
              <w:spacing w:after="0"/>
              <w:rPr>
                <w:sz w:val="20"/>
                <w:szCs w:val="20"/>
                <w:color w:val="auto"/>
              </w:rPr>
            </w:pPr>
            <w:r>
              <w:rPr>
                <w:rFonts w:ascii="Arial" w:cs="Arial" w:eastAsia="Arial" w:hAnsi="Arial"/>
                <w:sz w:val="24"/>
                <w:szCs w:val="24"/>
                <w:b w:val="1"/>
                <w:bCs w:val="1"/>
                <w:color w:val="FFFFFF"/>
              </w:rPr>
              <w:t>29%</w:t>
            </w:r>
          </w:p>
        </w:tc>
        <w:tc>
          <w:tcPr>
            <w:tcW w:w="0" w:type="dxa"/>
            <w:vAlign w:val="bottom"/>
          </w:tcPr>
          <w:p>
            <w:pPr>
              <w:spacing w:after="0"/>
              <w:rPr>
                <w:sz w:val="1"/>
                <w:szCs w:val="1"/>
                <w:color w:val="auto"/>
              </w:rPr>
            </w:pPr>
          </w:p>
        </w:tc>
      </w:tr>
      <w:tr>
        <w:trPr>
          <w:trHeight w:val="184"/>
        </w:trPr>
        <w:tc>
          <w:tcPr>
            <w:tcW w:w="740" w:type="dxa"/>
            <w:vAlign w:val="bottom"/>
            <w:vMerge w:val="continue"/>
          </w:tcPr>
          <w:p>
            <w:pPr>
              <w:spacing w:after="0"/>
              <w:rPr>
                <w:sz w:val="16"/>
                <w:szCs w:val="16"/>
                <w:color w:val="auto"/>
              </w:rPr>
            </w:pPr>
          </w:p>
        </w:tc>
        <w:tc>
          <w:tcPr>
            <w:tcW w:w="1980" w:type="dxa"/>
            <w:vAlign w:val="bottom"/>
            <w:vMerge w:val="continue"/>
          </w:tcPr>
          <w:p>
            <w:pPr>
              <w:spacing w:after="0"/>
              <w:rPr>
                <w:sz w:val="16"/>
                <w:szCs w:val="16"/>
                <w:color w:val="auto"/>
              </w:rPr>
            </w:pPr>
          </w:p>
        </w:tc>
        <w:tc>
          <w:tcPr>
            <w:tcW w:w="6640" w:type="dxa"/>
            <w:vAlign w:val="bottom"/>
            <w:vMerge w:val="restart"/>
          </w:tcPr>
          <w:p>
            <w:pPr>
              <w:jc w:val="right"/>
              <w:ind w:right="1862"/>
              <w:spacing w:after="0"/>
              <w:rPr>
                <w:sz w:val="20"/>
                <w:szCs w:val="20"/>
                <w:color w:val="auto"/>
              </w:rPr>
            </w:pPr>
            <w:r>
              <w:rPr>
                <w:rFonts w:ascii="Arial" w:cs="Arial" w:eastAsia="Arial" w:hAnsi="Arial"/>
                <w:sz w:val="24"/>
                <w:szCs w:val="24"/>
                <w:b w:val="1"/>
                <w:bCs w:val="1"/>
                <w:color w:val="FFFFFF"/>
              </w:rPr>
              <w:t>19%</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3302"/>
        <w:spacing w:after="0"/>
        <w:tabs>
          <w:tab w:leader="none" w:pos="5581"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2"/>
          <w:szCs w:val="22"/>
          <w:b w:val="1"/>
          <w:bCs w:val="1"/>
          <w:color w:val="auto"/>
        </w:rPr>
        <w:t>Revenue Growth - CC</w:t>
      </w:r>
    </w:p>
    <w:p>
      <w:pPr>
        <w:sectPr>
          <w:pgSz w:w="11900" w:h="16838" w:orient="portrait"/>
          <w:cols w:equalWidth="0" w:num="1">
            <w:col w:w="9882"/>
          </w:cols>
          <w:pgMar w:left="1198" w:top="498" w:right="8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482"/>
        </w:trPr>
        <w:tc>
          <w:tcPr>
            <w:tcW w:w="682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14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24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52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79"/>
          <w:szCs w:val="79"/>
          <w:color w:val="7EA190"/>
        </w:rPr>
        <w:t>Financial Highlights</w:t>
      </w:r>
    </w:p>
    <w:p>
      <w:pPr>
        <w:sectPr>
          <w:pgSz w:w="11900" w:h="16838" w:orient="portrait"/>
          <w:cols w:equalWidth="0" w:num="1">
            <w:col w:w="9880"/>
          </w:cols>
          <w:pgMar w:left="1220" w:top="498" w:right="799" w:bottom="1440" w:gutter="0" w:footer="0" w:header="0"/>
        </w:sectPr>
      </w:pPr>
    </w:p>
    <w:bookmarkStart w:id="26" w:name="page27"/>
    <w:bookmarkEnd w:id="26"/>
    <w:tbl>
      <w:tblPr>
        <w:tblLayout w:type="fixed"/>
        <w:tblInd w:w="300" w:type="dxa"/>
        <w:tblCellMar>
          <w:top w:w="0" w:type="dxa"/>
          <w:left w:w="0" w:type="dxa"/>
          <w:bottom w:w="0" w:type="dxa"/>
          <w:right w:w="0" w:type="dxa"/>
        </w:tblCellMar>
      </w:tblPr>
      <w:tr>
        <w:trPr>
          <w:trHeight w:val="482"/>
        </w:trPr>
        <w:tc>
          <w:tcPr>
            <w:tcW w:w="682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47"/>
          <w:szCs w:val="47"/>
          <w:color w:val="C8504F"/>
        </w:rPr>
        <w:t>Q2 Non-recurring Items</w:t>
      </w:r>
    </w:p>
    <w:p>
      <w:pPr>
        <w:ind w:left="260"/>
        <w:spacing w:after="0"/>
        <w:rPr>
          <w:sz w:val="20"/>
          <w:szCs w:val="20"/>
          <w:color w:val="auto"/>
        </w:rPr>
      </w:pPr>
      <w:r>
        <w:rPr>
          <w:rFonts w:ascii="Arial" w:cs="Arial" w:eastAsia="Arial" w:hAnsi="Arial"/>
          <w:sz w:val="28"/>
          <w:szCs w:val="28"/>
          <w:color w:val="C8504F"/>
        </w:rPr>
        <w:t>($ in millions,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jc w:val="center"/>
              <w:ind w:right="391"/>
              <w:spacing w:after="0"/>
              <w:rPr>
                <w:sz w:val="20"/>
                <w:szCs w:val="20"/>
                <w:color w:val="auto"/>
              </w:rPr>
            </w:pPr>
            <w:r>
              <w:rPr>
                <w:rFonts w:ascii="Arial" w:cs="Arial" w:eastAsia="Arial" w:hAnsi="Arial"/>
                <w:sz w:val="32"/>
                <w:szCs w:val="32"/>
                <w:b w:val="1"/>
                <w:bCs w:val="1"/>
                <w:color w:val="auto"/>
                <w:w w:val="98"/>
              </w:rPr>
              <w:t>2008</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center"/>
              <w:ind w:right="26"/>
              <w:spacing w:after="0"/>
              <w:rPr>
                <w:sz w:val="20"/>
                <w:szCs w:val="20"/>
                <w:color w:val="auto"/>
              </w:rPr>
            </w:pPr>
            <w:r>
              <w:rPr>
                <w:rFonts w:ascii="Arial" w:cs="Arial" w:eastAsia="Arial" w:hAnsi="Arial"/>
                <w:sz w:val="32"/>
                <w:szCs w:val="32"/>
                <w:b w:val="1"/>
                <w:bCs w:val="1"/>
                <w:color w:val="auto"/>
              </w:rPr>
              <w:t>2007</w:t>
            </w:r>
          </w:p>
        </w:tc>
      </w:tr>
      <w:tr>
        <w:trPr>
          <w:trHeight w:val="429"/>
        </w:trPr>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center"/>
              <w:ind w:right="333"/>
              <w:spacing w:after="0"/>
              <w:rPr>
                <w:sz w:val="20"/>
                <w:szCs w:val="20"/>
                <w:color w:val="auto"/>
              </w:rPr>
            </w:pPr>
            <w:r>
              <w:rPr>
                <w:rFonts w:ascii="Arial" w:cs="Arial" w:eastAsia="Arial" w:hAnsi="Arial"/>
                <w:sz w:val="25"/>
                <w:szCs w:val="25"/>
                <w:b w:val="1"/>
                <w:bCs w:val="1"/>
                <w:color w:val="auto"/>
                <w:w w:val="98"/>
              </w:rPr>
              <w:t>French</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center"/>
              <w:ind w:right="46"/>
              <w:spacing w:after="0"/>
              <w:rPr>
                <w:sz w:val="20"/>
                <w:szCs w:val="20"/>
                <w:color w:val="auto"/>
              </w:rPr>
            </w:pPr>
            <w:r>
              <w:rPr>
                <w:rFonts w:ascii="Arial" w:cs="Arial" w:eastAsia="Arial" w:hAnsi="Arial"/>
                <w:sz w:val="25"/>
                <w:szCs w:val="25"/>
                <w:b w:val="1"/>
                <w:bCs w:val="1"/>
                <w:color w:val="auto"/>
                <w:w w:val="98"/>
              </w:rPr>
              <w:t>French</w:t>
            </w:r>
          </w:p>
        </w:tc>
      </w:tr>
      <w:tr>
        <w:trPr>
          <w:trHeight w:val="306"/>
        </w:trPr>
        <w:tc>
          <w:tcPr>
            <w:tcW w:w="29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25"/>
                <w:szCs w:val="25"/>
                <w:b w:val="1"/>
                <w:bCs w:val="1"/>
                <w:color w:val="auto"/>
                <w:w w:val="97"/>
              </w:rPr>
              <w:t>Payroll Tax</w:t>
            </w:r>
          </w:p>
        </w:tc>
        <w:tc>
          <w:tcPr>
            <w:tcW w:w="480" w:type="dxa"/>
            <w:vAlign w:val="bottom"/>
          </w:tcPr>
          <w:p>
            <w:pPr>
              <w:spacing w:after="0"/>
              <w:rPr>
                <w:sz w:val="24"/>
                <w:szCs w:val="24"/>
                <w:color w:val="auto"/>
              </w:rPr>
            </w:pPr>
          </w:p>
        </w:tc>
        <w:tc>
          <w:tcPr>
            <w:tcW w:w="1360" w:type="dxa"/>
            <w:vAlign w:val="bottom"/>
          </w:tcPr>
          <w:p>
            <w:pPr>
              <w:jc w:val="center"/>
              <w:ind w:right="351"/>
              <w:spacing w:after="0"/>
              <w:rPr>
                <w:sz w:val="20"/>
                <w:szCs w:val="20"/>
                <w:color w:val="auto"/>
              </w:rPr>
            </w:pPr>
            <w:r>
              <w:rPr>
                <w:rFonts w:ascii="Arial" w:cs="Arial" w:eastAsia="Arial" w:hAnsi="Arial"/>
                <w:sz w:val="25"/>
                <w:szCs w:val="25"/>
                <w:b w:val="1"/>
                <w:bCs w:val="1"/>
                <w:color w:val="auto"/>
                <w:w w:val="98"/>
              </w:rPr>
              <w:t>French</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gridSpan w:val="2"/>
          </w:tcPr>
          <w:p>
            <w:pPr>
              <w:jc w:val="center"/>
              <w:ind w:left="182"/>
              <w:spacing w:after="0"/>
              <w:rPr>
                <w:sz w:val="20"/>
                <w:szCs w:val="20"/>
                <w:color w:val="auto"/>
              </w:rPr>
            </w:pPr>
            <w:r>
              <w:rPr>
                <w:rFonts w:ascii="Arial" w:cs="Arial" w:eastAsia="Arial" w:hAnsi="Arial"/>
                <w:sz w:val="25"/>
                <w:szCs w:val="25"/>
                <w:b w:val="1"/>
                <w:bCs w:val="1"/>
                <w:color w:val="auto"/>
                <w:w w:val="97"/>
              </w:rPr>
              <w:t>Payroll Tax</w:t>
            </w:r>
          </w:p>
        </w:tc>
      </w:tr>
      <w:tr>
        <w:trPr>
          <w:trHeight w:val="327"/>
        </w:trPr>
        <w:tc>
          <w:tcPr>
            <w:tcW w:w="29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25"/>
                <w:szCs w:val="25"/>
                <w:b w:val="1"/>
                <w:bCs w:val="1"/>
                <w:color w:val="auto"/>
                <w:w w:val="99"/>
              </w:rPr>
              <w:t>Change -</w:t>
            </w:r>
          </w:p>
        </w:tc>
        <w:tc>
          <w:tcPr>
            <w:tcW w:w="480" w:type="dxa"/>
            <w:vAlign w:val="bottom"/>
          </w:tcPr>
          <w:p>
            <w:pPr>
              <w:spacing w:after="0"/>
              <w:rPr>
                <w:sz w:val="24"/>
                <w:szCs w:val="24"/>
                <w:color w:val="auto"/>
              </w:rPr>
            </w:pPr>
          </w:p>
        </w:tc>
        <w:tc>
          <w:tcPr>
            <w:tcW w:w="1360" w:type="dxa"/>
            <w:vAlign w:val="bottom"/>
          </w:tcPr>
          <w:p>
            <w:pPr>
              <w:jc w:val="center"/>
              <w:ind w:right="331"/>
              <w:spacing w:after="0"/>
              <w:rPr>
                <w:sz w:val="20"/>
                <w:szCs w:val="20"/>
                <w:color w:val="auto"/>
              </w:rPr>
            </w:pPr>
            <w:r>
              <w:rPr>
                <w:rFonts w:ascii="Arial" w:cs="Arial" w:eastAsia="Arial" w:hAnsi="Arial"/>
                <w:sz w:val="25"/>
                <w:szCs w:val="25"/>
                <w:b w:val="1"/>
                <w:bCs w:val="1"/>
                <w:color w:val="auto"/>
                <w:w w:val="97"/>
              </w:rPr>
              <w:t>Legal</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gridSpan w:val="2"/>
          </w:tcPr>
          <w:p>
            <w:pPr>
              <w:jc w:val="center"/>
              <w:ind w:left="182"/>
              <w:spacing w:after="0"/>
              <w:rPr>
                <w:sz w:val="20"/>
                <w:szCs w:val="20"/>
                <w:color w:val="auto"/>
              </w:rPr>
            </w:pPr>
            <w:r>
              <w:rPr>
                <w:rFonts w:ascii="Arial" w:cs="Arial" w:eastAsia="Arial" w:hAnsi="Arial"/>
                <w:sz w:val="25"/>
                <w:szCs w:val="25"/>
                <w:b w:val="1"/>
                <w:bCs w:val="1"/>
                <w:color w:val="auto"/>
                <w:w w:val="99"/>
              </w:rPr>
              <w:t>Change -</w:t>
            </w:r>
          </w:p>
        </w:tc>
      </w:tr>
      <w:tr>
        <w:trPr>
          <w:trHeight w:val="329"/>
        </w:trPr>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center"/>
              <w:ind w:right="313"/>
              <w:spacing w:after="0"/>
              <w:rPr>
                <w:sz w:val="20"/>
                <w:szCs w:val="20"/>
                <w:color w:val="auto"/>
              </w:rPr>
            </w:pPr>
            <w:r>
              <w:rPr>
                <w:rFonts w:ascii="Arial" w:cs="Arial" w:eastAsia="Arial" w:hAnsi="Arial"/>
                <w:sz w:val="25"/>
                <w:szCs w:val="25"/>
                <w:b w:val="1"/>
                <w:bCs w:val="1"/>
                <w:color w:val="auto"/>
              </w:rPr>
              <w:t>2005</w:t>
            </w:r>
          </w:p>
        </w:tc>
        <w:tc>
          <w:tcPr>
            <w:tcW w:w="1840" w:type="dxa"/>
            <w:vAlign w:val="bottom"/>
            <w:gridSpan w:val="2"/>
          </w:tcPr>
          <w:p>
            <w:pPr>
              <w:jc w:val="center"/>
              <w:spacing w:after="0"/>
              <w:rPr>
                <w:sz w:val="20"/>
                <w:szCs w:val="20"/>
                <w:color w:val="auto"/>
              </w:rPr>
            </w:pPr>
            <w:r>
              <w:rPr>
                <w:rFonts w:ascii="Arial" w:cs="Arial" w:eastAsia="Arial" w:hAnsi="Arial"/>
                <w:sz w:val="25"/>
                <w:szCs w:val="25"/>
                <w:b w:val="1"/>
                <w:bCs w:val="1"/>
                <w:color w:val="auto"/>
                <w:w w:val="98"/>
              </w:rPr>
              <w:t>Reserve</w:t>
            </w:r>
          </w:p>
        </w:tc>
        <w:tc>
          <w:tcPr>
            <w:tcW w:w="460" w:type="dxa"/>
            <w:vAlign w:val="bottom"/>
          </w:tcPr>
          <w:p>
            <w:pPr>
              <w:spacing w:after="0"/>
              <w:rPr>
                <w:sz w:val="24"/>
                <w:szCs w:val="24"/>
                <w:color w:val="auto"/>
              </w:rPr>
            </w:pPr>
          </w:p>
        </w:tc>
        <w:tc>
          <w:tcPr>
            <w:tcW w:w="1460" w:type="dxa"/>
            <w:vAlign w:val="bottom"/>
          </w:tcPr>
          <w:p>
            <w:pPr>
              <w:jc w:val="right"/>
              <w:ind w:right="647"/>
              <w:spacing w:after="0"/>
              <w:rPr>
                <w:sz w:val="20"/>
                <w:szCs w:val="20"/>
                <w:color w:val="auto"/>
              </w:rPr>
            </w:pPr>
            <w:r>
              <w:rPr>
                <w:rFonts w:ascii="Arial" w:cs="Arial" w:eastAsia="Arial" w:hAnsi="Arial"/>
                <w:sz w:val="25"/>
                <w:szCs w:val="25"/>
                <w:b w:val="1"/>
                <w:bCs w:val="1"/>
                <w:color w:val="auto"/>
              </w:rPr>
              <w:t>Total</w:t>
            </w:r>
          </w:p>
        </w:tc>
        <w:tc>
          <w:tcPr>
            <w:tcW w:w="1620" w:type="dxa"/>
            <w:vAlign w:val="bottom"/>
            <w:gridSpan w:val="2"/>
          </w:tcPr>
          <w:p>
            <w:pPr>
              <w:jc w:val="center"/>
              <w:ind w:left="182"/>
              <w:spacing w:after="0"/>
              <w:rPr>
                <w:sz w:val="20"/>
                <w:szCs w:val="20"/>
                <w:color w:val="auto"/>
              </w:rPr>
            </w:pPr>
            <w:r>
              <w:rPr>
                <w:rFonts w:ascii="Arial" w:cs="Arial" w:eastAsia="Arial" w:hAnsi="Arial"/>
                <w:sz w:val="25"/>
                <w:szCs w:val="25"/>
                <w:b w:val="1"/>
                <w:bCs w:val="1"/>
                <w:color w:val="auto"/>
                <w:w w:val="98"/>
              </w:rPr>
              <w:t>2006-2007</w:t>
            </w:r>
          </w:p>
        </w:tc>
      </w:tr>
      <w:tr>
        <w:trPr>
          <w:trHeight w:val="549"/>
        </w:trPr>
        <w:tc>
          <w:tcPr>
            <w:tcW w:w="2920" w:type="dxa"/>
            <w:vAlign w:val="bottom"/>
          </w:tcPr>
          <w:p>
            <w:pPr>
              <w:spacing w:after="0"/>
              <w:rPr>
                <w:sz w:val="20"/>
                <w:szCs w:val="20"/>
                <w:color w:val="auto"/>
              </w:rPr>
            </w:pPr>
            <w:r>
              <w:rPr>
                <w:rFonts w:ascii="Arial" w:cs="Arial" w:eastAsia="Arial" w:hAnsi="Arial"/>
                <w:sz w:val="32"/>
                <w:szCs w:val="32"/>
                <w:b w:val="1"/>
                <w:bCs w:val="1"/>
                <w:color w:val="auto"/>
              </w:rPr>
              <w:t>Gross profit</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C8504F"/>
              </w:rPr>
              <w:t>$</w:t>
            </w:r>
          </w:p>
        </w:tc>
        <w:tc>
          <w:tcPr>
            <w:tcW w:w="1340" w:type="dxa"/>
            <w:vAlign w:val="bottom"/>
          </w:tcPr>
          <w:p>
            <w:pPr>
              <w:jc w:val="right"/>
              <w:ind w:right="133"/>
              <w:spacing w:after="0"/>
              <w:rPr>
                <w:sz w:val="20"/>
                <w:szCs w:val="20"/>
                <w:color w:val="auto"/>
              </w:rPr>
            </w:pPr>
            <w:r>
              <w:rPr>
                <w:rFonts w:ascii="Arial" w:cs="Arial" w:eastAsia="Arial" w:hAnsi="Arial"/>
                <w:sz w:val="32"/>
                <w:szCs w:val="32"/>
                <w:b w:val="1"/>
                <w:bCs w:val="1"/>
                <w:color w:val="C8504F"/>
              </w:rPr>
              <w:t>53.7</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32"/>
                <w:szCs w:val="32"/>
                <w:b w:val="1"/>
                <w:bCs w:val="1"/>
                <w:color w:val="C8504F"/>
              </w:rPr>
              <w:t>$</w:t>
            </w:r>
          </w:p>
        </w:tc>
        <w:tc>
          <w:tcPr>
            <w:tcW w:w="1460" w:type="dxa"/>
            <w:vAlign w:val="bottom"/>
          </w:tcPr>
          <w:p>
            <w:pPr>
              <w:jc w:val="right"/>
              <w:ind w:right="287"/>
              <w:spacing w:after="0"/>
              <w:rPr>
                <w:sz w:val="20"/>
                <w:szCs w:val="20"/>
                <w:color w:val="auto"/>
              </w:rPr>
            </w:pPr>
            <w:r>
              <w:rPr>
                <w:rFonts w:ascii="Arial" w:cs="Arial" w:eastAsia="Arial" w:hAnsi="Arial"/>
                <w:sz w:val="32"/>
                <w:szCs w:val="32"/>
                <w:b w:val="1"/>
                <w:bCs w:val="1"/>
                <w:color w:val="C8504F"/>
              </w:rPr>
              <w:t>53.7</w:t>
            </w:r>
          </w:p>
        </w:tc>
        <w:tc>
          <w:tcPr>
            <w:tcW w:w="520" w:type="dxa"/>
            <w:vAlign w:val="bottom"/>
          </w:tcPr>
          <w:p>
            <w:pPr>
              <w:jc w:val="right"/>
              <w:spacing w:after="0"/>
              <w:rPr>
                <w:sz w:val="20"/>
                <w:szCs w:val="20"/>
                <w:color w:val="auto"/>
              </w:rPr>
            </w:pPr>
            <w:r>
              <w:rPr>
                <w:rFonts w:ascii="Arial" w:cs="Arial" w:eastAsia="Arial" w:hAnsi="Arial"/>
                <w:sz w:val="32"/>
                <w:szCs w:val="32"/>
                <w:b w:val="1"/>
                <w:bCs w:val="1"/>
                <w:color w:val="C8504F"/>
              </w:rPr>
              <w:t>$</w:t>
            </w:r>
          </w:p>
        </w:tc>
        <w:tc>
          <w:tcPr>
            <w:tcW w:w="1100" w:type="dxa"/>
            <w:vAlign w:val="bottom"/>
          </w:tcPr>
          <w:p>
            <w:pPr>
              <w:jc w:val="right"/>
              <w:spacing w:after="0"/>
              <w:rPr>
                <w:sz w:val="20"/>
                <w:szCs w:val="20"/>
                <w:color w:val="auto"/>
              </w:rPr>
            </w:pPr>
            <w:r>
              <w:rPr>
                <w:rFonts w:ascii="Arial" w:cs="Arial" w:eastAsia="Arial" w:hAnsi="Arial"/>
                <w:sz w:val="32"/>
                <w:szCs w:val="32"/>
                <w:b w:val="1"/>
                <w:bCs w:val="1"/>
                <w:color w:val="C8504F"/>
              </w:rPr>
              <w:t>114.0</w:t>
            </w:r>
          </w:p>
        </w:tc>
      </w:tr>
      <w:tr>
        <w:trPr>
          <w:trHeight w:val="588"/>
        </w:trPr>
        <w:tc>
          <w:tcPr>
            <w:tcW w:w="2920" w:type="dxa"/>
            <w:vAlign w:val="bottom"/>
          </w:tcPr>
          <w:p>
            <w:pPr>
              <w:spacing w:after="0"/>
              <w:rPr>
                <w:sz w:val="20"/>
                <w:szCs w:val="20"/>
                <w:color w:val="auto"/>
              </w:rPr>
            </w:pPr>
            <w:r>
              <w:rPr>
                <w:rFonts w:ascii="Arial" w:cs="Arial" w:eastAsia="Arial" w:hAnsi="Arial"/>
                <w:sz w:val="32"/>
                <w:szCs w:val="32"/>
                <w:b w:val="1"/>
                <w:bCs w:val="1"/>
                <w:color w:val="auto"/>
              </w:rPr>
              <w:t>S&amp;A expenses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jc w:val="right"/>
              <w:ind w:right="31"/>
              <w:spacing w:after="0"/>
              <w:rPr>
                <w:sz w:val="20"/>
                <w:szCs w:val="20"/>
                <w:color w:val="auto"/>
              </w:rPr>
            </w:pPr>
            <w:r>
              <w:rPr>
                <w:rFonts w:ascii="Arial" w:cs="Arial" w:eastAsia="Arial" w:hAnsi="Arial"/>
                <w:sz w:val="32"/>
                <w:szCs w:val="32"/>
                <w:b w:val="1"/>
                <w:bCs w:val="1"/>
                <w:color w:val="C8504F"/>
              </w:rPr>
              <w:t>(54.1)</w:t>
            </w:r>
          </w:p>
        </w:tc>
        <w:tc>
          <w:tcPr>
            <w:tcW w:w="46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Arial" w:cs="Arial" w:eastAsia="Arial" w:hAnsi="Arial"/>
                <w:sz w:val="32"/>
                <w:szCs w:val="32"/>
                <w:b w:val="1"/>
                <w:bCs w:val="1"/>
                <w:color w:val="C8504F"/>
              </w:rPr>
              <w:t>(54.1)</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32"/>
                <w:szCs w:val="32"/>
                <w:b w:val="1"/>
                <w:bCs w:val="1"/>
                <w:color w:val="C8504F"/>
              </w:rPr>
              <w:t>14.7</w:t>
            </w:r>
          </w:p>
        </w:tc>
      </w:tr>
      <w:tr>
        <w:trPr>
          <w:trHeight w:val="600"/>
        </w:trPr>
        <w:tc>
          <w:tcPr>
            <w:tcW w:w="2920" w:type="dxa"/>
            <w:vAlign w:val="bottom"/>
          </w:tcPr>
          <w:p>
            <w:pPr>
              <w:spacing w:after="0"/>
              <w:rPr>
                <w:sz w:val="20"/>
                <w:szCs w:val="20"/>
                <w:color w:val="auto"/>
              </w:rPr>
            </w:pPr>
            <w:r>
              <w:rPr>
                <w:rFonts w:ascii="Arial" w:cs="Arial" w:eastAsia="Arial" w:hAnsi="Arial"/>
                <w:sz w:val="32"/>
                <w:szCs w:val="32"/>
                <w:b w:val="1"/>
                <w:bCs w:val="1"/>
                <w:color w:val="auto"/>
              </w:rPr>
              <w:t>Operating profit</w:t>
            </w:r>
          </w:p>
        </w:tc>
        <w:tc>
          <w:tcPr>
            <w:tcW w:w="380" w:type="dxa"/>
            <w:vAlign w:val="bottom"/>
          </w:tcPr>
          <w:p>
            <w:pPr>
              <w:spacing w:after="0"/>
              <w:rPr>
                <w:sz w:val="24"/>
                <w:szCs w:val="24"/>
                <w:color w:val="auto"/>
              </w:rPr>
            </w:pPr>
          </w:p>
        </w:tc>
        <w:tc>
          <w:tcPr>
            <w:tcW w:w="1340" w:type="dxa"/>
            <w:vAlign w:val="bottom"/>
          </w:tcPr>
          <w:p>
            <w:pPr>
              <w:jc w:val="right"/>
              <w:ind w:right="133"/>
              <w:spacing w:after="0"/>
              <w:rPr>
                <w:sz w:val="20"/>
                <w:szCs w:val="20"/>
                <w:color w:val="auto"/>
              </w:rPr>
            </w:pPr>
            <w:r>
              <w:rPr>
                <w:rFonts w:ascii="Arial" w:cs="Arial" w:eastAsia="Arial" w:hAnsi="Arial"/>
                <w:sz w:val="32"/>
                <w:szCs w:val="32"/>
                <w:b w:val="1"/>
                <w:bCs w:val="1"/>
                <w:color w:val="C8504F"/>
              </w:rPr>
              <w:t>53.7</w:t>
            </w:r>
          </w:p>
        </w:tc>
        <w:tc>
          <w:tcPr>
            <w:tcW w:w="480" w:type="dxa"/>
            <w:vAlign w:val="bottom"/>
          </w:tcPr>
          <w:p>
            <w:pPr>
              <w:spacing w:after="0"/>
              <w:rPr>
                <w:sz w:val="24"/>
                <w:szCs w:val="24"/>
                <w:color w:val="auto"/>
              </w:rPr>
            </w:pPr>
          </w:p>
        </w:tc>
        <w:tc>
          <w:tcPr>
            <w:tcW w:w="1360" w:type="dxa"/>
            <w:vAlign w:val="bottom"/>
          </w:tcPr>
          <w:p>
            <w:pPr>
              <w:jc w:val="right"/>
              <w:ind w:right="31"/>
              <w:spacing w:after="0"/>
              <w:rPr>
                <w:sz w:val="20"/>
                <w:szCs w:val="20"/>
                <w:color w:val="auto"/>
              </w:rPr>
            </w:pPr>
            <w:r>
              <w:rPr>
                <w:rFonts w:ascii="Arial" w:cs="Arial" w:eastAsia="Arial" w:hAnsi="Arial"/>
                <w:sz w:val="32"/>
                <w:szCs w:val="32"/>
                <w:b w:val="1"/>
                <w:bCs w:val="1"/>
                <w:color w:val="C8504F"/>
              </w:rPr>
              <w:t>(54.1)</w:t>
            </w:r>
          </w:p>
        </w:tc>
        <w:tc>
          <w:tcPr>
            <w:tcW w:w="46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Arial" w:cs="Arial" w:eastAsia="Arial" w:hAnsi="Arial"/>
                <w:sz w:val="32"/>
                <w:szCs w:val="32"/>
                <w:b w:val="1"/>
                <w:bCs w:val="1"/>
                <w:color w:val="C8504F"/>
              </w:rPr>
              <w:t>(0.4)</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32"/>
                <w:szCs w:val="32"/>
                <w:b w:val="1"/>
                <w:bCs w:val="1"/>
                <w:color w:val="C8504F"/>
              </w:rPr>
              <w:t>99.3</w:t>
            </w:r>
          </w:p>
        </w:tc>
      </w:tr>
      <w:tr>
        <w:trPr>
          <w:trHeight w:val="600"/>
        </w:trPr>
        <w:tc>
          <w:tcPr>
            <w:tcW w:w="2920" w:type="dxa"/>
            <w:vAlign w:val="bottom"/>
          </w:tcPr>
          <w:p>
            <w:pPr>
              <w:spacing w:after="0"/>
              <w:rPr>
                <w:sz w:val="20"/>
                <w:szCs w:val="20"/>
                <w:color w:val="auto"/>
              </w:rPr>
            </w:pPr>
            <w:r>
              <w:rPr>
                <w:rFonts w:ascii="Arial" w:cs="Arial" w:eastAsia="Arial" w:hAnsi="Arial"/>
                <w:sz w:val="32"/>
                <w:szCs w:val="32"/>
                <w:b w:val="1"/>
                <w:bCs w:val="1"/>
                <w:color w:val="auto"/>
              </w:rPr>
              <w:t>Net earnings</w:t>
            </w:r>
          </w:p>
        </w:tc>
        <w:tc>
          <w:tcPr>
            <w:tcW w:w="380" w:type="dxa"/>
            <w:vAlign w:val="bottom"/>
          </w:tcPr>
          <w:p>
            <w:pPr>
              <w:spacing w:after="0"/>
              <w:rPr>
                <w:sz w:val="24"/>
                <w:szCs w:val="24"/>
                <w:color w:val="auto"/>
              </w:rPr>
            </w:pPr>
          </w:p>
        </w:tc>
        <w:tc>
          <w:tcPr>
            <w:tcW w:w="1340" w:type="dxa"/>
            <w:vAlign w:val="bottom"/>
          </w:tcPr>
          <w:p>
            <w:pPr>
              <w:jc w:val="right"/>
              <w:ind w:right="133"/>
              <w:spacing w:after="0"/>
              <w:rPr>
                <w:sz w:val="20"/>
                <w:szCs w:val="20"/>
                <w:color w:val="auto"/>
              </w:rPr>
            </w:pPr>
            <w:r>
              <w:rPr>
                <w:rFonts w:ascii="Arial" w:cs="Arial" w:eastAsia="Arial" w:hAnsi="Arial"/>
                <w:sz w:val="32"/>
                <w:szCs w:val="32"/>
                <w:b w:val="1"/>
                <w:bCs w:val="1"/>
                <w:color w:val="C8504F"/>
              </w:rPr>
              <w:t>35.2</w:t>
            </w:r>
          </w:p>
        </w:tc>
        <w:tc>
          <w:tcPr>
            <w:tcW w:w="480" w:type="dxa"/>
            <w:vAlign w:val="bottom"/>
          </w:tcPr>
          <w:p>
            <w:pPr>
              <w:spacing w:after="0"/>
              <w:rPr>
                <w:sz w:val="24"/>
                <w:szCs w:val="24"/>
                <w:color w:val="auto"/>
              </w:rPr>
            </w:pPr>
          </w:p>
        </w:tc>
        <w:tc>
          <w:tcPr>
            <w:tcW w:w="1360" w:type="dxa"/>
            <w:vAlign w:val="bottom"/>
          </w:tcPr>
          <w:p>
            <w:pPr>
              <w:jc w:val="right"/>
              <w:ind w:right="31"/>
              <w:spacing w:after="0"/>
              <w:rPr>
                <w:sz w:val="20"/>
                <w:szCs w:val="20"/>
                <w:color w:val="auto"/>
              </w:rPr>
            </w:pPr>
            <w:r>
              <w:rPr>
                <w:rFonts w:ascii="Arial" w:cs="Arial" w:eastAsia="Arial" w:hAnsi="Arial"/>
                <w:sz w:val="32"/>
                <w:szCs w:val="32"/>
                <w:b w:val="1"/>
                <w:bCs w:val="1"/>
                <w:color w:val="C8504F"/>
              </w:rPr>
              <w:t>(50.0)</w:t>
            </w:r>
          </w:p>
        </w:tc>
        <w:tc>
          <w:tcPr>
            <w:tcW w:w="460" w:type="dxa"/>
            <w:vAlign w:val="bottom"/>
          </w:tcPr>
          <w:p>
            <w:pPr>
              <w:spacing w:after="0"/>
              <w:rPr>
                <w:sz w:val="24"/>
                <w:szCs w:val="24"/>
                <w:color w:val="auto"/>
              </w:rPr>
            </w:pPr>
          </w:p>
        </w:tc>
        <w:tc>
          <w:tcPr>
            <w:tcW w:w="1460" w:type="dxa"/>
            <w:vAlign w:val="bottom"/>
          </w:tcPr>
          <w:p>
            <w:pPr>
              <w:jc w:val="right"/>
              <w:ind w:right="187"/>
              <w:spacing w:after="0"/>
              <w:rPr>
                <w:sz w:val="20"/>
                <w:szCs w:val="20"/>
                <w:color w:val="auto"/>
              </w:rPr>
            </w:pPr>
            <w:r>
              <w:rPr>
                <w:rFonts w:ascii="Arial" w:cs="Arial" w:eastAsia="Arial" w:hAnsi="Arial"/>
                <w:sz w:val="32"/>
                <w:szCs w:val="32"/>
                <w:b w:val="1"/>
                <w:bCs w:val="1"/>
                <w:color w:val="C8504F"/>
              </w:rPr>
              <w:t>(14.8)</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32"/>
                <w:szCs w:val="32"/>
                <w:b w:val="1"/>
                <w:bCs w:val="1"/>
                <w:color w:val="C8504F"/>
              </w:rPr>
              <w:t>57.2</w:t>
            </w:r>
          </w:p>
        </w:tc>
      </w:tr>
      <w:tr>
        <w:trPr>
          <w:trHeight w:val="508"/>
        </w:trPr>
        <w:tc>
          <w:tcPr>
            <w:tcW w:w="2920" w:type="dxa"/>
            <w:vAlign w:val="bottom"/>
          </w:tcPr>
          <w:p>
            <w:pPr>
              <w:spacing w:after="0"/>
              <w:rPr>
                <w:sz w:val="20"/>
                <w:szCs w:val="20"/>
                <w:color w:val="auto"/>
              </w:rPr>
            </w:pPr>
            <w:r>
              <w:rPr>
                <w:rFonts w:ascii="Arial" w:cs="Arial" w:eastAsia="Arial" w:hAnsi="Arial"/>
                <w:sz w:val="32"/>
                <w:szCs w:val="32"/>
                <w:b w:val="1"/>
                <w:bCs w:val="1"/>
                <w:color w:val="auto"/>
              </w:rPr>
              <w:t>Net earnings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1"/>
        </w:trPr>
        <w:tc>
          <w:tcPr>
            <w:tcW w:w="2920" w:type="dxa"/>
            <w:vAlign w:val="bottom"/>
          </w:tcPr>
          <w:p>
            <w:pPr>
              <w:spacing w:after="0"/>
              <w:rPr>
                <w:sz w:val="20"/>
                <w:szCs w:val="20"/>
                <w:color w:val="auto"/>
              </w:rPr>
            </w:pPr>
            <w:r>
              <w:rPr>
                <w:rFonts w:ascii="Arial" w:cs="Arial" w:eastAsia="Arial" w:hAnsi="Arial"/>
                <w:sz w:val="32"/>
                <w:szCs w:val="32"/>
                <w:b w:val="1"/>
                <w:bCs w:val="1"/>
                <w:color w:val="auto"/>
              </w:rPr>
              <w:t>per share - diluted</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C8504F"/>
              </w:rPr>
              <w:t>$</w:t>
            </w:r>
          </w:p>
        </w:tc>
        <w:tc>
          <w:tcPr>
            <w:tcW w:w="1340" w:type="dxa"/>
            <w:vAlign w:val="bottom"/>
          </w:tcPr>
          <w:p>
            <w:pPr>
              <w:jc w:val="right"/>
              <w:ind w:right="133"/>
              <w:spacing w:after="0"/>
              <w:rPr>
                <w:sz w:val="20"/>
                <w:szCs w:val="20"/>
                <w:color w:val="auto"/>
              </w:rPr>
            </w:pPr>
            <w:r>
              <w:rPr>
                <w:rFonts w:ascii="Arial" w:cs="Arial" w:eastAsia="Arial" w:hAnsi="Arial"/>
                <w:sz w:val="32"/>
                <w:szCs w:val="32"/>
                <w:b w:val="1"/>
                <w:bCs w:val="1"/>
                <w:color w:val="C8504F"/>
              </w:rPr>
              <w:t>0.44</w:t>
            </w:r>
          </w:p>
        </w:tc>
        <w:tc>
          <w:tcPr>
            <w:tcW w:w="480" w:type="dxa"/>
            <w:vAlign w:val="bottom"/>
          </w:tcPr>
          <w:p>
            <w:pPr>
              <w:jc w:val="right"/>
              <w:spacing w:after="0"/>
              <w:rPr>
                <w:sz w:val="20"/>
                <w:szCs w:val="20"/>
                <w:color w:val="auto"/>
              </w:rPr>
            </w:pPr>
            <w:r>
              <w:rPr>
                <w:rFonts w:ascii="Arial" w:cs="Arial" w:eastAsia="Arial" w:hAnsi="Arial"/>
                <w:sz w:val="32"/>
                <w:szCs w:val="32"/>
                <w:b w:val="1"/>
                <w:bCs w:val="1"/>
                <w:color w:val="C8504F"/>
              </w:rPr>
              <w:t>$</w:t>
            </w:r>
          </w:p>
        </w:tc>
        <w:tc>
          <w:tcPr>
            <w:tcW w:w="1360" w:type="dxa"/>
            <w:vAlign w:val="bottom"/>
          </w:tcPr>
          <w:p>
            <w:pPr>
              <w:jc w:val="right"/>
              <w:ind w:right="31"/>
              <w:spacing w:after="0"/>
              <w:rPr>
                <w:sz w:val="20"/>
                <w:szCs w:val="20"/>
                <w:color w:val="auto"/>
              </w:rPr>
            </w:pPr>
            <w:r>
              <w:rPr>
                <w:rFonts w:ascii="Arial" w:cs="Arial" w:eastAsia="Arial" w:hAnsi="Arial"/>
                <w:sz w:val="32"/>
                <w:szCs w:val="32"/>
                <w:b w:val="1"/>
                <w:bCs w:val="1"/>
                <w:color w:val="C8504F"/>
              </w:rPr>
              <w:t>(0.62)</w:t>
            </w:r>
          </w:p>
        </w:tc>
        <w:tc>
          <w:tcPr>
            <w:tcW w:w="460" w:type="dxa"/>
            <w:vAlign w:val="bottom"/>
          </w:tcPr>
          <w:p>
            <w:pPr>
              <w:jc w:val="right"/>
              <w:spacing w:after="0"/>
              <w:rPr>
                <w:sz w:val="20"/>
                <w:szCs w:val="20"/>
                <w:color w:val="auto"/>
              </w:rPr>
            </w:pPr>
            <w:r>
              <w:rPr>
                <w:rFonts w:ascii="Arial" w:cs="Arial" w:eastAsia="Arial" w:hAnsi="Arial"/>
                <w:sz w:val="32"/>
                <w:szCs w:val="32"/>
                <w:b w:val="1"/>
                <w:bCs w:val="1"/>
                <w:color w:val="C8504F"/>
              </w:rPr>
              <w:t>$</w:t>
            </w:r>
          </w:p>
        </w:tc>
        <w:tc>
          <w:tcPr>
            <w:tcW w:w="1460" w:type="dxa"/>
            <w:vAlign w:val="bottom"/>
          </w:tcPr>
          <w:p>
            <w:pPr>
              <w:jc w:val="right"/>
              <w:ind w:right="187"/>
              <w:spacing w:after="0"/>
              <w:rPr>
                <w:sz w:val="20"/>
                <w:szCs w:val="20"/>
                <w:color w:val="auto"/>
              </w:rPr>
            </w:pPr>
            <w:r>
              <w:rPr>
                <w:rFonts w:ascii="Arial" w:cs="Arial" w:eastAsia="Arial" w:hAnsi="Arial"/>
                <w:sz w:val="32"/>
                <w:szCs w:val="32"/>
                <w:b w:val="1"/>
                <w:bCs w:val="1"/>
                <w:color w:val="C8504F"/>
              </w:rPr>
              <w:t>(0.18)</w:t>
            </w:r>
          </w:p>
        </w:tc>
        <w:tc>
          <w:tcPr>
            <w:tcW w:w="520" w:type="dxa"/>
            <w:vAlign w:val="bottom"/>
          </w:tcPr>
          <w:p>
            <w:pPr>
              <w:jc w:val="right"/>
              <w:spacing w:after="0"/>
              <w:rPr>
                <w:sz w:val="20"/>
                <w:szCs w:val="20"/>
                <w:color w:val="auto"/>
              </w:rPr>
            </w:pPr>
            <w:r>
              <w:rPr>
                <w:rFonts w:ascii="Arial" w:cs="Arial" w:eastAsia="Arial" w:hAnsi="Arial"/>
                <w:sz w:val="32"/>
                <w:szCs w:val="32"/>
                <w:b w:val="1"/>
                <w:bCs w:val="1"/>
                <w:color w:val="C8504F"/>
              </w:rPr>
              <w:t>$</w:t>
            </w:r>
          </w:p>
        </w:tc>
        <w:tc>
          <w:tcPr>
            <w:tcW w:w="1100" w:type="dxa"/>
            <w:vAlign w:val="bottom"/>
          </w:tcPr>
          <w:p>
            <w:pPr>
              <w:jc w:val="right"/>
              <w:spacing w:after="0"/>
              <w:rPr>
                <w:sz w:val="20"/>
                <w:szCs w:val="20"/>
                <w:color w:val="auto"/>
              </w:rPr>
            </w:pPr>
            <w:r>
              <w:rPr>
                <w:rFonts w:ascii="Arial" w:cs="Arial" w:eastAsia="Arial" w:hAnsi="Arial"/>
                <w:sz w:val="32"/>
                <w:szCs w:val="32"/>
                <w:b w:val="1"/>
                <w:bCs w:val="1"/>
                <w:color w:val="C8504F"/>
              </w:rPr>
              <w:t>0.66</w:t>
            </w:r>
          </w:p>
        </w:tc>
      </w:tr>
    </w:tbl>
    <w:p>
      <w:pPr>
        <w:sectPr>
          <w:pgSz w:w="11900" w:h="16838" w:orient="portrait"/>
          <w:cols w:equalWidth="0" w:num="1">
            <w:col w:w="10160"/>
          </w:cols>
          <w:pgMar w:left="920" w:top="498" w:right="81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482"/>
        </w:trPr>
        <w:tc>
          <w:tcPr>
            <w:tcW w:w="682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Arial" w:cs="Arial" w:eastAsia="Arial" w:hAnsi="Arial"/>
          <w:sz w:val="47"/>
          <w:szCs w:val="47"/>
          <w:color w:val="D47C18"/>
        </w:rPr>
        <w:t>Balance Sheet Highlights</w:t>
      </w:r>
    </w:p>
    <w:p>
      <w:pPr>
        <w:sectPr>
          <w:pgSz w:w="11900" w:h="16838" w:orient="portrait"/>
          <w:cols w:equalWidth="0" w:num="1">
            <w:col w:w="10760"/>
          </w:cols>
          <w:pgMar w:left="580" w:top="498" w:right="559" w:bottom="1440" w:gutter="0" w:footer="0" w:header="0"/>
        </w:sectPr>
      </w:pP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Total Debt</w:t>
      </w:r>
    </w:p>
    <w:tbl>
      <w:tblPr>
        <w:tblLayout w:type="fixed"/>
        <w:tblInd w:w="440" w:type="dxa"/>
        <w:tblCellMar>
          <w:top w:w="0" w:type="dxa"/>
          <w:left w:w="0" w:type="dxa"/>
          <w:bottom w:w="0" w:type="dxa"/>
          <w:right w:w="0" w:type="dxa"/>
        </w:tblCellMar>
      </w:tblPr>
      <w:tr>
        <w:trPr>
          <w:trHeight w:val="259"/>
        </w:trPr>
        <w:tc>
          <w:tcPr>
            <w:tcW w:w="1340" w:type="dxa"/>
            <w:vAlign w:val="bottom"/>
          </w:tcPr>
          <w:p>
            <w:pPr>
              <w:spacing w:after="0"/>
              <w:rPr>
                <w:sz w:val="20"/>
                <w:szCs w:val="20"/>
                <w:color w:val="auto"/>
              </w:rPr>
            </w:pPr>
            <w:r>
              <w:rPr>
                <w:rFonts w:ascii="Arial" w:cs="Arial" w:eastAsia="Arial" w:hAnsi="Arial"/>
                <w:sz w:val="19"/>
                <w:szCs w:val="19"/>
                <w:color w:val="auto"/>
              </w:rPr>
              <w:t>($ in millions)</w:t>
            </w:r>
          </w:p>
        </w:tc>
        <w:tc>
          <w:tcPr>
            <w:tcW w:w="760" w:type="dxa"/>
            <w:vAlign w:val="bottom"/>
          </w:tcPr>
          <w:p>
            <w:pPr>
              <w:jc w:val="right"/>
              <w:spacing w:after="0"/>
              <w:rPr>
                <w:sz w:val="20"/>
                <w:szCs w:val="20"/>
                <w:color w:val="auto"/>
              </w:rPr>
            </w:pPr>
            <w:r>
              <w:rPr>
                <w:rFonts w:ascii="Arial" w:cs="Arial" w:eastAsia="Arial" w:hAnsi="Arial"/>
                <w:sz w:val="21"/>
                <w:szCs w:val="21"/>
                <w:color w:val="auto"/>
              </w:rPr>
              <w:t>1,200</w:t>
            </w:r>
          </w:p>
        </w:tc>
      </w:tr>
    </w:tbl>
    <w:p>
      <w:pPr>
        <w:spacing w:after="0" w:line="282" w:lineRule="exact"/>
        <w:rPr>
          <w:sz w:val="20"/>
          <w:szCs w:val="20"/>
          <w:color w:val="auto"/>
        </w:rPr>
      </w:pPr>
    </w:p>
    <w:p>
      <w:pPr>
        <w:ind w:left="2180"/>
        <w:spacing w:after="0"/>
        <w:rPr>
          <w:sz w:val="20"/>
          <w:szCs w:val="20"/>
          <w:color w:val="auto"/>
        </w:rPr>
      </w:pPr>
      <w:r>
        <w:rPr>
          <w:rFonts w:ascii="Arial" w:cs="Arial" w:eastAsia="Arial" w:hAnsi="Arial"/>
          <w:sz w:val="21"/>
          <w:szCs w:val="21"/>
          <w:color w:val="auto"/>
        </w:rPr>
        <w:t>900</w:t>
      </w:r>
    </w:p>
    <w:p>
      <w:pPr>
        <w:spacing w:after="0" w:line="311" w:lineRule="exact"/>
        <w:rPr>
          <w:sz w:val="20"/>
          <w:szCs w:val="20"/>
          <w:color w:val="auto"/>
        </w:rPr>
      </w:pPr>
    </w:p>
    <w:p>
      <w:pPr>
        <w:ind w:left="2180"/>
        <w:spacing w:after="0"/>
        <w:rPr>
          <w:sz w:val="20"/>
          <w:szCs w:val="20"/>
          <w:color w:val="auto"/>
        </w:rPr>
      </w:pPr>
      <w:r>
        <w:rPr>
          <w:rFonts w:ascii="Arial" w:cs="Arial" w:eastAsia="Arial" w:hAnsi="Arial"/>
          <w:sz w:val="21"/>
          <w:szCs w:val="21"/>
          <w:color w:val="auto"/>
        </w:rPr>
        <w:t>600</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300</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0</w:t>
      </w:r>
    </w:p>
    <w:p>
      <w:pPr>
        <w:spacing w:after="0" w:line="12"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Total Debt to</w:t>
      </w:r>
    </w:p>
    <w:p>
      <w:pPr>
        <w:spacing w:after="0" w:line="17"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Total Capitalization</w:t>
      </w:r>
    </w:p>
    <w:p>
      <w:pPr>
        <w:ind w:left="2120"/>
        <w:spacing w:after="0"/>
        <w:rPr>
          <w:sz w:val="20"/>
          <w:szCs w:val="20"/>
          <w:color w:val="auto"/>
        </w:rPr>
      </w:pPr>
      <w:r>
        <w:rPr>
          <w:rFonts w:ascii="Arial" w:cs="Arial" w:eastAsia="Arial" w:hAnsi="Arial"/>
          <w:sz w:val="20"/>
          <w:szCs w:val="20"/>
          <w:color w:val="auto"/>
        </w:rPr>
        <w:t>30%</w:t>
      </w:r>
    </w:p>
    <w:p>
      <w:pPr>
        <w:spacing w:after="0" w:line="200" w:lineRule="exact"/>
        <w:rPr>
          <w:sz w:val="20"/>
          <w:szCs w:val="20"/>
          <w:color w:val="auto"/>
        </w:rPr>
      </w:pPr>
    </w:p>
    <w:p>
      <w:pPr>
        <w:spacing w:after="0" w:line="217"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20%</w:t>
      </w:r>
    </w:p>
    <w:p>
      <w:pPr>
        <w:spacing w:after="0" w:line="200" w:lineRule="exact"/>
        <w:rPr>
          <w:sz w:val="20"/>
          <w:szCs w:val="20"/>
          <w:color w:val="auto"/>
        </w:rPr>
      </w:pPr>
    </w:p>
    <w:p>
      <w:pPr>
        <w:spacing w:after="0" w:line="240"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28" w:lineRule="exact"/>
        <w:rPr>
          <w:sz w:val="20"/>
          <w:szCs w:val="20"/>
          <w:color w:val="auto"/>
        </w:rPr>
      </w:pPr>
    </w:p>
    <w:p>
      <w:pPr>
        <w:ind w:left="2220"/>
        <w:spacing w:after="0"/>
        <w:rPr>
          <w:sz w:val="20"/>
          <w:szCs w:val="20"/>
          <w:color w:val="auto"/>
        </w:rPr>
      </w:pPr>
      <w:r>
        <w:rPr>
          <w:rFonts w:ascii="Arial" w:cs="Arial" w:eastAsia="Arial" w:hAnsi="Arial"/>
          <w:sz w:val="21"/>
          <w:szCs w:val="21"/>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FFFFFF"/>
        </w:rPr>
        <w:t>902</w:t>
      </w:r>
    </w:p>
    <w:p>
      <w:pPr>
        <w:ind w:left="2240"/>
        <w:spacing w:after="0" w:line="187" w:lineRule="auto"/>
        <w:rPr>
          <w:sz w:val="20"/>
          <w:szCs w:val="20"/>
          <w:color w:val="auto"/>
        </w:rPr>
      </w:pPr>
      <w:r>
        <w:rPr>
          <w:rFonts w:ascii="Arial" w:cs="Arial" w:eastAsia="Arial" w:hAnsi="Arial"/>
          <w:sz w:val="17"/>
          <w:szCs w:val="17"/>
          <w:b w:val="1"/>
          <w:bCs w:val="1"/>
          <w:color w:val="FFFFFF"/>
        </w:rPr>
        <w:t>823</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1"/>
          <w:szCs w:val="21"/>
          <w:b w:val="1"/>
          <w:bCs w:val="1"/>
          <w:color w:val="FFFFFF"/>
        </w:rPr>
        <w:t>735</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FFFFF"/>
        </w:rPr>
        <w:t>370</w:t>
      </w:r>
    </w:p>
    <w:p>
      <w:pPr>
        <w:jc w:val="center"/>
        <w:ind w:right="20"/>
        <w:spacing w:after="0"/>
        <w:rPr>
          <w:sz w:val="20"/>
          <w:szCs w:val="20"/>
          <w:color w:val="auto"/>
        </w:rPr>
      </w:pPr>
      <w:r>
        <w:rPr>
          <w:rFonts w:ascii="Arial" w:cs="Arial" w:eastAsia="Arial" w:hAnsi="Arial"/>
          <w:sz w:val="21"/>
          <w:szCs w:val="21"/>
          <w:b w:val="1"/>
          <w:bCs w:val="1"/>
          <w:color w:val="FFFFFF"/>
        </w:rPr>
        <w:t>280</w:t>
      </w:r>
    </w:p>
    <w:p>
      <w:pPr>
        <w:spacing w:after="0" w:line="5" w:lineRule="exact"/>
        <w:rPr>
          <w:sz w:val="20"/>
          <w:szCs w:val="20"/>
          <w:color w:val="auto"/>
        </w:rPr>
      </w:pPr>
    </w:p>
    <w:p>
      <w:pPr>
        <w:ind w:left="2280"/>
        <w:spacing w:after="0"/>
        <w:rPr>
          <w:sz w:val="20"/>
          <w:szCs w:val="20"/>
          <w:color w:val="auto"/>
        </w:rPr>
      </w:pPr>
      <w:r>
        <w:rPr>
          <w:rFonts w:ascii="Arial" w:cs="Arial" w:eastAsia="Arial" w:hAnsi="Arial"/>
          <w:sz w:val="21"/>
          <w:szCs w:val="21"/>
          <w:b w:val="1"/>
          <w:bCs w:val="1"/>
          <w:color w:val="FFFFFF"/>
        </w:rPr>
        <w:t>135</w:t>
      </w:r>
    </w:p>
    <w:p>
      <w:pPr>
        <w:spacing w:after="0" w:line="161" w:lineRule="exact"/>
        <w:rPr>
          <w:sz w:val="20"/>
          <w:szCs w:val="20"/>
          <w:color w:val="auto"/>
        </w:rPr>
      </w:pPr>
    </w:p>
    <w:p>
      <w:pPr>
        <w:spacing w:after="0"/>
        <w:tabs>
          <w:tab w:leader="none" w:pos="1060" w:val="left"/>
          <w:tab w:leader="none" w:pos="2180" w:val="left"/>
        </w:tabs>
        <w:rPr>
          <w:sz w:val="20"/>
          <w:szCs w:val="20"/>
          <w:color w:val="auto"/>
        </w:rPr>
      </w:pPr>
      <w:r>
        <w:rPr>
          <w:rFonts w:ascii="Arial" w:cs="Arial" w:eastAsia="Arial" w:hAnsi="Arial"/>
          <w:sz w:val="24"/>
          <w:szCs w:val="24"/>
          <w:color w:val="auto"/>
        </w:rPr>
        <w:t>2004</w:t>
      </w:r>
      <w:r>
        <w:rPr>
          <w:sz w:val="20"/>
          <w:szCs w:val="20"/>
          <w:color w:val="auto"/>
        </w:rPr>
        <w:tab/>
      </w:r>
      <w:r>
        <w:rPr>
          <w:rFonts w:ascii="Arial" w:cs="Arial" w:eastAsia="Arial" w:hAnsi="Arial"/>
          <w:sz w:val="24"/>
          <w:szCs w:val="24"/>
          <w:color w:val="auto"/>
        </w:rPr>
        <w:t>2005</w:t>
      </w:r>
      <w:r>
        <w:rPr>
          <w:sz w:val="20"/>
          <w:szCs w:val="20"/>
          <w:color w:val="auto"/>
        </w:rPr>
        <w:tab/>
      </w:r>
      <w:r>
        <w:rPr>
          <w:rFonts w:ascii="Arial" w:cs="Arial" w:eastAsia="Arial" w:hAnsi="Arial"/>
          <w:sz w:val="22"/>
          <w:szCs w:val="22"/>
          <w:color w:val="auto"/>
        </w:rPr>
        <w:t>2006</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FFFFFF"/>
        </w:rPr>
        <w:t>29%</w:t>
      </w:r>
    </w:p>
    <w:p>
      <w:pPr>
        <w:ind w:left="1120"/>
        <w:spacing w:after="0" w:line="181" w:lineRule="auto"/>
        <w:tabs>
          <w:tab w:leader="none" w:pos="2200" w:val="left"/>
        </w:tabs>
        <w:rPr>
          <w:sz w:val="20"/>
          <w:szCs w:val="20"/>
          <w:color w:val="auto"/>
        </w:rPr>
      </w:pPr>
      <w:r>
        <w:rPr>
          <w:rFonts w:ascii="Arial" w:cs="Arial" w:eastAsia="Arial" w:hAnsi="Arial"/>
          <w:sz w:val="36"/>
          <w:szCs w:val="36"/>
          <w:b w:val="1"/>
          <w:bCs w:val="1"/>
          <w:color w:val="FFFFFF"/>
          <w:vertAlign w:val="superscript"/>
        </w:rPr>
        <w:t>26%</w:t>
      </w:r>
      <w:r>
        <w:rPr>
          <w:sz w:val="20"/>
          <w:szCs w:val="20"/>
          <w:color w:val="auto"/>
        </w:rPr>
        <w:tab/>
      </w:r>
      <w:r>
        <w:rPr>
          <w:rFonts w:ascii="Arial" w:cs="Arial" w:eastAsia="Arial" w:hAnsi="Arial"/>
          <w:sz w:val="20"/>
          <w:szCs w:val="20"/>
          <w:b w:val="1"/>
          <w:bCs w:val="1"/>
          <w:color w:val="FFFFFF"/>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060" w:val="left"/>
          <w:tab w:leader="none" w:pos="2180" w:val="left"/>
        </w:tabs>
        <w:rPr>
          <w:sz w:val="20"/>
          <w:szCs w:val="20"/>
          <w:color w:val="auto"/>
        </w:rPr>
      </w:pPr>
      <w:r>
        <w:rPr>
          <w:rFonts w:ascii="Arial" w:cs="Arial" w:eastAsia="Arial" w:hAnsi="Arial"/>
          <w:sz w:val="24"/>
          <w:szCs w:val="24"/>
          <w:color w:val="auto"/>
        </w:rPr>
        <w:t>2004</w:t>
      </w:r>
      <w:r>
        <w:rPr>
          <w:sz w:val="20"/>
          <w:szCs w:val="20"/>
          <w:color w:val="auto"/>
        </w:rPr>
        <w:tab/>
      </w:r>
      <w:r>
        <w:rPr>
          <w:rFonts w:ascii="Arial" w:cs="Arial" w:eastAsia="Arial" w:hAnsi="Arial"/>
          <w:sz w:val="24"/>
          <w:szCs w:val="24"/>
          <w:color w:val="auto"/>
        </w:rPr>
        <w:t>2005</w:t>
      </w:r>
      <w:r>
        <w:rPr>
          <w:sz w:val="20"/>
          <w:szCs w:val="20"/>
          <w:color w:val="auto"/>
        </w:rPr>
        <w:tab/>
      </w:r>
      <w:r>
        <w:rPr>
          <w:rFonts w:ascii="Arial" w:cs="Arial" w:eastAsia="Arial" w:hAnsi="Arial"/>
          <w:sz w:val="22"/>
          <w:szCs w:val="22"/>
          <w:color w:val="auto"/>
        </w:rPr>
        <w:t>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3"/>
        </w:trPr>
        <w:tc>
          <w:tcPr>
            <w:tcW w:w="720" w:type="dxa"/>
            <w:vAlign w:val="bottom"/>
            <w:vMerge w:val="restart"/>
          </w:tcPr>
          <w:p>
            <w:pPr>
              <w:jc w:val="right"/>
              <w:ind w:right="208"/>
              <w:spacing w:after="0"/>
              <w:rPr>
                <w:sz w:val="20"/>
                <w:szCs w:val="20"/>
                <w:color w:val="auto"/>
              </w:rPr>
            </w:pPr>
            <w:r>
              <w:rPr>
                <w:rFonts w:ascii="Arial" w:cs="Arial" w:eastAsia="Arial" w:hAnsi="Arial"/>
                <w:sz w:val="21"/>
                <w:szCs w:val="21"/>
                <w:b w:val="1"/>
                <w:bCs w:val="1"/>
                <w:color w:val="FFFFFF"/>
              </w:rPr>
              <w:t>915</w:t>
            </w:r>
          </w:p>
        </w:tc>
        <w:tc>
          <w:tcPr>
            <w:tcW w:w="1200" w:type="dxa"/>
            <w:vAlign w:val="bottom"/>
          </w:tcPr>
          <w:p>
            <w:pPr>
              <w:ind w:left="420"/>
              <w:spacing w:after="0"/>
              <w:rPr>
                <w:sz w:val="20"/>
                <w:szCs w:val="20"/>
                <w:color w:val="auto"/>
              </w:rPr>
            </w:pPr>
            <w:r>
              <w:rPr>
                <w:rFonts w:ascii="Arial" w:cs="Arial" w:eastAsia="Arial" w:hAnsi="Arial"/>
                <w:sz w:val="21"/>
                <w:szCs w:val="21"/>
                <w:b w:val="1"/>
                <w:bCs w:val="1"/>
                <w:color w:val="FFFFFF"/>
              </w:rPr>
              <w:t>999</w:t>
            </w:r>
          </w:p>
        </w:tc>
        <w:tc>
          <w:tcPr>
            <w:tcW w:w="1320" w:type="dxa"/>
            <w:vAlign w:val="bottom"/>
          </w:tcPr>
          <w:p>
            <w:pPr>
              <w:jc w:val="right"/>
              <w:ind w:right="408"/>
              <w:spacing w:after="0"/>
              <w:rPr>
                <w:sz w:val="20"/>
                <w:szCs w:val="20"/>
                <w:color w:val="auto"/>
              </w:rPr>
            </w:pPr>
            <w:r>
              <w:rPr>
                <w:rFonts w:ascii="Arial" w:cs="Arial" w:eastAsia="Arial" w:hAnsi="Arial"/>
                <w:sz w:val="21"/>
                <w:szCs w:val="21"/>
                <w:b w:val="1"/>
                <w:bCs w:val="1"/>
                <w:color w:val="FFFFFF"/>
              </w:rPr>
              <w:t>1,014</w:t>
            </w:r>
          </w:p>
        </w:tc>
        <w:tc>
          <w:tcPr>
            <w:tcW w:w="1240" w:type="dxa"/>
            <w:vAlign w:val="bottom"/>
            <w:vMerge w:val="restart"/>
          </w:tcPr>
          <w:p>
            <w:pPr>
              <w:ind w:left="340"/>
              <w:spacing w:after="0"/>
              <w:rPr>
                <w:sz w:val="20"/>
                <w:szCs w:val="20"/>
                <w:color w:val="auto"/>
              </w:rPr>
            </w:pPr>
            <w:r>
              <w:rPr>
                <w:rFonts w:ascii="Arial" w:cs="Arial" w:eastAsia="Arial" w:hAnsi="Arial"/>
                <w:sz w:val="20"/>
                <w:szCs w:val="20"/>
                <w:color w:val="auto"/>
                <w:w w:val="95"/>
              </w:rPr>
              <w:t>Total Debt</w:t>
            </w:r>
          </w:p>
        </w:tc>
        <w:tc>
          <w:tcPr>
            <w:tcW w:w="0" w:type="dxa"/>
            <w:vAlign w:val="bottom"/>
          </w:tcPr>
          <w:p>
            <w:pPr>
              <w:spacing w:after="0"/>
              <w:rPr>
                <w:sz w:val="1"/>
                <w:szCs w:val="1"/>
                <w:color w:val="auto"/>
              </w:rPr>
            </w:pPr>
          </w:p>
        </w:tc>
      </w:tr>
      <w:tr>
        <w:trPr>
          <w:trHeight w:val="153"/>
        </w:trPr>
        <w:tc>
          <w:tcPr>
            <w:tcW w:w="72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20"/>
                <w:szCs w:val="20"/>
                <w:color w:val="auto"/>
              </w:rPr>
              <w:t>Net Debt</w:t>
            </w:r>
          </w:p>
        </w:tc>
        <w:tc>
          <w:tcPr>
            <w:tcW w:w="0" w:type="dxa"/>
            <w:vAlign w:val="bottom"/>
          </w:tcPr>
          <w:p>
            <w:pPr>
              <w:spacing w:after="0"/>
              <w:rPr>
                <w:sz w:val="1"/>
                <w:szCs w:val="1"/>
                <w:color w:val="auto"/>
              </w:rPr>
            </w:pPr>
          </w:p>
        </w:tc>
      </w:tr>
      <w:tr>
        <w:trPr>
          <w:trHeight w:val="402"/>
        </w:trPr>
        <w:tc>
          <w:tcPr>
            <w:tcW w:w="720" w:type="dxa"/>
            <w:vAlign w:val="bottom"/>
            <w:vMerge w:val="restart"/>
          </w:tcPr>
          <w:p>
            <w:pPr>
              <w:jc w:val="right"/>
              <w:ind w:right="168"/>
              <w:spacing w:after="0"/>
              <w:rPr>
                <w:sz w:val="20"/>
                <w:szCs w:val="20"/>
                <w:color w:val="auto"/>
              </w:rPr>
            </w:pPr>
            <w:r>
              <w:rPr>
                <w:rFonts w:ascii="Arial" w:cs="Arial" w:eastAsia="Arial" w:hAnsi="Arial"/>
                <w:sz w:val="21"/>
                <w:szCs w:val="21"/>
                <w:b w:val="1"/>
                <w:bCs w:val="1"/>
                <w:color w:val="FFFFFF"/>
              </w:rPr>
              <w:t>377</w:t>
            </w:r>
          </w:p>
        </w:tc>
        <w:tc>
          <w:tcPr>
            <w:tcW w:w="1200" w:type="dxa"/>
            <w:vAlign w:val="bottom"/>
            <w:vMerge w:val="restart"/>
          </w:tcPr>
          <w:p>
            <w:pPr>
              <w:jc w:val="right"/>
              <w:ind w:right="268"/>
              <w:spacing w:after="0"/>
              <w:rPr>
                <w:sz w:val="20"/>
                <w:szCs w:val="20"/>
                <w:color w:val="auto"/>
              </w:rPr>
            </w:pPr>
            <w:r>
              <w:rPr>
                <w:rFonts w:ascii="Arial" w:cs="Arial" w:eastAsia="Arial" w:hAnsi="Arial"/>
                <w:sz w:val="21"/>
                <w:szCs w:val="21"/>
                <w:b w:val="1"/>
                <w:bCs w:val="1"/>
                <w:color w:val="FFFFFF"/>
              </w:rPr>
              <w:t>358</w:t>
            </w:r>
          </w:p>
        </w:tc>
        <w:tc>
          <w:tcPr>
            <w:tcW w:w="1320" w:type="dxa"/>
            <w:vAlign w:val="bottom"/>
          </w:tcPr>
          <w:p>
            <w:pPr>
              <w:jc w:val="right"/>
              <w:ind w:right="468"/>
              <w:spacing w:after="0"/>
              <w:rPr>
                <w:sz w:val="20"/>
                <w:szCs w:val="20"/>
                <w:color w:val="auto"/>
              </w:rPr>
            </w:pPr>
            <w:r>
              <w:rPr>
                <w:rFonts w:ascii="Arial" w:cs="Arial" w:eastAsia="Arial" w:hAnsi="Arial"/>
                <w:sz w:val="21"/>
                <w:szCs w:val="21"/>
                <w:b w:val="1"/>
                <w:bCs w:val="1"/>
                <w:color w:val="FFFFFF"/>
              </w:rPr>
              <w:t>453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9"/>
        </w:trPr>
        <w:tc>
          <w:tcPr>
            <w:tcW w:w="720" w:type="dxa"/>
            <w:vAlign w:val="bottom"/>
          </w:tcPr>
          <w:p>
            <w:pPr>
              <w:jc w:val="right"/>
              <w:ind w:right="88"/>
              <w:spacing w:after="0"/>
              <w:rPr>
                <w:sz w:val="20"/>
                <w:szCs w:val="20"/>
                <w:color w:val="auto"/>
              </w:rPr>
            </w:pPr>
            <w:r>
              <w:rPr>
                <w:rFonts w:ascii="Arial" w:cs="Arial" w:eastAsia="Arial" w:hAnsi="Arial"/>
                <w:sz w:val="24"/>
                <w:szCs w:val="24"/>
                <w:color w:val="auto"/>
                <w:w w:val="93"/>
              </w:rPr>
              <w:t>2007</w:t>
            </w:r>
          </w:p>
        </w:tc>
        <w:tc>
          <w:tcPr>
            <w:tcW w:w="1200" w:type="dxa"/>
            <w:vAlign w:val="bottom"/>
          </w:tcPr>
          <w:p>
            <w:pPr>
              <w:jc w:val="center"/>
              <w:spacing w:after="0"/>
              <w:rPr>
                <w:sz w:val="20"/>
                <w:szCs w:val="20"/>
                <w:color w:val="auto"/>
              </w:rPr>
            </w:pPr>
            <w:r>
              <w:rPr>
                <w:rFonts w:ascii="Arial" w:cs="Arial" w:eastAsia="Arial" w:hAnsi="Arial"/>
                <w:sz w:val="24"/>
                <w:szCs w:val="24"/>
                <w:color w:val="auto"/>
                <w:w w:val="97"/>
              </w:rPr>
              <w:t>Q1 2008</w:t>
            </w:r>
          </w:p>
        </w:tc>
        <w:tc>
          <w:tcPr>
            <w:tcW w:w="1320" w:type="dxa"/>
            <w:vAlign w:val="bottom"/>
          </w:tcPr>
          <w:p>
            <w:pPr>
              <w:jc w:val="right"/>
              <w:ind w:right="208"/>
              <w:spacing w:after="0"/>
              <w:rPr>
                <w:sz w:val="20"/>
                <w:szCs w:val="20"/>
                <w:color w:val="auto"/>
              </w:rPr>
            </w:pPr>
            <w:r>
              <w:rPr>
                <w:rFonts w:ascii="Arial" w:cs="Arial" w:eastAsia="Arial" w:hAnsi="Arial"/>
                <w:sz w:val="24"/>
                <w:szCs w:val="24"/>
                <w:color w:val="auto"/>
              </w:rPr>
              <w:t>Q2 2008</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1"/>
        </w:trPr>
        <w:tc>
          <w:tcPr>
            <w:tcW w:w="720" w:type="dxa"/>
            <w:vAlign w:val="bottom"/>
          </w:tcPr>
          <w:p>
            <w:pPr>
              <w:jc w:val="right"/>
              <w:ind w:right="88"/>
              <w:spacing w:after="0"/>
              <w:rPr>
                <w:sz w:val="20"/>
                <w:szCs w:val="20"/>
                <w:color w:val="auto"/>
              </w:rPr>
            </w:pPr>
            <w:r>
              <w:rPr>
                <w:rFonts w:ascii="Arial" w:cs="Arial" w:eastAsia="Arial" w:hAnsi="Arial"/>
                <w:sz w:val="24"/>
                <w:szCs w:val="24"/>
                <w:b w:val="1"/>
                <w:bCs w:val="1"/>
                <w:color w:val="FFFFFF"/>
              </w:rPr>
              <w:t>26%</w:t>
            </w:r>
          </w:p>
        </w:tc>
        <w:tc>
          <w:tcPr>
            <w:tcW w:w="1200" w:type="dxa"/>
            <w:vAlign w:val="bottom"/>
          </w:tcPr>
          <w:p>
            <w:pPr>
              <w:ind w:left="420"/>
              <w:spacing w:after="0"/>
              <w:rPr>
                <w:sz w:val="20"/>
                <w:szCs w:val="20"/>
                <w:color w:val="auto"/>
              </w:rPr>
            </w:pPr>
            <w:r>
              <w:rPr>
                <w:rFonts w:ascii="Arial" w:cs="Arial" w:eastAsia="Arial" w:hAnsi="Arial"/>
                <w:sz w:val="24"/>
                <w:szCs w:val="24"/>
                <w:b w:val="1"/>
                <w:bCs w:val="1"/>
                <w:color w:val="FFFFFF"/>
              </w:rPr>
              <w:t>26%</w:t>
            </w:r>
          </w:p>
        </w:tc>
        <w:tc>
          <w:tcPr>
            <w:tcW w:w="1320" w:type="dxa"/>
            <w:vAlign w:val="bottom"/>
          </w:tcPr>
          <w:p>
            <w:pPr>
              <w:jc w:val="right"/>
              <w:ind w:right="408"/>
              <w:spacing w:after="0"/>
              <w:rPr>
                <w:sz w:val="20"/>
                <w:szCs w:val="20"/>
                <w:color w:val="auto"/>
              </w:rPr>
            </w:pPr>
            <w:r>
              <w:rPr>
                <w:rFonts w:ascii="Arial" w:cs="Arial" w:eastAsia="Arial" w:hAnsi="Arial"/>
                <w:sz w:val="24"/>
                <w:szCs w:val="24"/>
                <w:b w:val="1"/>
                <w:bCs w:val="1"/>
                <w:color w:val="FFFFFF"/>
              </w:rPr>
              <w:t>26%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900" w:val="left"/>
          <w:tab w:leader="none" w:pos="2000" w:val="left"/>
        </w:tabs>
        <w:rPr>
          <w:sz w:val="20"/>
          <w:szCs w:val="20"/>
          <w:color w:val="auto"/>
        </w:rPr>
      </w:pPr>
      <w:r>
        <w:rPr>
          <w:rFonts w:ascii="Arial" w:cs="Arial" w:eastAsia="Arial" w:hAnsi="Arial"/>
          <w:sz w:val="24"/>
          <w:szCs w:val="24"/>
          <w:color w:val="auto"/>
        </w:rPr>
        <w:t>2007</w:t>
      </w:r>
      <w:r>
        <w:rPr>
          <w:sz w:val="20"/>
          <w:szCs w:val="20"/>
          <w:color w:val="auto"/>
        </w:rPr>
        <w:tab/>
      </w:r>
      <w:r>
        <w:rPr>
          <w:rFonts w:ascii="Arial" w:cs="Arial" w:eastAsia="Arial" w:hAnsi="Arial"/>
          <w:sz w:val="24"/>
          <w:szCs w:val="24"/>
          <w:color w:val="auto"/>
        </w:rPr>
        <w:t>Q1 2008</w:t>
      </w:r>
      <w:r>
        <w:rPr>
          <w:sz w:val="20"/>
          <w:szCs w:val="20"/>
          <w:color w:val="auto"/>
        </w:rPr>
        <w:tab/>
      </w:r>
      <w:r>
        <w:rPr>
          <w:rFonts w:ascii="Arial" w:cs="Arial" w:eastAsia="Arial" w:hAnsi="Arial"/>
          <w:sz w:val="22"/>
          <w:szCs w:val="22"/>
          <w:color w:val="auto"/>
        </w:rPr>
        <w:t>Q2 2008</w:t>
      </w:r>
    </w:p>
    <w:p>
      <w:pPr>
        <w:sectPr>
          <w:pgSz w:w="11900" w:h="16838" w:orient="portrait"/>
          <w:cols w:equalWidth="0" w:num="3">
            <w:col w:w="2540" w:space="460"/>
            <w:col w:w="2720" w:space="560"/>
            <w:col w:w="4480"/>
          </w:cols>
          <w:pgMar w:left="580" w:top="498" w:right="559" w:bottom="1440" w:gutter="0" w:footer="0" w:header="0"/>
          <w:type w:val="continuous"/>
        </w:sectPr>
      </w:pPr>
    </w:p>
    <w:bookmarkStart w:id="28" w:name="page29"/>
    <w:bookmarkEnd w:id="28"/>
    <w:tbl>
      <w:tblPr>
        <w:tblLayout w:type="fixed"/>
        <w:tblInd w:w="80" w:type="dxa"/>
        <w:tblCellMar>
          <w:top w:w="0" w:type="dxa"/>
          <w:left w:w="0" w:type="dxa"/>
          <w:bottom w:w="0" w:type="dxa"/>
          <w:right w:w="0" w:type="dxa"/>
        </w:tblCellMar>
      </w:tblPr>
      <w:tr>
        <w:trPr>
          <w:trHeight w:val="482"/>
        </w:trPr>
        <w:tc>
          <w:tcPr>
            <w:tcW w:w="682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17</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343" w:lineRule="exact"/>
        <w:rPr>
          <w:sz w:val="20"/>
          <w:szCs w:val="20"/>
          <w:color w:val="auto"/>
        </w:rPr>
      </w:pPr>
    </w:p>
    <w:p>
      <w:pPr>
        <w:ind w:left="80"/>
        <w:spacing w:after="0"/>
        <w:rPr>
          <w:sz w:val="20"/>
          <w:szCs w:val="20"/>
          <w:color w:val="auto"/>
        </w:rPr>
      </w:pPr>
      <w:r>
        <w:rPr>
          <w:rFonts w:ascii="Arial" w:cs="Arial" w:eastAsia="Arial" w:hAnsi="Arial"/>
          <w:sz w:val="47"/>
          <w:szCs w:val="47"/>
          <w:color w:val="5F81AA"/>
        </w:rPr>
        <w:t>Cash Flow Summary – First Half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5160" w:type="dxa"/>
            <w:vAlign w:val="bottom"/>
          </w:tcPr>
          <w:p>
            <w:pPr>
              <w:ind w:left="40"/>
              <w:spacing w:after="0"/>
              <w:rPr>
                <w:sz w:val="20"/>
                <w:szCs w:val="20"/>
                <w:color w:val="auto"/>
              </w:rPr>
            </w:pPr>
            <w:r>
              <w:rPr>
                <w:rFonts w:ascii="Arial" w:cs="Arial" w:eastAsia="Arial" w:hAnsi="Arial"/>
                <w:sz w:val="28"/>
                <w:szCs w:val="28"/>
                <w:color w:val="5F81AA"/>
              </w:rPr>
              <w:t>($ in millions)</w:t>
            </w:r>
          </w:p>
        </w:tc>
        <w:tc>
          <w:tcPr>
            <w:tcW w:w="2220" w:type="dxa"/>
            <w:vAlign w:val="bottom"/>
          </w:tcPr>
          <w:p>
            <w:pPr>
              <w:jc w:val="right"/>
              <w:ind w:right="431"/>
              <w:spacing w:after="0"/>
              <w:rPr>
                <w:sz w:val="20"/>
                <w:szCs w:val="20"/>
                <w:color w:val="auto"/>
              </w:rPr>
            </w:pPr>
            <w:r>
              <w:rPr>
                <w:rFonts w:ascii="Arial" w:cs="Arial" w:eastAsia="Arial" w:hAnsi="Arial"/>
                <w:sz w:val="32"/>
                <w:szCs w:val="32"/>
                <w:b w:val="1"/>
                <w:bCs w:val="1"/>
                <w:color w:val="5F81AA"/>
              </w:rPr>
              <w:t>2008</w:t>
            </w:r>
          </w:p>
        </w:tc>
        <w:tc>
          <w:tcPr>
            <w:tcW w:w="1380" w:type="dxa"/>
            <w:vAlign w:val="bottom"/>
          </w:tcPr>
          <w:p>
            <w:pPr>
              <w:jc w:val="right"/>
              <w:spacing w:after="0"/>
              <w:rPr>
                <w:sz w:val="20"/>
                <w:szCs w:val="20"/>
                <w:color w:val="auto"/>
              </w:rPr>
            </w:pPr>
            <w:r>
              <w:rPr>
                <w:rFonts w:ascii="Arial" w:cs="Arial" w:eastAsia="Arial" w:hAnsi="Arial"/>
                <w:sz w:val="32"/>
                <w:szCs w:val="32"/>
                <w:b w:val="1"/>
                <w:bCs w:val="1"/>
                <w:color w:val="5F81AA"/>
              </w:rPr>
              <w:t>2007</w:t>
            </w:r>
          </w:p>
        </w:tc>
        <w:tc>
          <w:tcPr>
            <w:tcW w:w="0" w:type="dxa"/>
            <w:vAlign w:val="bottom"/>
          </w:tcPr>
          <w:p>
            <w:pPr>
              <w:spacing w:after="0"/>
              <w:rPr>
                <w:sz w:val="1"/>
                <w:szCs w:val="1"/>
                <w:color w:val="auto"/>
              </w:rPr>
            </w:pPr>
          </w:p>
        </w:tc>
      </w:tr>
      <w:tr>
        <w:trPr>
          <w:trHeight w:val="594"/>
        </w:trPr>
        <w:tc>
          <w:tcPr>
            <w:tcW w:w="5160" w:type="dxa"/>
            <w:vAlign w:val="bottom"/>
          </w:tcPr>
          <w:p>
            <w:pPr>
              <w:ind w:left="20"/>
              <w:spacing w:after="0"/>
              <w:rPr>
                <w:sz w:val="20"/>
                <w:szCs w:val="20"/>
                <w:color w:val="auto"/>
              </w:rPr>
            </w:pPr>
            <w:r>
              <w:rPr>
                <w:rFonts w:ascii="Arial" w:cs="Arial" w:eastAsia="Arial" w:hAnsi="Arial"/>
                <w:sz w:val="32"/>
                <w:szCs w:val="32"/>
                <w:b w:val="1"/>
                <w:bCs w:val="1"/>
                <w:color w:val="auto"/>
              </w:rPr>
              <w:t>Cash from Operations</w:t>
            </w:r>
          </w:p>
        </w:tc>
        <w:tc>
          <w:tcPr>
            <w:tcW w:w="2220" w:type="dxa"/>
            <w:vAlign w:val="bottom"/>
          </w:tcPr>
          <w:p>
            <w:pPr>
              <w:jc w:val="right"/>
              <w:ind w:right="451"/>
              <w:spacing w:after="0"/>
              <w:rPr>
                <w:sz w:val="20"/>
                <w:szCs w:val="20"/>
                <w:color w:val="auto"/>
              </w:rPr>
            </w:pPr>
            <w:r>
              <w:rPr>
                <w:rFonts w:ascii="Arial" w:cs="Arial" w:eastAsia="Arial" w:hAnsi="Arial"/>
                <w:sz w:val="34"/>
                <w:szCs w:val="34"/>
                <w:b w:val="1"/>
                <w:bCs w:val="1"/>
                <w:color w:val="auto"/>
              </w:rPr>
              <w:t>264</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141</w:t>
            </w:r>
          </w:p>
        </w:tc>
        <w:tc>
          <w:tcPr>
            <w:tcW w:w="0" w:type="dxa"/>
            <w:vAlign w:val="bottom"/>
          </w:tcPr>
          <w:p>
            <w:pPr>
              <w:spacing w:after="0"/>
              <w:rPr>
                <w:sz w:val="1"/>
                <w:szCs w:val="1"/>
                <w:color w:val="auto"/>
              </w:rPr>
            </w:pPr>
          </w:p>
        </w:tc>
      </w:tr>
      <w:tr>
        <w:trPr>
          <w:trHeight w:val="453"/>
        </w:trPr>
        <w:tc>
          <w:tcPr>
            <w:tcW w:w="5160" w:type="dxa"/>
            <w:vAlign w:val="bottom"/>
          </w:tcPr>
          <w:p>
            <w:pPr>
              <w:ind w:left="40"/>
              <w:spacing w:after="0"/>
              <w:rPr>
                <w:sz w:val="20"/>
                <w:szCs w:val="20"/>
                <w:color w:val="auto"/>
              </w:rPr>
            </w:pPr>
            <w:r>
              <w:rPr>
                <w:rFonts w:ascii="Arial" w:cs="Arial" w:eastAsia="Arial" w:hAnsi="Arial"/>
                <w:sz w:val="32"/>
                <w:szCs w:val="32"/>
                <w:b w:val="1"/>
                <w:bCs w:val="1"/>
                <w:color w:val="auto"/>
              </w:rPr>
              <w:t>Capital Expenditures</w:t>
            </w:r>
          </w:p>
        </w:tc>
        <w:tc>
          <w:tcPr>
            <w:tcW w:w="2220" w:type="dxa"/>
            <w:vAlign w:val="bottom"/>
          </w:tcPr>
          <w:p>
            <w:pPr>
              <w:jc w:val="right"/>
              <w:ind w:right="391"/>
              <w:spacing w:after="0"/>
              <w:rPr>
                <w:sz w:val="20"/>
                <w:szCs w:val="20"/>
                <w:color w:val="auto"/>
              </w:rPr>
            </w:pPr>
            <w:r>
              <w:rPr>
                <w:rFonts w:ascii="Arial" w:cs="Arial" w:eastAsia="Arial" w:hAnsi="Arial"/>
                <w:sz w:val="34"/>
                <w:szCs w:val="34"/>
                <w:b w:val="1"/>
                <w:bCs w:val="1"/>
                <w:color w:val="auto"/>
              </w:rPr>
              <w:t>(51)</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(41)</w:t>
            </w:r>
          </w:p>
        </w:tc>
        <w:tc>
          <w:tcPr>
            <w:tcW w:w="0" w:type="dxa"/>
            <w:vAlign w:val="bottom"/>
          </w:tcPr>
          <w:p>
            <w:pPr>
              <w:spacing w:after="0"/>
              <w:rPr>
                <w:sz w:val="1"/>
                <w:szCs w:val="1"/>
                <w:color w:val="auto"/>
              </w:rPr>
            </w:pPr>
          </w:p>
        </w:tc>
      </w:tr>
      <w:tr>
        <w:trPr>
          <w:trHeight w:val="453"/>
        </w:trPr>
        <w:tc>
          <w:tcPr>
            <w:tcW w:w="5160" w:type="dxa"/>
            <w:vAlign w:val="bottom"/>
          </w:tcPr>
          <w:p>
            <w:pPr>
              <w:ind w:left="460"/>
              <w:spacing w:after="0"/>
              <w:rPr>
                <w:sz w:val="20"/>
                <w:szCs w:val="20"/>
                <w:color w:val="auto"/>
              </w:rPr>
            </w:pPr>
            <w:r>
              <w:rPr>
                <w:rFonts w:ascii="Arial" w:cs="Arial" w:eastAsia="Arial" w:hAnsi="Arial"/>
                <w:sz w:val="32"/>
                <w:szCs w:val="32"/>
                <w:b w:val="1"/>
                <w:bCs w:val="1"/>
                <w:color w:val="auto"/>
              </w:rPr>
              <w:t>Free Cash Flow</w:t>
            </w:r>
          </w:p>
        </w:tc>
        <w:tc>
          <w:tcPr>
            <w:tcW w:w="2220" w:type="dxa"/>
            <w:vAlign w:val="bottom"/>
          </w:tcPr>
          <w:p>
            <w:pPr>
              <w:jc w:val="right"/>
              <w:ind w:right="491"/>
              <w:spacing w:after="0"/>
              <w:rPr>
                <w:sz w:val="20"/>
                <w:szCs w:val="20"/>
                <w:color w:val="auto"/>
              </w:rPr>
            </w:pPr>
            <w:r>
              <w:rPr>
                <w:rFonts w:ascii="Arial" w:cs="Arial" w:eastAsia="Arial" w:hAnsi="Arial"/>
                <w:sz w:val="34"/>
                <w:szCs w:val="34"/>
                <w:b w:val="1"/>
                <w:bCs w:val="1"/>
                <w:color w:val="auto"/>
              </w:rPr>
              <w:t>213</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100</w:t>
            </w:r>
          </w:p>
        </w:tc>
        <w:tc>
          <w:tcPr>
            <w:tcW w:w="0" w:type="dxa"/>
            <w:vAlign w:val="bottom"/>
          </w:tcPr>
          <w:p>
            <w:pPr>
              <w:spacing w:after="0"/>
              <w:rPr>
                <w:sz w:val="1"/>
                <w:szCs w:val="1"/>
                <w:color w:val="auto"/>
              </w:rPr>
            </w:pPr>
          </w:p>
        </w:tc>
      </w:tr>
      <w:tr>
        <w:trPr>
          <w:trHeight w:val="553"/>
        </w:trPr>
        <w:tc>
          <w:tcPr>
            <w:tcW w:w="5160" w:type="dxa"/>
            <w:vAlign w:val="bottom"/>
          </w:tcPr>
          <w:p>
            <w:pPr>
              <w:ind w:left="40"/>
              <w:spacing w:after="0"/>
              <w:rPr>
                <w:sz w:val="20"/>
                <w:szCs w:val="20"/>
                <w:color w:val="auto"/>
              </w:rPr>
            </w:pPr>
            <w:r>
              <w:rPr>
                <w:rFonts w:ascii="Arial" w:cs="Arial" w:eastAsia="Arial" w:hAnsi="Arial"/>
                <w:sz w:val="32"/>
                <w:szCs w:val="32"/>
                <w:b w:val="1"/>
                <w:bCs w:val="1"/>
                <w:color w:val="auto"/>
              </w:rPr>
              <w:t>Share Repurchases *</w:t>
            </w:r>
          </w:p>
        </w:tc>
        <w:tc>
          <w:tcPr>
            <w:tcW w:w="2220" w:type="dxa"/>
            <w:vAlign w:val="bottom"/>
          </w:tcPr>
          <w:p>
            <w:pPr>
              <w:jc w:val="right"/>
              <w:ind w:right="371"/>
              <w:spacing w:after="0"/>
              <w:rPr>
                <w:sz w:val="20"/>
                <w:szCs w:val="20"/>
                <w:color w:val="auto"/>
              </w:rPr>
            </w:pPr>
            <w:r>
              <w:rPr>
                <w:rFonts w:ascii="Arial" w:cs="Arial" w:eastAsia="Arial" w:hAnsi="Arial"/>
                <w:sz w:val="34"/>
                <w:szCs w:val="34"/>
                <w:b w:val="1"/>
                <w:bCs w:val="1"/>
                <w:color w:val="auto"/>
              </w:rPr>
              <w:t>(53)</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(89)</w:t>
            </w:r>
          </w:p>
        </w:tc>
        <w:tc>
          <w:tcPr>
            <w:tcW w:w="0" w:type="dxa"/>
            <w:vAlign w:val="bottom"/>
          </w:tcPr>
          <w:p>
            <w:pPr>
              <w:spacing w:after="0"/>
              <w:rPr>
                <w:sz w:val="1"/>
                <w:szCs w:val="1"/>
                <w:color w:val="auto"/>
              </w:rPr>
            </w:pPr>
          </w:p>
        </w:tc>
      </w:tr>
      <w:tr>
        <w:trPr>
          <w:trHeight w:val="476"/>
        </w:trPr>
        <w:tc>
          <w:tcPr>
            <w:tcW w:w="5160" w:type="dxa"/>
            <w:vAlign w:val="bottom"/>
          </w:tcPr>
          <w:p>
            <w:pPr>
              <w:ind w:left="40"/>
              <w:spacing w:after="0"/>
              <w:rPr>
                <w:sz w:val="20"/>
                <w:szCs w:val="20"/>
                <w:color w:val="auto"/>
              </w:rPr>
            </w:pPr>
            <w:r>
              <w:rPr>
                <w:rFonts w:ascii="Arial" w:cs="Arial" w:eastAsia="Arial" w:hAnsi="Arial"/>
                <w:sz w:val="32"/>
                <w:szCs w:val="32"/>
                <w:b w:val="1"/>
                <w:bCs w:val="1"/>
                <w:color w:val="auto"/>
              </w:rPr>
              <w:t>Proceeds from Equity Plans</w:t>
            </w:r>
          </w:p>
        </w:tc>
        <w:tc>
          <w:tcPr>
            <w:tcW w:w="2220" w:type="dxa"/>
            <w:vAlign w:val="bottom"/>
          </w:tcPr>
          <w:p>
            <w:pPr>
              <w:jc w:val="right"/>
              <w:ind w:right="491"/>
              <w:spacing w:after="0"/>
              <w:rPr>
                <w:sz w:val="20"/>
                <w:szCs w:val="20"/>
                <w:color w:val="auto"/>
              </w:rPr>
            </w:pPr>
            <w:r>
              <w:rPr>
                <w:rFonts w:ascii="Arial" w:cs="Arial" w:eastAsia="Arial" w:hAnsi="Arial"/>
                <w:sz w:val="34"/>
                <w:szCs w:val="34"/>
                <w:b w:val="1"/>
                <w:bCs w:val="1"/>
                <w:color w:val="auto"/>
              </w:rPr>
              <w:t>11</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37</w:t>
            </w:r>
          </w:p>
        </w:tc>
        <w:tc>
          <w:tcPr>
            <w:tcW w:w="0" w:type="dxa"/>
            <w:vAlign w:val="bottom"/>
          </w:tcPr>
          <w:p>
            <w:pPr>
              <w:spacing w:after="0"/>
              <w:rPr>
                <w:sz w:val="1"/>
                <w:szCs w:val="1"/>
                <w:color w:val="auto"/>
              </w:rPr>
            </w:pPr>
          </w:p>
        </w:tc>
      </w:tr>
      <w:tr>
        <w:trPr>
          <w:trHeight w:val="482"/>
        </w:trPr>
        <w:tc>
          <w:tcPr>
            <w:tcW w:w="5160" w:type="dxa"/>
            <w:vAlign w:val="bottom"/>
          </w:tcPr>
          <w:p>
            <w:pPr>
              <w:ind w:left="20"/>
              <w:spacing w:after="0"/>
              <w:rPr>
                <w:sz w:val="20"/>
                <w:szCs w:val="20"/>
                <w:color w:val="auto"/>
              </w:rPr>
            </w:pPr>
            <w:r>
              <w:rPr>
                <w:rFonts w:ascii="Arial" w:cs="Arial" w:eastAsia="Arial" w:hAnsi="Arial"/>
                <w:sz w:val="32"/>
                <w:szCs w:val="32"/>
                <w:b w:val="1"/>
                <w:bCs w:val="1"/>
                <w:color w:val="auto"/>
              </w:rPr>
              <w:t>Change in Debt</w:t>
            </w:r>
          </w:p>
        </w:tc>
        <w:tc>
          <w:tcPr>
            <w:tcW w:w="2220" w:type="dxa"/>
            <w:vAlign w:val="bottom"/>
          </w:tcPr>
          <w:p>
            <w:pPr>
              <w:jc w:val="right"/>
              <w:ind w:right="491"/>
              <w:spacing w:after="0"/>
              <w:rPr>
                <w:sz w:val="20"/>
                <w:szCs w:val="20"/>
                <w:color w:val="auto"/>
              </w:rPr>
            </w:pPr>
            <w:r>
              <w:rPr>
                <w:rFonts w:ascii="Arial" w:cs="Arial" w:eastAsia="Arial" w:hAnsi="Arial"/>
                <w:sz w:val="34"/>
                <w:szCs w:val="34"/>
                <w:b w:val="1"/>
                <w:bCs w:val="1"/>
                <w:color w:val="auto"/>
              </w:rPr>
              <w:t>26</w:t>
            </w:r>
          </w:p>
        </w:tc>
        <w:tc>
          <w:tcPr>
            <w:tcW w:w="1380" w:type="dxa"/>
            <w:vAlign w:val="bottom"/>
          </w:tcPr>
          <w:p>
            <w:pPr>
              <w:jc w:val="right"/>
              <w:spacing w:after="0"/>
              <w:rPr>
                <w:sz w:val="20"/>
                <w:szCs w:val="20"/>
                <w:color w:val="auto"/>
              </w:rPr>
            </w:pPr>
            <w:r>
              <w:rPr>
                <w:rFonts w:ascii="Arial" w:cs="Arial" w:eastAsia="Arial" w:hAnsi="Arial"/>
                <w:sz w:val="34"/>
                <w:szCs w:val="34"/>
                <w:b w:val="1"/>
                <w:bCs w:val="1"/>
                <w:color w:val="auto"/>
              </w:rPr>
              <w:t>3</w:t>
            </w:r>
          </w:p>
        </w:tc>
        <w:tc>
          <w:tcPr>
            <w:tcW w:w="0" w:type="dxa"/>
            <w:vAlign w:val="bottom"/>
          </w:tcPr>
          <w:p>
            <w:pPr>
              <w:spacing w:after="0"/>
              <w:rPr>
                <w:sz w:val="1"/>
                <w:szCs w:val="1"/>
                <w:color w:val="auto"/>
              </w:rPr>
            </w:pPr>
          </w:p>
        </w:tc>
      </w:tr>
      <w:tr>
        <w:trPr>
          <w:trHeight w:val="376"/>
        </w:trPr>
        <w:tc>
          <w:tcPr>
            <w:tcW w:w="5160" w:type="dxa"/>
            <w:vAlign w:val="bottom"/>
          </w:tcPr>
          <w:p>
            <w:pPr>
              <w:ind w:left="20"/>
              <w:spacing w:after="0"/>
              <w:rPr>
                <w:sz w:val="20"/>
                <w:szCs w:val="20"/>
                <w:color w:val="auto"/>
              </w:rPr>
            </w:pPr>
            <w:r>
              <w:rPr>
                <w:rFonts w:ascii="Arial" w:cs="Arial" w:eastAsia="Arial" w:hAnsi="Arial"/>
                <w:sz w:val="32"/>
                <w:szCs w:val="32"/>
                <w:b w:val="1"/>
                <w:bCs w:val="1"/>
                <w:color w:val="auto"/>
              </w:rPr>
              <w:t>Acquisitions of Businesses,</w:t>
            </w:r>
          </w:p>
        </w:tc>
        <w:tc>
          <w:tcPr>
            <w:tcW w:w="2220" w:type="dxa"/>
            <w:vAlign w:val="bottom"/>
            <w:vMerge w:val="restart"/>
          </w:tcPr>
          <w:p>
            <w:pPr>
              <w:jc w:val="right"/>
              <w:ind w:right="351"/>
              <w:spacing w:after="0"/>
              <w:rPr>
                <w:sz w:val="20"/>
                <w:szCs w:val="20"/>
                <w:color w:val="auto"/>
              </w:rPr>
            </w:pPr>
            <w:r>
              <w:rPr>
                <w:rFonts w:ascii="Arial" w:cs="Arial" w:eastAsia="Arial" w:hAnsi="Arial"/>
                <w:sz w:val="34"/>
                <w:szCs w:val="34"/>
                <w:b w:val="1"/>
                <w:bCs w:val="1"/>
                <w:color w:val="auto"/>
              </w:rPr>
              <w:t>(194)</w:t>
            </w:r>
          </w:p>
        </w:tc>
        <w:tc>
          <w:tcPr>
            <w:tcW w:w="1380" w:type="dxa"/>
            <w:vAlign w:val="bottom"/>
            <w:vMerge w:val="restart"/>
          </w:tcPr>
          <w:p>
            <w:pPr>
              <w:jc w:val="center"/>
              <w:ind w:left="431"/>
              <w:spacing w:after="0"/>
              <w:rPr>
                <w:sz w:val="20"/>
                <w:szCs w:val="20"/>
                <w:color w:val="auto"/>
              </w:rPr>
            </w:pPr>
            <w:r>
              <w:rPr>
                <w:rFonts w:ascii="Arial" w:cs="Arial" w:eastAsia="Arial" w:hAnsi="Arial"/>
                <w:sz w:val="34"/>
                <w:szCs w:val="34"/>
                <w:b w:val="1"/>
                <w:bCs w:val="1"/>
                <w:color w:val="auto"/>
              </w:rPr>
              <w:t>(18)</w:t>
            </w:r>
          </w:p>
        </w:tc>
        <w:tc>
          <w:tcPr>
            <w:tcW w:w="0" w:type="dxa"/>
            <w:vAlign w:val="bottom"/>
          </w:tcPr>
          <w:p>
            <w:pPr>
              <w:spacing w:after="0"/>
              <w:rPr>
                <w:sz w:val="1"/>
                <w:szCs w:val="1"/>
                <w:color w:val="auto"/>
              </w:rPr>
            </w:pPr>
          </w:p>
        </w:tc>
      </w:tr>
      <w:tr>
        <w:trPr>
          <w:trHeight w:val="421"/>
        </w:trPr>
        <w:tc>
          <w:tcPr>
            <w:tcW w:w="5160" w:type="dxa"/>
            <w:vAlign w:val="bottom"/>
          </w:tcPr>
          <w:p>
            <w:pPr>
              <w:ind w:left="200"/>
              <w:spacing w:after="0"/>
              <w:rPr>
                <w:sz w:val="20"/>
                <w:szCs w:val="20"/>
                <w:color w:val="auto"/>
              </w:rPr>
            </w:pPr>
            <w:r>
              <w:rPr>
                <w:rFonts w:ascii="Arial" w:cs="Arial" w:eastAsia="Arial" w:hAnsi="Arial"/>
                <w:sz w:val="32"/>
                <w:szCs w:val="32"/>
                <w:b w:val="1"/>
                <w:bCs w:val="1"/>
                <w:color w:val="auto"/>
              </w:rPr>
              <w:t>net of cash acquired</w:t>
            </w:r>
          </w:p>
        </w:tc>
        <w:tc>
          <w:tcPr>
            <w:tcW w:w="222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5160" w:type="dxa"/>
            <w:vAlign w:val="bottom"/>
          </w:tcPr>
          <w:p>
            <w:pPr>
              <w:spacing w:after="0"/>
              <w:rPr>
                <w:sz w:val="20"/>
                <w:szCs w:val="20"/>
                <w:color w:val="auto"/>
              </w:rPr>
            </w:pPr>
            <w:r>
              <w:rPr>
                <w:rFonts w:ascii="Arial" w:cs="Arial" w:eastAsia="Arial" w:hAnsi="Arial"/>
                <w:sz w:val="32"/>
                <w:szCs w:val="32"/>
                <w:b w:val="1"/>
                <w:bCs w:val="1"/>
                <w:color w:val="auto"/>
              </w:rPr>
              <w:t>Other</w:t>
            </w:r>
          </w:p>
        </w:tc>
        <w:tc>
          <w:tcPr>
            <w:tcW w:w="2220" w:type="dxa"/>
            <w:vAlign w:val="bottom"/>
          </w:tcPr>
          <w:p>
            <w:pPr>
              <w:jc w:val="right"/>
              <w:ind w:right="451"/>
              <w:spacing w:after="0"/>
              <w:rPr>
                <w:sz w:val="20"/>
                <w:szCs w:val="20"/>
                <w:color w:val="auto"/>
              </w:rPr>
            </w:pPr>
            <w:r>
              <w:rPr>
                <w:rFonts w:ascii="Arial" w:cs="Arial" w:eastAsia="Arial" w:hAnsi="Arial"/>
                <w:sz w:val="34"/>
                <w:szCs w:val="34"/>
                <w:b w:val="1"/>
                <w:bCs w:val="1"/>
                <w:color w:val="auto"/>
              </w:rPr>
              <w:t>21</w:t>
            </w:r>
          </w:p>
        </w:tc>
        <w:tc>
          <w:tcPr>
            <w:tcW w:w="1380" w:type="dxa"/>
            <w:vAlign w:val="bottom"/>
          </w:tcPr>
          <w:p>
            <w:pPr>
              <w:jc w:val="center"/>
              <w:ind w:left="431"/>
              <w:spacing w:after="0"/>
              <w:rPr>
                <w:sz w:val="20"/>
                <w:szCs w:val="20"/>
                <w:color w:val="auto"/>
              </w:rPr>
            </w:pPr>
            <w:r>
              <w:rPr>
                <w:rFonts w:ascii="Arial" w:cs="Arial" w:eastAsia="Arial" w:hAnsi="Arial"/>
                <w:sz w:val="34"/>
                <w:szCs w:val="34"/>
                <w:b w:val="1"/>
                <w:bCs w:val="1"/>
                <w:color w:val="auto"/>
              </w:rPr>
              <w:t>(10)</w:t>
            </w:r>
          </w:p>
        </w:tc>
        <w:tc>
          <w:tcPr>
            <w:tcW w:w="0" w:type="dxa"/>
            <w:vAlign w:val="bottom"/>
          </w:tcPr>
          <w:p>
            <w:pPr>
              <w:spacing w:after="0"/>
              <w:rPr>
                <w:sz w:val="1"/>
                <w:szCs w:val="1"/>
                <w:color w:val="auto"/>
              </w:rPr>
            </w:pPr>
          </w:p>
        </w:tc>
      </w:tr>
      <w:tr>
        <w:trPr>
          <w:trHeight w:val="533"/>
        </w:trPr>
        <w:tc>
          <w:tcPr>
            <w:tcW w:w="5160" w:type="dxa"/>
            <w:vAlign w:val="bottom"/>
          </w:tcPr>
          <w:p>
            <w:pPr>
              <w:ind w:left="500"/>
              <w:spacing w:after="0"/>
              <w:rPr>
                <w:sz w:val="20"/>
                <w:szCs w:val="20"/>
                <w:color w:val="auto"/>
              </w:rPr>
            </w:pPr>
            <w:r>
              <w:rPr>
                <w:rFonts w:ascii="Arial" w:cs="Arial" w:eastAsia="Arial" w:hAnsi="Arial"/>
                <w:sz w:val="32"/>
                <w:szCs w:val="32"/>
                <w:b w:val="1"/>
                <w:bCs w:val="1"/>
                <w:color w:val="auto"/>
              </w:rPr>
              <w:t>Change in Cash</w:t>
            </w:r>
          </w:p>
        </w:tc>
        <w:tc>
          <w:tcPr>
            <w:tcW w:w="2220" w:type="dxa"/>
            <w:vAlign w:val="bottom"/>
          </w:tcPr>
          <w:p>
            <w:pPr>
              <w:jc w:val="right"/>
              <w:ind w:right="471"/>
              <w:spacing w:after="0"/>
              <w:rPr>
                <w:sz w:val="20"/>
                <w:szCs w:val="20"/>
                <w:color w:val="auto"/>
              </w:rPr>
            </w:pPr>
            <w:r>
              <w:rPr>
                <w:rFonts w:ascii="Arial" w:cs="Arial" w:eastAsia="Arial" w:hAnsi="Arial"/>
                <w:sz w:val="34"/>
                <w:szCs w:val="34"/>
                <w:b w:val="1"/>
                <w:bCs w:val="1"/>
                <w:color w:val="auto"/>
              </w:rPr>
              <w:t>24</w:t>
            </w:r>
          </w:p>
        </w:tc>
        <w:tc>
          <w:tcPr>
            <w:tcW w:w="1380" w:type="dxa"/>
            <w:vAlign w:val="bottom"/>
          </w:tcPr>
          <w:p>
            <w:pPr>
              <w:jc w:val="center"/>
              <w:ind w:left="511"/>
              <w:spacing w:after="0"/>
              <w:rPr>
                <w:sz w:val="20"/>
                <w:szCs w:val="20"/>
                <w:color w:val="auto"/>
              </w:rPr>
            </w:pPr>
            <w:r>
              <w:rPr>
                <w:rFonts w:ascii="Arial" w:cs="Arial" w:eastAsia="Arial" w:hAnsi="Arial"/>
                <w:sz w:val="34"/>
                <w:szCs w:val="34"/>
                <w:b w:val="1"/>
                <w:bCs w:val="1"/>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0" w:right="1240" w:hanging="214"/>
        <w:spacing w:after="0" w:line="256" w:lineRule="auto"/>
        <w:tabs>
          <w:tab w:leader="none" w:pos="217" w:val="left"/>
        </w:tabs>
        <w:numPr>
          <w:ilvl w:val="0"/>
          <w:numId w:val="13"/>
        </w:numPr>
        <w:rPr>
          <w:rFonts w:ascii="Arial" w:cs="Arial" w:eastAsia="Arial" w:hAnsi="Arial"/>
          <w:sz w:val="27"/>
          <w:szCs w:val="27"/>
          <w:color w:val="auto"/>
        </w:rPr>
      </w:pPr>
      <w:r>
        <w:rPr>
          <w:rFonts w:ascii="Arial" w:cs="Arial" w:eastAsia="Arial" w:hAnsi="Arial"/>
          <w:sz w:val="27"/>
          <w:szCs w:val="27"/>
          <w:color w:val="auto"/>
        </w:rPr>
        <w:t>752,300 shares in 2008 and 1,214,800 shares in 2007. $11.5M of cash paid in 2008 was for shares repurchased in 2007.</w:t>
      </w:r>
    </w:p>
    <w:p>
      <w:pPr>
        <w:sectPr>
          <w:pgSz w:w="11900" w:h="16838" w:orient="portrait"/>
          <w:cols w:equalWidth="0" w:num="1">
            <w:col w:w="9940"/>
          </w:cols>
          <w:pgMar w:left="1140" w:top="498" w:right="819" w:bottom="1440" w:gutter="0" w:footer="0" w:header="0"/>
        </w:sectPr>
      </w:pPr>
    </w:p>
    <w:bookmarkStart w:id="29" w:name="page30"/>
    <w:bookmarkEnd w:id="29"/>
    <w:tbl>
      <w:tblPr>
        <w:tblLayout w:type="fixed"/>
        <w:tblInd w:w="240" w:type="dxa"/>
        <w:tblCellMar>
          <w:top w:w="0" w:type="dxa"/>
          <w:left w:w="0" w:type="dxa"/>
          <w:bottom w:w="0" w:type="dxa"/>
          <w:right w:w="0" w:type="dxa"/>
        </w:tblCellMar>
      </w:tblPr>
      <w:tr>
        <w:trPr>
          <w:trHeight w:val="482"/>
        </w:trPr>
        <w:tc>
          <w:tcPr>
            <w:tcW w:w="6820" w:type="dxa"/>
            <w:vAlign w:val="bottom"/>
          </w:tcPr>
          <w:p>
            <w:pPr>
              <w:spacing w:after="0"/>
              <w:rPr>
                <w:sz w:val="20"/>
                <w:szCs w:val="20"/>
                <w:color w:val="auto"/>
              </w:rPr>
            </w:pPr>
            <w:r>
              <w:rPr>
                <w:rFonts w:ascii="Arial" w:cs="Arial" w:eastAsia="Arial" w:hAnsi="Arial"/>
                <w:sz w:val="22"/>
                <w:szCs w:val="22"/>
                <w:color w:val="FFFFFF"/>
              </w:rPr>
              <w:t>Manpower Inc. 2008 2</w:t>
            </w:r>
            <w:r>
              <w:rPr>
                <w:rFonts w:ascii="Arial" w:cs="Arial" w:eastAsia="Arial" w:hAnsi="Arial"/>
                <w:sz w:val="37"/>
                <w:szCs w:val="37"/>
                <w:color w:val="FFFFFF"/>
                <w:vertAlign w:val="superscript"/>
              </w:rPr>
              <w:t>nd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18</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47"/>
          <w:szCs w:val="47"/>
          <w:color w:val="6698C2"/>
        </w:rPr>
        <w:t>Third Quarter Outlook</w:t>
      </w:r>
    </w:p>
    <w:p>
      <w:pPr>
        <w:sectPr>
          <w:pgSz w:w="11900" w:h="16838" w:orient="portrait"/>
          <w:cols w:equalWidth="0" w:num="1">
            <w:col w:w="10100"/>
          </w:cols>
          <w:pgMar w:left="980" w:top="498" w:right="8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280" w:val="left"/>
        </w:tabs>
        <w:rPr>
          <w:sz w:val="20"/>
          <w:szCs w:val="20"/>
          <w:color w:val="auto"/>
        </w:rPr>
      </w:pPr>
      <w:r>
        <w:rPr>
          <w:rFonts w:ascii="Arial" w:cs="Arial" w:eastAsia="Arial" w:hAnsi="Arial"/>
          <w:sz w:val="34"/>
          <w:szCs w:val="34"/>
          <w:b w:val="1"/>
          <w:bCs w:val="1"/>
          <w:color w:val="6698C2"/>
        </w:rPr>
        <w:t>Revenue</w:t>
      </w:r>
      <w:r>
        <w:rPr>
          <w:sz w:val="20"/>
          <w:szCs w:val="20"/>
          <w:color w:val="auto"/>
        </w:rPr>
        <w:tab/>
      </w:r>
      <w:r>
        <w:rPr>
          <w:rFonts w:ascii="Arial" w:cs="Arial" w:eastAsia="Arial" w:hAnsi="Arial"/>
          <w:sz w:val="32"/>
          <w:szCs w:val="32"/>
          <w:b w:val="1"/>
          <w:bCs w:val="1"/>
          <w:color w:val="auto"/>
        </w:rPr>
        <w:t>U.S.</w:t>
      </w:r>
    </w:p>
    <w:p>
      <w:pPr>
        <w:spacing w:after="0" w:line="103" w:lineRule="exact"/>
        <w:rPr>
          <w:sz w:val="20"/>
          <w:szCs w:val="20"/>
          <w:color w:val="auto"/>
        </w:rPr>
      </w:pPr>
    </w:p>
    <w:p>
      <w:pPr>
        <w:jc w:val="right"/>
        <w:ind w:right="60"/>
        <w:spacing w:after="0"/>
        <w:rPr>
          <w:sz w:val="20"/>
          <w:szCs w:val="20"/>
          <w:color w:val="auto"/>
        </w:rPr>
      </w:pPr>
      <w:r>
        <w:rPr>
          <w:rFonts w:ascii="Arial" w:cs="Arial" w:eastAsia="Arial" w:hAnsi="Arial"/>
          <w:sz w:val="32"/>
          <w:szCs w:val="32"/>
          <w:b w:val="1"/>
          <w:bCs w:val="1"/>
          <w:color w:val="auto"/>
        </w:rPr>
        <w:t>France</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32"/>
          <w:szCs w:val="32"/>
          <w:b w:val="1"/>
          <w:bCs w:val="1"/>
          <w:color w:val="auto"/>
        </w:rPr>
        <w:t>Other EMEA</w:t>
      </w:r>
    </w:p>
    <w:p>
      <w:pPr>
        <w:spacing w:after="0" w:line="79" w:lineRule="exact"/>
        <w:rPr>
          <w:sz w:val="20"/>
          <w:szCs w:val="20"/>
          <w:color w:val="auto"/>
        </w:rPr>
      </w:pPr>
    </w:p>
    <w:p>
      <w:pPr>
        <w:jc w:val="right"/>
        <w:ind w:right="60"/>
        <w:spacing w:after="0"/>
        <w:rPr>
          <w:sz w:val="20"/>
          <w:szCs w:val="20"/>
          <w:color w:val="auto"/>
        </w:rPr>
      </w:pPr>
      <w:r>
        <w:rPr>
          <w:rFonts w:ascii="Arial" w:cs="Arial" w:eastAsia="Arial" w:hAnsi="Arial"/>
          <w:sz w:val="32"/>
          <w:szCs w:val="32"/>
          <w:b w:val="1"/>
          <w:bCs w:val="1"/>
          <w:color w:val="auto"/>
        </w:rPr>
        <w:t>Italy</w:t>
      </w:r>
    </w:p>
    <w:p>
      <w:pPr>
        <w:spacing w:after="0" w:line="67" w:lineRule="exact"/>
        <w:rPr>
          <w:sz w:val="20"/>
          <w:szCs w:val="20"/>
          <w:color w:val="auto"/>
        </w:rPr>
      </w:pPr>
    </w:p>
    <w:p>
      <w:pPr>
        <w:jc w:val="right"/>
        <w:ind w:right="40"/>
        <w:spacing w:after="0"/>
        <w:rPr>
          <w:sz w:val="20"/>
          <w:szCs w:val="20"/>
          <w:color w:val="auto"/>
        </w:rPr>
      </w:pPr>
      <w:r>
        <w:rPr>
          <w:rFonts w:ascii="Arial" w:cs="Arial" w:eastAsia="Arial" w:hAnsi="Arial"/>
          <w:sz w:val="32"/>
          <w:szCs w:val="32"/>
          <w:b w:val="1"/>
          <w:bCs w:val="1"/>
          <w:color w:val="auto"/>
        </w:rPr>
        <w:t>Jefferson Wells</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Right Management</w:t>
      </w:r>
    </w:p>
    <w:p>
      <w:pPr>
        <w:spacing w:after="0" w:line="79" w:lineRule="exact"/>
        <w:rPr>
          <w:sz w:val="20"/>
          <w:szCs w:val="20"/>
          <w:color w:val="auto"/>
        </w:rPr>
      </w:pPr>
    </w:p>
    <w:p>
      <w:pPr>
        <w:ind w:left="3060"/>
        <w:spacing w:after="0"/>
        <w:rPr>
          <w:sz w:val="20"/>
          <w:szCs w:val="20"/>
          <w:color w:val="auto"/>
        </w:rPr>
      </w:pPr>
      <w:r>
        <w:rPr>
          <w:rFonts w:ascii="Arial" w:cs="Arial" w:eastAsia="Arial" w:hAnsi="Arial"/>
          <w:sz w:val="32"/>
          <w:szCs w:val="32"/>
          <w:b w:val="1"/>
          <w:bCs w:val="1"/>
          <w:color w:val="auto"/>
        </w:rPr>
        <w:t>Other</w:t>
      </w:r>
    </w:p>
    <w:p>
      <w:pPr>
        <w:spacing w:after="0" w:line="185" w:lineRule="exact"/>
        <w:rPr>
          <w:sz w:val="20"/>
          <w:szCs w:val="20"/>
          <w:color w:val="auto"/>
        </w:rPr>
      </w:pPr>
    </w:p>
    <w:p>
      <w:pPr>
        <w:ind w:left="3140"/>
        <w:spacing w:after="0"/>
        <w:rPr>
          <w:sz w:val="20"/>
          <w:szCs w:val="20"/>
          <w:color w:val="auto"/>
        </w:rPr>
      </w:pPr>
      <w:r>
        <w:rPr>
          <w:rFonts w:ascii="Arial" w:cs="Arial" w:eastAsia="Arial" w:hAnsi="Arial"/>
          <w:sz w:val="32"/>
          <w:szCs w:val="32"/>
          <w:b w:val="1"/>
          <w:bCs w:val="1"/>
          <w:color w:val="auto"/>
        </w:rPr>
        <w:t>Total</w:t>
      </w:r>
    </w:p>
    <w:p>
      <w:pPr>
        <w:spacing w:after="0" w:line="150" w:lineRule="exact"/>
        <w:rPr>
          <w:sz w:val="20"/>
          <w:szCs w:val="20"/>
          <w:color w:val="auto"/>
        </w:rPr>
      </w:pPr>
    </w:p>
    <w:p>
      <w:pPr>
        <w:ind w:left="40" w:right="140" w:hanging="11"/>
        <w:spacing w:after="0" w:line="357" w:lineRule="auto"/>
        <w:rPr>
          <w:sz w:val="20"/>
          <w:szCs w:val="20"/>
          <w:color w:val="auto"/>
        </w:rPr>
      </w:pPr>
      <w:r>
        <w:rPr>
          <w:rFonts w:ascii="Arial" w:cs="Arial" w:eastAsia="Arial" w:hAnsi="Arial"/>
          <w:sz w:val="34"/>
          <w:szCs w:val="34"/>
          <w:b w:val="1"/>
          <w:bCs w:val="1"/>
          <w:color w:val="6698C2"/>
        </w:rPr>
        <w:t>Gross Profit Margin Operating Profit Margin</w:t>
      </w:r>
    </w:p>
    <w:p>
      <w:pPr>
        <w:spacing w:after="0" w:line="1" w:lineRule="exact"/>
        <w:rPr>
          <w:sz w:val="20"/>
          <w:szCs w:val="20"/>
          <w:color w:val="auto"/>
        </w:rPr>
      </w:pPr>
    </w:p>
    <w:p>
      <w:pPr>
        <w:spacing w:after="0"/>
        <w:rPr>
          <w:sz w:val="20"/>
          <w:szCs w:val="20"/>
          <w:color w:val="auto"/>
        </w:rPr>
      </w:pPr>
      <w:r>
        <w:rPr>
          <w:rFonts w:ascii="Arial" w:cs="Arial" w:eastAsia="Arial" w:hAnsi="Arial"/>
          <w:sz w:val="34"/>
          <w:szCs w:val="34"/>
          <w:b w:val="1"/>
          <w:bCs w:val="1"/>
          <w:color w:val="6698C2"/>
        </w:rPr>
        <w:t>Tax Rate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34"/>
          <w:szCs w:val="34"/>
          <w:b w:val="1"/>
          <w:bCs w:val="1"/>
          <w:color w:val="6698C2"/>
        </w:rPr>
        <w:t>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color w:val="auto"/>
        </w:rPr>
        <w:t>Up 7-9%</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32"/>
          <w:szCs w:val="32"/>
          <w:color w:val="auto"/>
        </w:rPr>
        <w:t>Up 4-6%  (Down 7-9% CC)</w:t>
      </w:r>
    </w:p>
    <w:p>
      <w:pPr>
        <w:spacing w:after="0" w:line="79" w:lineRule="exact"/>
        <w:rPr>
          <w:sz w:val="20"/>
          <w:szCs w:val="20"/>
          <w:color w:val="auto"/>
        </w:rPr>
      </w:pPr>
    </w:p>
    <w:p>
      <w:pPr>
        <w:spacing w:after="0"/>
        <w:rPr>
          <w:sz w:val="20"/>
          <w:szCs w:val="20"/>
          <w:color w:val="auto"/>
        </w:rPr>
      </w:pPr>
      <w:r>
        <w:rPr>
          <w:rFonts w:ascii="Arial" w:cs="Arial" w:eastAsia="Arial" w:hAnsi="Arial"/>
          <w:sz w:val="32"/>
          <w:szCs w:val="32"/>
          <w:color w:val="auto"/>
        </w:rPr>
        <w:t>Up 22-24% (Up 11-13% CC)</w:t>
      </w:r>
    </w:p>
    <w:p>
      <w:pPr>
        <w:spacing w:after="0" w:line="102" w:lineRule="exact"/>
        <w:rPr>
          <w:sz w:val="20"/>
          <w:szCs w:val="20"/>
          <w:color w:val="auto"/>
        </w:rPr>
      </w:pPr>
    </w:p>
    <w:p>
      <w:pPr>
        <w:spacing w:after="0"/>
        <w:rPr>
          <w:sz w:val="20"/>
          <w:szCs w:val="20"/>
          <w:color w:val="auto"/>
        </w:rPr>
      </w:pPr>
      <w:r>
        <w:rPr>
          <w:rFonts w:ascii="Arial" w:cs="Arial" w:eastAsia="Arial" w:hAnsi="Arial"/>
          <w:sz w:val="32"/>
          <w:szCs w:val="32"/>
          <w:color w:val="auto"/>
        </w:rPr>
        <w:t>Up 21-23% (Up 6-8% CC)</w:t>
      </w:r>
    </w:p>
    <w:p>
      <w:pPr>
        <w:spacing w:after="0" w:line="67" w:lineRule="exact"/>
        <w:rPr>
          <w:sz w:val="20"/>
          <w:szCs w:val="20"/>
          <w:color w:val="auto"/>
        </w:rPr>
      </w:pPr>
    </w:p>
    <w:p>
      <w:pPr>
        <w:spacing w:after="0"/>
        <w:rPr>
          <w:sz w:val="20"/>
          <w:szCs w:val="20"/>
          <w:color w:val="auto"/>
        </w:rPr>
      </w:pPr>
      <w:r>
        <w:rPr>
          <w:rFonts w:ascii="Arial" w:cs="Arial" w:eastAsia="Arial" w:hAnsi="Arial"/>
          <w:sz w:val="32"/>
          <w:szCs w:val="32"/>
          <w:color w:val="auto"/>
        </w:rPr>
        <w:t>Down 9-11%</w:t>
      </w:r>
    </w:p>
    <w:p>
      <w:pPr>
        <w:spacing w:after="0" w:line="55" w:lineRule="exact"/>
        <w:rPr>
          <w:sz w:val="20"/>
          <w:szCs w:val="20"/>
          <w:color w:val="auto"/>
        </w:rPr>
      </w:pPr>
    </w:p>
    <w:p>
      <w:pPr>
        <w:spacing w:after="0"/>
        <w:rPr>
          <w:sz w:val="20"/>
          <w:szCs w:val="20"/>
          <w:color w:val="auto"/>
        </w:rPr>
      </w:pPr>
      <w:r>
        <w:rPr>
          <w:rFonts w:ascii="Arial" w:cs="Arial" w:eastAsia="Arial" w:hAnsi="Arial"/>
          <w:sz w:val="32"/>
          <w:szCs w:val="32"/>
          <w:color w:val="auto"/>
        </w:rPr>
        <w:t>Up 8-10%(Up 3-5% CC)</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32"/>
          <w:szCs w:val="32"/>
          <w:color w:val="auto"/>
        </w:rPr>
        <w:t>Up 17-19%(Up 5-7% CC)</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32"/>
          <w:szCs w:val="32"/>
          <w:color w:val="auto"/>
        </w:rPr>
        <w:t>Up 13-15%(Up 2-4% CC)</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32"/>
          <w:szCs w:val="32"/>
          <w:color w:val="auto"/>
        </w:rPr>
        <w:t>18.3-18.5%</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32"/>
          <w:szCs w:val="32"/>
          <w:color w:val="auto"/>
        </w:rPr>
        <w:t>3.2-3.4%</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32"/>
          <w:szCs w:val="32"/>
          <w:color w:val="auto"/>
        </w:rPr>
        <w:t>36.0%</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30"/>
          <w:szCs w:val="30"/>
          <w:color w:val="auto"/>
        </w:rPr>
        <w:t>$1.45-$1.49 (Pos. $.17 Currency)</w:t>
      </w:r>
    </w:p>
    <w:p>
      <w:pPr>
        <w:sectPr>
          <w:pgSz w:w="11900" w:h="16838" w:orient="portrait"/>
          <w:cols w:equalWidth="0" w:num="2">
            <w:col w:w="3980" w:space="580"/>
            <w:col w:w="5540"/>
          </w:cols>
          <w:pgMar w:left="980" w:top="498" w:right="8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8"/>
          <w:szCs w:val="28"/>
          <w:b w:val="1"/>
          <w:bCs w:val="1"/>
          <w:color w:val="7EA190"/>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rPr>
          <w:sz w:val="20"/>
          <w:szCs w:val="20"/>
          <w:color w:val="auto"/>
        </w:rPr>
      </w:pPr>
      <w:r>
        <w:rPr>
          <w:rFonts w:ascii="Arial" w:cs="Arial" w:eastAsia="Arial" w:hAnsi="Arial"/>
          <w:sz w:val="28"/>
          <w:szCs w:val="28"/>
          <w:b w:val="1"/>
          <w:bCs w:val="1"/>
          <w:color w:val="7EA190"/>
        </w:rPr>
        <w:t>2008 2</w:t>
      </w:r>
      <w:r>
        <w:rPr>
          <w:rFonts w:ascii="Arial" w:cs="Arial" w:eastAsia="Arial" w:hAnsi="Arial"/>
          <w:sz w:val="37"/>
          <w:szCs w:val="37"/>
          <w:b w:val="1"/>
          <w:bCs w:val="1"/>
          <w:color w:val="7EA190"/>
          <w:vertAlign w:val="superscript"/>
        </w:rPr>
        <w:t>nd</w:t>
      </w:r>
      <w:r>
        <w:rPr>
          <w:rFonts w:ascii="Arial" w:cs="Arial" w:eastAsia="Arial" w:hAnsi="Arial"/>
          <w:sz w:val="28"/>
          <w:szCs w:val="28"/>
          <w:b w:val="1"/>
          <w:bCs w:val="1"/>
          <w:color w:val="7EA190"/>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-22860</wp:posOffset>
            </wp:positionV>
            <wp:extent cx="4128770" cy="4315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5"/>
          <w:szCs w:val="25"/>
          <w:color w:val="auto"/>
        </w:rPr>
        <w:t>July 18,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0"/>
        <w:spacing w:after="0"/>
        <w:rPr>
          <w:sz w:val="20"/>
          <w:szCs w:val="20"/>
          <w:color w:val="auto"/>
        </w:rPr>
      </w:pPr>
      <w:r>
        <w:rPr>
          <w:rFonts w:ascii="Arial" w:cs="Arial" w:eastAsia="Arial" w:hAnsi="Arial"/>
          <w:sz w:val="62"/>
          <w:szCs w:val="62"/>
          <w:color w:val="auto"/>
        </w:rPr>
        <w:t>Questions?</w:t>
      </w:r>
    </w:p>
    <w:p>
      <w:pPr>
        <w:jc w:val="right"/>
        <w:ind w:right="1559"/>
        <w:spacing w:after="0"/>
        <w:rPr>
          <w:sz w:val="20"/>
          <w:szCs w:val="20"/>
          <w:color w:val="auto"/>
        </w:rPr>
      </w:pPr>
      <w:r>
        <w:rPr>
          <w:rFonts w:ascii="Arial" w:cs="Arial" w:eastAsia="Arial" w:hAnsi="Arial"/>
          <w:sz w:val="94"/>
          <w:szCs w:val="94"/>
          <w:color w:val="auto"/>
        </w:rPr>
        <w:t>Answers</w:t>
      </w:r>
    </w:p>
    <w:sectPr>
      <w:pgSz w:w="11900" w:h="16838" w:orient="portrait"/>
      <w:cols w:equalWidth="0" w:num="1">
        <w:col w:w="10099"/>
      </w:cols>
      <w:pgMar w:left="360" w:top="2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2019-12-20T18:30:35Z</dcterms:created>
  <dcterms:modified xsi:type="dcterms:W3CDTF">2019-12-20T18:30:35Z</dcterms:modified>
</cp:coreProperties>
</file>