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20, 2023</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33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45"/>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20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8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right="320"/>
        <w:spacing w:after="0" w:line="276"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389890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8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On April 20, 2023, we issued a press release announcing our results of operations for the three months ended March 31, 2023 and 2022. A copy of the press release is attached hereto as Exhibit 99.1 and is incorporated herein by reference.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4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7"/>
        </w:trPr>
        <w:tc>
          <w:tcPr>
            <w:tcW w:w="20" w:type="dxa"/>
            <w:vAlign w:val="bottom"/>
          </w:tcPr>
          <w:p>
            <w:pPr>
              <w:spacing w:after="0"/>
              <w:rPr>
                <w:sz w:val="13"/>
                <w:szCs w:val="13"/>
                <w:color w:val="auto"/>
              </w:rPr>
            </w:pPr>
          </w:p>
        </w:tc>
        <w:tc>
          <w:tcPr>
            <w:tcW w:w="7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color w:val="0000FF"/>
              </w:rPr>
              <w:t>Press Release dated April 20, 2023</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Presentation materials for April 20, 2023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92"/>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449"/>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Dated:April 20, 2023</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86"/>
        </w:trPr>
        <w:tc>
          <w:tcPr>
            <w:tcW w:w="72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860" w:type="dxa"/>
            <w:vAlign w:val="bottom"/>
          </w:tcPr>
          <w:p>
            <w:pPr>
              <w:ind w:left="280"/>
              <w:spacing w:after="0" w:line="182"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T. McGinnis</w:t>
            </w:r>
          </w:p>
        </w:tc>
      </w:tr>
      <w:tr>
        <w:trPr>
          <w:trHeight w:val="203"/>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488"/>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
        <w:spacing w:after="0"/>
        <w:tabs>
          <w:tab w:leader="none" w:pos="676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244"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Nick Hengst</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+1.414.906.7356</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200" w:lineRule="exact"/>
        <w:rPr>
          <w:sz w:val="20"/>
          <w:szCs w:val="20"/>
          <w:color w:val="auto"/>
        </w:rPr>
      </w:pPr>
    </w:p>
    <w:p>
      <w:pPr>
        <w:spacing w:after="0" w:line="24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2023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$4.8 billion (-8% as reported, -2% constant currency (CC))</w:t>
      </w:r>
    </w:p>
    <w:p>
      <w:pPr>
        <w:spacing w:after="0" w:line="83"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18.2%, up 80 basis points year over year reflecting continued strong pricing discipline and increased outplacement activity in Right Management</w:t>
      </w:r>
    </w:p>
    <w:p>
      <w:pPr>
        <w:spacing w:after="0" w:line="29" w:lineRule="exact"/>
        <w:rPr>
          <w:rFonts w:ascii="Times New Roman" w:cs="Times New Roman" w:eastAsia="Times New Roman" w:hAnsi="Times New Roman"/>
          <w:sz w:val="17"/>
          <w:szCs w:val="17"/>
          <w:color w:val="auto"/>
        </w:rPr>
      </w:pPr>
    </w:p>
    <w:p>
      <w:pPr>
        <w:ind w:left="1125"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Manpower, Experis and Talent Solutions revenues experienced modest organic CC declines in the quarter driven by the environment in the U.S. and Europe</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Free Cash Flow of $111 million; Repurchased $30 million of common stock</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Balance Sheet positions us well in an uncertain environment</w:t>
      </w:r>
    </w:p>
    <w:p>
      <w:pPr>
        <w:spacing w:after="0" w:line="192" w:lineRule="exact"/>
        <w:rPr>
          <w:sz w:val="20"/>
          <w:szCs w:val="20"/>
          <w:color w:val="auto"/>
        </w:rPr>
      </w:pPr>
    </w:p>
    <w:p>
      <w:pPr>
        <w:jc w:val="both"/>
        <w:ind w:left="5" w:right="20"/>
        <w:spacing w:after="0" w:line="239" w:lineRule="auto"/>
        <w:rPr>
          <w:sz w:val="20"/>
          <w:szCs w:val="20"/>
          <w:color w:val="auto"/>
        </w:rPr>
      </w:pPr>
      <w:r>
        <w:rPr>
          <w:rFonts w:ascii="Arial" w:cs="Arial" w:eastAsia="Arial" w:hAnsi="Arial"/>
          <w:sz w:val="17"/>
          <w:szCs w:val="17"/>
          <w:b w:val="1"/>
          <w:bCs w:val="1"/>
          <w:color w:val="auto"/>
        </w:rPr>
        <w:t xml:space="preserve">MILWAUKEE, April 20, 2023 -- </w:t>
      </w:r>
      <w:r>
        <w:rPr>
          <w:rFonts w:ascii="Arial" w:cs="Arial" w:eastAsia="Arial" w:hAnsi="Arial"/>
          <w:sz w:val="17"/>
          <w:szCs w:val="17"/>
          <w:color w:val="auto"/>
        </w:rPr>
        <w:t>ManpowerGroup (NYSE: MAN) today reported net earnings of $1.51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2023 compared to $ 1.68 per diluted share in the prior year period. Net earnings in the quarter were $77.8 million compared to $91.6 million a year earlier. Revenues for the first quarter were $4.8 billion, an 8% decrease from the prior year period.</w:t>
      </w:r>
    </w:p>
    <w:p>
      <w:pPr>
        <w:spacing w:after="0" w:line="2" w:lineRule="exact"/>
        <w:rPr>
          <w:sz w:val="20"/>
          <w:szCs w:val="20"/>
          <w:color w:val="auto"/>
        </w:rPr>
      </w:pPr>
    </w:p>
    <w:p>
      <w:pPr>
        <w:jc w:val="both"/>
        <w:ind w:left="5" w:firstLine="572"/>
        <w:spacing w:after="0" w:line="203" w:lineRule="auto"/>
        <w:rPr>
          <w:sz w:val="20"/>
          <w:szCs w:val="20"/>
          <w:color w:val="auto"/>
        </w:rPr>
      </w:pPr>
      <w:r>
        <w:rPr>
          <w:rFonts w:ascii="Arial" w:cs="Arial" w:eastAsia="Arial" w:hAnsi="Arial"/>
          <w:sz w:val="17"/>
          <w:szCs w:val="17"/>
          <w:color w:val="auto"/>
        </w:rPr>
        <w:t>The current year quarter included restructuring costs which reduced earnings per share by $0.10 in the first quarter. Excluding these costs, earnings per share was $1.61 per diluted share in the quarter representing a decrease of 7% in constant currency.</w:t>
      </w:r>
      <w:r>
        <w:rPr>
          <w:rFonts w:ascii="Arial" w:cs="Arial" w:eastAsia="Arial" w:hAnsi="Arial"/>
          <w:sz w:val="23"/>
          <w:szCs w:val="23"/>
          <w:color w:val="auto"/>
          <w:vertAlign w:val="superscript"/>
        </w:rPr>
        <w:t>[1]</w:t>
      </w:r>
    </w:p>
    <w:p>
      <w:pPr>
        <w:spacing w:after="0" w:line="1" w:lineRule="exact"/>
        <w:rPr>
          <w:sz w:val="20"/>
          <w:szCs w:val="20"/>
          <w:color w:val="auto"/>
        </w:rPr>
      </w:pPr>
    </w:p>
    <w:p>
      <w:pPr>
        <w:jc w:val="both"/>
        <w:ind w:left="5"/>
        <w:spacing w:after="0" w:line="232" w:lineRule="auto"/>
        <w:rPr>
          <w:sz w:val="20"/>
          <w:szCs w:val="20"/>
          <w:color w:val="auto"/>
        </w:rPr>
      </w:pPr>
      <w:r>
        <w:rPr>
          <w:rFonts w:ascii="Arial" w:cs="Arial" w:eastAsia="Arial" w:hAnsi="Arial"/>
          <w:sz w:val="17"/>
          <w:szCs w:val="17"/>
          <w:color w:val="auto"/>
        </w:rPr>
        <w:t>Financial results in the quarterwere also impacted by the strongerU.S. dollar relativeto foreign currencies comparedto the prior year period, resulting in a 14 cent negative impact to earnings per share in the quarter compared to the prior year. On a constant currency basis, revenues decreased 2% compared to the prior year period.</w:t>
      </w:r>
    </w:p>
    <w:p>
      <w:pPr>
        <w:spacing w:after="0" w:line="1" w:lineRule="exact"/>
        <w:rPr>
          <w:sz w:val="20"/>
          <w:szCs w:val="20"/>
          <w:color w:val="auto"/>
        </w:rPr>
      </w:pPr>
    </w:p>
    <w:p>
      <w:pPr>
        <w:ind w:left="285"/>
        <w:spacing w:after="0"/>
        <w:rPr>
          <w:sz w:val="20"/>
          <w:szCs w:val="20"/>
          <w:color w:val="auto"/>
        </w:rPr>
      </w:pPr>
      <w:r>
        <w:rPr>
          <w:rFonts w:ascii="Arial" w:cs="Arial" w:eastAsia="Arial" w:hAnsi="Arial"/>
          <w:sz w:val="17"/>
          <w:szCs w:val="17"/>
          <w:color w:val="auto"/>
        </w:rPr>
        <w:t>Days Sales Outstanding improved by 0.5 days year over year reflecting continued focus on collections and working capital efficiency.</w:t>
      </w:r>
    </w:p>
    <w:p>
      <w:pPr>
        <w:spacing w:after="0" w:line="372" w:lineRule="exact"/>
        <w:rPr>
          <w:sz w:val="20"/>
          <w:szCs w:val="20"/>
          <w:color w:val="auto"/>
        </w:rPr>
      </w:pPr>
    </w:p>
    <w:p>
      <w:pPr>
        <w:ind w:left="5" w:right="160" w:hanging="5"/>
        <w:spacing w:after="0" w:line="216" w:lineRule="auto"/>
        <w:tabs>
          <w:tab w:leader="none" w:pos="166"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acquisition integration costs from our U.S. Experis acquisition and the net loss related to the sale of our Russia business which reduced earnings per share by $0.20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354330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10" w:right="319" w:bottom="1440" w:gutter="0" w:footer="0" w:header="0"/>
        </w:sectPr>
      </w:pPr>
    </w:p>
    <w:bookmarkStart w:id="4" w:name="page5"/>
    <w:bookmarkEnd w:id="4"/>
    <w:p>
      <w:pPr>
        <w:jc w:val="both"/>
        <w:ind w:right="20" w:firstLine="391"/>
        <w:spacing w:after="0" w:line="236" w:lineRule="auto"/>
        <w:rPr>
          <w:sz w:val="20"/>
          <w:szCs w:val="20"/>
          <w:color w:val="auto"/>
        </w:rPr>
      </w:pPr>
      <w:r>
        <w:rPr>
          <w:rFonts w:ascii="Arial" w:cs="Arial" w:eastAsia="Arial" w:hAnsi="Arial"/>
          <w:sz w:val="17"/>
          <w:szCs w:val="17"/>
          <w:color w:val="auto"/>
        </w:rPr>
        <w:t>Jonas Prising, ManpowerGroup Chairman &amp; CEO, said, “Our first quarter results reflect a challenging operating environment in the U.S. and Europe. Despite a softening demand environment for our brands, labor markets remained strong during the first quarter. Employers are intent on holding on to the staff they have and are hiring new talent more selectively at a measured pace. We continue to adjust our cost base in the parts of our business where demand has decreased. Our steadfast commitment to our Diversification, Digitization and Innovation initiatives positions us for improved growth when economic conditions strengthen.</w:t>
      </w:r>
    </w:p>
    <w:p>
      <w:pPr>
        <w:spacing w:after="0" w:line="1" w:lineRule="exact"/>
        <w:rPr>
          <w:sz w:val="20"/>
          <w:szCs w:val="20"/>
          <w:color w:val="auto"/>
        </w:rPr>
      </w:pPr>
    </w:p>
    <w:p>
      <w:pPr>
        <w:jc w:val="both"/>
        <w:ind w:firstLine="564"/>
        <w:spacing w:after="0" w:line="232" w:lineRule="auto"/>
        <w:rPr>
          <w:sz w:val="20"/>
          <w:szCs w:val="20"/>
          <w:color w:val="auto"/>
        </w:rPr>
      </w:pPr>
      <w:r>
        <w:rPr>
          <w:rFonts w:ascii="Arial" w:cs="Arial" w:eastAsia="Arial" w:hAnsi="Arial"/>
          <w:sz w:val="17"/>
          <w:szCs w:val="17"/>
          <w:color w:val="auto"/>
        </w:rPr>
        <w:t>We anticipate diluted earnings per share in the second quarter will be between $1.58 and $1.68, which includes an estimated unfavorable currency impact of 3 cents.”</w:t>
      </w:r>
    </w:p>
    <w:p>
      <w:pPr>
        <w:spacing w:after="0" w:line="1" w:lineRule="exact"/>
        <w:rPr>
          <w:sz w:val="20"/>
          <w:szCs w:val="20"/>
          <w:color w:val="auto"/>
        </w:rPr>
      </w:pPr>
    </w:p>
    <w:p>
      <w:pPr>
        <w:jc w:val="both"/>
        <w:ind w:firstLine="581"/>
        <w:spacing w:after="0" w:line="232" w:lineRule="auto"/>
        <w:rPr>
          <w:sz w:val="20"/>
          <w:szCs w:val="20"/>
          <w:color w:val="auto"/>
        </w:rPr>
      </w:pPr>
      <w:r>
        <w:rPr>
          <w:rFonts w:ascii="Arial" w:cs="Arial" w:eastAsia="Arial" w:hAnsi="Arial"/>
          <w:sz w:val="17"/>
          <w:szCs w:val="17"/>
          <w:color w:val="auto"/>
        </w:rPr>
        <w:t>In conjunction with its first quarter earnings release, ManpowerGroup will host a conference call live online on April 20, 2023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Supplemental financial information referenced in the conference call can be found at </w:t>
      </w:r>
      <w:r>
        <w:rPr>
          <w:rFonts w:ascii="Arial" w:cs="Arial" w:eastAsia="Arial" w:hAnsi="Arial"/>
          <w:sz w:val="17"/>
          <w:szCs w:val="17"/>
          <w:color w:val="0000FF"/>
        </w:rPr>
        <w:t>http://investor.manpowergroup.com/</w:t>
      </w:r>
      <w:r>
        <w:rPr>
          <w:rFonts w:ascii="Arial" w:cs="Arial" w:eastAsia="Arial" w:hAnsi="Arial"/>
          <w:sz w:val="17"/>
          <w:szCs w:val="17"/>
          <w:color w:val="auto"/>
        </w:rPr>
        <w: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2023 ManpowerGroup was named one of the World's Most Ethical Companies for the 14th time – all confirming our position as the brand of choice for in-demand talent. For more information, visit www.manpowergroup.com.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This press release contains statements, including statements regarding economic uncertainty, financial outlook, labor demand, geopolitical risk and uncertainty, the Company’s strategic initiatives and technology investments, and the future performance of our brands and businesses, including in certain regions and countries,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2022, which information is incorporated herein by reference.</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r>
        <w:rPr>
          <w:rFonts w:ascii="Arial" w:cs="Arial" w:eastAsia="Arial" w:hAnsi="Arial"/>
          <w:sz w:val="17"/>
          <w:szCs w:val="17"/>
          <w:color w:val="auto"/>
        </w:rPr>
        <w:t>.</w:t>
      </w:r>
    </w:p>
    <w:p>
      <w:pPr>
        <w:spacing w:after="0" w:line="28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247650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310" w:right="319" w:bottom="1440" w:gutter="0" w:footer="0" w:header="0"/>
        </w:sectPr>
      </w:pPr>
    </w:p>
    <w:bookmarkStart w:id="5" w:name="page6"/>
    <w:bookmarkEnd w:id="5"/>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5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4"/>
          </w:tcPr>
          <w:p>
            <w:pPr>
              <w:jc w:val="center"/>
              <w:ind w:left="681"/>
              <w:spacing w:after="0"/>
              <w:rPr>
                <w:sz w:val="20"/>
                <w:szCs w:val="20"/>
                <w:color w:val="auto"/>
              </w:rPr>
            </w:pPr>
            <w:r>
              <w:rPr>
                <w:rFonts w:ascii="Times New Roman" w:cs="Times New Roman" w:eastAsia="Times New Roman" w:hAnsi="Times New Roman"/>
                <w:sz w:val="16"/>
                <w:szCs w:val="16"/>
                <w:color w:val="auto"/>
                <w:w w:val="98"/>
              </w:rPr>
              <w:t>(Unaudited)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460" w:type="dxa"/>
            <w:vAlign w:val="bottom"/>
            <w:gridSpan w:val="3"/>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-7.6 %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-8.4 %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198"/>
        </w:trPr>
        <w:tc>
          <w:tcPr>
            <w:tcW w:w="5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-3.8 %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-1.7 %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198"/>
        </w:trPr>
        <w:tc>
          <w:tcPr>
            <w:tcW w:w="5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-15.0 %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180.4 %</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-18.8 %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-26.5 %</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28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-15.1 %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gridSpan w:val="2"/>
          </w:tcPr>
          <w:p>
            <w:pPr>
              <w:spacing w:after="0"/>
              <w:rPr>
                <w:sz w:val="16"/>
                <w:szCs w:val="16"/>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-10.6 %</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gridSpan w:val="2"/>
          </w:tcPr>
          <w:p>
            <w:pPr>
              <w:spacing w:after="0"/>
              <w:rPr>
                <w:sz w:val="16"/>
                <w:szCs w:val="16"/>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-10.4 %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-5.0 %</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-5.2 %</w:t>
            </w:r>
          </w:p>
        </w:tc>
        <w:tc>
          <w:tcPr>
            <w:tcW w:w="1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-1899285</wp:posOffset>
            </wp:positionV>
            <wp:extent cx="7149465" cy="135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-1621790</wp:posOffset>
            </wp:positionV>
            <wp:extent cx="714946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-1343660</wp:posOffset>
            </wp:positionV>
            <wp:extent cx="714946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630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630555"/>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-21590</wp:posOffset>
            </wp:positionV>
            <wp:extent cx="7493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-6985</wp:posOffset>
            </wp:positionV>
            <wp:extent cx="749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-21590</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-6985</wp:posOffset>
            </wp:positionV>
            <wp:extent cx="749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60" w:hanging="505"/>
        <w:spacing w:after="0" w:line="250" w:lineRule="auto"/>
        <w:tabs>
          <w:tab w:leader="none" w:pos="5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$3.9 million and $3.6 million for the three months ended March 31, 2023 and 2022, respectively. These fees are primarily based on revenues generated by the franchise offices, which were $250.2 million and $265.2 million for the three months ended March 31, 2023 and 2022,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312" w:right="279" w:bottom="1440" w:gutter="0" w:footer="0" w:header="0"/>
        </w:sectPr>
      </w:pPr>
    </w:p>
    <w:bookmarkStart w:id="6" w:name="page7"/>
    <w:bookmarkEnd w:id="6"/>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7"/>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1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4"/>
          </w:tcPr>
          <w:p>
            <w:pPr>
              <w:jc w:val="center"/>
              <w:ind w:left="681"/>
              <w:spacing w:after="0"/>
              <w:rPr>
                <w:sz w:val="20"/>
                <w:szCs w:val="20"/>
                <w:color w:val="auto"/>
              </w:rPr>
            </w:pPr>
            <w:r>
              <w:rPr>
                <w:rFonts w:ascii="Times New Roman" w:cs="Times New Roman" w:eastAsia="Times New Roman" w:hAnsi="Times New Roman"/>
                <w:sz w:val="16"/>
                <w:szCs w:val="16"/>
                <w:color w:val="auto"/>
                <w:w w:val="98"/>
              </w:rPr>
              <w:t>(Unaudited)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 (a)</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Pr>
          <w:p>
            <w:pPr>
              <w:spacing w:after="0"/>
              <w:rPr>
                <w:sz w:val="18"/>
                <w:szCs w:val="18"/>
                <w:color w:val="auto"/>
              </w:rPr>
            </w:pP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-13.4 %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224"/>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-0.4 %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-9.7 %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194"/>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-1.9 %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3"/>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-5.1 %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24"/>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-5.7 %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98"/>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-11.6 %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9"/>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1"/>
        </w:trPr>
        <w:tc>
          <w:tcPr>
            <w:tcW w:w="54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4,771.6</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5,157.8</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-7.6 %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7"/>
                <w:szCs w:val="17"/>
                <w:color w:val="auto"/>
              </w:rPr>
            </w:pP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-46.7 %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-46.7 %</w:t>
            </w:r>
          </w:p>
        </w:tc>
        <w:tc>
          <w:tcPr>
            <w:tcW w:w="0" w:type="dxa"/>
            <w:vAlign w:val="bottom"/>
          </w:tcPr>
          <w:p>
            <w:pPr>
              <w:spacing w:after="0"/>
              <w:rPr>
                <w:sz w:val="1"/>
                <w:szCs w:val="1"/>
                <w:color w:val="auto"/>
              </w:rPr>
            </w:pPr>
          </w:p>
        </w:tc>
      </w:tr>
      <w:tr>
        <w:trPr>
          <w:trHeight w:val="219"/>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21.0 %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-33.2 %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05"/>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-9.4 %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8"/>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5.9 %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24"/>
        </w:trPr>
        <w:tc>
          <w:tcPr>
            <w:tcW w:w="54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-14.3 %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5"/>
        </w:trPr>
        <w:tc>
          <w:tcPr>
            <w:tcW w:w="5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-5.6 %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98"/>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53.6 %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107.7 %</w:t>
            </w:r>
          </w:p>
        </w:tc>
        <w:tc>
          <w:tcPr>
            <w:tcW w:w="0" w:type="dxa"/>
            <w:vAlign w:val="bottom"/>
          </w:tcPr>
          <w:p>
            <w:pPr>
              <w:spacing w:after="0"/>
              <w:rPr>
                <w:sz w:val="1"/>
                <w:szCs w:val="1"/>
                <w:color w:val="auto"/>
              </w:rPr>
            </w:pPr>
          </w:p>
        </w:tc>
      </w:tr>
      <w:tr>
        <w:trPr>
          <w:trHeight w:val="219"/>
        </w:trPr>
        <w:tc>
          <w:tcPr>
            <w:tcW w:w="5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11.5 %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0" w:type="dxa"/>
            <w:vAlign w:val="bottom"/>
          </w:tcPr>
          <w:p>
            <w:pPr>
              <w:spacing w:after="0"/>
              <w:rPr>
                <w:sz w:val="1"/>
                <w:szCs w:val="1"/>
                <w:color w:val="auto"/>
              </w:rPr>
            </w:pPr>
          </w:p>
        </w:tc>
      </w:tr>
      <w:tr>
        <w:trPr>
          <w:trHeight w:val="201"/>
        </w:trPr>
        <w:tc>
          <w:tcPr>
            <w:tcW w:w="5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(37.9 )</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(42.0 )</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-15.0 %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 (b)</w:t>
            </w:r>
          </w:p>
        </w:tc>
        <w:tc>
          <w:tcPr>
            <w:tcW w:w="2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4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-4340225</wp:posOffset>
            </wp:positionV>
            <wp:extent cx="7149465" cy="135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-4062095</wp:posOffset>
            </wp:positionV>
            <wp:extent cx="7149465" cy="412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12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-3514090</wp:posOffset>
            </wp:positionV>
            <wp:extent cx="7149465"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20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-2815590</wp:posOffset>
            </wp:positionV>
            <wp:extent cx="7149465" cy="4432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432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-2101850</wp:posOffset>
            </wp:positionV>
            <wp:extent cx="7149465" cy="285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85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-1546225</wp:posOffset>
            </wp:positionV>
            <wp:extent cx="714946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-1268730</wp:posOffset>
            </wp:positionV>
            <wp:extent cx="7149465" cy="555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5556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wp:posOffset>
            </wp:positionV>
            <wp:extent cx="7149465" cy="135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-21590</wp:posOffset>
            </wp:positionV>
            <wp:extent cx="749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4235450</wp:posOffset>
            </wp:positionH>
            <wp:positionV relativeFrom="paragraph">
              <wp:posOffset>-6985</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-21590</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-6985</wp:posOffset>
            </wp:positionV>
            <wp:extent cx="749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ind w:left="506" w:right="180" w:hanging="506"/>
        <w:spacing w:after="0" w:line="247" w:lineRule="auto"/>
        <w:tabs>
          <w:tab w:leader="none" w:pos="3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 fees received from our franchise offices of $3.2 million and $2.9 million for the three months ended March 31, 2023 and 2022, respectively. These fees are primarily based on revenues generated by the franchise offices, which were $99.3 million and $110.8 million for the three months ended March 31, 2023 and 2022, respectively.</w:t>
      </w:r>
    </w:p>
    <w:p>
      <w:pPr>
        <w:ind w:left="386" w:hanging="386"/>
        <w:spacing w:after="0"/>
        <w:tabs>
          <w:tab w:leader="none" w:pos="38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5" w:lineRule="exact"/>
        <w:rPr>
          <w:sz w:val="20"/>
          <w:szCs w:val="20"/>
          <w:color w:val="auto"/>
        </w:rPr>
      </w:pPr>
    </w:p>
    <w:tbl>
      <w:tblPr>
        <w:tblLayout w:type="fixed"/>
        <w:tblInd w:w="6" w:type="dxa"/>
        <w:tblCellMar>
          <w:top w:w="0" w:type="dxa"/>
          <w:left w:w="0" w:type="dxa"/>
          <w:bottom w:w="0" w:type="dxa"/>
          <w:right w:w="0" w:type="dxa"/>
        </w:tblCellMar>
      </w:tblPr>
      <w:tr>
        <w:trPr>
          <w:trHeight w:val="208"/>
        </w:trPr>
        <w:tc>
          <w:tcPr>
            <w:tcW w:w="7380" w:type="dxa"/>
            <w:vAlign w:val="bottom"/>
          </w:tcPr>
          <w:p>
            <w:pPr>
              <w:spacing w:after="0"/>
              <w:rPr>
                <w:sz w:val="18"/>
                <w:szCs w:val="18"/>
                <w:color w:val="auto"/>
              </w:rPr>
            </w:pPr>
          </w:p>
        </w:tc>
        <w:tc>
          <w:tcPr>
            <w:tcW w:w="12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5"/>
        </w:trPr>
        <w:tc>
          <w:tcPr>
            <w:tcW w:w="7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240" w:type="dxa"/>
            <w:vAlign w:val="bottom"/>
          </w:tcPr>
          <w:p>
            <w:pPr>
              <w:jc w:val="right"/>
              <w:ind w:right="10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7"/>
                <w:szCs w:val="17"/>
                <w:color w:val="auto"/>
              </w:rPr>
            </w:pPr>
          </w:p>
        </w:tc>
        <w:tc>
          <w:tcPr>
            <w:tcW w:w="600" w:type="dxa"/>
            <w:vAlign w:val="bottom"/>
            <w:gridSpan w:val="2"/>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r>
      <w:tr>
        <w:trPr>
          <w:trHeight w:val="216"/>
        </w:trPr>
        <w:tc>
          <w:tcPr>
            <w:tcW w:w="7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r>
      <w:tr>
        <w:trPr>
          <w:trHeight w:val="210"/>
        </w:trPr>
        <w:tc>
          <w:tcPr>
            <w:tcW w:w="7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Foreign exchange loss, net</w:t>
            </w:r>
          </w:p>
        </w:tc>
        <w:tc>
          <w:tcPr>
            <w:tcW w:w="1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r>
      <w:tr>
        <w:trPr>
          <w:trHeight w:val="213"/>
        </w:trPr>
        <w:tc>
          <w:tcPr>
            <w:tcW w:w="7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Miscellaneous income, net</w:t>
            </w:r>
          </w:p>
        </w:tc>
        <w:tc>
          <w:tcPr>
            <w:tcW w:w="12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(6.2 )</w:t>
            </w: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(6.7 )</w:t>
            </w:r>
          </w:p>
        </w:tc>
      </w:tr>
      <w:tr>
        <w:trPr>
          <w:trHeight w:val="205"/>
        </w:trPr>
        <w:tc>
          <w:tcPr>
            <w:tcW w:w="7380" w:type="dxa"/>
            <w:vAlign w:val="bottom"/>
            <w:tcBorders>
              <w:top w:val="single" w:sz="8" w:color="CFF0FC"/>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0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Borders>
              <w:top w:val="single" w:sz="8" w:color="CFF0FC"/>
            </w:tcBorders>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4"/>
        </w:trPr>
        <w:tc>
          <w:tcPr>
            <w:tcW w:w="7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-434975</wp:posOffset>
            </wp:positionV>
            <wp:extent cx="67310" cy="165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-434975</wp:posOffset>
            </wp:positionV>
            <wp:extent cx="67310" cy="165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312" w:right="279" w:bottom="1440" w:gutter="0" w:footer="0" w:header="0"/>
        </w:sectPr>
      </w:pPr>
    </w:p>
    <w:bookmarkStart w:id="7" w:name="page8"/>
    <w:bookmarkEnd w:id="7"/>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7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7"/>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gridSpan w:val="4"/>
          </w:tcPr>
          <w:p>
            <w:pPr>
              <w:jc w:val="right"/>
              <w:ind w:right="21"/>
              <w:spacing w:after="0"/>
              <w:rPr>
                <w:sz w:val="20"/>
                <w:szCs w:val="20"/>
                <w:color w:val="auto"/>
              </w:rPr>
            </w:pPr>
            <w:r>
              <w:rPr>
                <w:rFonts w:ascii="Times New Roman" w:cs="Times New Roman" w:eastAsia="Times New Roman" w:hAnsi="Times New Roman"/>
                <w:sz w:val="16"/>
                <w:szCs w:val="16"/>
                <w:color w:val="auto"/>
              </w:rPr>
              <w:t>(Unaudited)</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7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5,137.4</w:t>
            </w:r>
          </w:p>
        </w:tc>
        <w:tc>
          <w:tcPr>
            <w:tcW w:w="120" w:type="dxa"/>
            <w:vAlign w:val="bottom"/>
          </w:tcPr>
          <w:p>
            <w:pPr>
              <w:spacing w:after="0"/>
              <w:rPr>
                <w:sz w:val="18"/>
                <w:szCs w:val="18"/>
                <w:color w:val="auto"/>
              </w:rPr>
            </w:pPr>
          </w:p>
        </w:tc>
      </w:tr>
      <w:tr>
        <w:trPr>
          <w:trHeight w:val="213"/>
        </w:trPr>
        <w:tc>
          <w:tcPr>
            <w:tcW w:w="7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5,934.4</w:t>
            </w:r>
          </w:p>
        </w:tc>
        <w:tc>
          <w:tcPr>
            <w:tcW w:w="120" w:type="dxa"/>
            <w:vAlign w:val="bottom"/>
          </w:tcPr>
          <w:p>
            <w:pPr>
              <w:spacing w:after="0"/>
              <w:rPr>
                <w:sz w:val="17"/>
                <w:szCs w:val="17"/>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549.5</w:t>
            </w: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w:t>
            </w:r>
          </w:p>
        </w:tc>
        <w:tc>
          <w:tcPr>
            <w:tcW w:w="120" w:type="dxa"/>
            <w:vAlign w:val="bottom"/>
          </w:tcPr>
          <w:p>
            <w:pPr>
              <w:spacing w:after="0"/>
              <w:rPr>
                <w:sz w:val="18"/>
                <w:szCs w:val="18"/>
                <w:color w:val="auto"/>
              </w:rPr>
            </w:pPr>
          </w:p>
        </w:tc>
      </w:tr>
      <w:tr>
        <w:trPr>
          <w:trHeight w:val="213"/>
        </w:trPr>
        <w:tc>
          <w:tcPr>
            <w:tcW w:w="7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3,083.8</w:t>
            </w:r>
          </w:p>
        </w:tc>
        <w:tc>
          <w:tcPr>
            <w:tcW w:w="120" w:type="dxa"/>
            <w:vAlign w:val="bottom"/>
          </w:tcPr>
          <w:p>
            <w:pPr>
              <w:spacing w:after="0"/>
              <w:rPr>
                <w:sz w:val="17"/>
                <w:szCs w:val="17"/>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120" w:type="dxa"/>
            <w:vAlign w:val="bottom"/>
          </w:tcPr>
          <w:p>
            <w:pPr>
              <w:spacing w:after="0"/>
              <w:rPr>
                <w:sz w:val="18"/>
                <w:szCs w:val="18"/>
                <w:color w:val="auto"/>
              </w:rPr>
            </w:pPr>
          </w:p>
        </w:tc>
      </w:tr>
      <w:tr>
        <w:trPr>
          <w:trHeight w:val="213"/>
        </w:trPr>
        <w:tc>
          <w:tcPr>
            <w:tcW w:w="7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20" w:type="dxa"/>
            <w:vAlign w:val="bottom"/>
          </w:tcPr>
          <w:p>
            <w:pPr>
              <w:spacing w:after="0"/>
              <w:rPr>
                <w:sz w:val="17"/>
                <w:szCs w:val="17"/>
                <w:color w:val="auto"/>
              </w:rPr>
            </w:pPr>
          </w:p>
        </w:tc>
      </w:tr>
      <w:tr>
        <w:trPr>
          <w:trHeight w:val="245"/>
        </w:trPr>
        <w:tc>
          <w:tcPr>
            <w:tcW w:w="7380" w:type="dxa"/>
            <w:vAlign w:val="bottom"/>
            <w:tcBorders>
              <w:bottom w:val="single" w:sz="8" w:color="CFF0FC"/>
            </w:tcBorders>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8,889.6</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89"/>
        </w:trPr>
        <w:tc>
          <w:tcPr>
            <w:tcW w:w="7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2,662.4</w:t>
            </w:r>
          </w:p>
        </w:tc>
        <w:tc>
          <w:tcPr>
            <w:tcW w:w="100" w:type="dxa"/>
            <w:vAlign w:val="bottom"/>
          </w:tcPr>
          <w:p>
            <w:pPr>
              <w:spacing w:after="0"/>
              <w:rPr>
                <w:sz w:val="18"/>
                <w:szCs w:val="18"/>
                <w:color w:val="auto"/>
              </w:rPr>
            </w:pPr>
          </w:p>
        </w:tc>
        <w:tc>
          <w:tcPr>
            <w:tcW w:w="5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2,831.4</w:t>
            </w: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271.7</w:t>
            </w: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572.6</w:t>
            </w: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120" w:type="dxa"/>
            <w:vAlign w:val="bottom"/>
          </w:tcPr>
          <w:p>
            <w:pPr>
              <w:spacing w:after="0"/>
              <w:rPr>
                <w:sz w:val="18"/>
                <w:szCs w:val="18"/>
                <w:color w:val="auto"/>
              </w:rPr>
            </w:pPr>
          </w:p>
        </w:tc>
      </w:tr>
      <w:tr>
        <w:trPr>
          <w:trHeight w:val="213"/>
        </w:trPr>
        <w:tc>
          <w:tcPr>
            <w:tcW w:w="7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4,911.7</w:t>
            </w:r>
          </w:p>
        </w:tc>
        <w:tc>
          <w:tcPr>
            <w:tcW w:w="120" w:type="dxa"/>
            <w:vAlign w:val="bottom"/>
          </w:tcPr>
          <w:p>
            <w:pPr>
              <w:spacing w:after="0"/>
              <w:rPr>
                <w:sz w:val="17"/>
                <w:szCs w:val="17"/>
                <w:color w:val="auto"/>
              </w:rPr>
            </w:pPr>
          </w:p>
        </w:tc>
      </w:tr>
      <w:tr>
        <w:trPr>
          <w:trHeight w:val="216"/>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20" w:type="dxa"/>
            <w:vAlign w:val="bottom"/>
          </w:tcPr>
          <w:p>
            <w:pPr>
              <w:spacing w:after="0"/>
              <w:rPr>
                <w:sz w:val="18"/>
                <w:szCs w:val="18"/>
                <w:color w:val="auto"/>
              </w:rPr>
            </w:pPr>
          </w:p>
        </w:tc>
      </w:tr>
      <w:tr>
        <w:trPr>
          <w:trHeight w:val="208"/>
        </w:trPr>
        <w:tc>
          <w:tcPr>
            <w:tcW w:w="73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other liabilities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120" w:type="dxa"/>
            <w:vAlign w:val="bottom"/>
            <w:shd w:val="clear" w:color="auto" w:fill="CFF0FC"/>
          </w:tcPr>
          <w:p>
            <w:pPr>
              <w:spacing w:after="0"/>
              <w:rPr>
                <w:sz w:val="18"/>
                <w:szCs w:val="18"/>
                <w:color w:val="auto"/>
              </w:rPr>
            </w:pPr>
          </w:p>
        </w:tc>
      </w:tr>
      <w:tr>
        <w:trPr>
          <w:trHeight w:val="211"/>
        </w:trPr>
        <w:tc>
          <w:tcPr>
            <w:tcW w:w="7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3,490.6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3,484.2</w:t>
            </w:r>
          </w:p>
        </w:tc>
        <w:tc>
          <w:tcPr>
            <w:tcW w:w="120" w:type="dxa"/>
            <w:vAlign w:val="bottom"/>
            <w:shd w:val="clear" w:color="auto" w:fill="CFF0FC"/>
          </w:tcPr>
          <w:p>
            <w:pPr>
              <w:spacing w:after="0"/>
              <w:rPr>
                <w:sz w:val="18"/>
                <w:szCs w:val="18"/>
                <w:color w:val="auto"/>
              </w:rPr>
            </w:pPr>
          </w:p>
        </w:tc>
      </w:tr>
      <w:tr>
        <w:trPr>
          <w:trHeight w:val="210"/>
        </w:trPr>
        <w:tc>
          <w:tcPr>
            <w:tcW w:w="7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3,868.5</w:t>
            </w:r>
          </w:p>
        </w:tc>
        <w:tc>
          <w:tcPr>
            <w:tcW w:w="120" w:type="dxa"/>
            <w:vAlign w:val="bottom"/>
          </w:tcPr>
          <w:p>
            <w:pPr>
              <w:spacing w:after="0"/>
              <w:rPr>
                <w:sz w:val="18"/>
                <w:szCs w:val="18"/>
                <w:color w:val="auto"/>
              </w:rPr>
            </w:pPr>
          </w:p>
        </w:tc>
      </w:tr>
      <w:tr>
        <w:trPr>
          <w:trHeight w:val="216"/>
        </w:trPr>
        <w:tc>
          <w:tcPr>
            <w:tcW w:w="7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(451.6 )</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(458.7 )</w:t>
            </w:r>
          </w:p>
        </w:tc>
      </w:tr>
      <w:tr>
        <w:trPr>
          <w:trHeight w:val="210"/>
        </w:trPr>
        <w:tc>
          <w:tcPr>
            <w:tcW w:w="7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w:t>
            </w:r>
          </w:p>
        </w:tc>
        <w:tc>
          <w:tcPr>
            <w:tcW w:w="3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(4,488.1 )</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(4,447.9 )</w:t>
            </w:r>
          </w:p>
        </w:tc>
      </w:tr>
      <w:tr>
        <w:trPr>
          <w:trHeight w:val="205"/>
        </w:trPr>
        <w:tc>
          <w:tcPr>
            <w:tcW w:w="7380" w:type="dxa"/>
            <w:vAlign w:val="bottom"/>
            <w:tcBorders>
              <w:bottom w:val="single" w:sz="8" w:color="CFF0FC"/>
            </w:tcBorders>
            <w:shd w:val="clear" w:color="auto" w:fill="CFF0FC"/>
          </w:tcPr>
          <w:p>
            <w:pPr>
              <w:jc w:val="right"/>
              <w:ind w:right="4121"/>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2,498.4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r>
      <w:tr>
        <w:trPr>
          <w:trHeight w:val="205"/>
        </w:trPr>
        <w:tc>
          <w:tcPr>
            <w:tcW w:w="73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2,509.4</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2,458.1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80" w:type="dxa"/>
            <w:vAlign w:val="bottom"/>
          </w:tcPr>
          <w:p>
            <w:pPr>
              <w:jc w:val="right"/>
              <w:ind w:right="4121"/>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8,889.6</w:t>
            </w:r>
          </w:p>
        </w:tc>
        <w:tc>
          <w:tcPr>
            <w:tcW w:w="100" w:type="dxa"/>
            <w:vAlign w:val="bottom"/>
          </w:tcPr>
          <w:p>
            <w:pPr>
              <w:spacing w:after="0"/>
              <w:rPr>
                <w:sz w:val="17"/>
                <w:szCs w:val="17"/>
                <w:color w:val="auto"/>
              </w:rPr>
            </w:pPr>
          </w:p>
        </w:tc>
        <w:tc>
          <w:tcPr>
            <w:tcW w:w="52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9,130.4</w:t>
            </w:r>
          </w:p>
        </w:tc>
        <w:tc>
          <w:tcPr>
            <w:tcW w:w="120" w:type="dxa"/>
            <w:vAlign w:val="bottom"/>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4"/>
        </w:trPr>
        <w:tc>
          <w:tcPr>
            <w:tcW w:w="7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-5391150</wp:posOffset>
            </wp:positionV>
            <wp:extent cx="67310" cy="142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-5391150</wp:posOffset>
            </wp:positionV>
            <wp:extent cx="67310"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-4572635</wp:posOffset>
            </wp:positionV>
            <wp:extent cx="6731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-4572635</wp:posOffset>
            </wp:positionV>
            <wp:extent cx="67310" cy="142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-4024630</wp:posOffset>
            </wp:positionV>
            <wp:extent cx="67310" cy="150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-4024630</wp:posOffset>
            </wp:positionV>
            <wp:extent cx="67310" cy="15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-3739515</wp:posOffset>
            </wp:positionV>
            <wp:extent cx="1359535" cy="157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59535" cy="15748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-2635250</wp:posOffset>
            </wp:positionV>
            <wp:extent cx="67310" cy="142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-2635250</wp:posOffset>
            </wp:positionV>
            <wp:extent cx="6731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-720090</wp:posOffset>
            </wp:positionV>
            <wp:extent cx="67310"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-720090</wp:posOffset>
            </wp:positionV>
            <wp:extent cx="67310" cy="150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-434975</wp:posOffset>
            </wp:positionV>
            <wp:extent cx="67310" cy="165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-434975</wp:posOffset>
            </wp:positionV>
            <wp:extent cx="67310" cy="165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8" w:name="page9"/>
    <w:bookmarkEnd w:id="8"/>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6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6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r>
      <w:tr>
        <w:trPr>
          <w:trHeight w:val="204"/>
        </w:trPr>
        <w:tc>
          <w:tcPr>
            <w:tcW w:w="7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Loss on sale of a subsidiary</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(96.9 )</w:t>
            </w:r>
          </w:p>
        </w:tc>
      </w:tr>
      <w:tr>
        <w:trPr>
          <w:trHeight w:val="216"/>
        </w:trPr>
        <w:tc>
          <w:tcPr>
            <w:tcW w:w="76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(17.1 )</w:t>
            </w:r>
          </w:p>
        </w:tc>
      </w:tr>
      <w:tr>
        <w:trPr>
          <w:trHeight w:val="210"/>
        </w:trPr>
        <w:tc>
          <w:tcPr>
            <w:tcW w:w="7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(358.3 )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8"/>
                <w:szCs w:val="18"/>
                <w:color w:val="auto"/>
              </w:rPr>
            </w:pPr>
          </w:p>
        </w:tc>
      </w:tr>
      <w:tr>
        <w:trPr>
          <w:trHeight w:val="205"/>
        </w:trPr>
        <w:tc>
          <w:tcPr>
            <w:tcW w:w="7620" w:type="dxa"/>
            <w:vAlign w:val="bottom"/>
            <w:tcBorders>
              <w:bottom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Capital expenditures</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(19.4 )</w:t>
            </w:r>
          </w:p>
        </w:tc>
      </w:tr>
      <w:tr>
        <w:trPr>
          <w:trHeight w:val="210"/>
        </w:trPr>
        <w:tc>
          <w:tcPr>
            <w:tcW w:w="7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the sales of subsidiaries and property and equipment</w:t>
            </w:r>
          </w:p>
        </w:tc>
        <w:tc>
          <w:tcPr>
            <w:tcW w:w="10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8"/>
                <w:szCs w:val="18"/>
                <w:color w:val="auto"/>
              </w:rPr>
            </w:pPr>
          </w:p>
        </w:tc>
      </w:tr>
      <w:tr>
        <w:trPr>
          <w:trHeight w:val="205"/>
        </w:trPr>
        <w:tc>
          <w:tcPr>
            <w:tcW w:w="7620" w:type="dxa"/>
            <w:vAlign w:val="bottom"/>
            <w:tcBorders>
              <w:bottom w:val="single" w:sz="8" w:color="CFF0FC"/>
            </w:tcBorders>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7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10"/>
        </w:trPr>
        <w:tc>
          <w:tcPr>
            <w:tcW w:w="7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Repayments of revolving debt facility</w:t>
            </w:r>
          </w:p>
        </w:tc>
        <w:tc>
          <w:tcPr>
            <w:tcW w:w="10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(25.0 )</w:t>
            </w:r>
          </w:p>
        </w:tc>
      </w:tr>
      <w:tr>
        <w:trPr>
          <w:trHeight w:val="216"/>
        </w:trPr>
        <w:tc>
          <w:tcPr>
            <w:tcW w:w="7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0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0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FF0FC"/>
          </w:tcPr>
          <w:p>
            <w:pPr>
              <w:spacing w:after="0"/>
              <w:rPr>
                <w:sz w:val="18"/>
                <w:szCs w:val="18"/>
                <w:color w:val="auto"/>
              </w:rPr>
            </w:pPr>
          </w:p>
        </w:tc>
      </w:tr>
      <w:tr>
        <w:trPr>
          <w:trHeight w:val="210"/>
        </w:trPr>
        <w:tc>
          <w:tcPr>
            <w:tcW w:w="76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0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r>
      <w:tr>
        <w:trPr>
          <w:trHeight w:val="213"/>
        </w:trPr>
        <w:tc>
          <w:tcPr>
            <w:tcW w:w="76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(59.9 )</w:t>
            </w:r>
          </w:p>
        </w:tc>
      </w:tr>
      <w:tr>
        <w:trPr>
          <w:trHeight w:val="20"/>
        </w:trPr>
        <w:tc>
          <w:tcPr>
            <w:tcW w:w="7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762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0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(95.8 )</w:t>
            </w:r>
          </w:p>
        </w:tc>
      </w:tr>
      <w:tr>
        <w:trPr>
          <w:trHeight w:val="205"/>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0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(70.5 )</w:t>
            </w:r>
          </w:p>
        </w:tc>
      </w:tr>
      <w:tr>
        <w:trPr>
          <w:trHeight w:val="213"/>
        </w:trPr>
        <w:tc>
          <w:tcPr>
            <w:tcW w:w="7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00" w:type="dxa"/>
            <w:vAlign w:val="bottom"/>
          </w:tcPr>
          <w:p>
            <w:pPr>
              <w:spacing w:after="0"/>
              <w:rPr>
                <w:sz w:val="17"/>
                <w:szCs w:val="17"/>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120" w:type="dxa"/>
            <w:vAlign w:val="bottom"/>
          </w:tcPr>
          <w:p>
            <w:pPr>
              <w:spacing w:after="0"/>
              <w:rPr>
                <w:sz w:val="17"/>
                <w:szCs w:val="17"/>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4"/>
        </w:trPr>
        <w:tc>
          <w:tcPr>
            <w:tcW w:w="7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-2642870</wp:posOffset>
            </wp:positionV>
            <wp:extent cx="6731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-2642870</wp:posOffset>
            </wp:positionV>
            <wp:extent cx="6731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-2087245</wp:posOffset>
            </wp:positionV>
            <wp:extent cx="67310" cy="142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-2087245</wp:posOffset>
            </wp:positionV>
            <wp:extent cx="6731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-998220</wp:posOffset>
            </wp:positionV>
            <wp:extent cx="67310" cy="150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-998220</wp:posOffset>
            </wp:positionV>
            <wp:extent cx="67310" cy="150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15049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-713105</wp:posOffset>
            </wp:positionV>
            <wp:extent cx="67310" cy="142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-713105</wp:posOffset>
            </wp:positionV>
            <wp:extent cx="67310" cy="142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142875"/>
                    </a:xfrm>
                    <a:prstGeom prst="rect">
                      <a:avLst/>
                    </a:prstGeom>
                    <a:noFill/>
                  </pic:spPr>
                </pic:pic>
              </a:graphicData>
            </a:graphic>
          </wp:anchor>
        </w:drawing>
        <w:drawing>
          <wp:anchor simplePos="0" relativeHeight="251657728" behindDoc="1" locked="0" layoutInCell="0" allowOverlap="1">
            <wp:simplePos x="0" y="0"/>
            <wp:positionH relativeFrom="column">
              <wp:posOffset>5869305</wp:posOffset>
            </wp:positionH>
            <wp:positionV relativeFrom="paragraph">
              <wp:posOffset>-434975</wp:posOffset>
            </wp:positionV>
            <wp:extent cx="67310" cy="165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-434975</wp:posOffset>
            </wp:positionV>
            <wp:extent cx="67310" cy="165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16510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312"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2023-04-20T06:50:12Z</dcterms:created>
  <dcterms:modified xsi:type="dcterms:W3CDTF">2023-04-20T06:50:12Z</dcterms:modified>
</cp:coreProperties>
</file>