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0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18,562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8,761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9,801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219,416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18,562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on February 9, 2020 and were settled in shares of ManpowerGroup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by Issuer to satisfy tax withholding obligations on shares acquired on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10,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406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-11430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735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2020-02-11T15:37:22Z</dcterms:created>
  <dcterms:modified xsi:type="dcterms:W3CDTF">2020-02-11T15:37:22Z</dcterms:modified>
</cp:coreProperties>
</file>