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78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86,496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86,496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87.35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45,447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45,447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47,166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47,166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17, 2023 in settlement of performance share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opening price on the New York Stock Exchange on February 21, 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17, 2026 and will be settled in shares of ManpowerGroup common stock on a 1 for 1 basis.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provided)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8909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2023-02-21T16:53:15Z</dcterms:created>
  <dcterms:modified xsi:type="dcterms:W3CDTF">2023-02-21T16:53:15Z</dcterms:modified>
</cp:coreProperties>
</file>