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31, 2011</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(d/b/a ManpowerGroup)</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Wisconsin</w:t>
            </w:r>
          </w:p>
        </w:tc>
        <w:tc>
          <w:tcPr>
            <w:tcW w:w="2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1-10686</w:t>
            </w:r>
          </w:p>
        </w:tc>
        <w:tc>
          <w:tcPr>
            <w:tcW w:w="3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39-1672779</w:t>
            </w:r>
          </w:p>
        </w:tc>
      </w:tr>
      <w:tr>
        <w:trPr>
          <w:trHeight w:val="198"/>
        </w:trPr>
        <w:tc>
          <w:tcPr>
            <w:tcW w:w="328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6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3160" w:type="dxa"/>
            <w:vAlign w:val="bottom"/>
          </w:tcPr>
          <w:p>
            <w:pPr>
              <w:ind w:left="360"/>
              <w:spacing w:after="0" w:line="198" w:lineRule="exact"/>
              <w:rPr>
                <w:sz w:val="20"/>
                <w:szCs w:val="20"/>
                <w:color w:val="auto"/>
              </w:rPr>
            </w:pPr>
            <w:r>
              <w:rPr>
                <w:rFonts w:ascii="Arial" w:cs="Arial" w:eastAsia="Arial" w:hAnsi="Arial"/>
                <w:sz w:val="18"/>
                <w:szCs w:val="18"/>
                <w:b w:val="1"/>
                <w:bCs w:val="1"/>
                <w:color w:val="auto"/>
                <w:w w:val="99"/>
              </w:rPr>
              <w:t>(IRS Employer Identification No.)</w:t>
            </w:r>
          </w:p>
        </w:tc>
      </w:tr>
      <w:tr>
        <w:trPr>
          <w:trHeight w:val="234"/>
        </w:trPr>
        <w:tc>
          <w:tcPr>
            <w:tcW w:w="3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incorporation)</w:t>
            </w:r>
          </w:p>
        </w:tc>
        <w:tc>
          <w:tcPr>
            <w:tcW w:w="26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684"/>
        </w:trPr>
        <w:tc>
          <w:tcPr>
            <w:tcW w:w="32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100 Manpower Place</w:t>
            </w: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1"/>
        </w:trPr>
        <w:tc>
          <w:tcPr>
            <w:tcW w:w="32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26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53212</w:t>
            </w:r>
          </w:p>
        </w:tc>
      </w:tr>
      <w:tr>
        <w:trPr>
          <w:trHeight w:val="234"/>
        </w:trPr>
        <w:tc>
          <w:tcPr>
            <w:tcW w:w="596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ind w:left="380"/>
              <w:spacing w:after="0"/>
              <w:rPr>
                <w:sz w:val="20"/>
                <w:szCs w:val="20"/>
                <w:color w:val="auto"/>
              </w:rPr>
            </w:pPr>
            <w:r>
              <w:rPr>
                <w:rFonts w:ascii="Arial" w:cs="Arial" w:eastAsia="Arial" w:hAnsi="Arial"/>
                <w:sz w:val="18"/>
                <w:szCs w:val="18"/>
                <w:b w:val="1"/>
                <w:bCs w:val="1"/>
                <w:color w:val="auto"/>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7.01 of this Form 8-K is incorporated by reference into this Item 2.02.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 Attached hereto as Exhibit 99 is our Operating Unit Results since January 1, 2009, revised to conform to the current year presentation.</w:t>
      </w:r>
    </w:p>
    <w:p>
      <w:pPr>
        <w:spacing w:after="0" w:line="22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information furnished pursuant to this Item 7.01 and Item 2.02 of this Form 8-K, including Exhibit 99 attached hereto, is not deemed “filed” for the purposes of Section 18 of the Securities Exchange Act of 1934, or otherwise subject to the liabilities of that section. Further, such information, including Exhibit 99, shall not be deemed to be incorporated by reference into the filings of the registrant under the Securities Act of 1933.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w w:val="92"/>
              </w:rPr>
              <w:t>Item 9.01.</w:t>
            </w: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2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right"/>
              <w:ind w:right="650"/>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Unit Results reflecting the restatement of segment results</w:t>
            </w:r>
          </w:p>
        </w:tc>
        <w:tc>
          <w:tcPr>
            <w:tcW w:w="2280" w:type="dxa"/>
            <w:vAlign w:val="bottom"/>
          </w:tcPr>
          <w:p>
            <w:pPr>
              <w:spacing w:after="0"/>
              <w:rPr>
                <w:sz w:val="20"/>
                <w:szCs w:val="20"/>
                <w:color w:val="auto"/>
              </w:rPr>
            </w:pPr>
          </w:p>
        </w:tc>
      </w:tr>
      <w:tr>
        <w:trPr>
          <w:trHeight w:val="739"/>
        </w:trPr>
        <w:tc>
          <w:tcPr>
            <w:tcW w:w="2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(d/b/a ManpowerGroup)</w:t>
      </w:r>
    </w:p>
    <w:p>
      <w:pPr>
        <w:spacing w:after="0" w:line="211"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March 31,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1266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94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760" w:type="dxa"/>
            <w:vAlign w:val="bottom"/>
          </w:tcPr>
          <w:p>
            <w:pPr>
              <w:jc w:val="right"/>
              <w:ind w:right="650"/>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Unit Results reflecting the restatement of segment results</w:t>
            </w:r>
          </w:p>
        </w:tc>
      </w:tr>
    </w:tbl>
    <w:p>
      <w:pPr>
        <w:sectPr>
          <w:pgSz w:w="11900" w:h="16838" w:orient="portrait"/>
          <w:cols w:equalWidth="0" w:num="1">
            <w:col w:w="10219"/>
          </w:cols>
          <w:pgMar w:left="240" w:top="364" w:right="1440" w:bottom="1440" w:gutter="0" w:footer="0" w:header="0"/>
        </w:sectPr>
      </w:pPr>
    </w:p>
    <w:bookmarkStart w:id="4" w:name="page5"/>
    <w:bookmarkEnd w:id="4"/>
    <w:p>
      <w:pPr>
        <w:ind w:left="10460"/>
        <w:spacing w:after="0"/>
        <w:rPr>
          <w:sz w:val="20"/>
          <w:szCs w:val="20"/>
          <w:color w:val="auto"/>
        </w:rPr>
      </w:pPr>
      <w:r>
        <w:rPr>
          <w:rFonts w:ascii="Arial" w:cs="Arial" w:eastAsia="Arial" w:hAnsi="Arial"/>
          <w:sz w:val="19"/>
          <w:szCs w:val="19"/>
          <w:b w:val="1"/>
          <w:bCs w:val="1"/>
          <w:color w:val="auto"/>
        </w:rPr>
        <w:t>Exhibit 99</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 Inc. (d/b/a ManpowerGroup)</w:t>
      </w:r>
    </w:p>
    <w:p>
      <w:pPr>
        <w:jc w:val="center"/>
        <w:spacing w:after="0" w:line="235" w:lineRule="auto"/>
        <w:rPr>
          <w:sz w:val="20"/>
          <w:szCs w:val="20"/>
          <w:color w:val="auto"/>
        </w:rPr>
      </w:pPr>
      <w:r>
        <w:rPr>
          <w:rFonts w:ascii="Arial" w:cs="Arial" w:eastAsia="Arial" w:hAnsi="Arial"/>
          <w:sz w:val="22"/>
          <w:szCs w:val="22"/>
          <w:color w:val="auto"/>
        </w:rPr>
        <w:t>Restated Operating Unit Results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4"/>
              </w:rPr>
              <w:t>Three Months Ended March 31</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w w:val="91"/>
              </w:rPr>
              <w:t>Three Months Ended 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 Variance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 Variance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ind w:left="100"/>
              <w:spacing w:after="0" w:line="198" w:lineRule="exact"/>
              <w:rPr>
                <w:sz w:val="20"/>
                <w:szCs w:val="20"/>
                <w:color w:val="auto"/>
              </w:rPr>
            </w:pPr>
            <w:r>
              <w:rPr>
                <w:rFonts w:ascii="Arial" w:cs="Arial" w:eastAsia="Arial" w:hAnsi="Arial"/>
                <w:sz w:val="18"/>
                <w:szCs w:val="18"/>
                <w:b w:val="1"/>
                <w:bCs w:val="1"/>
                <w:color w:val="auto"/>
                <w:w w:val="99"/>
              </w:rPr>
              <w:t>Constant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Constant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Reported</w:t>
            </w:r>
          </w:p>
        </w:tc>
        <w:tc>
          <w:tcPr>
            <w:tcW w:w="260" w:type="dxa"/>
            <w:vAlign w:val="bottom"/>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Currency</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82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82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60"/>
              <w:spacing w:after="0"/>
              <w:rPr>
                <w:sz w:val="20"/>
                <w:szCs w:val="20"/>
                <w:color w:val="auto"/>
              </w:rPr>
            </w:pPr>
            <w:r>
              <w:rPr>
                <w:rFonts w:ascii="Arial" w:cs="Arial" w:eastAsia="Arial" w:hAnsi="Arial"/>
                <w:sz w:val="18"/>
                <w:szCs w:val="18"/>
                <w:color w:val="auto"/>
              </w:rPr>
              <w:t>Other Americas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294.5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777.2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Southern Europe: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60"/>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1,107.5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1,100.1</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60"/>
              <w:spacing w:after="0"/>
              <w:rPr>
                <w:sz w:val="20"/>
                <w:szCs w:val="20"/>
                <w:color w:val="auto"/>
              </w:rPr>
            </w:pPr>
            <w:r>
              <w:rPr>
                <w:rFonts w:ascii="Arial" w:cs="Arial" w:eastAsia="Arial" w:hAnsi="Arial"/>
                <w:sz w:val="18"/>
                <w:szCs w:val="18"/>
                <w:color w:val="auto"/>
              </w:rPr>
              <w:t>Other Southern Europe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1,500.1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Northern Europe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1,221.2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Arial" w:cs="Arial" w:eastAsia="Arial" w:hAnsi="Arial"/>
                <w:sz w:val="18"/>
                <w:szCs w:val="18"/>
                <w:color w:val="auto"/>
              </w:rPr>
              <w:t>APME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497.5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Management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4,099.3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3,643.0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4,585.6</w:t>
            </w: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3,793.5</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7"/>
              </w:rPr>
              <w:t>Operating Unit Profit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Americas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80"/>
              <w:spacing w:after="0"/>
              <w:rPr>
                <w:sz w:val="20"/>
                <w:szCs w:val="20"/>
                <w:color w:val="auto"/>
              </w:rPr>
            </w:pPr>
            <w:r>
              <w:rPr>
                <w:rFonts w:ascii="Arial" w:cs="Arial" w:eastAsia="Arial" w:hAnsi="Arial"/>
                <w:sz w:val="18"/>
                <w:szCs w:val="18"/>
                <w:color w:val="auto"/>
              </w:rPr>
              <w:t>Southern Europe: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60"/>
              <w:spacing w:after="0"/>
              <w:rPr>
                <w:sz w:val="20"/>
                <w:szCs w:val="20"/>
                <w:color w:val="auto"/>
              </w:rPr>
            </w:pPr>
            <w:r>
              <w:rPr>
                <w:rFonts w:ascii="Arial" w:cs="Arial" w:eastAsia="Arial" w:hAnsi="Arial"/>
                <w:sz w:val="18"/>
                <w:szCs w:val="18"/>
                <w:color w:val="auto"/>
              </w:rPr>
              <w:t>Italy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384.9%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361.8%</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Southern Europe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1849.4%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1677.2%</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Corporate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Intangible asset amortization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rPr>
              <w:t>Reclassification of French</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business tax</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7"/>
              </w:rPr>
              <w:t>Interest and other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Earnings (loss) before</w:t>
            </w: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22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9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CCEEFF"/>
              <w:bottom w:val="single" w:sz="8" w:color="808080"/>
            </w:tcBorders>
          </w:tcPr>
          <w:p>
            <w:pPr>
              <w:spacing w:after="0"/>
              <w:rPr>
                <w:sz w:val="24"/>
                <w:szCs w:val="24"/>
                <w:color w:val="auto"/>
              </w:rPr>
            </w:pPr>
          </w:p>
        </w:tc>
        <w:tc>
          <w:tcPr>
            <w:tcW w:w="9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9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90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Six Months Ended 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 Variance</w:t>
            </w:r>
          </w:p>
        </w:tc>
        <w:tc>
          <w:tcPr>
            <w:tcW w:w="160" w:type="dxa"/>
            <w:vAlign w:val="bottom"/>
          </w:tcPr>
          <w:p>
            <w:pPr>
              <w:spacing w:after="0"/>
              <w:rPr>
                <w:sz w:val="19"/>
                <w:szCs w:val="19"/>
                <w:color w:val="auto"/>
              </w:rPr>
            </w:pPr>
          </w:p>
        </w:tc>
      </w:tr>
      <w:tr>
        <w:trPr>
          <w:trHeight w:val="198"/>
        </w:trPr>
        <w:tc>
          <w:tcPr>
            <w:tcW w:w="4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Constant</w:t>
            </w:r>
          </w:p>
        </w:tc>
        <w:tc>
          <w:tcPr>
            <w:tcW w:w="160" w:type="dxa"/>
            <w:vAlign w:val="bottom"/>
          </w:tcPr>
          <w:p>
            <w:pPr>
              <w:spacing w:after="0"/>
              <w:rPr>
                <w:sz w:val="17"/>
                <w:szCs w:val="17"/>
                <w:color w:val="auto"/>
              </w:rPr>
            </w:pPr>
          </w:p>
        </w:tc>
      </w:tr>
      <w:tr>
        <w:trPr>
          <w:trHeight w:val="241"/>
        </w:trPr>
        <w:tc>
          <w:tcPr>
            <w:tcW w:w="4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20"/>
                <w:szCs w:val="20"/>
                <w:color w:val="auto"/>
              </w:rPr>
            </w:pPr>
          </w:p>
        </w:tc>
      </w:tr>
      <w:tr>
        <w:trPr>
          <w:trHeight w:val="216"/>
        </w:trPr>
        <w:tc>
          <w:tcPr>
            <w:tcW w:w="4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Arial" w:cs="Arial" w:eastAsia="Arial" w:hAnsi="Arial"/>
                <w:sz w:val="18"/>
                <w:szCs w:val="18"/>
                <w:color w:val="auto"/>
              </w:rPr>
              <w:t>Americas: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r>
      <w:tr>
        <w:trPr>
          <w:trHeight w:val="223"/>
        </w:trPr>
        <w:tc>
          <w:tcPr>
            <w:tcW w:w="4540" w:type="dxa"/>
            <w:vAlign w:val="bottom"/>
          </w:tcPr>
          <w:p>
            <w:pPr>
              <w:ind w:left="280"/>
              <w:spacing w:after="0"/>
              <w:rPr>
                <w:sz w:val="20"/>
                <w:szCs w:val="20"/>
                <w:color w:val="auto"/>
              </w:rPr>
            </w:pPr>
            <w:r>
              <w:rPr>
                <w:rFonts w:ascii="Arial" w:cs="Arial" w:eastAsia="Arial" w:hAnsi="Arial"/>
                <w:sz w:val="18"/>
                <w:szCs w:val="18"/>
                <w:color w:val="auto"/>
              </w:rPr>
              <w:t>Other Americas</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600.6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439.9</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23"/>
        </w:trPr>
        <w:tc>
          <w:tcPr>
            <w:tcW w:w="454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r>
      <w:tr>
        <w:trPr>
          <w:trHeight w:val="216"/>
        </w:trPr>
        <w:tc>
          <w:tcPr>
            <w:tcW w:w="4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Southern Europe: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France</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2,057.0</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4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Italy</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23"/>
        </w:trPr>
        <w:tc>
          <w:tcPr>
            <w:tcW w:w="4540" w:type="dxa"/>
            <w:vAlign w:val="bottom"/>
          </w:tcPr>
          <w:p>
            <w:pPr>
              <w:ind w:left="280"/>
              <w:spacing w:after="0"/>
              <w:rPr>
                <w:sz w:val="20"/>
                <w:szCs w:val="20"/>
                <w:color w:val="auto"/>
              </w:rPr>
            </w:pPr>
            <w:r>
              <w:rPr>
                <w:rFonts w:ascii="Arial" w:cs="Arial" w:eastAsia="Arial" w:hAnsi="Arial"/>
                <w:sz w:val="18"/>
                <w:szCs w:val="18"/>
                <w:color w:val="auto"/>
              </w:rPr>
              <w:t>Other Southern Europe</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326.9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253.1</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23"/>
        </w:trPr>
        <w:tc>
          <w:tcPr>
            <w:tcW w:w="454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2,760.6</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4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Northern Europe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4540" w:type="dxa"/>
            <w:vAlign w:val="bottom"/>
          </w:tcPr>
          <w:p>
            <w:pPr>
              <w:ind w:left="80"/>
              <w:spacing w:after="0"/>
              <w:rPr>
                <w:sz w:val="20"/>
                <w:szCs w:val="20"/>
                <w:color w:val="auto"/>
              </w:rPr>
            </w:pPr>
            <w:r>
              <w:rPr>
                <w:rFonts w:ascii="Arial" w:cs="Arial" w:eastAsia="Arial" w:hAnsi="Arial"/>
                <w:sz w:val="18"/>
                <w:szCs w:val="18"/>
                <w:color w:val="auto"/>
              </w:rPr>
              <w:t>APME</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831.4</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Management</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r>
      <w:tr>
        <w:trPr>
          <w:trHeight w:val="27"/>
        </w:trPr>
        <w:tc>
          <w:tcPr>
            <w:tcW w:w="45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540" w:type="dxa"/>
            <w:vAlign w:val="bottom"/>
          </w:tcPr>
          <w:p>
            <w:pPr>
              <w:spacing w:after="0"/>
              <w:rPr>
                <w:sz w:val="18"/>
                <w:szCs w:val="18"/>
                <w:color w:val="auto"/>
              </w:rPr>
            </w:pPr>
          </w:p>
        </w:tc>
        <w:tc>
          <w:tcPr>
            <w:tcW w:w="2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8,684.9</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7,436.5</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1"/>
        </w:trPr>
        <w:tc>
          <w:tcPr>
            <w:tcW w:w="4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60"/>
              <w:spacing w:after="0"/>
              <w:rPr>
                <w:sz w:val="20"/>
                <w:szCs w:val="20"/>
                <w:color w:val="auto"/>
              </w:rPr>
            </w:pPr>
            <w:r>
              <w:rPr>
                <w:rFonts w:ascii="Arial" w:cs="Arial" w:eastAsia="Arial" w:hAnsi="Arial"/>
                <w:sz w:val="18"/>
                <w:szCs w:val="18"/>
                <w:color w:val="auto"/>
              </w:rPr>
              <w:t>Operating Unit Profit (Loss):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Americas: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Americas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w:t>
            </w:r>
          </w:p>
        </w:tc>
      </w:tr>
      <w:tr>
        <w:trPr>
          <w:trHeight w:val="27"/>
        </w:trPr>
        <w:tc>
          <w:tcPr>
            <w:tcW w:w="45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4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rPr>
              <w:t>Southern Europe:</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r>
      <w:tr>
        <w:trPr>
          <w:trHeight w:val="216"/>
        </w:trPr>
        <w:tc>
          <w:tcPr>
            <w:tcW w:w="4540" w:type="dxa"/>
            <w:vAlign w:val="bottom"/>
          </w:tcPr>
          <w:p>
            <w:pPr>
              <w:ind w:left="280"/>
              <w:spacing w:after="0"/>
              <w:rPr>
                <w:sz w:val="20"/>
                <w:szCs w:val="20"/>
                <w:color w:val="auto"/>
              </w:rPr>
            </w:pPr>
            <w:r>
              <w:rPr>
                <w:rFonts w:ascii="Arial" w:cs="Arial" w:eastAsia="Arial" w:hAnsi="Arial"/>
                <w:sz w:val="18"/>
                <w:szCs w:val="18"/>
                <w:color w:val="auto"/>
              </w:rPr>
              <w:t>Italy</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157.5%</w:t>
            </w:r>
          </w:p>
        </w:tc>
      </w:tr>
      <w:tr>
        <w:trPr>
          <w:trHeight w:val="216"/>
        </w:trPr>
        <w:tc>
          <w:tcPr>
            <w:tcW w:w="4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Southern Europe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7"/>
        </w:trPr>
        <w:tc>
          <w:tcPr>
            <w:tcW w:w="45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4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316.9%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342.1%</w:t>
            </w:r>
          </w:p>
        </w:tc>
      </w:tr>
      <w:tr>
        <w:trPr>
          <w:trHeight w:val="216"/>
        </w:trPr>
        <w:tc>
          <w:tcPr>
            <w:tcW w:w="45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rPr>
              <w:t>Northern Europe</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APME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216"/>
        </w:trPr>
        <w:tc>
          <w:tcPr>
            <w:tcW w:w="4540" w:type="dxa"/>
            <w:vAlign w:val="bottom"/>
          </w:tcPr>
          <w:p>
            <w:pPr>
              <w:ind w:left="100"/>
              <w:spacing w:after="0"/>
              <w:rPr>
                <w:sz w:val="20"/>
                <w:szCs w:val="20"/>
                <w:color w:val="auto"/>
              </w:rPr>
            </w:pPr>
            <w:r>
              <w:rPr>
                <w:rFonts w:ascii="Arial" w:cs="Arial" w:eastAsia="Arial" w:hAnsi="Arial"/>
                <w:sz w:val="18"/>
                <w:szCs w:val="18"/>
                <w:color w:val="auto"/>
              </w:rPr>
              <w:t>Right Management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r>
      <w:tr>
        <w:trPr>
          <w:trHeight w:val="27"/>
        </w:trPr>
        <w:tc>
          <w:tcPr>
            <w:tcW w:w="4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Corporate expenses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 amortization</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Reclassification of French</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business tax</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441.4%</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4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Earnings (loss) before</w:t>
            </w:r>
          </w:p>
        </w:tc>
        <w:tc>
          <w:tcPr>
            <w:tcW w:w="2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503"/>
        </w:trPr>
        <w:tc>
          <w:tcPr>
            <w:tcW w:w="4540" w:type="dxa"/>
            <w:vAlign w:val="bottom"/>
            <w:tcBorders>
              <w:top w:val="single" w:sz="8" w:color="CCEEFF"/>
              <w:bottom w:val="single" w:sz="8" w:color="808080"/>
            </w:tcBorders>
          </w:tcPr>
          <w:p>
            <w:pPr>
              <w:spacing w:after="0"/>
              <w:rPr>
                <w:sz w:val="24"/>
                <w:szCs w:val="24"/>
                <w:color w:val="auto"/>
              </w:rPr>
            </w:pPr>
          </w:p>
        </w:tc>
        <w:tc>
          <w:tcPr>
            <w:tcW w:w="24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9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CCEEFF"/>
              <w:bottom w:val="single" w:sz="8" w:color="808080"/>
            </w:tcBorders>
          </w:tcPr>
          <w:p>
            <w:pPr>
              <w:spacing w:after="0"/>
              <w:rPr>
                <w:sz w:val="24"/>
                <w:szCs w:val="24"/>
                <w:color w:val="auto"/>
              </w:rPr>
            </w:pPr>
          </w:p>
        </w:tc>
        <w:tc>
          <w:tcPr>
            <w:tcW w:w="90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9"/>
          </w:tcPr>
          <w:p>
            <w:pPr>
              <w:jc w:val="right"/>
              <w:ind w:right="106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4280" w:type="dxa"/>
            <w:vAlign w:val="bottom"/>
            <w:gridSpan w:val="9"/>
          </w:tcPr>
          <w:p>
            <w:pPr>
              <w:jc w:val="right"/>
              <w:ind w:right="980"/>
              <w:spacing w:after="0"/>
              <w:rPr>
                <w:sz w:val="20"/>
                <w:szCs w:val="20"/>
                <w:color w:val="auto"/>
              </w:rPr>
            </w:pPr>
            <w:r>
              <w:rPr>
                <w:rFonts w:ascii="Arial" w:cs="Arial" w:eastAsia="Arial" w:hAnsi="Arial"/>
                <w:sz w:val="18"/>
                <w:szCs w:val="18"/>
                <w:b w:val="1"/>
                <w:bCs w:val="1"/>
                <w:color w:val="auto"/>
              </w:rPr>
              <w:t>Three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 Variance</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 Variance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Constant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Constant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Reported</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jc w:val="right"/>
              <w:ind w:right="82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right"/>
              <w:ind w:right="82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Other Americas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1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Southern Europe: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1,304.4</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Italy</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Other Southern Europe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1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Northern Europe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APME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588.3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468.7</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Management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4,972.0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4,189.6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5,209.6</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4,412.6</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Operating Unit Profit (Loss):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Americas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415.1%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409.9%</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Southern Europe: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Southern Europe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744.6%</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177.0%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Goodwill and intangible asset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(428.8)</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French</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business tax</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(342.6)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Earnings (loss) before</w:t>
            </w: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(352.6)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jc w:val="center"/>
              <w:ind w:left="550"/>
              <w:spacing w:after="0"/>
              <w:rPr>
                <w:sz w:val="20"/>
                <w:szCs w:val="20"/>
                <w:color w:val="auto"/>
              </w:rPr>
            </w:pPr>
            <w:r>
              <w:rPr>
                <w:rFonts w:ascii="Arial" w:cs="Arial" w:eastAsia="Arial" w:hAnsi="Arial"/>
                <w:sz w:val="18"/>
                <w:szCs w:val="18"/>
                <w:b w:val="1"/>
                <w:bCs w:val="1"/>
                <w:color w:val="auto"/>
                <w:w w:val="90"/>
              </w:rPr>
              <w:t>Nine Months Ended September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2"/>
              </w:rPr>
              <w:t>Year Ended December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 Variance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 Variance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ind w:left="140"/>
              <w:spacing w:after="0" w:line="198" w:lineRule="exact"/>
              <w:rPr>
                <w:sz w:val="20"/>
                <w:szCs w:val="20"/>
                <w:color w:val="auto"/>
              </w:rPr>
            </w:pPr>
            <w:r>
              <w:rPr>
                <w:rFonts w:ascii="Arial" w:cs="Arial" w:eastAsia="Arial" w:hAnsi="Arial"/>
                <w:sz w:val="18"/>
                <w:szCs w:val="18"/>
                <w:b w:val="1"/>
                <w:bCs w:val="1"/>
                <w:color w:val="auto"/>
              </w:rPr>
              <w:t>Amount</w:t>
            </w:r>
          </w:p>
        </w:tc>
        <w:tc>
          <w:tcPr>
            <w:tcW w:w="8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9"/>
              </w:rPr>
              <w:t>Constant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Constant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Reported</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Currency</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Reported</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color w:val="auto"/>
                <w:w w:val="91"/>
              </w:rPr>
              <w:t>(Unaudited)</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82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Other Americas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1,990.4</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2,753.3</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Southern Europe: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3,371.1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4,675.5</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Italy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Other Southern Europe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420.6</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698.9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590.9</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6,217.2</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Northern Europe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8"/>
                <w:szCs w:val="18"/>
                <w:color w:val="auto"/>
              </w:rPr>
              <w:t>APME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1,259.3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1,728.0</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Management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13,656.9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11,626.1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18,866.5</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16,038.7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Operating Unit Profit (Loss):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Americas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Southern Europe: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60"/>
              <w:spacing w:after="0"/>
              <w:rPr>
                <w:sz w:val="20"/>
                <w:szCs w:val="20"/>
                <w:color w:val="auto"/>
              </w:rPr>
            </w:pPr>
            <w:r>
              <w:rPr>
                <w:rFonts w:ascii="Arial" w:cs="Arial" w:eastAsia="Arial" w:hAnsi="Arial"/>
                <w:sz w:val="18"/>
                <w:szCs w:val="18"/>
                <w:color w:val="auto"/>
              </w:rPr>
              <w:t>Italy</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Southern Europe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543.8%</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562.7%</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267.9%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Corporate expenses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Goodwill and intangible asset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(428.8)</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Intangible asset amortization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French</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business tax</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Earnings (loss) before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(165.2)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2019-12-10T09:13:49Z</dcterms:created>
  <dcterms:modified xsi:type="dcterms:W3CDTF">2019-12-10T09:13:49Z</dcterms:modified>
</cp:coreProperties>
</file>