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FORM 8-K</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14, 2006</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420" w:type="dxa"/>
        <w:tblCellMar>
          <w:top w:w="0" w:type="dxa"/>
          <w:left w:w="0" w:type="dxa"/>
          <w:bottom w:w="0" w:type="dxa"/>
          <w:right w:w="0" w:type="dxa"/>
        </w:tblCellMar>
      </w:tblPr>
      <w:tr>
        <w:trPr>
          <w:trHeight w:val="253"/>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Wisconsin</w:t>
            </w:r>
          </w:p>
        </w:tc>
        <w:tc>
          <w:tcPr>
            <w:tcW w:w="1080" w:type="dxa"/>
            <w:vAlign w:val="bottom"/>
            <w:gridSpan w:val="2"/>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1-10686</w:t>
            </w:r>
          </w:p>
        </w:tc>
        <w:tc>
          <w:tcPr>
            <w:tcW w:w="1300" w:type="dxa"/>
            <w:vAlign w:val="bottom"/>
          </w:tcPr>
          <w:p>
            <w:pPr>
              <w:spacing w:after="0"/>
              <w:rPr>
                <w:sz w:val="22"/>
                <w:szCs w:val="22"/>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39-1672779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00" w:type="dxa"/>
            <w:vAlign w:val="bottom"/>
            <w:gridSpan w:val="4"/>
          </w:tcPr>
          <w:p>
            <w:pPr>
              <w:jc w:val="center"/>
              <w:ind w:right="1020"/>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2460" w:type="dxa"/>
            <w:vAlign w:val="bottom"/>
            <w:gridSpan w:val="2"/>
          </w:tcPr>
          <w:p>
            <w:pPr>
              <w:jc w:val="center"/>
              <w:ind w:right="1300"/>
              <w:spacing w:after="0"/>
              <w:rPr>
                <w:sz w:val="20"/>
                <w:szCs w:val="20"/>
                <w:color w:val="auto"/>
              </w:rPr>
            </w:pPr>
            <w:r>
              <w:rPr>
                <w:rFonts w:ascii="Times New Roman" w:cs="Times New Roman" w:eastAsia="Times New Roman" w:hAnsi="Times New Roman"/>
                <w:sz w:val="22"/>
                <w:szCs w:val="22"/>
                <w:color w:val="auto"/>
                <w:w w:val="97"/>
              </w:rPr>
              <w:t>(Commission</w:t>
            </w:r>
          </w:p>
        </w:tc>
        <w:tc>
          <w:tcPr>
            <w:tcW w:w="120" w:type="dxa"/>
            <w:vAlign w:val="bottom"/>
          </w:tcPr>
          <w:p>
            <w:pPr>
              <w:spacing w:after="0"/>
              <w:rPr>
                <w:sz w:val="22"/>
                <w:szCs w:val="2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(IRS Employer</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3"/>
          </w:tcPr>
          <w:p>
            <w:pPr>
              <w:jc w:val="center"/>
              <w:ind w:right="1080"/>
              <w:spacing w:after="0"/>
              <w:rPr>
                <w:sz w:val="20"/>
                <w:szCs w:val="20"/>
                <w:color w:val="auto"/>
              </w:rPr>
            </w:pPr>
            <w:r>
              <w:rPr>
                <w:rFonts w:ascii="Times New Roman" w:cs="Times New Roman" w:eastAsia="Times New Roman" w:hAnsi="Times New Roman"/>
                <w:sz w:val="22"/>
                <w:szCs w:val="22"/>
                <w:color w:val="auto"/>
                <w:w w:val="97"/>
              </w:rPr>
              <w:t>of incorporation)</w:t>
            </w:r>
          </w:p>
        </w:tc>
        <w:tc>
          <w:tcPr>
            <w:tcW w:w="2460" w:type="dxa"/>
            <w:vAlign w:val="bottom"/>
            <w:gridSpan w:val="2"/>
          </w:tcPr>
          <w:p>
            <w:pPr>
              <w:jc w:val="center"/>
              <w:ind w:right="1300"/>
              <w:spacing w:after="0"/>
              <w:rPr>
                <w:sz w:val="20"/>
                <w:szCs w:val="20"/>
                <w:color w:val="auto"/>
              </w:rPr>
            </w:pPr>
            <w:r>
              <w:rPr>
                <w:rFonts w:ascii="Times New Roman" w:cs="Times New Roman" w:eastAsia="Times New Roman" w:hAnsi="Times New Roman"/>
                <w:sz w:val="22"/>
                <w:szCs w:val="22"/>
                <w:color w:val="auto"/>
                <w:w w:val="97"/>
              </w:rPr>
              <w:t>File Number)</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c>
          <w:tcPr>
            <w:tcW w:w="0" w:type="dxa"/>
            <w:vAlign w:val="bottom"/>
          </w:tcPr>
          <w:p>
            <w:pPr>
              <w:spacing w:after="0"/>
              <w:rPr>
                <w:sz w:val="1"/>
                <w:szCs w:val="1"/>
                <w:color w:val="auto"/>
              </w:rPr>
            </w:pPr>
          </w:p>
        </w:tc>
      </w:tr>
      <w:tr>
        <w:trPr>
          <w:trHeight w:val="501"/>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color w:val="auto"/>
                <w:w w:val="98"/>
              </w:rPr>
              <w:t>5301 North Ironwood Road</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53217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3"/>
          </w:tcPr>
          <w:p>
            <w:pPr>
              <w:jc w:val="center"/>
              <w:ind w:right="160"/>
              <w:spacing w:after="0" w:line="197" w:lineRule="exact"/>
              <w:rPr>
                <w:sz w:val="20"/>
                <w:szCs w:val="20"/>
                <w:color w:val="auto"/>
              </w:rPr>
            </w:pPr>
            <w:r>
              <w:rPr>
                <w:rFonts w:ascii="Times New Roman" w:cs="Times New Roman" w:eastAsia="Times New Roman" w:hAnsi="Times New Roman"/>
                <w:sz w:val="22"/>
                <w:szCs w:val="22"/>
                <w:color w:val="auto"/>
                <w:w w:val="97"/>
              </w:rPr>
              <w:t>Milwaukee, Wisconsin</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440" w:type="dxa"/>
            <w:vAlign w:val="bottom"/>
            <w:gridSpan w:val="5"/>
          </w:tcPr>
          <w:p>
            <w:pPr>
              <w:jc w:val="center"/>
              <w:ind w:right="20"/>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96"/>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Registrant’s telephone number, including area code: (414) 961-1000</w:t>
      </w:r>
    </w:p>
    <w:p>
      <w:pPr>
        <w:spacing w:after="0" w:line="23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26" w:lineRule="exact"/>
        <w:rPr>
          <w:sz w:val="24"/>
          <w:szCs w:val="24"/>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87" w:lineRule="exact"/>
        <w:rPr>
          <w:rFonts w:ascii="MS PGothic" w:cs="MS PGothic" w:eastAsia="MS PGothic" w:hAnsi="MS PGothic"/>
          <w:sz w:val="22"/>
          <w:szCs w:val="22"/>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87" w:lineRule="exact"/>
        <w:rPr>
          <w:rFonts w:ascii="MS PGothic" w:cs="MS PGothic" w:eastAsia="MS PGothic" w:hAnsi="MS PGothic"/>
          <w:sz w:val="22"/>
          <w:szCs w:val="22"/>
          <w:color w:val="auto"/>
        </w:rPr>
      </w:pPr>
    </w:p>
    <w:p>
      <w:pPr>
        <w:ind w:left="380" w:right="2840" w:hanging="358"/>
        <w:spacing w:after="0" w:line="258"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39" w:lineRule="exact"/>
        <w:rPr>
          <w:rFonts w:ascii="MS PGothic" w:cs="MS PGothic" w:eastAsia="MS PGothic" w:hAnsi="MS PGothic"/>
          <w:sz w:val="22"/>
          <w:szCs w:val="22"/>
          <w:color w:val="auto"/>
        </w:rPr>
      </w:pPr>
    </w:p>
    <w:p>
      <w:pPr>
        <w:ind w:left="380" w:right="2860" w:hanging="358"/>
        <w:spacing w:after="0" w:line="258"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ectPr>
          <w:pgSz w:w="11900" w:h="16838" w:orient="portrait"/>
          <w:cols w:equalWidth="0" w:num="1">
            <w:col w:w="11200"/>
          </w:cols>
          <w:pgMar w:left="240" w:top="220" w:right="459"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22"/>
          <w:szCs w:val="22"/>
          <w:color w:val="auto"/>
        </w:rPr>
        <w:t>Item 1.01.</w:t>
      </w:r>
      <w:r>
        <w:rPr>
          <w:sz w:val="20"/>
          <w:szCs w:val="20"/>
          <w:color w:val="auto"/>
        </w:rPr>
        <w:tab/>
      </w:r>
      <w:r>
        <w:rPr>
          <w:rFonts w:ascii="Times New Roman" w:cs="Times New Roman" w:eastAsia="Times New Roman" w:hAnsi="Times New Roman"/>
          <w:sz w:val="21"/>
          <w:szCs w:val="21"/>
          <w:u w:val="single" w:color="auto"/>
          <w:color w:val="auto"/>
        </w:rPr>
        <w:t>Entry Into a Material Definitive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Following is a description of compensation arrangements that were approved by the Executive Compensation Committee of the Board of Directors of Manpower Inc. (the “Company”) on February 14, 2006 for the Company’s “named executive officers” for purposes of the Company’s proxy statement for the 2006 annual meeting of shareholders. Compensation arrangements for the Company’s Chief Executive Officer and Chief Financial Officer were ratified by the Board of Directors under the Company’s policy regarding the compensation of the Company’s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2006 Base Salary Increases</w:t>
      </w:r>
    </w:p>
    <w:p>
      <w:pPr>
        <w:spacing w:after="0" w:line="206" w:lineRule="exact"/>
        <w:rPr>
          <w:sz w:val="20"/>
          <w:szCs w:val="20"/>
          <w:color w:val="auto"/>
        </w:rPr>
      </w:pPr>
    </w:p>
    <w:p>
      <w:pPr>
        <w:jc w:val="both"/>
        <w:ind w:right="240" w:firstLine="648"/>
        <w:spacing w:after="0" w:line="239" w:lineRule="auto"/>
        <w:rPr>
          <w:sz w:val="20"/>
          <w:szCs w:val="20"/>
          <w:color w:val="auto"/>
        </w:rPr>
      </w:pPr>
      <w:r>
        <w:rPr>
          <w:rFonts w:ascii="Times New Roman" w:cs="Times New Roman" w:eastAsia="Times New Roman" w:hAnsi="Times New Roman"/>
          <w:sz w:val="22"/>
          <w:szCs w:val="22"/>
          <w:color w:val="auto"/>
        </w:rPr>
        <w:t>The Committee approved an increase in the annual base salary of Barbara Beck, Executive Vice President and Managing Director of EMEA, and Jean-Pierre Lemonnier, Executive Vice President and Managing Director of French Operations, effective January 1, 2006. The Committee did not change the base salaries of the other named executive officers. The base salaries of the named executive officers for 2005 and 2006 are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420" w:type="dxa"/>
            <w:vAlign w:val="bottom"/>
          </w:tcPr>
          <w:p>
            <w:pPr>
              <w:spacing w:after="0"/>
              <w:rPr>
                <w:sz w:val="22"/>
                <w:szCs w:val="22"/>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64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Year</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w w:val="95"/>
              </w:rPr>
              <w:t>Base Salary</w:t>
            </w:r>
          </w:p>
        </w:tc>
      </w:tr>
      <w:tr>
        <w:trPr>
          <w:trHeight w:val="20"/>
        </w:trPr>
        <w:tc>
          <w:tcPr>
            <w:tcW w:w="2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6"/>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Jeffrey A. Joerres</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$1,000,000</w:t>
            </w:r>
          </w:p>
        </w:tc>
      </w:tr>
      <w:tr>
        <w:trPr>
          <w:trHeight w:val="283"/>
        </w:trPr>
        <w:tc>
          <w:tcPr>
            <w:tcW w:w="5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1,000,000</w:t>
            </w:r>
          </w:p>
        </w:tc>
      </w:tr>
      <w:tr>
        <w:trPr>
          <w:trHeight w:val="474"/>
        </w:trPr>
        <w:tc>
          <w:tcPr>
            <w:tcW w:w="5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Michael J. Van Handel</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500,000</w:t>
            </w:r>
          </w:p>
        </w:tc>
      </w:tr>
      <w:tr>
        <w:trPr>
          <w:trHeight w:val="243"/>
        </w:trPr>
        <w:tc>
          <w:tcPr>
            <w:tcW w:w="518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Executive Vice President – Chief Financial Officer</w:t>
            </w:r>
          </w:p>
        </w:tc>
        <w:tc>
          <w:tcPr>
            <w:tcW w:w="1640" w:type="dxa"/>
            <w:vAlign w:val="bottom"/>
            <w:gridSpan w:val="3"/>
          </w:tcPr>
          <w:p>
            <w:pPr>
              <w:ind w:left="600"/>
              <w:spacing w:after="0" w:line="243" w:lineRule="exact"/>
              <w:rPr>
                <w:sz w:val="20"/>
                <w:szCs w:val="20"/>
                <w:color w:val="auto"/>
              </w:rPr>
            </w:pPr>
            <w:r>
              <w:rPr>
                <w:rFonts w:ascii="Times New Roman" w:cs="Times New Roman" w:eastAsia="Times New Roman" w:hAnsi="Times New Roman"/>
                <w:sz w:val="22"/>
                <w:szCs w:val="22"/>
                <w:color w:val="auto"/>
              </w:rPr>
              <w:t>2005</w:t>
            </w:r>
          </w:p>
        </w:tc>
        <w:tc>
          <w:tcPr>
            <w:tcW w:w="12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500,000</w:t>
            </w:r>
          </w:p>
        </w:tc>
      </w:tr>
      <w:tr>
        <w:trPr>
          <w:trHeight w:val="283"/>
        </w:trPr>
        <w:tc>
          <w:tcPr>
            <w:tcW w:w="5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and Secretary</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74"/>
        </w:trPr>
        <w:tc>
          <w:tcPr>
            <w:tcW w:w="5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Barbara J. Beck</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420,000</w:t>
            </w:r>
          </w:p>
        </w:tc>
      </w:tr>
      <w:tr>
        <w:trPr>
          <w:trHeight w:val="283"/>
        </w:trPr>
        <w:tc>
          <w:tcPr>
            <w:tcW w:w="5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Executive Vice President</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400,000</w:t>
            </w:r>
          </w:p>
        </w:tc>
      </w:tr>
      <w:tr>
        <w:trPr>
          <w:trHeight w:val="474"/>
        </w:trPr>
        <w:tc>
          <w:tcPr>
            <w:tcW w:w="5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Jean-Pierre Lemonnier</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405,000</w:t>
            </w:r>
          </w:p>
        </w:tc>
      </w:tr>
      <w:tr>
        <w:trPr>
          <w:trHeight w:val="283"/>
        </w:trPr>
        <w:tc>
          <w:tcPr>
            <w:tcW w:w="5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Executive Vice President</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375,000</w:t>
            </w:r>
          </w:p>
        </w:tc>
      </w:tr>
      <w:tr>
        <w:trPr>
          <w:trHeight w:val="474"/>
        </w:trPr>
        <w:tc>
          <w:tcPr>
            <w:tcW w:w="5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Yoav Michaely</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430,000</w:t>
            </w:r>
          </w:p>
        </w:tc>
      </w:tr>
      <w:tr>
        <w:trPr>
          <w:trHeight w:val="283"/>
        </w:trPr>
        <w:tc>
          <w:tcPr>
            <w:tcW w:w="5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Executive Vice President</w:t>
            </w:r>
          </w:p>
        </w:tc>
        <w:tc>
          <w:tcPr>
            <w:tcW w:w="16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2005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585"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auto"/>
        </w:rPr>
        <w:t>Establishment of Award Opportunities Under 2002 Corporate Senior Management Incentive Plan</w:t>
      </w:r>
    </w:p>
    <w:p>
      <w:pPr>
        <w:spacing w:after="0" w:line="20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Mr. Joerres and Mr. Van Handel are eligible to receive annual incentive awards under the Company’s 2002 Corporate Senior Management Incentive Plan. This annual incentive plan has two components. Under the first component, a participant is entitled to receive a cash award for attaining earnings per share and economic profit goals for the year. The Committee establishes earnings per share and economic profit goals and award opportunities for attaining these goals at the beginning of the year. The second component of the annual incentive plan provides for the payment of a cash award each year based on a participant’s achievement of certain operating objectives for the year, as determined by the Committee. The Committee establishes objectives and award opportunities for achieving the objectives at the beginning of the year. Following the close of the year, the Committee determines whether the performance criteria have been achieved and, if so, the amount of the award earned. The bonus is calculated based on actual performance as compared to the performance goals for each indicator. The total bonus is equal to the sum of the amounts determined separately for each indicator. The bonus payable to Mr. Joerres (as a percentage of his 2006 base salary) for 2006 based on achievement of threshold, target or outstanding performance goals under each performance criterion are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200" w:type="dxa"/>
            <w:vAlign w:val="bottom"/>
          </w:tcPr>
          <w:p>
            <w:pPr>
              <w:spacing w:after="0"/>
              <w:rPr>
                <w:sz w:val="24"/>
                <w:szCs w:val="24"/>
                <w:color w:val="auto"/>
              </w:rPr>
            </w:pPr>
          </w:p>
        </w:tc>
        <w:tc>
          <w:tcPr>
            <w:tcW w:w="502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22"/>
                <w:szCs w:val="22"/>
                <w:color w:val="auto"/>
              </w:rPr>
              <w:t>Bonus as a Percentage of 2006 Base Salary</w:t>
            </w:r>
          </w:p>
        </w:tc>
      </w:tr>
      <w:tr>
        <w:trPr>
          <w:trHeight w:val="264"/>
        </w:trPr>
        <w:tc>
          <w:tcPr>
            <w:tcW w:w="3200" w:type="dxa"/>
            <w:vAlign w:val="bottom"/>
          </w:tcPr>
          <w:p>
            <w:pPr>
              <w:spacing w:after="0"/>
              <w:rPr>
                <w:sz w:val="22"/>
                <w:szCs w:val="22"/>
                <w:color w:val="auto"/>
              </w:rPr>
            </w:pPr>
          </w:p>
        </w:tc>
        <w:tc>
          <w:tcPr>
            <w:tcW w:w="1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Threshold</w:t>
            </w:r>
          </w:p>
        </w:tc>
        <w:tc>
          <w:tcPr>
            <w:tcW w:w="280" w:type="dxa"/>
            <w:vAlign w:val="bottom"/>
          </w:tcPr>
          <w:p>
            <w:pPr>
              <w:spacing w:after="0"/>
              <w:rPr>
                <w:sz w:val="22"/>
                <w:szCs w:val="22"/>
                <w:color w:val="auto"/>
              </w:rPr>
            </w:pP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Target</w:t>
            </w:r>
          </w:p>
        </w:tc>
        <w:tc>
          <w:tcPr>
            <w:tcW w:w="220" w:type="dxa"/>
            <w:vAlign w:val="bottom"/>
          </w:tcPr>
          <w:p>
            <w:pPr>
              <w:spacing w:after="0"/>
              <w:rPr>
                <w:sz w:val="22"/>
                <w:szCs w:val="22"/>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Outstanding</w:t>
            </w: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EPS Goal</w:t>
            </w:r>
          </w:p>
        </w:tc>
        <w:tc>
          <w:tcPr>
            <w:tcW w:w="17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15%</w:t>
            </w:r>
          </w:p>
        </w:tc>
        <w:tc>
          <w:tcPr>
            <w:tcW w:w="2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60%</w:t>
            </w:r>
          </w:p>
        </w:tc>
        <w:tc>
          <w:tcPr>
            <w:tcW w:w="220" w:type="dxa"/>
            <w:vAlign w:val="bottom"/>
          </w:tcPr>
          <w:p>
            <w:pPr>
              <w:spacing w:after="0"/>
              <w:rPr>
                <w:sz w:val="24"/>
                <w:szCs w:val="24"/>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120%</w:t>
            </w:r>
          </w:p>
        </w:tc>
      </w:tr>
      <w:tr>
        <w:trPr>
          <w:trHeight w:val="595"/>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Economic Profit Goal</w:t>
            </w:r>
          </w:p>
        </w:tc>
        <w:tc>
          <w:tcPr>
            <w:tcW w:w="17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15%</w:t>
            </w:r>
          </w:p>
        </w:tc>
        <w:tc>
          <w:tcPr>
            <w:tcW w:w="1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60%</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Operating Objectives</w:t>
            </w:r>
          </w:p>
        </w:tc>
        <w:tc>
          <w:tcPr>
            <w:tcW w:w="17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0%</w:t>
            </w:r>
          </w:p>
        </w:tc>
        <w:tc>
          <w:tcPr>
            <w:tcW w:w="1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30%</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60%</w:t>
            </w:r>
          </w:p>
        </w:tc>
      </w:tr>
      <w:tr>
        <w:trPr>
          <w:trHeight w:val="283"/>
        </w:trPr>
        <w:tc>
          <w:tcPr>
            <w:tcW w:w="32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Total</w:t>
            </w:r>
          </w:p>
        </w:tc>
        <w:tc>
          <w:tcPr>
            <w:tcW w:w="17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30%</w:t>
            </w:r>
          </w:p>
        </w:tc>
        <w:tc>
          <w:tcPr>
            <w:tcW w:w="1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150%</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300%</w:t>
            </w:r>
          </w:p>
        </w:tc>
      </w:tr>
    </w:tbl>
    <w:p>
      <w:pPr>
        <w:spacing w:after="0" w:line="200" w:lineRule="exact"/>
        <w:rPr>
          <w:sz w:val="20"/>
          <w:szCs w:val="20"/>
          <w:color w:val="auto"/>
        </w:rPr>
      </w:pP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bonus payable to Mr. Van Handel (as a percentage of his 2006 base salary) for 2006 based on achievement of threshold, target or outstanding performance goals under each performance criterion are as follows: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200" w:type="dxa"/>
            <w:vAlign w:val="bottom"/>
          </w:tcPr>
          <w:p>
            <w:pPr>
              <w:spacing w:after="0"/>
              <w:rPr>
                <w:sz w:val="24"/>
                <w:szCs w:val="24"/>
                <w:color w:val="auto"/>
              </w:rPr>
            </w:pPr>
          </w:p>
        </w:tc>
        <w:tc>
          <w:tcPr>
            <w:tcW w:w="502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22"/>
                <w:szCs w:val="22"/>
                <w:color w:val="auto"/>
              </w:rPr>
              <w:t>Bonus as a Percentage of 2006 Base Salary</w:t>
            </w:r>
          </w:p>
        </w:tc>
      </w:tr>
      <w:tr>
        <w:trPr>
          <w:trHeight w:val="264"/>
        </w:trPr>
        <w:tc>
          <w:tcPr>
            <w:tcW w:w="3200" w:type="dxa"/>
            <w:vAlign w:val="bottom"/>
          </w:tcPr>
          <w:p>
            <w:pPr>
              <w:spacing w:after="0"/>
              <w:rPr>
                <w:sz w:val="22"/>
                <w:szCs w:val="22"/>
                <w:color w:val="auto"/>
              </w:rPr>
            </w:pPr>
          </w:p>
        </w:tc>
        <w:tc>
          <w:tcPr>
            <w:tcW w:w="1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Threshold</w:t>
            </w:r>
          </w:p>
        </w:tc>
        <w:tc>
          <w:tcPr>
            <w:tcW w:w="280" w:type="dxa"/>
            <w:vAlign w:val="bottom"/>
          </w:tcPr>
          <w:p>
            <w:pPr>
              <w:spacing w:after="0"/>
              <w:rPr>
                <w:sz w:val="22"/>
                <w:szCs w:val="22"/>
                <w:color w:val="auto"/>
              </w:rPr>
            </w:pP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Target</w:t>
            </w:r>
          </w:p>
        </w:tc>
        <w:tc>
          <w:tcPr>
            <w:tcW w:w="220" w:type="dxa"/>
            <w:vAlign w:val="bottom"/>
          </w:tcPr>
          <w:p>
            <w:pPr>
              <w:spacing w:after="0"/>
              <w:rPr>
                <w:sz w:val="22"/>
                <w:szCs w:val="22"/>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Outstanding</w:t>
            </w:r>
          </w:p>
        </w:tc>
      </w:t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EPS Goal</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w:t>
            </w:r>
          </w:p>
        </w:tc>
        <w:tc>
          <w:tcPr>
            <w:tcW w:w="280" w:type="dxa"/>
            <w:vAlign w:val="bottom"/>
          </w:tcPr>
          <w:p>
            <w:pPr>
              <w:spacing w:after="0"/>
              <w:rPr>
                <w:sz w:val="24"/>
                <w:szCs w:val="24"/>
                <w:color w:val="auto"/>
              </w:rPr>
            </w:pPr>
          </w:p>
        </w:tc>
        <w:tc>
          <w:tcPr>
            <w:tcW w:w="13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40%</w:t>
            </w:r>
          </w:p>
        </w:tc>
        <w:tc>
          <w:tcPr>
            <w:tcW w:w="22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w:t>
            </w:r>
          </w:p>
        </w:tc>
      </w:tr>
      <w:tr>
        <w:trPr>
          <w:trHeight w:val="595"/>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Economic Profit Goal</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w:t>
            </w:r>
          </w:p>
        </w:tc>
        <w:tc>
          <w:tcPr>
            <w:tcW w:w="16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40%</w:t>
            </w:r>
          </w:p>
        </w:tc>
        <w:tc>
          <w:tcPr>
            <w:tcW w:w="16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Operating Objectives</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0%</w:t>
            </w:r>
          </w:p>
        </w:tc>
        <w:tc>
          <w:tcPr>
            <w:tcW w:w="16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20%</w:t>
            </w:r>
          </w:p>
        </w:tc>
        <w:tc>
          <w:tcPr>
            <w:tcW w:w="16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40%</w:t>
            </w:r>
          </w:p>
        </w:tc>
      </w:tr>
      <w:tr>
        <w:trPr>
          <w:trHeight w:val="283"/>
        </w:trPr>
        <w:tc>
          <w:tcPr>
            <w:tcW w:w="32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Total</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w:t>
            </w:r>
          </w:p>
        </w:tc>
        <w:tc>
          <w:tcPr>
            <w:tcW w:w="16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100%</w:t>
            </w:r>
          </w:p>
        </w:tc>
        <w:tc>
          <w:tcPr>
            <w:tcW w:w="16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200%</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cash award will be paid under a performance criterion for performance below threshold.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2002 Corporate Senior Management Incentive Plan Awards for 2005</w:t>
      </w:r>
    </w:p>
    <w:p>
      <w:pPr>
        <w:spacing w:after="0" w:line="206"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21"/>
          <w:szCs w:val="21"/>
          <w:color w:val="auto"/>
        </w:rPr>
        <w:t>The Committee approved cash awards to be paid for 2005 to Messrs. Joerres and Van Handel pursuant to the Plan. The Company’s performance in 2005 exceeded the “target” earnings per share and economic profit performance goals established by the Committee for that period. The Committee also approved cash awards to Messrs. Joerres and Van Handel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355" w:right="259" w:bottom="1440" w:gutter="0" w:footer="0" w:header="0"/>
        </w:sectPr>
      </w:pPr>
    </w:p>
    <w:bookmarkStart w:id="3" w:name="page4"/>
    <w:bookmarkEnd w:id="3"/>
    <w:p>
      <w:pPr>
        <w:ind w:right="200"/>
        <w:spacing w:after="0" w:line="259" w:lineRule="auto"/>
        <w:rPr>
          <w:sz w:val="20"/>
          <w:szCs w:val="20"/>
          <w:color w:val="auto"/>
        </w:rPr>
      </w:pPr>
      <w:r>
        <w:rPr>
          <w:rFonts w:ascii="Times New Roman" w:cs="Times New Roman" w:eastAsia="Times New Roman" w:hAnsi="Times New Roman"/>
          <w:sz w:val="22"/>
          <w:szCs w:val="22"/>
          <w:color w:val="auto"/>
        </w:rPr>
        <w:t>achievement of operating objective performance goals for 2005. In total, Messrs. Joerres and Van Handel received the following cash awards under the Plan for 2005:</w:t>
      </w:r>
    </w:p>
    <w:p>
      <w:pPr>
        <w:spacing w:after="0" w:line="197" w:lineRule="exact"/>
        <w:rPr>
          <w:sz w:val="20"/>
          <w:szCs w:val="20"/>
          <w:color w:val="auto"/>
        </w:rPr>
      </w:pPr>
    </w:p>
    <w:p>
      <w:pPr>
        <w:ind w:left="1840"/>
        <w:spacing w:after="0"/>
        <w:tabs>
          <w:tab w:leader="none" w:pos="4800" w:val="left"/>
        </w:tabs>
        <w:rPr>
          <w:sz w:val="20"/>
          <w:szCs w:val="20"/>
          <w:color w:val="auto"/>
        </w:rPr>
      </w:pPr>
      <w:r>
        <w:rPr>
          <w:rFonts w:ascii="Times New Roman" w:cs="Times New Roman" w:eastAsia="Times New Roman" w:hAnsi="Times New Roman"/>
          <w:sz w:val="22"/>
          <w:szCs w:val="22"/>
          <w:u w:val="single" w:color="auto"/>
          <w:color w:val="auto"/>
        </w:rPr>
        <w:t>Participant</w:t>
      </w:r>
      <w:r>
        <w:rPr>
          <w:sz w:val="20"/>
          <w:szCs w:val="20"/>
          <w:color w:val="auto"/>
        </w:rPr>
        <w:tab/>
      </w:r>
      <w:r>
        <w:rPr>
          <w:rFonts w:ascii="Times New Roman" w:cs="Times New Roman" w:eastAsia="Times New Roman" w:hAnsi="Times New Roman"/>
          <w:sz w:val="22"/>
          <w:szCs w:val="22"/>
          <w:u w:val="single" w:color="auto"/>
          <w:color w:val="auto"/>
        </w:rPr>
        <w:t>Bonus</w:t>
      </w:r>
    </w:p>
    <w:p>
      <w:pPr>
        <w:spacing w:after="0" w:line="200" w:lineRule="exact"/>
        <w:rPr>
          <w:sz w:val="20"/>
          <w:szCs w:val="20"/>
          <w:color w:val="auto"/>
        </w:rPr>
      </w:pPr>
    </w:p>
    <w:p>
      <w:pPr>
        <w:spacing w:after="0" w:line="276" w:lineRule="exact"/>
        <w:rPr>
          <w:sz w:val="20"/>
          <w:szCs w:val="20"/>
          <w:color w:val="auto"/>
        </w:rPr>
      </w:pPr>
    </w:p>
    <w:tbl>
      <w:tblPr>
        <w:tblLayout w:type="fixed"/>
        <w:tblInd w:w="700" w:type="dxa"/>
        <w:tblCellMar>
          <w:top w:w="0" w:type="dxa"/>
          <w:left w:w="0" w:type="dxa"/>
          <w:bottom w:w="0" w:type="dxa"/>
          <w:right w:w="0" w:type="dxa"/>
        </w:tblCellMar>
      </w:tblPr>
      <w:tr>
        <w:trPr>
          <w:trHeight w:val="283"/>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Jeffrey A. Joerres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$1,625,000</w:t>
            </w:r>
          </w:p>
        </w:tc>
      </w:tr>
      <w:tr>
        <w:trPr>
          <w:trHeight w:val="378"/>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Michael J. Van Handel</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813,000</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Bonus Awards to Other Named Executive Officers</w:t>
      </w:r>
    </w:p>
    <w:p>
      <w:pPr>
        <w:spacing w:after="0" w:line="206"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The Committee approved the following bonuses for Ms. Beck, Mr. Lemonnier and Mr. Michaely for 2005 based on different bonus arrangements which are described below:</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2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Bonus</w:t>
            </w:r>
          </w:p>
        </w:tc>
        <w:tc>
          <w:tcPr>
            <w:tcW w:w="280" w:type="dxa"/>
            <w:vAlign w:val="bottom"/>
          </w:tcPr>
          <w:p>
            <w:pPr>
              <w:spacing w:after="0"/>
              <w:rPr>
                <w:sz w:val="22"/>
                <w:szCs w:val="22"/>
                <w:color w:val="auto"/>
              </w:rPr>
            </w:pPr>
          </w:p>
        </w:tc>
      </w:tr>
      <w:tr>
        <w:trPr>
          <w:trHeight w:val="76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Barbara J. Beck</w:t>
            </w:r>
          </w:p>
        </w:tc>
        <w:tc>
          <w:tcPr>
            <w:tcW w:w="2060" w:type="dxa"/>
            <w:vAlign w:val="bottom"/>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8"/>
              </w:rPr>
              <w:t>$341,808 (1)</w:t>
            </w:r>
          </w:p>
        </w:tc>
      </w:t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Jean-Pierre Lemonnier</w:t>
            </w:r>
          </w:p>
        </w:tc>
        <w:tc>
          <w:tcPr>
            <w:tcW w:w="2060" w:type="dxa"/>
            <w:vAlign w:val="bottom"/>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8"/>
              </w:rPr>
              <w:t>$122,500 (2)</w:t>
            </w:r>
          </w:p>
        </w:tc>
      </w:t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Yoav Michaely</w:t>
            </w:r>
          </w:p>
        </w:tc>
        <w:tc>
          <w:tcPr>
            <w:tcW w:w="2060" w:type="dxa"/>
            <w:vAlign w:val="bottom"/>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8"/>
              </w:rPr>
              <w:t>$366,174 (3)</w:t>
            </w:r>
          </w:p>
        </w:tc>
      </w:tr>
    </w:tbl>
    <w:p>
      <w:pPr>
        <w:spacing w:after="0" w:line="312" w:lineRule="exact"/>
        <w:rPr>
          <w:sz w:val="20"/>
          <w:szCs w:val="20"/>
          <w:color w:val="auto"/>
        </w:rPr>
      </w:pPr>
    </w:p>
    <w:p>
      <w:pPr>
        <w:ind w:firstLine="656"/>
        <w:spacing w:after="0" w:line="232" w:lineRule="auto"/>
        <w:tabs>
          <w:tab w:leader="none" w:pos="129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Beck’s bonus for 2005 was calculated based on performance indicators for the Company’s U.S. and Canadian operations and for the Company as a whole. These indicators included adjusted operating unit profit (defined as operating unit profit, less a capital charge for outstanding accounts receivable) for the Company’s U.S. and Canadian operations, expense efficiency for the Company’s U.S. and Canadian operations, permanent recruitment revenue for the Company’s U.S. and Canadian operations, the Company’s earnings per share and operating objectives established by the Company’s chief executive officer. Each indicator was weighted as determined by the Company’s chief executive officer. The bonus was calculated based on actual performance as compared to performance goals for each indicator established by the Company’s chief executive officer. The t otal bonus was equal to the sum of the amounts determined separately for each indicator. No cash award was paid under a performance criterion for performance below threshold. If the threshold goal had been met for each performance criterion, Ms. Beck would have received a bonus equal to 25% of her base salary. If the outstanding goal for each component had been met or exceeded, Ms. Beck would have received a bonus equal to a maximum amount of 100% of her base salary. In addition, Ms. Beck was eligible to receive a supplementary cash bonus of up to 20% of her base salary based upon the operating unit profit margin for the Company’s U.S. and Canadian operations. The performance criteria and award opportunities for 2006 will be based on performance indicators for the Company’s EMEA operations and for the Company as a whole. These indicators include adjusted operating unit profit (defined as operating unit profit less a capital charge for outstanding accounts re ceivable) for the Company’s EMEA operations, permanent recruitment revenue for the Company’s EMEA operations, expense efficiency for the Company’s EMEA operations, the Company’s earnings per share and operating objectives established by the Company’s chief executive officer. Each indicator is weighted as determined by the Company’s chief executive officer. The bonus will be calculated based on actual performance as compared to performance goals for each indicator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60"/>
          </w:cols>
          <w:pgMar w:left="240" w:top="112" w:right="299" w:bottom="1440" w:gutter="0" w:footer="0" w:header="0"/>
        </w:sectPr>
      </w:pPr>
    </w:p>
    <w:bookmarkStart w:id="4" w:name="page5"/>
    <w:bookmarkEnd w:id="4"/>
    <w:p>
      <w:pPr>
        <w:ind w:right="260"/>
        <w:spacing w:after="0" w:line="238" w:lineRule="auto"/>
        <w:rPr>
          <w:sz w:val="20"/>
          <w:szCs w:val="20"/>
          <w:color w:val="auto"/>
        </w:rPr>
      </w:pPr>
      <w:r>
        <w:rPr>
          <w:rFonts w:ascii="Times New Roman" w:cs="Times New Roman" w:eastAsia="Times New Roman" w:hAnsi="Times New Roman"/>
          <w:sz w:val="22"/>
          <w:szCs w:val="22"/>
          <w:color w:val="auto"/>
        </w:rPr>
        <w:t>established by the Company’s chief executive officer. The total bonus will be equal to the sum of the amounts determined separately for each indicator. No cash award will be paid under a performance criterion for performance below threshold. If the threshold goal is met for each performance criterion, Ms. Beck will receive a bonus equal to 25% of her base salary. If the outstanding goal for each component is met or exceeded, Ms. Beck will receive a bonus equal to a maximum amount of 150% of her base salary.</w:t>
      </w:r>
    </w:p>
    <w:p>
      <w:pPr>
        <w:spacing w:after="0" w:line="164" w:lineRule="exact"/>
        <w:rPr>
          <w:sz w:val="20"/>
          <w:szCs w:val="20"/>
          <w:color w:val="auto"/>
        </w:rPr>
      </w:pPr>
    </w:p>
    <w:p>
      <w:pPr>
        <w:ind w:right="40" w:firstLine="656"/>
        <w:spacing w:after="0" w:line="233" w:lineRule="auto"/>
        <w:tabs>
          <w:tab w:leader="none" w:pos="129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Lemonnier’s bonus for 2005 was calculated based on performance indicators for the Company’s France operations and for the Company as a whole. These indicators included adjusted operating unit profit (defined as operating unit profit, less a capital charge) for the Company’s France operations, expense efficiency for the Company’s France operations, the Company’s earnings per share and operating objectives established by the Company’s chief executive officer. Each indicator was weighted as determined by the Company’s chief executive officer. The bonus was calculated based on actual performance as compared to performance goals for each indicator established each year by the Company’s chief executive officer. The total bonus was equal to the sum of the amounts determined separately for each indicator. No cash award was paid under a performance criterion for performance below threshold. If the threshold goal had been met for each performance criterion, Mr. Lemonnier would have received a bonus equal to 25% of his base salary. If the outstanding goal for each component had been met or exceeded, Mr. Lemonnier would have received a bonus equal to a maximum amount of 100% of his base salary. In addition, Mr. Lemonnier was eligible to receive a supplementary cash bonus of up to 20% of his base salary based upon the operating unit profit margin for the Company’s France operations. The performance criteria and award opportunities for 2006 will be determined on the same basis as 2005, except that his bonus as a percentage of his base salary will be 150% if the outstanding goal is met for each criterion and the supplementary cash bonus has been eliminated.</w:t>
      </w:r>
    </w:p>
    <w:p>
      <w:pPr>
        <w:spacing w:after="0" w:line="181" w:lineRule="exact"/>
        <w:rPr>
          <w:rFonts w:ascii="Times New Roman" w:cs="Times New Roman" w:eastAsia="Times New Roman" w:hAnsi="Times New Roman"/>
          <w:sz w:val="22"/>
          <w:szCs w:val="22"/>
          <w:color w:val="auto"/>
        </w:rPr>
      </w:pPr>
    </w:p>
    <w:p>
      <w:pPr>
        <w:ind w:firstLine="656"/>
        <w:spacing w:after="0" w:line="233" w:lineRule="auto"/>
        <w:tabs>
          <w:tab w:leader="none" w:pos="129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Michaely’s bonus for 2005 was calculated based on performance indicators for the Company’s EMEA operations and for the Company as a whole. These indicators included adjusted operating unit profit for the Company’s EMEA operations (defined as operating unit profit, less a capital charge for outstanding accounts receivable), permanent recruitment revenue for the Company’s EMEA operations, expense efficiency for the Company’s EMEA operations, the Company’s earnings per share and operating objectives established by the Company’s chief executive officer. Each indicator was weighted as determined by the Company’s chief executive officer. The bonus was calculated based on actual performance as compared to performance goals for each indicator established by the Company’s chief executive officer. The total bonus was equal to the sum of the amounts d etermined separately for each indicator. No cash award was paid under a performance criterion for performance below threshold. If the threshold goal had been met for each performance criterion, Mr. Michaely would have received a bonus equal to 25% of his base salary. If the outstanding goal for each component had been met or exceeded, Mr. Michaely would have received a bonus equal to a maximum amount of 100% of his base salary. In addition, Mr. Michaely was eligible to receive a supplementary cash bonus of up to 20% of his base salary based upon the operating unit profit margin for the Company’s EMEA operations. Mr. Michaely’s bonus for 2006 will be calculated based on the Company’s economic profit and earnings per share and operating objectives established by the Company’s chief executive officer. If the threshold goal is met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12" w:right="239" w:bottom="1440" w:gutter="0" w:footer="0" w:header="0"/>
        </w:sectPr>
      </w:pPr>
    </w:p>
    <w:bookmarkStart w:id="5" w:name="page6"/>
    <w:bookmarkEnd w:id="5"/>
    <w:p>
      <w:pPr>
        <w:jc w:val="both"/>
        <w:ind w:right="680"/>
        <w:spacing w:after="0" w:line="282" w:lineRule="auto"/>
        <w:rPr>
          <w:sz w:val="20"/>
          <w:szCs w:val="20"/>
          <w:color w:val="auto"/>
        </w:rPr>
      </w:pPr>
      <w:r>
        <w:rPr>
          <w:rFonts w:ascii="Times New Roman" w:cs="Times New Roman" w:eastAsia="Times New Roman" w:hAnsi="Times New Roman"/>
          <w:sz w:val="21"/>
          <w:szCs w:val="21"/>
          <w:color w:val="auto"/>
        </w:rPr>
        <w:t>performance criterion, Mr. Michaely will receive a bonus equal to 25% of his base salary. If the outstanding goal for each component is met or exceeded, Mr. Michaely will receive a bonus equal to a maximum amount of 130% of his base salary.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Equity Compensation Overview</w:t>
      </w:r>
    </w:p>
    <w:p>
      <w:pPr>
        <w:spacing w:after="0" w:line="2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The Committee uses a blended approach to equity incentives, including the use of stock options, performance-based awards and career shares. The Committee believes that this strategy is consistent with market practice, in line with the Committee’s compensation objectives and provides an effective performance and retention focus.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Grant of Stock Options Under 2003 Equity Incentive Plan</w:t>
      </w:r>
    </w:p>
    <w:p>
      <w:pPr>
        <w:spacing w:after="0" w:line="20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The Committee granted stock options to the named executive officers under the Company’s 2003 Equity Incentive Plan over the following number of shares: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4100" w:type="dxa"/>
            <w:vAlign w:val="bottom"/>
          </w:tcPr>
          <w:p>
            <w:pPr>
              <w:spacing w:after="0"/>
              <w:rPr>
                <w:sz w:val="22"/>
                <w:szCs w:val="22"/>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Number of Shares (1)</w:t>
            </w:r>
          </w:p>
        </w:tc>
      </w:tr>
      <w:tr>
        <w:trPr>
          <w:trHeight w:val="762"/>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Jeffrey A. Joerres</w:t>
            </w:r>
          </w:p>
        </w:tc>
        <w:tc>
          <w:tcPr>
            <w:tcW w:w="1640" w:type="dxa"/>
            <w:vAlign w:val="bottom"/>
            <w:tcBorders>
              <w:top w:val="single" w:sz="8" w:color="auto"/>
            </w:tcBorders>
          </w:tcPr>
          <w:p>
            <w:pPr>
              <w:jc w:val="center"/>
              <w:ind w:left="152"/>
              <w:spacing w:after="0"/>
              <w:rPr>
                <w:sz w:val="20"/>
                <w:szCs w:val="20"/>
                <w:color w:val="auto"/>
              </w:rPr>
            </w:pPr>
            <w:r>
              <w:rPr>
                <w:rFonts w:ascii="Times New Roman" w:cs="Times New Roman" w:eastAsia="Times New Roman" w:hAnsi="Times New Roman"/>
                <w:sz w:val="22"/>
                <w:szCs w:val="22"/>
                <w:color w:val="auto"/>
                <w:w w:val="97"/>
              </w:rPr>
              <w:t>130,000</w:t>
            </w:r>
          </w:p>
        </w:tc>
        <w:tc>
          <w:tcPr>
            <w:tcW w:w="240" w:type="dxa"/>
            <w:vAlign w:val="bottom"/>
          </w:tcPr>
          <w:p>
            <w:pPr>
              <w:spacing w:after="0"/>
              <w:rPr>
                <w:sz w:val="24"/>
                <w:szCs w:val="24"/>
                <w:color w:val="auto"/>
              </w:rPr>
            </w:pPr>
          </w:p>
        </w:tc>
      </w:tr>
      <w:tr>
        <w:trPr>
          <w:trHeight w:val="37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Michael J. Van Handel</w:t>
            </w:r>
          </w:p>
        </w:tc>
        <w:tc>
          <w:tcPr>
            <w:tcW w:w="164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5"/>
              </w:rPr>
              <w:t>45,000</w:t>
            </w:r>
          </w:p>
        </w:tc>
        <w:tc>
          <w:tcPr>
            <w:tcW w:w="240" w:type="dxa"/>
            <w:vAlign w:val="bottom"/>
          </w:tcPr>
          <w:p>
            <w:pPr>
              <w:spacing w:after="0"/>
              <w:rPr>
                <w:sz w:val="24"/>
                <w:szCs w:val="24"/>
                <w:color w:val="auto"/>
              </w:rPr>
            </w:pPr>
          </w:p>
        </w:tc>
      </w:tr>
      <w:tr>
        <w:trPr>
          <w:trHeight w:val="37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Barbara J. Beck</w:t>
            </w:r>
          </w:p>
        </w:tc>
        <w:tc>
          <w:tcPr>
            <w:tcW w:w="164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5"/>
              </w:rPr>
              <w:t>25,000</w:t>
            </w:r>
          </w:p>
        </w:tc>
        <w:tc>
          <w:tcPr>
            <w:tcW w:w="240" w:type="dxa"/>
            <w:vAlign w:val="bottom"/>
          </w:tcPr>
          <w:p>
            <w:pPr>
              <w:spacing w:after="0"/>
              <w:rPr>
                <w:sz w:val="24"/>
                <w:szCs w:val="24"/>
                <w:color w:val="auto"/>
              </w:rPr>
            </w:pPr>
          </w:p>
        </w:tc>
      </w:tr>
      <w:tr>
        <w:trPr>
          <w:trHeight w:val="37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Jean-Pierre Lemonnier</w:t>
            </w:r>
          </w:p>
        </w:tc>
        <w:tc>
          <w:tcPr>
            <w:tcW w:w="164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5"/>
              </w:rPr>
              <w:t>25,000</w:t>
            </w:r>
          </w:p>
        </w:tc>
        <w:tc>
          <w:tcPr>
            <w:tcW w:w="240" w:type="dxa"/>
            <w:vAlign w:val="bottom"/>
          </w:tcPr>
          <w:p>
            <w:pPr>
              <w:spacing w:after="0"/>
              <w:rPr>
                <w:sz w:val="24"/>
                <w:szCs w:val="24"/>
                <w:color w:val="auto"/>
              </w:rPr>
            </w:pPr>
          </w:p>
        </w:tc>
      </w:tr>
      <w:tr>
        <w:trPr>
          <w:trHeight w:val="378"/>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Yoav Michaely</w:t>
            </w:r>
          </w:p>
        </w:tc>
        <w:tc>
          <w:tcPr>
            <w:tcW w:w="164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5"/>
              </w:rPr>
              <w:t>20,000</w:t>
            </w:r>
          </w:p>
        </w:tc>
        <w:tc>
          <w:tcPr>
            <w:tcW w:w="240" w:type="dxa"/>
            <w:vAlign w:val="bottom"/>
          </w:tcPr>
          <w:p>
            <w:pPr>
              <w:spacing w:after="0"/>
              <w:rPr>
                <w:sz w:val="24"/>
                <w:szCs w:val="24"/>
                <w:color w:val="auto"/>
              </w:rPr>
            </w:pPr>
          </w:p>
        </w:tc>
      </w:tr>
    </w:tbl>
    <w:p>
      <w:pPr>
        <w:spacing w:after="0" w:line="312" w:lineRule="exact"/>
        <w:rPr>
          <w:sz w:val="20"/>
          <w:szCs w:val="20"/>
          <w:color w:val="auto"/>
        </w:rPr>
      </w:pPr>
    </w:p>
    <w:p>
      <w:pPr>
        <w:ind w:firstLine="8"/>
        <w:spacing w:after="0" w:line="236" w:lineRule="auto"/>
        <w:tabs>
          <w:tab w:leader="none" w:pos="64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options is $52.78 per share, the fair market value of a share of Manpower common stock on the date of grant (February 14, 2006) as determined under the plan. The options vest as to 25% of the shares covered by the option on each of the first, second, third and fourth anniversaries of the date of grant. All or a portion of any unvested options will vest upon the death or disability of a participant or upon a "triggering event" (as defined in the 2003 Equity Incentive Plan). In addition, options held by Messrs. Joerres and Van Handel will become fully vested in the event of a death, disability, an involuntary termination (other than for cause) or a voluntary termination for good reason.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Long Term Performance-Based Awards under 2003 Equity Incentive Plan</w:t>
      </w:r>
    </w:p>
    <w:p>
      <w:pPr>
        <w:spacing w:after="0" w:line="20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The Committee approved the following awards of performance share units under the 2003 Equity Incentive Plan and the related performance criteria and payout multiples:</w:t>
      </w:r>
    </w:p>
    <w:p>
      <w:pPr>
        <w:spacing w:after="0" w:line="189" w:lineRule="exact"/>
        <w:rPr>
          <w:sz w:val="20"/>
          <w:szCs w:val="20"/>
          <w:color w:val="auto"/>
        </w:rPr>
      </w:pPr>
    </w:p>
    <w:tbl>
      <w:tblPr>
        <w:tblLayout w:type="fixed"/>
        <w:tblInd w:w="78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0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Awards Granted for the Performance Period</w:t>
            </w: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Beginning January 2006</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40" w:type="dxa"/>
            <w:vAlign w:val="bottom"/>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Performance or Other Period</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9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Number of Shares,</w:t>
            </w:r>
          </w:p>
        </w:tc>
        <w:tc>
          <w:tcPr>
            <w:tcW w:w="520" w:type="dxa"/>
            <w:vAlign w:val="bottom"/>
          </w:tcPr>
          <w:p>
            <w:pPr>
              <w:spacing w:after="0"/>
              <w:rPr>
                <w:sz w:val="21"/>
                <w:szCs w:val="21"/>
                <w:color w:val="auto"/>
              </w:rPr>
            </w:pPr>
          </w:p>
        </w:tc>
        <w:tc>
          <w:tcPr>
            <w:tcW w:w="2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Until Maturity</w:t>
            </w:r>
          </w:p>
        </w:tc>
        <w:tc>
          <w:tcPr>
            <w:tcW w:w="0" w:type="dxa"/>
            <w:vAlign w:val="bottom"/>
          </w:tcPr>
          <w:p>
            <w:pPr>
              <w:spacing w:after="0"/>
              <w:rPr>
                <w:sz w:val="1"/>
                <w:szCs w:val="1"/>
                <w:color w:val="auto"/>
              </w:rPr>
            </w:pPr>
          </w:p>
        </w:tc>
      </w:tr>
      <w:tr>
        <w:trPr>
          <w:trHeight w:val="244"/>
        </w:trPr>
        <w:tc>
          <w:tcPr>
            <w:tcW w:w="520" w:type="dxa"/>
            <w:vAlign w:val="bottom"/>
            <w:tcBorders>
              <w:bottom w:val="single" w:sz="8" w:color="auto"/>
            </w:tcBorders>
          </w:tcPr>
          <w:p>
            <w:pPr>
              <w:spacing w:after="0" w:line="244" w:lineRule="exact"/>
              <w:rPr>
                <w:sz w:val="20"/>
                <w:szCs w:val="20"/>
                <w:color w:val="auto"/>
              </w:rPr>
            </w:pPr>
            <w:r>
              <w:rPr>
                <w:rFonts w:ascii="Times New Roman" w:cs="Times New Roman" w:eastAsia="Times New Roman" w:hAnsi="Times New Roman"/>
                <w:sz w:val="22"/>
                <w:szCs w:val="22"/>
                <w:color w:val="auto"/>
                <w:w w:val="95"/>
              </w:rPr>
              <w:t>Name</w:t>
            </w:r>
          </w:p>
        </w:tc>
        <w:tc>
          <w:tcPr>
            <w:tcW w:w="2000" w:type="dxa"/>
            <w:vAlign w:val="bottom"/>
          </w:tcPr>
          <w:p>
            <w:pPr>
              <w:spacing w:after="0"/>
              <w:rPr>
                <w:sz w:val="21"/>
                <w:szCs w:val="21"/>
                <w:color w:val="auto"/>
              </w:rPr>
            </w:pPr>
          </w:p>
        </w:tc>
        <w:tc>
          <w:tcPr>
            <w:tcW w:w="2940" w:type="dxa"/>
            <w:vAlign w:val="bottom"/>
          </w:tcPr>
          <w:p>
            <w:pPr>
              <w:jc w:val="center"/>
              <w:spacing w:after="0" w:line="244" w:lineRule="exact"/>
              <w:rPr>
                <w:sz w:val="20"/>
                <w:szCs w:val="20"/>
                <w:color w:val="auto"/>
              </w:rPr>
            </w:pPr>
            <w:r>
              <w:rPr>
                <w:rFonts w:ascii="Times New Roman" w:cs="Times New Roman" w:eastAsia="Times New Roman" w:hAnsi="Times New Roman"/>
                <w:sz w:val="22"/>
                <w:szCs w:val="22"/>
                <w:color w:val="auto"/>
                <w:w w:val="98"/>
              </w:rPr>
              <w:t>Units or Other Rights (1)</w:t>
            </w:r>
          </w:p>
        </w:tc>
        <w:tc>
          <w:tcPr>
            <w:tcW w:w="520" w:type="dxa"/>
            <w:vAlign w:val="bottom"/>
          </w:tcPr>
          <w:p>
            <w:pPr>
              <w:spacing w:after="0"/>
              <w:rPr>
                <w:sz w:val="21"/>
                <w:szCs w:val="21"/>
                <w:color w:val="auto"/>
              </w:rPr>
            </w:pPr>
          </w:p>
        </w:tc>
        <w:tc>
          <w:tcPr>
            <w:tcW w:w="2540" w:type="dxa"/>
            <w:vAlign w:val="bottom"/>
          </w:tcPr>
          <w:p>
            <w:pPr>
              <w:jc w:val="center"/>
              <w:spacing w:after="0" w:line="244" w:lineRule="exact"/>
              <w:rPr>
                <w:sz w:val="20"/>
                <w:szCs w:val="20"/>
                <w:color w:val="auto"/>
              </w:rPr>
            </w:pPr>
            <w:r>
              <w:rPr>
                <w:rFonts w:ascii="Times New Roman" w:cs="Times New Roman" w:eastAsia="Times New Roman" w:hAnsi="Times New Roman"/>
                <w:sz w:val="22"/>
                <w:szCs w:val="22"/>
                <w:color w:val="auto"/>
                <w:w w:val="96"/>
              </w:rPr>
              <w:t>or Payout</w:t>
            </w:r>
          </w:p>
        </w:tc>
        <w:tc>
          <w:tcPr>
            <w:tcW w:w="0" w:type="dxa"/>
            <w:vAlign w:val="bottom"/>
          </w:tcPr>
          <w:p>
            <w:pPr>
              <w:spacing w:after="0"/>
              <w:rPr>
                <w:sz w:val="1"/>
                <w:szCs w:val="1"/>
                <w:color w:val="auto"/>
              </w:rPr>
            </w:pPr>
          </w:p>
        </w:tc>
      </w:tr>
      <w:tr>
        <w:trPr>
          <w:trHeight w:val="21"/>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Jeffrey A. Joerres</w:t>
            </w:r>
          </w:p>
        </w:tc>
        <w:tc>
          <w:tcPr>
            <w:tcW w:w="294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520" w:type="dxa"/>
            <w:vAlign w:val="bottom"/>
            <w:gridSpan w:val="2"/>
            <w:vMerge w:val="continue"/>
          </w:tcPr>
          <w:p>
            <w:pPr>
              <w:spacing w:after="0"/>
              <w:rPr>
                <w:sz w:val="24"/>
                <w:szCs w:val="24"/>
                <w:color w:val="auto"/>
              </w:rPr>
            </w:pPr>
          </w:p>
        </w:tc>
        <w:tc>
          <w:tcPr>
            <w:tcW w:w="29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40,000</w:t>
            </w:r>
          </w:p>
        </w:tc>
        <w:tc>
          <w:tcPr>
            <w:tcW w:w="520" w:type="dxa"/>
            <w:vAlign w:val="bottom"/>
            <w:vMerge w:val="continue"/>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 years</w:t>
            </w:r>
          </w:p>
        </w:tc>
        <w:tc>
          <w:tcPr>
            <w:tcW w:w="0" w:type="dxa"/>
            <w:vAlign w:val="bottom"/>
          </w:tcPr>
          <w:p>
            <w:pPr>
              <w:spacing w:after="0"/>
              <w:rPr>
                <w:sz w:val="1"/>
                <w:szCs w:val="1"/>
                <w:color w:val="auto"/>
              </w:rPr>
            </w:pPr>
          </w:p>
        </w:tc>
      </w:tr>
      <w:tr>
        <w:trPr>
          <w:trHeight w:val="837"/>
        </w:trPr>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6</w:t>
            </w:r>
          </w:p>
        </w:tc>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1" w:right="359" w:bottom="1440" w:gutter="0" w:footer="0" w:header="0"/>
        </w:sectPr>
      </w:pPr>
    </w:p>
    <w:bookmarkStart w:id="6" w:name="page7"/>
    <w:bookmarkEnd w:id="6"/>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Michael J. Van Handel</w:t>
            </w:r>
          </w:p>
        </w:tc>
        <w:tc>
          <w:tcPr>
            <w:tcW w:w="27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17,000</w:t>
            </w:r>
          </w:p>
        </w:tc>
        <w:tc>
          <w:tcPr>
            <w:tcW w:w="202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3 years</w:t>
            </w:r>
          </w:p>
        </w:tc>
      </w:tr>
      <w:tr>
        <w:trPr>
          <w:trHeight w:val="378"/>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Barbara J. Beck</w:t>
            </w:r>
          </w:p>
        </w:tc>
        <w:tc>
          <w:tcPr>
            <w:tcW w:w="27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10,000</w:t>
            </w:r>
          </w:p>
        </w:tc>
        <w:tc>
          <w:tcPr>
            <w:tcW w:w="202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3 years</w:t>
            </w:r>
          </w:p>
        </w:tc>
      </w:tr>
      <w:tr>
        <w:trPr>
          <w:trHeight w:val="378"/>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Jean-Pierre Lemonnier</w:t>
            </w:r>
          </w:p>
        </w:tc>
        <w:tc>
          <w:tcPr>
            <w:tcW w:w="27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10,000</w:t>
            </w:r>
          </w:p>
        </w:tc>
        <w:tc>
          <w:tcPr>
            <w:tcW w:w="202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3 years</w:t>
            </w:r>
          </w:p>
        </w:tc>
      </w:tr>
      <w:tr>
        <w:trPr>
          <w:trHeight w:val="378"/>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Yoav Michaely</w:t>
            </w:r>
          </w:p>
        </w:tc>
        <w:tc>
          <w:tcPr>
            <w:tcW w:w="27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7,500</w:t>
            </w:r>
          </w:p>
        </w:tc>
        <w:tc>
          <w:tcPr>
            <w:tcW w:w="202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3 years</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w:t>
      </w:r>
    </w:p>
    <w:p>
      <w:pPr>
        <w:spacing w:after="0" w:line="220" w:lineRule="exact"/>
        <w:rPr>
          <w:sz w:val="20"/>
          <w:szCs w:val="20"/>
          <w:color w:val="auto"/>
        </w:rPr>
      </w:pPr>
    </w:p>
    <w:p>
      <w:pPr>
        <w:ind w:firstLine="8"/>
        <w:spacing w:after="0" w:line="233" w:lineRule="auto"/>
        <w:tabs>
          <w:tab w:leader="none" w:pos="64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Units awarded represent share equivalents of the Company’s common stock. The units are earned based on the Company’s average operating profit margin during the performance period as compared to predetermined performance goals. The performance goals represent an improvement over 2005 operating profit margin. The performance period is the three years commencing on January 1, 2006 and ending on December 31, 2008. Additional units will not be credited to a participant’s account when dividends are paid on shares of the Company’s common stock. Vesting of units occurs at the end of the three-year period except in the case of death or disability of the participant, termination of a participant’s employment due to retirement (in which case a prorated amount of the target award vests) or, following a “triggering event” or during a “protected period” (each as defined in th e 2003 Equity Incentive Plan), an involuntary termination (other than for cause) or a voluntary termination for good reason (in which case the target award vests in full). A payout multiple is applied to the units awarded to a participant based on the Company’s average operating profit margin during the performance period. The threshold payout multiple is 25%, the target payout multiple is 100% and the maximum payout multiple is 175%. No payout will be made for performance below threshold. The resulting payout multiple is applied to the units awarded. The awards are settled in shares of the Company’s common stock. Before awards are settled, the Committee must certify the extent to which the performance criterion has been met.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Grant of Career Shares Under 2003 Equity Incentive Plan</w:t>
      </w:r>
    </w:p>
    <w:p>
      <w:pPr>
        <w:spacing w:after="0" w:line="206"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The Committee granted 35,000 career shares to Mr. Joerres, 6,000 career shares to Mr. Van Handel and 5,000 career shares to Mr. Michaely. These career shares are restricted shares of Company common stock granted under the Company’s 2003 Equity Incentive Plan. These shares are intended to serve as a performance and retention incentive. The shares vest in full on the sixth anniversary of date of the award, or February 14, 2012, except in the case of an involuntary termination (other than for cause) or a voluntary termination for good reason (where, in each case, a prorated amount of the shares vests) or upon the death, disability or retirement of the participant (where, in each case, the shares vest in full).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Awards under Performance-Based Deferred Compensation Plan</w:t>
      </w:r>
    </w:p>
    <w:p>
      <w:pPr>
        <w:spacing w:after="0" w:line="206"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Mr. Joerres, Mr. Van Handel, Ms. Beck and Mr. Michaely participated in the Company’s Performance-Based Deferred Compensation Plan (the “Deferred Compensation Plan”). Participants in the Deferred Compensation Plan earned deferred compensation based on achievement of annual earnings per share and economic profit performance goals. The performance goals and award opportunities are established at the beginning of each year by the Committee. The deferred compensation benefits earned by participants in each year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00"/>
          </w:cols>
          <w:pgMar w:left="240" w:top="396" w:right="259" w:bottom="1440" w:gutter="0" w:footer="0" w:header="0"/>
        </w:sectPr>
      </w:pPr>
    </w:p>
    <w:bookmarkStart w:id="7" w:name="page8"/>
    <w:bookmarkEnd w:id="7"/>
    <w:p>
      <w:pPr>
        <w:spacing w:after="0" w:line="245" w:lineRule="auto"/>
        <w:rPr>
          <w:sz w:val="20"/>
          <w:szCs w:val="20"/>
          <w:color w:val="auto"/>
        </w:rPr>
      </w:pPr>
      <w:r>
        <w:rPr>
          <w:rFonts w:ascii="Times New Roman" w:cs="Times New Roman" w:eastAsia="Times New Roman" w:hAnsi="Times New Roman"/>
          <w:sz w:val="21"/>
          <w:szCs w:val="21"/>
          <w:color w:val="auto"/>
        </w:rPr>
        <w:t>credited to participants’ accounts as of the end of the year. In February 2006, the Deferred Compensation Plan was frozen such that the awards granted in 2004 and 2005 will continue to vest and will be distributed in accordance with the terms of the Deferred Compensation Plan, but that no further awards will be granted under the Deferred Compensation Plan. Participants’ accounts balances will continue to be credited with an indexed rate of return, as determined from time to time by the Committee. The current rate of return is equal to the effective yield on ten year Treasury notes, plus 100 basis points. A participant’s account vests when the participant has attained age 50 and completed 15 years of service or, alternatively, when the participant has attained age</w:t>
      </w:r>
    </w:p>
    <w:p>
      <w:pPr>
        <w:spacing w:after="0" w:line="4" w:lineRule="exact"/>
        <w:rPr>
          <w:sz w:val="20"/>
          <w:szCs w:val="20"/>
          <w:color w:val="auto"/>
        </w:rPr>
      </w:pPr>
    </w:p>
    <w:p>
      <w:pPr>
        <w:ind w:right="20" w:firstLine="8"/>
        <w:spacing w:after="0" w:line="235"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the employment of a participant is terminated because of his or her death or d isability, the participant’s account balance becomes immediately vested. Account balances also vest upon a change of control of the Company. A participant’s vested account balance becomes distributable upon the retirement, death or disability of the participant.</w:t>
      </w:r>
    </w:p>
    <w:p>
      <w:pPr>
        <w:spacing w:after="0" w:line="17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The Committee approved deferred compensation to be credited to the accounts of the participants in the Deferred Compensation Plan for 2005. The Company’s performance in 2005 exceeded the “target” earnings per share and economic profit performance goals established by the Committee for that period. As a result, the accounts of Mr. Joerres, Mr. Van Handel, Ms. Beck and Mr. Michaely under the Deferred Compensation Plan were credited with the following amounts, which include interest credited on the beginning of year balances:</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253"/>
        </w:trPr>
        <w:tc>
          <w:tcPr>
            <w:tcW w:w="27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Participant</w:t>
            </w: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color w:val="auto"/>
              </w:rPr>
              <w:t>Deferred Compensation</w:t>
            </w:r>
          </w:p>
        </w:tc>
      </w:tr>
      <w:tr>
        <w:trPr>
          <w:trHeight w:val="223"/>
        </w:trPr>
        <w:tc>
          <w:tcPr>
            <w:tcW w:w="10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780"/>
              <w:spacing w:after="0" w:line="223" w:lineRule="exact"/>
              <w:rPr>
                <w:sz w:val="20"/>
                <w:szCs w:val="20"/>
                <w:color w:val="auto"/>
              </w:rPr>
            </w:pPr>
            <w:r>
              <w:rPr>
                <w:rFonts w:ascii="Times New Roman" w:cs="Times New Roman" w:eastAsia="Times New Roman" w:hAnsi="Times New Roman"/>
                <w:sz w:val="22"/>
                <w:szCs w:val="22"/>
                <w:color w:val="auto"/>
                <w:w w:val="90"/>
              </w:rPr>
              <w:t>Award</w:t>
            </w:r>
          </w:p>
        </w:tc>
      </w:tr>
      <w:tr>
        <w:trPr>
          <w:trHeight w:val="20"/>
        </w:trPr>
        <w:tc>
          <w:tcPr>
            <w:tcW w:w="27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762"/>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Jeffrey A. Joerres</w:t>
            </w: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22"/>
                <w:szCs w:val="22"/>
                <w:color w:val="auto"/>
              </w:rPr>
              <w:t>$453,190</w:t>
            </w:r>
          </w:p>
        </w:tc>
      </w:tr>
      <w:tr>
        <w:trPr>
          <w:trHeight w:val="37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Michael J. Van Handel</w:t>
            </w: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22"/>
                <w:szCs w:val="22"/>
                <w:color w:val="auto"/>
              </w:rPr>
              <w:t>227,638</w:t>
            </w:r>
          </w:p>
        </w:tc>
      </w:tr>
      <w:tr>
        <w:trPr>
          <w:trHeight w:val="37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Barbara J. Beck</w:t>
            </w: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22"/>
                <w:szCs w:val="22"/>
                <w:color w:val="auto"/>
              </w:rPr>
              <w:t>182,162</w:t>
            </w:r>
          </w:p>
        </w:tc>
      </w:tr>
      <w:tr>
        <w:trPr>
          <w:trHeight w:val="37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Yoav Michaely</w:t>
            </w: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22"/>
                <w:szCs w:val="22"/>
                <w:color w:val="auto"/>
              </w:rPr>
              <w:t>166,725</w:t>
            </w:r>
          </w:p>
        </w:tc>
      </w:tr>
    </w:tbl>
    <w:p>
      <w:pPr>
        <w:spacing w:after="0" w:line="3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Item 9.01</w:t>
      </w:r>
      <w:r>
        <w:rPr>
          <w:sz w:val="20"/>
          <w:szCs w:val="20"/>
          <w:color w:val="auto"/>
        </w:rPr>
        <w:tab/>
      </w:r>
      <w:r>
        <w:rPr>
          <w:rFonts w:ascii="Times New Roman" w:cs="Times New Roman" w:eastAsia="Times New Roman" w:hAnsi="Times New Roman"/>
          <w:sz w:val="21"/>
          <w:szCs w:val="21"/>
          <w:u w:val="single" w:color="auto"/>
          <w:color w:val="auto"/>
        </w:rPr>
        <w:t>Financial Statements and Exhibits</w:t>
      </w:r>
    </w:p>
    <w:p>
      <w:pPr>
        <w:spacing w:after="0" w:line="23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ind w:left="1300" w:hanging="644"/>
        <w:spacing w:after="0" w:line="217"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50" w:lineRule="exact"/>
        <w:rPr>
          <w:sz w:val="20"/>
          <w:szCs w:val="20"/>
          <w:color w:val="auto"/>
        </w:rPr>
      </w:pPr>
    </w:p>
    <w:p>
      <w:pPr>
        <w:ind w:left="1260"/>
        <w:spacing w:after="0"/>
        <w:tabs>
          <w:tab w:leader="none" w:pos="2560" w:val="left"/>
        </w:tabs>
        <w:rPr>
          <w:sz w:val="20"/>
          <w:szCs w:val="20"/>
          <w:color w:val="auto"/>
        </w:rPr>
      </w:pPr>
      <w:r>
        <w:rPr>
          <w:rFonts w:ascii="Times New Roman" w:cs="Times New Roman" w:eastAsia="Times New Roman" w:hAnsi="Times New Roman"/>
          <w:sz w:val="22"/>
          <w:szCs w:val="22"/>
          <w:u w:val="single" w:color="auto"/>
          <w:color w:val="auto"/>
        </w:rPr>
        <w:t>Exhibit No.</w:t>
      </w:r>
      <w:r>
        <w:rPr>
          <w:sz w:val="20"/>
          <w:szCs w:val="20"/>
          <w:color w:val="auto"/>
        </w:rPr>
        <w:tab/>
      </w:r>
      <w:r>
        <w:rPr>
          <w:rFonts w:ascii="Times New Roman" w:cs="Times New Roman" w:eastAsia="Times New Roman" w:hAnsi="Times New Roman"/>
          <w:sz w:val="21"/>
          <w:szCs w:val="21"/>
          <w:u w:val="single" w:color="auto"/>
          <w:color w:val="auto"/>
        </w:rPr>
        <w:t>Description</w:t>
      </w:r>
    </w:p>
    <w:p>
      <w:pPr>
        <w:spacing w:after="0" w:line="200" w:lineRule="exact"/>
        <w:rPr>
          <w:sz w:val="20"/>
          <w:szCs w:val="20"/>
          <w:color w:val="auto"/>
        </w:rPr>
      </w:pPr>
    </w:p>
    <w:p>
      <w:pPr>
        <w:spacing w:after="0" w:line="276" w:lineRule="exact"/>
        <w:rPr>
          <w:sz w:val="20"/>
          <w:szCs w:val="20"/>
          <w:color w:val="auto"/>
        </w:rPr>
      </w:pPr>
    </w:p>
    <w:tbl>
      <w:tblPr>
        <w:tblLayout w:type="fixed"/>
        <w:tblInd w:w="1420" w:type="dxa"/>
        <w:tblCellMar>
          <w:top w:w="0" w:type="dxa"/>
          <w:left w:w="0" w:type="dxa"/>
          <w:bottom w:w="0" w:type="dxa"/>
          <w:right w:w="0" w:type="dxa"/>
        </w:tblCellMar>
      </w:tblPr>
      <w:tr>
        <w:trPr>
          <w:trHeight w:val="283"/>
        </w:trPr>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3"/>
              </w:rPr>
              <w:t>10.1</w:t>
            </w: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Restricted Stock Agreement.</w:t>
            </w:r>
          </w:p>
        </w:tc>
      </w:tr>
      <w:tr>
        <w:trPr>
          <w:trHeight w:val="378"/>
        </w:trPr>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3"/>
              </w:rPr>
              <w:t>10.2</w:t>
            </w: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Performance Share Unit Agreement.</w:t>
            </w:r>
          </w:p>
        </w:tc>
      </w:tr>
      <w:tr>
        <w:trPr>
          <w:trHeight w:val="339"/>
        </w:trPr>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3"/>
              </w:rPr>
              <w:t>10.3</w:t>
            </w: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Form of Nonstatutory Stock Option Agreement (For</w:t>
            </w:r>
          </w:p>
        </w:tc>
      </w:tr>
      <w:tr>
        <w:trPr>
          <w:trHeight w:val="283"/>
        </w:trPr>
        <w:tc>
          <w:tcPr>
            <w:tcW w:w="780" w:type="dxa"/>
            <w:vAlign w:val="bottom"/>
          </w:tcPr>
          <w:p>
            <w:pPr>
              <w:spacing w:after="0"/>
              <w:rPr>
                <w:sz w:val="24"/>
                <w:szCs w:val="24"/>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CEO/CFO)</w:t>
            </w:r>
          </w:p>
        </w:tc>
      </w:tr>
      <w:tr>
        <w:trPr>
          <w:trHeight w:val="339"/>
        </w:trPr>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3"/>
              </w:rPr>
              <w:t>10.4</w:t>
            </w: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Form of Nonstatutory Stock Option Agreement (For</w:t>
            </w:r>
          </w:p>
        </w:tc>
      </w:tr>
      <w:tr>
        <w:trPr>
          <w:trHeight w:val="283"/>
        </w:trPr>
        <w:tc>
          <w:tcPr>
            <w:tcW w:w="780" w:type="dxa"/>
            <w:vAlign w:val="bottom"/>
          </w:tcPr>
          <w:p>
            <w:pPr>
              <w:spacing w:after="0"/>
              <w:rPr>
                <w:sz w:val="24"/>
                <w:szCs w:val="24"/>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Executive Officers, other than CEO/CFO)</w:t>
            </w:r>
          </w:p>
        </w:tc>
      </w:tr>
      <w:tr>
        <w:trPr>
          <w:trHeight w:val="851"/>
        </w:trPr>
        <w:tc>
          <w:tcPr>
            <w:tcW w:w="780" w:type="dxa"/>
            <w:vAlign w:val="bottom"/>
          </w:tcPr>
          <w:p>
            <w:pPr>
              <w:spacing w:after="0"/>
              <w:rPr>
                <w:sz w:val="24"/>
                <w:szCs w:val="24"/>
                <w:color w:val="auto"/>
              </w:rPr>
            </w:pPr>
          </w:p>
        </w:tc>
        <w:tc>
          <w:tcPr>
            <w:tcW w:w="4920" w:type="dxa"/>
            <w:vAlign w:val="bottom"/>
          </w:tcPr>
          <w:p>
            <w:pPr>
              <w:ind w:left="3460"/>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400"/>
          </w:cols>
          <w:pgMar w:left="240" w:top="111" w:right="25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200" w:lineRule="exact"/>
        <w:rPr>
          <w:sz w:val="20"/>
          <w:szCs w:val="20"/>
          <w:color w:val="auto"/>
        </w:rPr>
      </w:pPr>
    </w:p>
    <w:p>
      <w:pPr>
        <w:spacing w:after="0" w:line="2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20"/>
        <w:spacing w:after="0"/>
        <w:tabs>
          <w:tab w:leader="none" w:pos="4360" w:val="left"/>
        </w:tabs>
        <w:rPr>
          <w:sz w:val="20"/>
          <w:szCs w:val="20"/>
          <w:color w:val="auto"/>
        </w:rPr>
      </w:pPr>
      <w:r>
        <w:rPr>
          <w:rFonts w:ascii="Times New Roman" w:cs="Times New Roman" w:eastAsia="Times New Roman" w:hAnsi="Times New Roman"/>
          <w:sz w:val="22"/>
          <w:szCs w:val="22"/>
          <w:color w:val="auto"/>
        </w:rPr>
        <w:t>Dated: February 21, 2006</w:t>
      </w:r>
      <w:r>
        <w:rPr>
          <w:sz w:val="20"/>
          <w:szCs w:val="20"/>
          <w:color w:val="auto"/>
        </w:rPr>
        <w:tab/>
      </w:r>
      <w:r>
        <w:rPr>
          <w:rFonts w:ascii="Times New Roman" w:cs="Times New Roman" w:eastAsia="Times New Roman" w:hAnsi="Times New Roman"/>
          <w:sz w:val="21"/>
          <w:szCs w:val="21"/>
          <w:color w:val="auto"/>
        </w:rPr>
        <w:t>MANPOWER INC.</w:t>
      </w:r>
    </w:p>
    <w:p>
      <w:pPr>
        <w:spacing w:after="0" w:line="200" w:lineRule="exact"/>
        <w:rPr>
          <w:sz w:val="20"/>
          <w:szCs w:val="20"/>
          <w:color w:val="auto"/>
        </w:rPr>
      </w:pPr>
    </w:p>
    <w:p>
      <w:pPr>
        <w:spacing w:after="0" w:line="2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-13970</wp:posOffset>
            </wp:positionV>
            <wp:extent cx="2305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Michael J. Van Handel</w:t>
      </w:r>
    </w:p>
    <w:p>
      <w:pPr>
        <w:ind w:left="4760"/>
        <w:spacing w:after="0" w:line="230" w:lineRule="auto"/>
        <w:rPr>
          <w:sz w:val="20"/>
          <w:szCs w:val="20"/>
          <w:color w:val="auto"/>
        </w:rPr>
      </w:pPr>
      <w:r>
        <w:rPr>
          <w:rFonts w:ascii="Times New Roman" w:cs="Times New Roman" w:eastAsia="Times New Roman" w:hAnsi="Times New Roman"/>
          <w:sz w:val="22"/>
          <w:szCs w:val="22"/>
          <w:color w:val="auto"/>
        </w:rPr>
        <w:t>Executive Vice President – Chief Financial</w:t>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80"/>
          </w:cols>
          <w:pgMar w:left="240" w:top="598"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20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EXHIBIT INDEX</w:t>
            </w:r>
          </w:p>
        </w:tc>
      </w:tr>
      <w:tr>
        <w:trPr>
          <w:trHeight w:val="696"/>
        </w:trPr>
        <w:tc>
          <w:tcPr>
            <w:tcW w:w="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No.</w:t>
            </w:r>
          </w:p>
        </w:tc>
        <w:tc>
          <w:tcPr>
            <w:tcW w:w="274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Description</w:t>
            </w:r>
          </w:p>
        </w:tc>
        <w:tc>
          <w:tcPr>
            <w:tcW w:w="15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27"/>
        </w:trPr>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200" w:type="dxa"/>
            <w:vAlign w:val="bottom"/>
            <w:gridSpan w:val="3"/>
          </w:tcPr>
          <w:p>
            <w:pPr>
              <w:spacing w:after="0"/>
              <w:rPr>
                <w:sz w:val="2"/>
                <w:szCs w:val="2"/>
                <w:color w:val="auto"/>
              </w:rPr>
            </w:pPr>
          </w:p>
        </w:tc>
      </w:tr>
      <w:tr>
        <w:trPr>
          <w:trHeight w:val="485"/>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420" w:type="dxa"/>
            <w:vAlign w:val="bottom"/>
          </w:tcPr>
          <w:p>
            <w:pPr>
              <w:spacing w:after="0"/>
              <w:rPr>
                <w:sz w:val="24"/>
                <w:szCs w:val="24"/>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Form of Restricted Stock Agreement.</w:t>
            </w: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420" w:type="dxa"/>
            <w:vAlign w:val="bottom"/>
          </w:tcPr>
          <w:p>
            <w:pPr>
              <w:spacing w:after="0"/>
              <w:rPr>
                <w:sz w:val="24"/>
                <w:szCs w:val="24"/>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Form of Performance Share Unit Agreement.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420" w:type="dxa"/>
            <w:vAlign w:val="bottom"/>
          </w:tcPr>
          <w:p>
            <w:pPr>
              <w:spacing w:after="0"/>
              <w:rPr>
                <w:sz w:val="24"/>
                <w:szCs w:val="24"/>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Form of Nonstatutory Stock Option Agreement (For CEO/CFO)</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420" w:type="dxa"/>
            <w:vAlign w:val="bottom"/>
          </w:tcPr>
          <w:p>
            <w:pPr>
              <w:spacing w:after="0"/>
              <w:rPr>
                <w:sz w:val="24"/>
                <w:szCs w:val="24"/>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w w:val="97"/>
              </w:rPr>
              <w:t>Form of Nonstatutory Stock Option Agreement (For Executive Officers, other than CEO/CFO)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060"/>
          </w:cols>
          <w:pgMar w:left="1000" w:top="89" w:right="8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MANPOWER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Stock Agreement (this “Agreement”) is executed as of _____________, 200_ by and between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 INC., a Wisconsin corporation (the “Corporation”), and ___________________ (the “Employee”).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WHEREAS the Board of Directors of the Corporation has established the 2003 Equity Incentive Plan (the “Plan”) with the approval of the shareholders of the Corporation; and</w:t>
      </w:r>
    </w:p>
    <w:p>
      <w:pPr>
        <w:spacing w:after="0" w:line="185" w:lineRule="exact"/>
        <w:rPr>
          <w:sz w:val="20"/>
          <w:szCs w:val="20"/>
          <w:color w:val="auto"/>
        </w:rPr>
      </w:pPr>
    </w:p>
    <w:p>
      <w:pPr>
        <w:ind w:right="980" w:firstLine="648"/>
        <w:spacing w:after="0" w:line="258" w:lineRule="auto"/>
        <w:rPr>
          <w:sz w:val="20"/>
          <w:szCs w:val="20"/>
          <w:color w:val="auto"/>
        </w:rPr>
      </w:pPr>
      <w:r>
        <w:rPr>
          <w:rFonts w:ascii="Times New Roman" w:cs="Times New Roman" w:eastAsia="Times New Roman" w:hAnsi="Times New Roman"/>
          <w:sz w:val="22"/>
          <w:szCs w:val="22"/>
          <w:color w:val="auto"/>
        </w:rPr>
        <w:t>WHEREAS, the Employee has been granted Restricted Stock under the Plan subject to the terms provided in this Agreement and the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Corporation and the Employee hereby agree as follows:</w:t>
      </w:r>
    </w:p>
    <w:p>
      <w:pPr>
        <w:spacing w:after="0" w:line="233" w:lineRule="exact"/>
        <w:rPr>
          <w:sz w:val="20"/>
          <w:szCs w:val="20"/>
          <w:color w:val="auto"/>
        </w:rPr>
      </w:pPr>
    </w:p>
    <w:p>
      <w:pPr>
        <w:ind w:right="60" w:firstLine="656"/>
        <w:spacing w:after="0" w:line="238"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Plan Control</w:t>
      </w:r>
      <w:r>
        <w:rPr>
          <w:rFonts w:ascii="Times New Roman" w:cs="Times New Roman" w:eastAsia="Times New Roman" w:hAnsi="Times New Roman"/>
          <w:sz w:val="22"/>
          <w:szCs w:val="22"/>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204" w:lineRule="exact"/>
        <w:rPr>
          <w:rFonts w:ascii="Times New Roman" w:cs="Times New Roman" w:eastAsia="Times New Roman" w:hAnsi="Times New Roman"/>
          <w:sz w:val="22"/>
          <w:szCs w:val="22"/>
          <w:color w:val="auto"/>
        </w:rPr>
      </w:pPr>
    </w:p>
    <w:p>
      <w:pPr>
        <w:ind w:left="60" w:right="780" w:firstLine="596"/>
        <w:spacing w:after="0" w:line="253" w:lineRule="auto"/>
        <w:tabs>
          <w:tab w:leader="none" w:pos="92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Award</w:t>
      </w:r>
      <w:r>
        <w:rPr>
          <w:rFonts w:ascii="Times New Roman" w:cs="Times New Roman" w:eastAsia="Times New Roman" w:hAnsi="Times New Roman"/>
          <w:sz w:val="21"/>
          <w:szCs w:val="21"/>
          <w:color w:val="auto"/>
        </w:rPr>
        <w:t>. The Employee has been granted _____________ Shares of Restricted Stock under the Plan. Notwithstanding the terms of the Plan, the Administrator has determined that the Restricted Period is the period ending on</w:t>
      </w:r>
    </w:p>
    <w:p>
      <w:pPr>
        <w:spacing w:after="0" w:line="1" w:lineRule="exact"/>
        <w:rPr>
          <w:rFonts w:ascii="Times New Roman" w:cs="Times New Roman" w:eastAsia="Times New Roman" w:hAnsi="Times New Roman"/>
          <w:sz w:val="21"/>
          <w:szCs w:val="21"/>
          <w:color w:val="auto"/>
        </w:rPr>
      </w:pPr>
    </w:p>
    <w:p>
      <w:pPr>
        <w:ind w:right="6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______________, unless the Restricted Period ends sooner as provided in the Plan. Notwithstanding the foregoing, the provisions of Section 8(e) of the Plan, regarding accelerated vesting upon a Triggering Event or during a Protected Period, shall not apply to this Agreement. Further, the provisions of Section 8(d)(2) of the Plan regarding normal retirement or early retirement shall not apply to this Agreement. Instead, upon the Employee’s Retirement, all restrictions applicable to any Restricted Stock then held by the Employee shall immediately lapse and the Shares of Restricted Stock shall vest in full. Finally, notwithstanding the foregoing, the Restricted Period shall end for and the Empl oyee shall become vested in a prorated number of Shares of Restricted Stock if the Shares have not previously vested or been forfeited, as follows:</w:t>
      </w:r>
    </w:p>
    <w:p>
      <w:pPr>
        <w:spacing w:after="0" w:line="235" w:lineRule="exact"/>
        <w:rPr>
          <w:rFonts w:ascii="Times New Roman" w:cs="Times New Roman" w:eastAsia="Times New Roman" w:hAnsi="Times New Roman"/>
          <w:sz w:val="21"/>
          <w:szCs w:val="21"/>
          <w:color w:val="auto"/>
        </w:rPr>
      </w:pPr>
    </w:p>
    <w:p>
      <w:pPr>
        <w:ind w:left="1620" w:hanging="315"/>
        <w:spacing w:after="0"/>
        <w:tabs>
          <w:tab w:leader="none" w:pos="162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Employee’s termination of employment by the Corporation other than for “Cause” as defined below; or</w:t>
      </w:r>
    </w:p>
    <w:p>
      <w:pPr>
        <w:spacing w:after="0" w:line="271" w:lineRule="exact"/>
        <w:rPr>
          <w:rFonts w:ascii="Times New Roman" w:cs="Times New Roman" w:eastAsia="Times New Roman" w:hAnsi="Times New Roman"/>
          <w:sz w:val="21"/>
          <w:szCs w:val="21"/>
          <w:color w:val="auto"/>
        </w:rPr>
      </w:pPr>
    </w:p>
    <w:p>
      <w:pPr>
        <w:ind w:left="1620" w:hanging="315"/>
        <w:spacing w:after="0"/>
        <w:tabs>
          <w:tab w:leader="none" w:pos="16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Employee’s voluntary termination of employment for “Good Reason” as defined below.</w:t>
      </w:r>
    </w:p>
    <w:p>
      <w:pPr>
        <w:spacing w:after="0" w:line="260" w:lineRule="exact"/>
        <w:rPr>
          <w:rFonts w:ascii="Times New Roman" w:cs="Times New Roman" w:eastAsia="Times New Roman" w:hAnsi="Times New Roman"/>
          <w:sz w:val="22"/>
          <w:szCs w:val="22"/>
          <w:color w:val="auto"/>
        </w:rPr>
      </w:pPr>
    </w:p>
    <w:p>
      <w:pPr>
        <w:ind w:left="1620" w:right="80" w:hanging="315"/>
        <w:spacing w:after="0" w:line="239" w:lineRule="auto"/>
        <w:tabs>
          <w:tab w:leader="none" w:pos="16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Restricted Stock that shall vest upon the occurrence of either (a) or (b) above shall be the number of Shares determined by multiplying the total Shares granted hereunder by the quotient of: (x) the number of days between and including the date of this Agreement and the date of the Employee’s termination of employment, divided by (y) _______ days.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33"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Termination for “Cause” will mean termination of the Employee’s employment upon:</w:t>
      </w:r>
    </w:p>
    <w:p>
      <w:pPr>
        <w:sectPr>
          <w:pgSz w:w="11900" w:h="16838" w:orient="portrait"/>
          <w:cols w:equalWidth="0" w:num="1">
            <w:col w:w="11420"/>
          </w:cols>
          <w:pgMar w:left="240" w:top="598" w:right="239" w:bottom="1440" w:gutter="0" w:footer="0" w:header="0"/>
        </w:sectPr>
      </w:pPr>
    </w:p>
    <w:bookmarkStart w:id="11" w:name="page12"/>
    <w:bookmarkEnd w:id="11"/>
    <w:p>
      <w:pPr>
        <w:ind w:left="1080" w:hanging="651"/>
        <w:spacing w:after="0" w:line="244" w:lineRule="auto"/>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repeated failure to perform work reasonably assigned to him in a competent, diligent and satisfactory fashion as determined by the Board of Directors of the Corporation in its reasonable discretion;</w:t>
      </w:r>
    </w:p>
    <w:p>
      <w:pPr>
        <w:spacing w:after="0" w:line="227" w:lineRule="exact"/>
        <w:rPr>
          <w:rFonts w:ascii="Times New Roman" w:cs="Times New Roman" w:eastAsia="Times New Roman" w:hAnsi="Times New Roman"/>
          <w:sz w:val="22"/>
          <w:szCs w:val="22"/>
          <w:color w:val="auto"/>
        </w:rPr>
      </w:pPr>
    </w:p>
    <w:p>
      <w:pPr>
        <w:ind w:left="1080" w:hanging="651"/>
        <w:spacing w:after="0"/>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insubordination;</w:t>
      </w:r>
    </w:p>
    <w:p>
      <w:pPr>
        <w:spacing w:after="0" w:line="260" w:lineRule="exact"/>
        <w:rPr>
          <w:rFonts w:ascii="Times New Roman" w:cs="Times New Roman" w:eastAsia="Times New Roman" w:hAnsi="Times New Roman"/>
          <w:sz w:val="22"/>
          <w:szCs w:val="22"/>
          <w:color w:val="auto"/>
        </w:rPr>
      </w:pPr>
    </w:p>
    <w:p>
      <w:pPr>
        <w:ind w:left="1080" w:right="100" w:hanging="651"/>
        <w:spacing w:after="0" w:line="258" w:lineRule="auto"/>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commission of any material act of dishonesty or disloyalty involving the Corporation or any of its subsidiaries or affiliates (the “Manpower Group”);</w:t>
      </w:r>
    </w:p>
    <w:p>
      <w:pPr>
        <w:spacing w:after="0" w:line="212" w:lineRule="exact"/>
        <w:rPr>
          <w:rFonts w:ascii="Times New Roman" w:cs="Times New Roman" w:eastAsia="Times New Roman" w:hAnsi="Times New Roman"/>
          <w:sz w:val="22"/>
          <w:szCs w:val="22"/>
          <w:color w:val="auto"/>
        </w:rPr>
      </w:pPr>
    </w:p>
    <w:p>
      <w:pPr>
        <w:ind w:left="1080" w:hanging="651"/>
        <w:spacing w:after="0"/>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chronic absence from work other than by reason of a serious health condition;</w:t>
      </w:r>
    </w:p>
    <w:p>
      <w:pPr>
        <w:spacing w:after="0" w:line="260" w:lineRule="exact"/>
        <w:rPr>
          <w:rFonts w:ascii="Times New Roman" w:cs="Times New Roman" w:eastAsia="Times New Roman" w:hAnsi="Times New Roman"/>
          <w:sz w:val="22"/>
          <w:szCs w:val="22"/>
          <w:color w:val="auto"/>
        </w:rPr>
      </w:pPr>
    </w:p>
    <w:p>
      <w:pPr>
        <w:ind w:left="1080" w:right="260" w:hanging="651"/>
        <w:spacing w:after="0" w:line="244" w:lineRule="auto"/>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commission of a crime which substantially relates to the circumstances of his position with the Manpower Group or which has a material adverse effect on the business of the Manpower Group; or</w:t>
      </w:r>
    </w:p>
    <w:p>
      <w:pPr>
        <w:spacing w:after="0" w:line="227" w:lineRule="exact"/>
        <w:rPr>
          <w:rFonts w:ascii="Times New Roman" w:cs="Times New Roman" w:eastAsia="Times New Roman" w:hAnsi="Times New Roman"/>
          <w:sz w:val="22"/>
          <w:szCs w:val="22"/>
          <w:color w:val="auto"/>
        </w:rPr>
      </w:pPr>
    </w:p>
    <w:p>
      <w:pPr>
        <w:ind w:left="1080" w:right="200" w:hanging="651"/>
        <w:spacing w:after="0" w:line="258" w:lineRule="auto"/>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the Employee in conduct which is demonstrably and materially injurious to the Manpower Group.</w:t>
      </w:r>
    </w:p>
    <w:p>
      <w:pPr>
        <w:spacing w:after="0" w:line="212" w:lineRule="exact"/>
        <w:rPr>
          <w:rFonts w:ascii="Times New Roman" w:cs="Times New Roman" w:eastAsia="Times New Roman" w:hAnsi="Times New Roman"/>
          <w:sz w:val="22"/>
          <w:szCs w:val="22"/>
          <w:color w:val="auto"/>
        </w:rPr>
      </w:pPr>
    </w:p>
    <w:p>
      <w:pPr>
        <w:ind w:left="420" w:hanging="315"/>
        <w:spacing w:after="0"/>
        <w:tabs>
          <w:tab w:leader="none" w:pos="4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will mean, without the Employee’s consent, the occurrence of any one or more of the following:</w:t>
      </w:r>
    </w:p>
    <w:p>
      <w:pPr>
        <w:spacing w:after="0" w:line="271" w:lineRule="exact"/>
        <w:rPr>
          <w:rFonts w:ascii="Times New Roman" w:cs="Times New Roman" w:eastAsia="Times New Roman" w:hAnsi="Times New Roman"/>
          <w:sz w:val="21"/>
          <w:szCs w:val="21"/>
          <w:color w:val="auto"/>
        </w:rPr>
      </w:pPr>
    </w:p>
    <w:p>
      <w:pPr>
        <w:ind w:left="1080" w:right="20" w:hanging="651"/>
        <w:spacing w:after="0" w:line="251" w:lineRule="auto"/>
        <w:tabs>
          <w:tab w:leader="none" w:pos="108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Employee of a position which represents a material reduction from the Employee’s position on the date of this Agreement or the assignment to him of duties, other than incidental duties, inconsistent with such position or other position to which he is assigned, provided he objects to such assignment by written notice to the Corporation within 20 business days after it is made and the Corporation fails to cure, if necessary, within 10 business days after such notice is given;</w:t>
      </w:r>
    </w:p>
    <w:p>
      <w:pPr>
        <w:spacing w:after="0" w:line="222" w:lineRule="exact"/>
        <w:rPr>
          <w:rFonts w:ascii="Times New Roman" w:cs="Times New Roman" w:eastAsia="Times New Roman" w:hAnsi="Times New Roman"/>
          <w:sz w:val="21"/>
          <w:szCs w:val="21"/>
          <w:color w:val="auto"/>
        </w:rPr>
      </w:pPr>
    </w:p>
    <w:p>
      <w:pPr>
        <w:ind w:left="1080" w:right="220" w:hanging="651"/>
        <w:spacing w:after="0" w:line="262" w:lineRule="auto"/>
        <w:tabs>
          <w:tab w:leader="none" w:pos="108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the Employee’s base salary, or any material violation of any agreement between the Employee and the Corporation regarding the Employee’s compensation, which remains uncured 10 business days after the Employee gives written notice to the Corporation which specifies the violation;</w:t>
      </w:r>
    </w:p>
    <w:p>
      <w:pPr>
        <w:spacing w:after="0" w:line="208" w:lineRule="exact"/>
        <w:rPr>
          <w:rFonts w:ascii="Times New Roman" w:cs="Times New Roman" w:eastAsia="Times New Roman" w:hAnsi="Times New Roman"/>
          <w:sz w:val="21"/>
          <w:szCs w:val="21"/>
          <w:color w:val="auto"/>
        </w:rPr>
      </w:pPr>
    </w:p>
    <w:p>
      <w:pPr>
        <w:ind w:left="1080" w:right="60" w:hanging="651"/>
        <w:spacing w:after="0" w:line="239" w:lineRule="auto"/>
        <w:tabs>
          <w:tab w:leader="none" w:pos="10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being required by the Corporation to change the location of the Employee’s principal office to one in excess of 75 miles from the Corporation’s home office in Glendale, Wisconsin, provided the Employee’s employment with the Corporation is terminated within 90 days after any such change of location; or</w:t>
      </w:r>
    </w:p>
    <w:p>
      <w:pPr>
        <w:spacing w:after="0" w:line="234" w:lineRule="exact"/>
        <w:rPr>
          <w:rFonts w:ascii="Times New Roman" w:cs="Times New Roman" w:eastAsia="Times New Roman" w:hAnsi="Times New Roman"/>
          <w:sz w:val="22"/>
          <w:szCs w:val="22"/>
          <w:color w:val="auto"/>
        </w:rPr>
      </w:pPr>
    </w:p>
    <w:p>
      <w:pPr>
        <w:ind w:left="1080" w:hanging="651"/>
        <w:spacing w:after="0" w:line="238" w:lineRule="auto"/>
        <w:tabs>
          <w:tab w:leader="none" w:pos="10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amount of the annual bonus received by Employee for a given fiscal year within two years after a Triggering Event, as compared to the amount of annual bonus received by Employee for either of the two fiscal years of the Corporation immediately preceding the fiscal year in which the Triggering Event occurred, unless the bonus for such given fiscal year is based on objective criteria to which Employee has agreed.</w:t>
      </w:r>
    </w:p>
    <w:p>
      <w:pPr>
        <w:spacing w:after="0" w:line="231" w:lineRule="exact"/>
        <w:rPr>
          <w:rFonts w:ascii="Times New Roman" w:cs="Times New Roman" w:eastAsia="Times New Roman" w:hAnsi="Times New Roman"/>
          <w:sz w:val="22"/>
          <w:szCs w:val="22"/>
          <w:color w:val="auto"/>
        </w:rPr>
      </w:pPr>
    </w:p>
    <w:p>
      <w:pPr>
        <w:ind w:left="420" w:right="160" w:hanging="315"/>
        <w:spacing w:after="0" w:line="239"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will mean termination of the Employee’s employment on or after the Employee has attained age 55 and has completed 10 years of Service. “Service” means the period beginning on the date the Employee’s employment with the Manpower Group commences and ending on the date the Employee’s employment with the Manpower Group terminates.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60"/>
          </w:cols>
          <w:pgMar w:left="1440" w:top="868" w:right="299" w:bottom="1440" w:gutter="0" w:footer="0" w:header="0"/>
        </w:sectPr>
      </w:pPr>
    </w:p>
    <w:bookmarkStart w:id="12" w:name="page13"/>
    <w:bookmarkEnd w:id="12"/>
    <w:p>
      <w:pPr>
        <w:ind w:right="60" w:firstLine="656"/>
        <w:spacing w:after="0" w:line="258" w:lineRule="auto"/>
        <w:tabs>
          <w:tab w:leader="none" w:pos="9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The Employee shall be entitled to receive any dividends that become payable with respect to such shares of Restricted Stock and shall be entitled to voting rights with respect to such shares of Restricted Stock.</w:t>
      </w:r>
    </w:p>
    <w:p>
      <w:pPr>
        <w:spacing w:after="0" w:line="185" w:lineRule="exact"/>
        <w:rPr>
          <w:rFonts w:ascii="Times New Roman" w:cs="Times New Roman" w:eastAsia="Times New Roman" w:hAnsi="Times New Roman"/>
          <w:sz w:val="22"/>
          <w:szCs w:val="22"/>
          <w:color w:val="auto"/>
        </w:rPr>
      </w:pPr>
    </w:p>
    <w:p>
      <w:pPr>
        <w:ind w:firstLine="656"/>
        <w:spacing w:after="0" w:line="239" w:lineRule="auto"/>
        <w:tabs>
          <w:tab w:leader="none" w:pos="9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Corporation may require payment or reimbursement of or may withhold any tax that it believes is required as a result of the grant or vesting of such Restricted Stock or any payments in connection with the Restricted Stock, and the Corporation may defer making delivery of any Restricted Stock or Shares in respect of Restricted Stock until arrangements satisfactory to the Corporation have been made with regard to any such payment, reimbursement, or withholding obligation.</w:t>
      </w:r>
    </w:p>
    <w:p>
      <w:pPr>
        <w:spacing w:after="0" w:line="207" w:lineRule="exact"/>
        <w:rPr>
          <w:rFonts w:ascii="Times New Roman" w:cs="Times New Roman" w:eastAsia="Times New Roman" w:hAnsi="Times New Roman"/>
          <w:sz w:val="22"/>
          <w:szCs w:val="22"/>
          <w:color w:val="auto"/>
        </w:rPr>
      </w:pPr>
    </w:p>
    <w:p>
      <w:pPr>
        <w:ind w:right="60" w:firstLine="656"/>
        <w:spacing w:after="0" w:line="251" w:lineRule="auto"/>
        <w:tabs>
          <w:tab w:leader="none" w:pos="9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Certificates</w:t>
      </w:r>
      <w:r>
        <w:rPr>
          <w:rFonts w:ascii="Times New Roman" w:cs="Times New Roman" w:eastAsia="Times New Roman" w:hAnsi="Times New Roman"/>
          <w:sz w:val="21"/>
          <w:szCs w:val="21"/>
          <w:color w:val="auto"/>
        </w:rPr>
        <w:t>. In accordance with the Plan, the Corporation will retain custody of the stock certificates representing Restricted Stock during the Restricted Period. As soon as practicable after the execution of this Agreement, the Participant shall deliver to the Corporation a stock power signed by the Participant to be used in the event the Restricted Stock is forfeited to the Corporation. The Participant’s signature on such stock power shall be guaranteed by an institution that is a member of a Medallion signature guarantee program or a similar signature guarantee program acceptable to the Corporation’s transfer agent.</w:t>
      </w:r>
    </w:p>
    <w:p>
      <w:pPr>
        <w:spacing w:after="0" w:line="195" w:lineRule="exact"/>
        <w:rPr>
          <w:rFonts w:ascii="Times New Roman" w:cs="Times New Roman" w:eastAsia="Times New Roman" w:hAnsi="Times New Roman"/>
          <w:sz w:val="21"/>
          <w:szCs w:val="21"/>
          <w:color w:val="auto"/>
        </w:rPr>
      </w:pPr>
    </w:p>
    <w:p>
      <w:pPr>
        <w:ind w:right="180" w:firstLine="656"/>
        <w:spacing w:after="0" w:line="282" w:lineRule="auto"/>
        <w:tabs>
          <w:tab w:leader="none" w:pos="9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Executed Copies</w:t>
      </w:r>
      <w:r>
        <w:rPr>
          <w:rFonts w:ascii="Times New Roman" w:cs="Times New Roman" w:eastAsia="Times New Roman" w:hAnsi="Times New Roman"/>
          <w:sz w:val="21"/>
          <w:szCs w:val="21"/>
          <w:color w:val="auto"/>
        </w:rPr>
        <w:t>. This Agreement may be executed in multiple copies, each of which will constitute an original, and which together will constitute one and the same agreement providing for a single grant of shares of Restricted Stock.</w:t>
      </w:r>
    </w:p>
    <w:p>
      <w:pPr>
        <w:spacing w:after="0" w:line="162"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Corporation has caused this Agreement to be executed as of the date and year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2540</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The undersigned Employee hereby accepts the foregoing grant of Restricted Stock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418465</wp:posOffset>
            </wp:positionV>
            <wp:extent cx="3430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98"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MANPOWER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 AGREEMENT</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Performance Share Unit Agreement (this “Agreement”) is executed as of ______________ by and between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MANPOWER INC., a Wisconsin corporation (the “Corporation”), and </w:t>
      </w:r>
      <w:r>
        <w:rPr>
          <w:rFonts w:ascii="Times New Roman" w:cs="Times New Roman" w:eastAsia="Times New Roman" w:hAnsi="Times New Roman"/>
          <w:sz w:val="22"/>
          <w:szCs w:val="22"/>
          <w:b w:val="1"/>
          <w:bCs w:val="1"/>
          <w:color w:val="auto"/>
        </w:rPr>
        <w:t>___________________</w:t>
      </w:r>
      <w:r>
        <w:rPr>
          <w:rFonts w:ascii="Times New Roman" w:cs="Times New Roman" w:eastAsia="Times New Roman" w:hAnsi="Times New Roman"/>
          <w:sz w:val="22"/>
          <w:szCs w:val="22"/>
          <w:color w:val="auto"/>
        </w:rPr>
        <w:t xml:space="preserve"> (the “Employee”).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WHEREAS the Board of Directors of the Corporation has established the 2003 Equity Incentive Plan (the “Plan”) with the approval of the shareholders of the Corporation; and</w:t>
      </w:r>
    </w:p>
    <w:p>
      <w:pPr>
        <w:spacing w:after="0" w:line="18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WHEREAS, the Employee has been granted Performance Share Units under the Plan subject to the terms provided in this Agreement and the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Corporation and the Employee hereby agree as follows:</w:t>
      </w:r>
    </w:p>
    <w:p>
      <w:pPr>
        <w:spacing w:after="0" w:line="233" w:lineRule="exact"/>
        <w:rPr>
          <w:sz w:val="20"/>
          <w:szCs w:val="20"/>
          <w:color w:val="auto"/>
        </w:rPr>
      </w:pPr>
    </w:p>
    <w:p>
      <w:pPr>
        <w:ind w:right="60" w:firstLine="656"/>
        <w:spacing w:after="0" w:line="238" w:lineRule="auto"/>
        <w:tabs>
          <w:tab w:leader="none" w:pos="9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Plan Control</w:t>
      </w:r>
      <w:r>
        <w:rPr>
          <w:rFonts w:ascii="Times New Roman" w:cs="Times New Roman" w:eastAsia="Times New Roman" w:hAnsi="Times New Roman"/>
          <w:sz w:val="22"/>
          <w:szCs w:val="22"/>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200" w:lineRule="exact"/>
        <w:rPr>
          <w:rFonts w:ascii="Times New Roman" w:cs="Times New Roman" w:eastAsia="Times New Roman" w:hAnsi="Times New Roman"/>
          <w:sz w:val="22"/>
          <w:szCs w:val="22"/>
          <w:color w:val="auto"/>
        </w:rPr>
      </w:pPr>
    </w:p>
    <w:p>
      <w:pPr>
        <w:ind w:right="40" w:firstLine="656"/>
        <w:spacing w:after="0" w:line="235" w:lineRule="auto"/>
        <w:tabs>
          <w:tab w:leader="none" w:pos="9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 and Performance Goal</w:t>
      </w:r>
      <w:r>
        <w:rPr>
          <w:rFonts w:ascii="Times New Roman" w:cs="Times New Roman" w:eastAsia="Times New Roman" w:hAnsi="Times New Roman"/>
          <w:sz w:val="22"/>
          <w:szCs w:val="22"/>
          <w:color w:val="auto"/>
        </w:rPr>
        <w:t xml:space="preserve">. The Employee has been granted a Target Grant of </w:t>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 xml:space="preserve"> Performance Share Units under the Plan. The actual number of Performance Share Units earned by Employee will be determined as described below, based upon the actual achievement of the Performance Goal during the Performance Period. The Performance Goal shall be based upon </w:t>
      </w:r>
      <w:r>
        <w:rPr>
          <w:rFonts w:ascii="Times New Roman" w:cs="Times New Roman" w:eastAsia="Times New Roman" w:hAnsi="Times New Roman"/>
          <w:sz w:val="22"/>
          <w:szCs w:val="22"/>
          <w:b w:val="1"/>
          <w:bCs w:val="1"/>
          <w:color w:val="auto"/>
        </w:rPr>
        <w:t>[insert Performance Goal as defined in Section 2(u) of the Plan]</w:t>
      </w:r>
      <w:r>
        <w:rPr>
          <w:rFonts w:ascii="Times New Roman" w:cs="Times New Roman" w:eastAsia="Times New Roman" w:hAnsi="Times New Roman"/>
          <w:sz w:val="22"/>
          <w:szCs w:val="22"/>
          <w:color w:val="auto"/>
        </w:rPr>
        <w:t xml:space="preserve">. Threshold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is the minimum </w:t>
      </w:r>
      <w:r>
        <w:rPr>
          <w:rFonts w:ascii="Times New Roman" w:cs="Times New Roman" w:eastAsia="Times New Roman" w:hAnsi="Times New Roman"/>
          <w:sz w:val="22"/>
          <w:szCs w:val="22"/>
          <w:b w:val="1"/>
          <w:bCs w:val="1"/>
          <w:color w:val="auto"/>
        </w:rPr>
        <w:t xml:space="preserve">[Performance Goal] </w:t>
      </w:r>
      <w:r>
        <w:rPr>
          <w:rFonts w:ascii="Times New Roman" w:cs="Times New Roman" w:eastAsia="Times New Roman" w:hAnsi="Times New Roman"/>
          <w:sz w:val="22"/>
          <w:szCs w:val="22"/>
          <w:color w:val="auto"/>
        </w:rPr>
        <w:t>for the Performance Period that must be achieved by the Corporation in order for the Employee to qualify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Award, Target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is the expected achievement of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for the Performance Period, and Maximum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is the maximum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for the Performance Period that could be achieved that would result in an increase in the number of Performance Share Units earned under this Award.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Average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[Performance Goal]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During the PerformanceResultin</w:t>
      </w:r>
      <w:r>
        <w:rPr>
          <w:rFonts w:ascii="Times New Roman" w:cs="Times New Roman" w:eastAsia="Times New Roman" w:hAnsi="Times New Roman"/>
          <w:sz w:val="22"/>
          <w:szCs w:val="22"/>
          <w:color w:val="auto"/>
        </w:rPr>
        <w:t>Periodg Performance Share Units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5080</wp:posOffset>
            </wp:positionV>
            <wp:extent cx="236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200" cy="8890"/>
                    </a:xfrm>
                    <a:prstGeom prst="rect">
                      <a:avLst/>
                    </a:prstGeom>
                    <a:noFill/>
                  </pic:spPr>
                </pic:pic>
              </a:graphicData>
            </a:graphic>
          </wp:anchor>
        </w:drawing>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Threshold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____</w:t>
            </w:r>
          </w:p>
        </w:tc>
        <w:tc>
          <w:tcPr>
            <w:tcW w:w="250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6"/>
              </w:rPr>
              <w:t>___% of Target Grant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Target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_____</w:t>
            </w:r>
          </w:p>
        </w:tc>
        <w:tc>
          <w:tcPr>
            <w:tcW w:w="250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6"/>
              </w:rPr>
              <w:t>___% of Target Grant</w:t>
            </w:r>
          </w:p>
        </w:tc>
      </w:tr>
      <w:tr>
        <w:trPr>
          <w:trHeight w:val="314"/>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Maximum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____</w:t>
            </w:r>
          </w:p>
        </w:tc>
        <w:tc>
          <w:tcPr>
            <w:tcW w:w="250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6"/>
              </w:rPr>
              <w:t>___% of Target Grant</w:t>
            </w:r>
          </w:p>
        </w:tc>
      </w:tr>
    </w:tbl>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Actual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for the Performance Period between Threshold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and Target </w:t>
      </w:r>
      <w:r>
        <w:rPr>
          <w:rFonts w:ascii="Times New Roman" w:cs="Times New Roman" w:eastAsia="Times New Roman" w:hAnsi="Times New Roman"/>
          <w:sz w:val="22"/>
          <w:szCs w:val="22"/>
          <w:b w:val="1"/>
          <w:bCs w:val="1"/>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Goal] </w:t>
      </w:r>
      <w:r>
        <w:rPr>
          <w:rFonts w:ascii="Times New Roman" w:cs="Times New Roman" w:eastAsia="Times New Roman" w:hAnsi="Times New Roman"/>
          <w:sz w:val="22"/>
          <w:szCs w:val="22"/>
          <w:color w:val="auto"/>
        </w:rPr>
        <w:t>and between Target</w:t>
      </w:r>
      <w:r>
        <w:rPr>
          <w:rFonts w:ascii="Times New Roman" w:cs="Times New Roman" w:eastAsia="Times New Roman" w:hAnsi="Times New Roman"/>
          <w:sz w:val="22"/>
          <w:szCs w:val="22"/>
          <w:b w:val="1"/>
          <w:bCs w:val="1"/>
          <w:color w:val="auto"/>
        </w:rPr>
        <w:t xml:space="preserve"> [Performance Goal] </w:t>
      </w:r>
      <w:r>
        <w:rPr>
          <w:rFonts w:ascii="Times New Roman" w:cs="Times New Roman" w:eastAsia="Times New Roman" w:hAnsi="Times New Roman"/>
          <w:sz w:val="22"/>
          <w:szCs w:val="22"/>
          <w:color w:val="auto"/>
        </w:rPr>
        <w:t>and Maximum</w:t>
      </w:r>
      <w:r>
        <w:rPr>
          <w:rFonts w:ascii="Times New Roman" w:cs="Times New Roman" w:eastAsia="Times New Roman" w:hAnsi="Times New Roman"/>
          <w:sz w:val="22"/>
          <w:szCs w:val="22"/>
          <w:b w:val="1"/>
          <w:bCs w:val="1"/>
          <w:color w:val="auto"/>
        </w:rPr>
        <w:t xml:space="preserve"> [Performance Goal] </w:t>
      </w:r>
      <w:r>
        <w:rPr>
          <w:rFonts w:ascii="Times New Roman" w:cs="Times New Roman" w:eastAsia="Times New Roman" w:hAnsi="Times New Roman"/>
          <w:sz w:val="22"/>
          <w:szCs w:val="22"/>
          <w:color w:val="auto"/>
        </w:rPr>
        <w:t>shall result in an Award of Performance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Units determined on a linear basis. In the event that the Corporation’s actual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does not meet the Threshold </w:t>
      </w:r>
      <w:r>
        <w:rPr>
          <w:rFonts w:ascii="Times New Roman" w:cs="Times New Roman" w:eastAsia="Times New Roman" w:hAnsi="Times New Roman"/>
          <w:sz w:val="22"/>
          <w:szCs w:val="22"/>
          <w:b w:val="1"/>
          <w:bCs w:val="1"/>
          <w:color w:val="auto"/>
        </w:rPr>
        <w:t xml:space="preserve">[Performance Goal] </w:t>
      </w:r>
      <w:r>
        <w:rPr>
          <w:rFonts w:ascii="Times New Roman" w:cs="Times New Roman" w:eastAsia="Times New Roman" w:hAnsi="Times New Roman"/>
          <w:sz w:val="22"/>
          <w:szCs w:val="22"/>
          <w:color w:val="auto"/>
        </w:rPr>
        <w:t>for the Performance Period, no Performance Share Units shall be earned under this Award. In the event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Corporation’s actual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exceeds the Maximum </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for the Performance Period, Performance Share Units in the amount of ___% of the Target Grant shall be earned. Notwithstanding the foregoing, the Committee retains the discretion to decrease the number of Performance Share Units earned under this Award.</w:t>
      </w:r>
    </w:p>
    <w:p>
      <w:pPr>
        <w:spacing w:after="0" w:line="234" w:lineRule="exact"/>
        <w:rPr>
          <w:sz w:val="20"/>
          <w:szCs w:val="20"/>
          <w:color w:val="auto"/>
        </w:rPr>
      </w:pPr>
    </w:p>
    <w:p>
      <w:pPr>
        <w:ind w:right="320" w:firstLine="656"/>
        <w:spacing w:after="0" w:line="258" w:lineRule="auto"/>
        <w:tabs>
          <w:tab w:leader="none" w:pos="9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Payment</w:t>
      </w:r>
      <w:r>
        <w:rPr>
          <w:rFonts w:ascii="Times New Roman" w:cs="Times New Roman" w:eastAsia="Times New Roman" w:hAnsi="Times New Roman"/>
          <w:sz w:val="22"/>
          <w:szCs w:val="22"/>
          <w:color w:val="auto"/>
        </w:rPr>
        <w:t>. Awards of Performance Share Units shall be paid in Shares after the Performance Period as soon as administratively practicable after the Committee has approved and certified the number of</w:t>
      </w:r>
    </w:p>
    <w:p>
      <w:pPr>
        <w:sectPr>
          <w:pgSz w:w="11900" w:h="16838" w:orient="portrait"/>
          <w:cols w:equalWidth="0" w:num="1">
            <w:col w:w="11420"/>
          </w:cols>
          <w:pgMar w:left="240" w:top="598" w:right="239" w:bottom="1440" w:gutter="0" w:footer="0" w:header="0"/>
        </w:sectPr>
      </w:pPr>
    </w:p>
    <w:bookmarkStart w:id="14" w:name="page15"/>
    <w:bookmarkEnd w:id="14"/>
    <w:p>
      <w:pPr>
        <w:ind w:right="120"/>
        <w:spacing w:after="0" w:line="235" w:lineRule="auto"/>
        <w:rPr>
          <w:sz w:val="20"/>
          <w:szCs w:val="20"/>
          <w:color w:val="auto"/>
        </w:rPr>
      </w:pPr>
      <w:r>
        <w:rPr>
          <w:rFonts w:ascii="Times New Roman" w:cs="Times New Roman" w:eastAsia="Times New Roman" w:hAnsi="Times New Roman"/>
          <w:sz w:val="22"/>
          <w:szCs w:val="22"/>
          <w:color w:val="auto"/>
        </w:rPr>
        <w:t>Performance Share Units that have been earned hereunder. Notwithstanding the foregoing, Awards of Performance Share Units that become earned and vested upon the Employee’s death, Disability or a Triggering Event in Section 4(b) below shall be paid in Shares as soon as administratively practicable after such death, Disability or Triggering Event. Further, to the extent that Performance Share Units granted hereunder are earned and vested upon the Employee’s termination of employment in accordance with Section 4(a) below or upon the Employee’s Retirement and are nonqualified deferred compensation subject to Section 409A of the Code, such Award shall be paid to the Employee in Shares on the date that is six (6) months after the date of the Employee’s termination of employment.</w:t>
      </w:r>
    </w:p>
    <w:p>
      <w:pPr>
        <w:spacing w:after="0" w:line="238" w:lineRule="exact"/>
        <w:rPr>
          <w:sz w:val="20"/>
          <w:szCs w:val="20"/>
          <w:color w:val="auto"/>
        </w:rPr>
      </w:pPr>
    </w:p>
    <w:p>
      <w:pPr>
        <w:ind w:right="20" w:firstLine="656"/>
        <w:spacing w:after="0" w:line="235" w:lineRule="auto"/>
        <w:tabs>
          <w:tab w:leader="none" w:pos="97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Except as otherwise provided in the Plan and except as otherwise provided in this Agreement, Employee must be an employee of the Manpower Group continuously from the date of this Award until the last day of the Performance Period in order for Employee to receive any Shares with respect to any Performance Share Units he or she may earn hereunder. Notwithstanding the foregoing, Section 10(e) of the Plan, regarding the earning and accelerated vesting of Awards after a Triggering Event or during a Protected Period, shall not apply to this Agreement. Further, notwithstanding the foregoing, if the Performance Share Units have not previously been earned or forfeited, the Employee shall immediately earn and become vested in 100% of the Target Grant upon any of the following events:</w:t>
      </w:r>
    </w:p>
    <w:p>
      <w:pPr>
        <w:spacing w:after="0" w:line="237" w:lineRule="exact"/>
        <w:rPr>
          <w:rFonts w:ascii="Times New Roman" w:cs="Times New Roman" w:eastAsia="Times New Roman" w:hAnsi="Times New Roman"/>
          <w:sz w:val="22"/>
          <w:szCs w:val="22"/>
          <w:color w:val="auto"/>
        </w:rPr>
      </w:pPr>
    </w:p>
    <w:p>
      <w:pPr>
        <w:ind w:left="920" w:right="420" w:hanging="655"/>
        <w:spacing w:after="0" w:line="244"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Employee’s termination of employment by the Corporation other than for “Cause” or upon the Employee’s voluntary termination of employment for “Good Reason” if such termination occurs during the two-year period following a Triggering Event; or</w:t>
      </w:r>
    </w:p>
    <w:p>
      <w:pPr>
        <w:spacing w:after="0" w:line="227" w:lineRule="exact"/>
        <w:rPr>
          <w:rFonts w:ascii="Times New Roman" w:cs="Times New Roman" w:eastAsia="Times New Roman" w:hAnsi="Times New Roman"/>
          <w:sz w:val="22"/>
          <w:szCs w:val="22"/>
          <w:color w:val="auto"/>
        </w:rPr>
      </w:pPr>
    </w:p>
    <w:p>
      <w:pPr>
        <w:jc w:val="both"/>
        <w:ind w:left="920" w:right="160" w:hanging="655"/>
        <w:spacing w:after="0" w:line="244"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if the Employee’s employment was terminated by the Corporation other than for “Cause” or if the Employee voluntarily terminated his employment for “Good Reason” if such termination occurs during a Protected Period during the Performance Period.</w:t>
      </w:r>
    </w:p>
    <w:p>
      <w:pPr>
        <w:spacing w:after="0" w:line="20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Finally, notwithstanding the foregoing, if the Performance Share Units have not previously been earned or forfeited, the Employee shall immediately earn and become vested in a prorated number of Performance Share Units upon the Employee’s death, Disability or Retirement. The number of Performance Share Units earned upon such death, Disability or Retirement shall be the number of Performance Share Units determined by multiplying the Target Grant by the quotient of: (x) the number of days between and including the date of this Agreement and the date of the Employee’s death, Disability or Retirement, divided by (y) the number of days in the Performance Period.</w:t>
      </w:r>
    </w:p>
    <w:p>
      <w:pPr>
        <w:spacing w:after="0" w:line="209" w:lineRule="exact"/>
        <w:rPr>
          <w:sz w:val="20"/>
          <w:szCs w:val="20"/>
          <w:color w:val="auto"/>
        </w:rPr>
      </w:pPr>
    </w:p>
    <w:p>
      <w:pPr>
        <w:ind w:right="320" w:firstLine="656"/>
        <w:spacing w:after="0" w:line="258" w:lineRule="auto"/>
        <w:tabs>
          <w:tab w:leader="none" w:pos="9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The Employee shall not be entitled to receive any dividends for his or her Performance Share Units and shall not be entitled to voting rights with respect to such Performance Share Units.</w:t>
      </w:r>
    </w:p>
    <w:p>
      <w:pPr>
        <w:spacing w:after="0" w:line="185" w:lineRule="exact"/>
        <w:rPr>
          <w:rFonts w:ascii="Times New Roman" w:cs="Times New Roman" w:eastAsia="Times New Roman" w:hAnsi="Times New Roman"/>
          <w:sz w:val="22"/>
          <w:szCs w:val="22"/>
          <w:color w:val="auto"/>
        </w:rPr>
      </w:pPr>
    </w:p>
    <w:p>
      <w:pPr>
        <w:ind w:firstLine="656"/>
        <w:spacing w:after="0" w:line="255" w:lineRule="auto"/>
        <w:tabs>
          <w:tab w:leader="none" w:pos="91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89"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for “Cause” will mean termination of the Employee’s employment upon:</w:t>
      </w:r>
    </w:p>
    <w:p>
      <w:pPr>
        <w:spacing w:after="0" w:line="287" w:lineRule="exact"/>
        <w:rPr>
          <w:rFonts w:ascii="Times New Roman" w:cs="Times New Roman" w:eastAsia="Times New Roman" w:hAnsi="Times New Roman"/>
          <w:sz w:val="22"/>
          <w:szCs w:val="22"/>
          <w:color w:val="auto"/>
        </w:rPr>
      </w:pPr>
    </w:p>
    <w:p>
      <w:pPr>
        <w:ind w:left="2280" w:right="60" w:hanging="651"/>
        <w:spacing w:after="0" w:line="244" w:lineRule="auto"/>
        <w:tabs>
          <w:tab w:leader="none" w:pos="22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repeated failure to perform work reasonably assigned to him in a competent, diligent and satisfactory fashion as determined by the Board of Directors of the Corporation in its reasonable discretion;</w:t>
      </w:r>
    </w:p>
    <w:p>
      <w:pPr>
        <w:spacing w:after="0" w:line="227" w:lineRule="exact"/>
        <w:rPr>
          <w:rFonts w:ascii="Times New Roman" w:cs="Times New Roman" w:eastAsia="Times New Roman" w:hAnsi="Times New Roman"/>
          <w:sz w:val="22"/>
          <w:szCs w:val="22"/>
          <w:color w:val="auto"/>
        </w:rPr>
      </w:pPr>
    </w:p>
    <w:p>
      <w:pPr>
        <w:ind w:left="2280" w:hanging="651"/>
        <w:spacing w:after="0"/>
        <w:tabs>
          <w:tab w:leader="none" w:pos="22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insubordination;</w:t>
      </w:r>
    </w:p>
    <w:p>
      <w:pPr>
        <w:spacing w:after="0" w:line="260" w:lineRule="exact"/>
        <w:rPr>
          <w:rFonts w:ascii="Times New Roman" w:cs="Times New Roman" w:eastAsia="Times New Roman" w:hAnsi="Times New Roman"/>
          <w:sz w:val="22"/>
          <w:szCs w:val="22"/>
          <w:color w:val="auto"/>
        </w:rPr>
      </w:pPr>
    </w:p>
    <w:p>
      <w:pPr>
        <w:ind w:left="2280" w:right="160" w:hanging="651"/>
        <w:spacing w:after="0" w:line="258" w:lineRule="auto"/>
        <w:tabs>
          <w:tab w:leader="none" w:pos="22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commission of any material act of dishonesty or disloyalty involving the Corporation or any of its subsidiaries or affiliates (the “Manpower Group”);</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98" w:right="239" w:bottom="1440" w:gutter="0" w:footer="0" w:header="0"/>
          <w:type w:val="continuous"/>
        </w:sectPr>
      </w:pPr>
    </w:p>
    <w:bookmarkStart w:id="15" w:name="page16"/>
    <w:bookmarkEnd w:id="15"/>
    <w:p>
      <w:pPr>
        <w:ind w:left="1080" w:hanging="651"/>
        <w:spacing w:after="0"/>
        <w:tabs>
          <w:tab w:leader="none" w:pos="10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chronic absence from work other than by reason of a serious health condition;</w:t>
      </w:r>
    </w:p>
    <w:p>
      <w:pPr>
        <w:spacing w:after="0" w:line="260" w:lineRule="exact"/>
        <w:rPr>
          <w:rFonts w:ascii="Times New Roman" w:cs="Times New Roman" w:eastAsia="Times New Roman" w:hAnsi="Times New Roman"/>
          <w:sz w:val="22"/>
          <w:szCs w:val="22"/>
          <w:color w:val="auto"/>
        </w:rPr>
      </w:pPr>
    </w:p>
    <w:p>
      <w:pPr>
        <w:ind w:left="1080" w:right="260" w:hanging="651"/>
        <w:spacing w:after="0" w:line="244" w:lineRule="auto"/>
        <w:tabs>
          <w:tab w:leader="none" w:pos="10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commission of a crime which substantially relates to the circumstances of his position with the Manpower Group or which has a material adverse effect on the business of the Manpower Group; or</w:t>
      </w:r>
    </w:p>
    <w:p>
      <w:pPr>
        <w:spacing w:after="0" w:line="227" w:lineRule="exact"/>
        <w:rPr>
          <w:rFonts w:ascii="Times New Roman" w:cs="Times New Roman" w:eastAsia="Times New Roman" w:hAnsi="Times New Roman"/>
          <w:sz w:val="22"/>
          <w:szCs w:val="22"/>
          <w:color w:val="auto"/>
        </w:rPr>
      </w:pPr>
    </w:p>
    <w:p>
      <w:pPr>
        <w:ind w:left="1080" w:right="200" w:hanging="651"/>
        <w:spacing w:after="0" w:line="258" w:lineRule="auto"/>
        <w:tabs>
          <w:tab w:leader="none" w:pos="10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the Employee in conduct which is demonstrably and materially injurious to the Manpower Group.</w:t>
      </w:r>
    </w:p>
    <w:p>
      <w:pPr>
        <w:spacing w:after="0" w:line="200" w:lineRule="exact"/>
        <w:rPr>
          <w:rFonts w:ascii="Times New Roman" w:cs="Times New Roman" w:eastAsia="Times New Roman" w:hAnsi="Times New Roman"/>
          <w:sz w:val="22"/>
          <w:szCs w:val="22"/>
          <w:color w:val="auto"/>
        </w:rPr>
      </w:pPr>
    </w:p>
    <w:p>
      <w:pPr>
        <w:spacing w:after="0" w:line="255" w:lineRule="exact"/>
        <w:rPr>
          <w:rFonts w:ascii="Times New Roman" w:cs="Times New Roman" w:eastAsia="Times New Roman" w:hAnsi="Times New Roman"/>
          <w:sz w:val="22"/>
          <w:szCs w:val="22"/>
          <w:color w:val="auto"/>
        </w:rPr>
      </w:pPr>
    </w:p>
    <w:p>
      <w:pPr>
        <w:ind w:left="420" w:hanging="315"/>
        <w:spacing w:after="0"/>
        <w:tabs>
          <w:tab w:leader="none" w:pos="4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will mean, without the Employee’s consent, the occurrence of any one or more of the following:</w:t>
      </w:r>
    </w:p>
    <w:p>
      <w:pPr>
        <w:spacing w:after="0" w:line="271" w:lineRule="exact"/>
        <w:rPr>
          <w:rFonts w:ascii="Times New Roman" w:cs="Times New Roman" w:eastAsia="Times New Roman" w:hAnsi="Times New Roman"/>
          <w:sz w:val="21"/>
          <w:szCs w:val="21"/>
          <w:color w:val="auto"/>
        </w:rPr>
      </w:pPr>
    </w:p>
    <w:p>
      <w:pPr>
        <w:ind w:left="1080" w:right="20" w:hanging="651"/>
        <w:spacing w:after="0" w:line="251" w:lineRule="auto"/>
        <w:tabs>
          <w:tab w:leader="none" w:pos="108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Employee of a position which represents a material reduction from the Employee’s position on the date of this Agreement or the assignment to him of duties, other than incidental duties, inconsistent with such position or other position to which he is assigned, provided he objects to such assignment by written notice to the Corporation within 20 business days after it is made and the Corporation fails to cure, if necessary, within 10 business days after such notice is given;</w:t>
      </w:r>
    </w:p>
    <w:p>
      <w:pPr>
        <w:spacing w:after="0" w:line="222" w:lineRule="exact"/>
        <w:rPr>
          <w:rFonts w:ascii="Times New Roman" w:cs="Times New Roman" w:eastAsia="Times New Roman" w:hAnsi="Times New Roman"/>
          <w:sz w:val="21"/>
          <w:szCs w:val="21"/>
          <w:color w:val="auto"/>
        </w:rPr>
      </w:pPr>
    </w:p>
    <w:p>
      <w:pPr>
        <w:ind w:left="1080" w:right="220" w:hanging="651"/>
        <w:spacing w:after="0" w:line="262" w:lineRule="auto"/>
        <w:tabs>
          <w:tab w:leader="none" w:pos="108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the Employee’s base salary, or any material violation of any agreement between the Employee and the Corporation regarding the Employee’s compensation, which remains uncured 10 business days after the Employee gives written notice to the Corporation which specifies the violation;</w:t>
      </w:r>
    </w:p>
    <w:p>
      <w:pPr>
        <w:spacing w:after="0" w:line="208" w:lineRule="exact"/>
        <w:rPr>
          <w:rFonts w:ascii="Times New Roman" w:cs="Times New Roman" w:eastAsia="Times New Roman" w:hAnsi="Times New Roman"/>
          <w:sz w:val="21"/>
          <w:szCs w:val="21"/>
          <w:color w:val="auto"/>
        </w:rPr>
      </w:pPr>
    </w:p>
    <w:p>
      <w:pPr>
        <w:ind w:left="1080" w:right="60" w:hanging="651"/>
        <w:spacing w:after="0" w:line="239" w:lineRule="auto"/>
        <w:tabs>
          <w:tab w:leader="none" w:pos="10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being required by the Corporation to change the location of the Employee’s principal office to one in excess of 75 miles from the Corporation’s home office in Glendale, Wisconsin, provided the Employee’s employment with the Corporation is terminated within 90 days after any such change of location; or</w:t>
      </w:r>
    </w:p>
    <w:p>
      <w:pPr>
        <w:spacing w:after="0" w:line="234" w:lineRule="exact"/>
        <w:rPr>
          <w:rFonts w:ascii="Times New Roman" w:cs="Times New Roman" w:eastAsia="Times New Roman" w:hAnsi="Times New Roman"/>
          <w:sz w:val="22"/>
          <w:szCs w:val="22"/>
          <w:color w:val="auto"/>
        </w:rPr>
      </w:pPr>
    </w:p>
    <w:p>
      <w:pPr>
        <w:ind w:left="1080" w:hanging="651"/>
        <w:spacing w:after="0" w:line="238" w:lineRule="auto"/>
        <w:tabs>
          <w:tab w:leader="none" w:pos="10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amount of the annual bonus received by Employee for a given fiscal year within two years after a Triggering Event, as compared to the amount of annual bonus received by Employee for either of the two fiscal years of the Corporation immediately preceding the fiscal year in which the Triggering Event occurred, unless the bonus for such given fiscal year is based on objective criteria to which Employee has agreed.</w:t>
      </w:r>
    </w:p>
    <w:p>
      <w:pPr>
        <w:spacing w:after="0" w:line="227" w:lineRule="exact"/>
        <w:rPr>
          <w:rFonts w:ascii="Times New Roman" w:cs="Times New Roman" w:eastAsia="Times New Roman" w:hAnsi="Times New Roman"/>
          <w:sz w:val="22"/>
          <w:szCs w:val="22"/>
          <w:color w:val="auto"/>
        </w:rPr>
      </w:pPr>
    </w:p>
    <w:p>
      <w:pPr>
        <w:ind w:left="420" w:hanging="315"/>
        <w:spacing w:after="0"/>
        <w:tabs>
          <w:tab w:leader="none" w:pos="4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b w:val="1"/>
          <w:bCs w:val="1"/>
          <w:color w:val="auto"/>
        </w:rPr>
        <w:t>[insert definition]</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ind w:left="420" w:hanging="315"/>
        <w:spacing w:after="0"/>
        <w:tabs>
          <w:tab w:leader="none" w:pos="4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means the __-month period beginning on ________________ and ending on</w:t>
      </w:r>
    </w:p>
    <w:p>
      <w:pPr>
        <w:spacing w:after="0" w:line="14" w:lineRule="exact"/>
        <w:rPr>
          <w:rFonts w:ascii="Times New Roman" w:cs="Times New Roman" w:eastAsia="Times New Roman" w:hAnsi="Times New Roman"/>
          <w:sz w:val="22"/>
          <w:szCs w:val="22"/>
          <w:color w:val="auto"/>
        </w:rPr>
      </w:pPr>
    </w:p>
    <w:p>
      <w:pPr>
        <w:ind w:left="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w:t>
      </w:r>
    </w:p>
    <w:p>
      <w:pPr>
        <w:spacing w:after="0" w:line="236" w:lineRule="exact"/>
        <w:rPr>
          <w:rFonts w:ascii="Times New Roman" w:cs="Times New Roman" w:eastAsia="Times New Roman" w:hAnsi="Times New Roman"/>
          <w:sz w:val="22"/>
          <w:szCs w:val="22"/>
          <w:color w:val="auto"/>
        </w:rPr>
      </w:pPr>
    </w:p>
    <w:p>
      <w:pPr>
        <w:ind w:left="420" w:right="560" w:hanging="315"/>
        <w:spacing w:after="0" w:line="282" w:lineRule="auto"/>
        <w:tabs>
          <w:tab w:leader="none" w:pos="4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means the period beginning on the date the Employee’s employment with the Manpower Group commences and ending on the date the Employee’s employment with the Manpower Group terminates.</w:t>
      </w:r>
    </w:p>
    <w:p>
      <w:pPr>
        <w:spacing w:after="0" w:line="188" w:lineRule="exact"/>
        <w:rPr>
          <w:rFonts w:ascii="Times New Roman" w:cs="Times New Roman" w:eastAsia="Times New Roman" w:hAnsi="Times New Roman"/>
          <w:sz w:val="21"/>
          <w:szCs w:val="21"/>
          <w:color w:val="auto"/>
        </w:rPr>
      </w:pPr>
    </w:p>
    <w:p>
      <w:pPr>
        <w:ind w:left="420" w:right="160" w:hanging="315"/>
        <w:spacing w:after="0" w:line="258" w:lineRule="auto"/>
        <w:tabs>
          <w:tab w:leader="none" w:pos="4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will mean termination of the Employee’s employment on or after the Employee has attained age 55 and has completed 10 years of Service.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60"/>
          </w:cols>
          <w:pgMar w:left="1440" w:top="868" w:right="299" w:bottom="1440" w:gutter="0" w:footer="0" w:header="0"/>
        </w:sectPr>
      </w:pPr>
    </w:p>
    <w:bookmarkStart w:id="16" w:name="page17"/>
    <w:bookmarkEnd w:id="16"/>
    <w:p>
      <w:pPr>
        <w:ind w:right="80" w:firstLine="656"/>
        <w:spacing w:after="0" w:line="282" w:lineRule="auto"/>
        <w:tabs>
          <w:tab w:leader="none" w:pos="91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Executed Copies</w:t>
      </w:r>
      <w:r>
        <w:rPr>
          <w:rFonts w:ascii="Times New Roman" w:cs="Times New Roman" w:eastAsia="Times New Roman" w:hAnsi="Times New Roman"/>
          <w:sz w:val="21"/>
          <w:szCs w:val="21"/>
          <w:color w:val="auto"/>
        </w:rPr>
        <w:t>. This Agreement may be executed in multiple copies, each of which will constitute an original, and which together will constitute one and the same agreement providing for a single grant of Performance Share Units.</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Corporation has caused this Agreement to be executed as of the date and year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2540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Employee hereby accepts the foregoing grant of Performance Share Units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418465</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598" w:right="4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MANPOWER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NONSTATUTORY STOCK OPTION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CEO/CFO)</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Nonstatutory Stock Option Agreement (this “Agreement”) is executed as of ________________, by and between MANPOWER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 a Wisconsin corporation (the “Corporation”), and ______________ (the “Employee”).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4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WHEREAS the Board of Directors of the Corporation has established the 2003 Equity Incentive Plan (the “Plan”) for employees and directors of the Corporation and its Subsidiaries;</w:t>
      </w:r>
    </w:p>
    <w:p>
      <w:pPr>
        <w:spacing w:after="0" w:line="187" w:lineRule="exact"/>
        <w:rPr>
          <w:sz w:val="20"/>
          <w:szCs w:val="20"/>
          <w:color w:val="auto"/>
        </w:rPr>
      </w:pPr>
    </w:p>
    <w:p>
      <w:pPr>
        <w:ind w:right="280" w:firstLine="648"/>
        <w:spacing w:after="0" w:line="249" w:lineRule="auto"/>
        <w:rPr>
          <w:sz w:val="20"/>
          <w:szCs w:val="20"/>
          <w:color w:val="auto"/>
        </w:rPr>
      </w:pPr>
      <w:r>
        <w:rPr>
          <w:rFonts w:ascii="Times New Roman" w:cs="Times New Roman" w:eastAsia="Times New Roman" w:hAnsi="Times New Roman"/>
          <w:sz w:val="20"/>
          <w:szCs w:val="20"/>
          <w:color w:val="auto"/>
        </w:rPr>
        <w:t>WHEREAS, the Corporation anticipates that the Plan will promote the best interests of the Corporation and its shareholders (i) by attracting and retaining superior employees and directors; (ii) by providing a stronger incentive for such employees and directors to put forth maximum effort for the continued success and growth of the Corporation and its Subsidiaries; and in combination with these goals, (iii) providing employees and directors with a proprietary interest in the performance and growth of the Corporation; and</w:t>
      </w:r>
    </w:p>
    <w:p>
      <w:pPr>
        <w:spacing w:after="0" w:line="207"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WHEREAS, the Corporation has granted to the Employee the right to participate in the Plan in the manner and subject to the terms provided in this Agreement and the Plan.</w:t>
      </w:r>
    </w:p>
    <w:p>
      <w:pPr>
        <w:spacing w:after="0" w:line="18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benefits that the Corporation will derive in connection with the services to be rendered by the Employee, the Corporation and the Employee hereby agree as follows:</w:t>
      </w:r>
    </w:p>
    <w:p>
      <w:pPr>
        <w:spacing w:after="0" w:line="187" w:lineRule="exact"/>
        <w:rPr>
          <w:sz w:val="20"/>
          <w:szCs w:val="20"/>
          <w:color w:val="auto"/>
        </w:rPr>
      </w:pPr>
    </w:p>
    <w:p>
      <w:pPr>
        <w:ind w:right="140" w:firstLine="656"/>
        <w:spacing w:after="0" w:line="247" w:lineRule="auto"/>
        <w:tabs>
          <w:tab w:leader="none" w:pos="8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words in this Agreement shall have the meaning ascribed to them in the Plan. A copy of the Plan will be delivered to the Employee upon reasonable request.</w:t>
      </w:r>
    </w:p>
    <w:p>
      <w:pPr>
        <w:spacing w:after="0" w:line="207" w:lineRule="exact"/>
        <w:rPr>
          <w:rFonts w:ascii="Times New Roman" w:cs="Times New Roman" w:eastAsia="Times New Roman" w:hAnsi="Times New Roman"/>
          <w:sz w:val="20"/>
          <w:szCs w:val="20"/>
          <w:color w:val="auto"/>
        </w:rPr>
      </w:pPr>
    </w:p>
    <w:p>
      <w:pPr>
        <w:ind w:right="180" w:firstLine="656"/>
        <w:spacing w:after="0" w:line="269" w:lineRule="auto"/>
        <w:tabs>
          <w:tab w:leader="none" w:pos="8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Number of Shares; Option Price</w:t>
      </w:r>
      <w:r>
        <w:rPr>
          <w:rFonts w:ascii="Times New Roman" w:cs="Times New Roman" w:eastAsia="Times New Roman" w:hAnsi="Times New Roman"/>
          <w:sz w:val="20"/>
          <w:szCs w:val="20"/>
          <w:color w:val="auto"/>
        </w:rPr>
        <w:t>. The Employee shall have the right and option to purchase all or any part of an aggregate of ___________ Shares (the “Option”) at the purchase price of $</w:t>
      </w:r>
      <w:r>
        <w:rPr>
          <w:rFonts w:ascii="Times New Roman" w:cs="Times New Roman" w:eastAsia="Times New Roman" w:hAnsi="Times New Roman"/>
          <w:sz w:val="20"/>
          <w:szCs w:val="20"/>
          <w:u w:val="single" w:color="auto"/>
          <w:color w:val="auto"/>
        </w:rPr>
        <w:t>_____</w:t>
      </w:r>
      <w:r>
        <w:rPr>
          <w:rFonts w:ascii="Times New Roman" w:cs="Times New Roman" w:eastAsia="Times New Roman" w:hAnsi="Times New Roman"/>
          <w:sz w:val="20"/>
          <w:szCs w:val="20"/>
          <w:color w:val="auto"/>
        </w:rPr>
        <w:t xml:space="preserve"> per Share.</w:t>
      </w:r>
    </w:p>
    <w:p>
      <w:pPr>
        <w:spacing w:after="0" w:line="18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Limitations on Exercise of Option</w:t>
      </w:r>
      <w:r>
        <w:rPr>
          <w:rFonts w:ascii="Times New Roman" w:cs="Times New Roman" w:eastAsia="Times New Roman" w:hAnsi="Times New Roman"/>
          <w:sz w:val="20"/>
          <w:szCs w:val="20"/>
          <w:color w:val="auto"/>
        </w:rPr>
        <w:t>. The Option will become exercisable as to __% of the Shares on</w:t>
      </w:r>
    </w:p>
    <w:p>
      <w:pPr>
        <w:spacing w:after="0" w:line="21" w:lineRule="exact"/>
        <w:rPr>
          <w:rFonts w:ascii="Times New Roman" w:cs="Times New Roman" w:eastAsia="Times New Roman" w:hAnsi="Times New Roman"/>
          <w:sz w:val="20"/>
          <w:szCs w:val="20"/>
          <w:color w:val="auto"/>
        </w:rPr>
      </w:pPr>
    </w:p>
    <w:p>
      <w:pPr>
        <w:ind w:right="4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_____________________________ and an additional __% will become exercisable on _____________________________, provided that the Employee is still in the employ of the Corporation or any of its Subsidiaries on each such date. To the extent that the number of Shares relating to the Option becoming exercisable on any anniversary date is a fractional number, the cumulative number shall be rounded to the closest whole number, provided however, that to the extent necessary, the cumulative number of Shares relating to the Option becoming exercisable 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 shall be adjusted so that the total Shares that have become exercisable on or before ______________________</w:t>
      </w:r>
    </w:p>
    <w:p>
      <w:pPr>
        <w:sectPr>
          <w:pgSz w:w="11900" w:h="16838" w:orient="portrait"/>
          <w:cols w:equalWidth="0" w:num="1">
            <w:col w:w="11420"/>
          </w:cols>
          <w:pgMar w:left="240" w:top="603" w:right="23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20"/>
          <w:szCs w:val="20"/>
          <w:color w:val="auto"/>
        </w:rPr>
        <w:t>equals the total number of Shares indicated in Paragraph 2 above. Notwithstanding any limitation established by the Administrator on the exercise of the Option or anything else to the contrary contained in this Agreement, the Option shall be immediately exercisable as to all Shares covered by the Option if it has not previously lapsed as follows:</w:t>
      </w:r>
    </w:p>
    <w:p>
      <w:pPr>
        <w:spacing w:after="0" w:line="20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death of the Employee;</w:t>
      </w:r>
    </w:p>
    <w:p>
      <w:pPr>
        <w:spacing w:after="0" w:line="22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Employee’s termination of employment due to the Disability of the Employee;</w:t>
      </w:r>
    </w:p>
    <w:p>
      <w:pPr>
        <w:spacing w:after="0" w:line="24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Employee’s termination of employment by the Corporation other than for “Cause” as defined below; or</w:t>
      </w:r>
    </w:p>
    <w:p>
      <w:pPr>
        <w:spacing w:after="0" w:line="24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Employee’s voluntary termination of employment for “Good Reason” as defined below.</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To the extent not previously exercised according to the terms hereof, the Option shall expire on the tenth anniversary of the date hereof.</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this purpose:</w:t>
      </w:r>
    </w:p>
    <w:p>
      <w:pPr>
        <w:spacing w:after="0" w:line="22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for “Cause” will mean termination of the Employee’s employment upon:</w:t>
      </w:r>
    </w:p>
    <w:p>
      <w:pPr>
        <w:spacing w:after="0" w:line="242" w:lineRule="exact"/>
        <w:rPr>
          <w:rFonts w:ascii="Times New Roman" w:cs="Times New Roman" w:eastAsia="Times New Roman" w:hAnsi="Times New Roman"/>
          <w:sz w:val="20"/>
          <w:szCs w:val="20"/>
          <w:color w:val="auto"/>
        </w:rPr>
      </w:pPr>
    </w:p>
    <w:p>
      <w:pPr>
        <w:ind w:left="2280" w:right="620" w:hanging="651"/>
        <w:spacing w:after="0" w:line="296" w:lineRule="auto"/>
        <w:tabs>
          <w:tab w:leader="none" w:pos="2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Employee’s repeated failure to perform work reasonably assigned to him in a competent, diligent and satisfactory fashion as determined by the Board of Directors of the Corporation in its reasonable discretion;</w:t>
      </w:r>
    </w:p>
    <w:p>
      <w:pPr>
        <w:spacing w:after="0" w:line="163" w:lineRule="exact"/>
        <w:rPr>
          <w:rFonts w:ascii="Times New Roman" w:cs="Times New Roman" w:eastAsia="Times New Roman" w:hAnsi="Times New Roman"/>
          <w:sz w:val="19"/>
          <w:szCs w:val="19"/>
          <w:color w:val="auto"/>
        </w:rPr>
      </w:pPr>
    </w:p>
    <w:p>
      <w:pPr>
        <w:ind w:left="2280" w:hanging="651"/>
        <w:spacing w:after="0"/>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insubordination;</w:t>
      </w:r>
    </w:p>
    <w:p>
      <w:pPr>
        <w:spacing w:after="0" w:line="229" w:lineRule="exact"/>
        <w:rPr>
          <w:rFonts w:ascii="Times New Roman" w:cs="Times New Roman" w:eastAsia="Times New Roman" w:hAnsi="Times New Roman"/>
          <w:sz w:val="20"/>
          <w:szCs w:val="20"/>
          <w:color w:val="auto"/>
        </w:rPr>
      </w:pPr>
    </w:p>
    <w:p>
      <w:pPr>
        <w:ind w:left="2280" w:right="100" w:hanging="651"/>
        <w:spacing w:after="0" w:line="269" w:lineRule="auto"/>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commission of any material act of dishonesty or disloyalty involving the Corporation or any of its subsidiaries or affiliates (the “Manpower Group”);</w:t>
      </w:r>
    </w:p>
    <w:p>
      <w:pPr>
        <w:spacing w:after="0" w:line="186" w:lineRule="exact"/>
        <w:rPr>
          <w:rFonts w:ascii="Times New Roman" w:cs="Times New Roman" w:eastAsia="Times New Roman" w:hAnsi="Times New Roman"/>
          <w:sz w:val="20"/>
          <w:szCs w:val="20"/>
          <w:color w:val="auto"/>
        </w:rPr>
      </w:pPr>
    </w:p>
    <w:p>
      <w:pPr>
        <w:ind w:left="2280" w:hanging="651"/>
        <w:spacing w:after="0"/>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chronic absence from work other than by reason of a serious health condition;</w:t>
      </w:r>
    </w:p>
    <w:p>
      <w:pPr>
        <w:spacing w:after="0" w:line="242" w:lineRule="exact"/>
        <w:rPr>
          <w:rFonts w:ascii="Times New Roman" w:cs="Times New Roman" w:eastAsia="Times New Roman" w:hAnsi="Times New Roman"/>
          <w:sz w:val="20"/>
          <w:szCs w:val="20"/>
          <w:color w:val="auto"/>
        </w:rPr>
      </w:pPr>
    </w:p>
    <w:p>
      <w:pPr>
        <w:ind w:left="2280" w:right="340" w:hanging="651"/>
        <w:spacing w:after="0" w:line="269" w:lineRule="auto"/>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commission of a crime which substantially relates to the circumstances of his position with the Manpower Group or which has a material adverse effect on the business of the Manpower Group; or</w:t>
      </w:r>
    </w:p>
    <w:p>
      <w:pPr>
        <w:spacing w:after="0" w:line="173" w:lineRule="exact"/>
        <w:rPr>
          <w:rFonts w:ascii="Times New Roman" w:cs="Times New Roman" w:eastAsia="Times New Roman" w:hAnsi="Times New Roman"/>
          <w:sz w:val="20"/>
          <w:szCs w:val="20"/>
          <w:color w:val="auto"/>
        </w:rPr>
      </w:pPr>
    </w:p>
    <w:p>
      <w:pPr>
        <w:ind w:left="2280" w:right="80" w:hanging="651"/>
        <w:spacing w:after="0" w:line="269" w:lineRule="auto"/>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willful engaging by the Employee in conduct which is demonstrably and materially injurious to the Manpower Group.</w:t>
      </w:r>
    </w:p>
    <w:p>
      <w:pPr>
        <w:spacing w:after="0" w:line="18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 Reason” will mean, without the Employee’s consent, the occurrence of any one or more of the following:</w:t>
      </w:r>
    </w:p>
    <w:p>
      <w:pPr>
        <w:spacing w:after="0" w:line="242" w:lineRule="exact"/>
        <w:rPr>
          <w:rFonts w:ascii="Times New Roman" w:cs="Times New Roman" w:eastAsia="Times New Roman" w:hAnsi="Times New Roman"/>
          <w:sz w:val="20"/>
          <w:szCs w:val="20"/>
          <w:color w:val="auto"/>
        </w:rPr>
      </w:pPr>
    </w:p>
    <w:p>
      <w:pPr>
        <w:ind w:left="2280" w:right="140" w:hanging="651"/>
        <w:spacing w:after="0" w:line="296" w:lineRule="auto"/>
        <w:tabs>
          <w:tab w:leader="none" w:pos="2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to the Employee of a position which represents a material reduction from the Employee’s position on the date of this Agreement or the assignment to him of duties, other than incidental duties, inconsistent with</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603" w:right="259" w:bottom="1440" w:gutter="0" w:footer="0" w:header="0"/>
        </w:sectPr>
      </w:pPr>
    </w:p>
    <w:bookmarkStart w:id="19" w:name="page20"/>
    <w:bookmarkEnd w:id="19"/>
    <w:p>
      <w:pPr>
        <w:ind w:left="2260" w:right="60"/>
        <w:spacing w:after="0" w:line="254" w:lineRule="auto"/>
        <w:rPr>
          <w:sz w:val="20"/>
          <w:szCs w:val="20"/>
          <w:color w:val="auto"/>
        </w:rPr>
      </w:pPr>
      <w:r>
        <w:rPr>
          <w:rFonts w:ascii="Times New Roman" w:cs="Times New Roman" w:eastAsia="Times New Roman" w:hAnsi="Times New Roman"/>
          <w:sz w:val="20"/>
          <w:szCs w:val="20"/>
          <w:color w:val="auto"/>
        </w:rPr>
        <w:t>such position or other position to which he is assigned, provided he objects to such assignment by written notice to the Corporation within 20 business days after it is made and the Corporation fails to cure, if necessary, within 10 business days after such notice is given;</w:t>
      </w:r>
    </w:p>
    <w:p>
      <w:pPr>
        <w:spacing w:after="0" w:line="202" w:lineRule="exact"/>
        <w:rPr>
          <w:sz w:val="20"/>
          <w:szCs w:val="20"/>
          <w:color w:val="auto"/>
        </w:rPr>
      </w:pPr>
    </w:p>
    <w:p>
      <w:pPr>
        <w:ind w:left="2260" w:right="20" w:hanging="651"/>
        <w:spacing w:after="0" w:line="254" w:lineRule="auto"/>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Employee’s base salary, or any material violation of any agreement between the Employee and the Corporation regarding the Employee’s compensation, which remains uncured 10 business days after the Employee gives written notice to the Corporation which specifies the violation; or</w:t>
      </w:r>
    </w:p>
    <w:p>
      <w:pPr>
        <w:spacing w:after="0" w:line="188" w:lineRule="exact"/>
        <w:rPr>
          <w:rFonts w:ascii="Times New Roman" w:cs="Times New Roman" w:eastAsia="Times New Roman" w:hAnsi="Times New Roman"/>
          <w:sz w:val="20"/>
          <w:szCs w:val="20"/>
          <w:color w:val="auto"/>
        </w:rPr>
      </w:pPr>
    </w:p>
    <w:p>
      <w:pPr>
        <w:ind w:left="2260" w:right="20" w:hanging="651"/>
        <w:spacing w:after="0" w:line="254" w:lineRule="auto"/>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being required by the Corporation to change the location of the Employee’s principal office to one in excess of 75 miles from the Corporation’s home office in Glendale, Wisconsin, provided the Employee’s employment with the Corporation is terminated within 90 days after any such change of location.</w:t>
      </w:r>
    </w:p>
    <w:p>
      <w:pPr>
        <w:spacing w:after="0" w:line="201" w:lineRule="exact"/>
        <w:rPr>
          <w:rFonts w:ascii="Times New Roman" w:cs="Times New Roman" w:eastAsia="Times New Roman" w:hAnsi="Times New Roman"/>
          <w:sz w:val="20"/>
          <w:szCs w:val="20"/>
          <w:color w:val="auto"/>
        </w:rPr>
      </w:pPr>
    </w:p>
    <w:p>
      <w:pPr>
        <w:ind w:left="-20" w:firstLine="656"/>
        <w:spacing w:after="0" w:line="269" w:lineRule="auto"/>
        <w:tabs>
          <w:tab w:leader="none" w:pos="8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The Option shall be exercisable upon the termination of the Employee’s employment relationship with the Corporation and its Subsidiaries only in the manner and to the extent provided in the Plan.</w:t>
      </w:r>
    </w:p>
    <w:p>
      <w:pPr>
        <w:spacing w:after="0" w:line="186" w:lineRule="exact"/>
        <w:rPr>
          <w:rFonts w:ascii="Times New Roman" w:cs="Times New Roman" w:eastAsia="Times New Roman" w:hAnsi="Times New Roman"/>
          <w:sz w:val="20"/>
          <w:szCs w:val="20"/>
          <w:color w:val="auto"/>
        </w:rPr>
      </w:pPr>
    </w:p>
    <w:p>
      <w:pPr>
        <w:ind w:left="-20" w:right="260" w:firstLine="656"/>
        <w:spacing w:after="0" w:line="244" w:lineRule="auto"/>
        <w:tabs>
          <w:tab w:leader="none" w:pos="8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Exercising Option</w:t>
      </w:r>
      <w:r>
        <w:rPr>
          <w:rFonts w:ascii="Times New Roman" w:cs="Times New Roman" w:eastAsia="Times New Roman" w:hAnsi="Times New Roman"/>
          <w:sz w:val="20"/>
          <w:szCs w:val="20"/>
          <w:color w:val="auto"/>
        </w:rPr>
        <w:t>. The Option may be exercised in whole or in part by delivery to the Corporation, at the office of its Secretary at Milwaukee, Wisconsin, of (a) written notice identifying the Option and stating the number of Shares with respect to which it is being exercised, and (b) payment in full of the purchase price of the Shares then being acquired upon exercise in the manner described in the Plan. The Corporation shall have the right to delay the issue or delivery of any Shares to be delivered hereunder until (a) the completion of such registration or qualification of such Shares under federal, state, or foreign law, ruling, or regulation as the Corporation shall deem to be necessary or advisable, and (b) receipt from the Employee of such documents and information as the Administrator may deem necessary or appropriate in connection with such registration or qualification or the issuance of Shares hereunder.</w:t>
      </w:r>
    </w:p>
    <w:p>
      <w:pPr>
        <w:spacing w:after="0" w:line="213" w:lineRule="exact"/>
        <w:rPr>
          <w:rFonts w:ascii="Times New Roman" w:cs="Times New Roman" w:eastAsia="Times New Roman" w:hAnsi="Times New Roman"/>
          <w:sz w:val="20"/>
          <w:szCs w:val="20"/>
          <w:color w:val="auto"/>
        </w:rPr>
      </w:pPr>
    </w:p>
    <w:p>
      <w:pPr>
        <w:ind w:left="-20" w:right="200" w:firstLine="656"/>
        <w:spacing w:after="0" w:line="254" w:lineRule="auto"/>
        <w:tabs>
          <w:tab w:leader="none" w:pos="8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Against Transfer</w:t>
      </w:r>
      <w:r>
        <w:rPr>
          <w:rFonts w:ascii="Times New Roman" w:cs="Times New Roman" w:eastAsia="Times New Roman" w:hAnsi="Times New Roman"/>
          <w:sz w:val="20"/>
          <w:szCs w:val="20"/>
          <w:color w:val="auto"/>
        </w:rPr>
        <w:t>. Unless otherwise provided by the Administrator and except as provided in the Plan, the Option, and the rights and privileges conferred hereby, may not be transferred by the Employee, and shall be exercisable during the lifetime of the Employee only by the Employee.</w:t>
      </w:r>
    </w:p>
    <w:p>
      <w:pPr>
        <w:spacing w:after="0" w:line="201" w:lineRule="exact"/>
        <w:rPr>
          <w:rFonts w:ascii="Times New Roman" w:cs="Times New Roman" w:eastAsia="Times New Roman" w:hAnsi="Times New Roman"/>
          <w:sz w:val="20"/>
          <w:szCs w:val="20"/>
          <w:color w:val="auto"/>
        </w:rPr>
      </w:pPr>
    </w:p>
    <w:p>
      <w:pPr>
        <w:ind w:left="-20" w:right="200" w:firstLine="656"/>
        <w:spacing w:after="0" w:line="247" w:lineRule="auto"/>
        <w:tabs>
          <w:tab w:leader="none" w:pos="8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Corporation under the terms of this Agreement shall be given in writing either to the management of the Subsidiary employing the Employee, or to the Corporation in care of its Secretary at 5301 North Ironwood Road, Milwaukee, Wisconsin 53217. Any notice to be given to the Employee may be addressed to him at his address as it appears on the payroll records of the Corporation or any Subsidiary thereof. Any such notice shall be deemed to have been duly given if and when actually received by the party to whom it is addressed, as evidenced by a written receipt to that effect.</w:t>
      </w:r>
    </w:p>
    <w:p>
      <w:pPr>
        <w:spacing w:after="0" w:line="207" w:lineRule="exact"/>
        <w:rPr>
          <w:rFonts w:ascii="Times New Roman" w:cs="Times New Roman" w:eastAsia="Times New Roman" w:hAnsi="Times New Roman"/>
          <w:sz w:val="20"/>
          <w:szCs w:val="20"/>
          <w:color w:val="auto"/>
        </w:rPr>
      </w:pPr>
    </w:p>
    <w:p>
      <w:pPr>
        <w:ind w:left="-20" w:right="60" w:firstLine="656"/>
        <w:spacing w:after="0" w:line="254" w:lineRule="auto"/>
        <w:tabs>
          <w:tab w:leader="none" w:pos="8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Corporation may require payment or reimbursement of or may withhold any tax that it believes is required as a result of the grant or exercise of the Option, and the Corporation may defer making delivery with respect to Shares or cash payable hereunder or otherwise until arrangements satisfactory to the Corporation have been made with respect to such withholding obligations.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603" w:right="239" w:bottom="1440" w:gutter="0" w:footer="0" w:header="0"/>
        </w:sectPr>
      </w:pPr>
    </w:p>
    <w:bookmarkStart w:id="20" w:name="page21"/>
    <w:bookmarkEnd w:id="20"/>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these presents to be executed as of the date and year first above written, which is the date of the granting of the Option evidenced hereby.</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MANPOWER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-2540</wp:posOffset>
            </wp:positionV>
            <wp:extent cx="284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undersigned Employee hereby accepts the foregoing Option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450215</wp:posOffset>
            </wp:positionV>
            <wp:extent cx="2828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8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846" w:right="3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MANPOWER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NONSTATUTORY STOCK OPTION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 OTHER THAN CEO/CFO)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Nonstatutory Stock Option Agreement (this “Agreement”) is executed as of _____________, by and between MANPOWER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 a Wisconsin corporation (the “Corporation”), and ______________________ (the “Employee”).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351" w:lineRule="exact"/>
        <w:rPr>
          <w:sz w:val="20"/>
          <w:szCs w:val="20"/>
          <w:color w:val="auto"/>
        </w:rPr>
      </w:pPr>
    </w:p>
    <w:p>
      <w:pPr>
        <w:ind w:right="120"/>
        <w:spacing w:after="0" w:line="480" w:lineRule="auto"/>
        <w:rPr>
          <w:sz w:val="20"/>
          <w:szCs w:val="20"/>
          <w:color w:val="auto"/>
        </w:rPr>
      </w:pPr>
      <w:r>
        <w:rPr>
          <w:rFonts w:ascii="Times New Roman" w:cs="Times New Roman" w:eastAsia="Times New Roman" w:hAnsi="Times New Roman"/>
          <w:sz w:val="20"/>
          <w:szCs w:val="20"/>
          <w:color w:val="auto"/>
        </w:rPr>
        <w:t>WHEREAS the Board of Directors of the Corporation has established the 2003 Equity Incentive Plan (the “Plan”) for employees and directors of the Corporation and its Subsidiaries;</w:t>
      </w:r>
    </w:p>
    <w:p>
      <w:pPr>
        <w:spacing w:after="0" w:line="269"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auto"/>
        </w:rPr>
        <w:t>WHEREAS, the Corporation anticipates that the Plan will promote the best interests of the Corporation and its shareholders (i) by providing participants who have acquired a proprietary interest in the Corporation with a stronger incentive to put forth maximum effort for the continued success and growth of the Corporation and its Subsidiaries, and (ii) by enabling the Corporation to attract and retain superior employees; and</w:t>
      </w:r>
    </w:p>
    <w:p>
      <w:pPr>
        <w:spacing w:after="0" w:line="315" w:lineRule="exact"/>
        <w:rPr>
          <w:sz w:val="20"/>
          <w:szCs w:val="20"/>
          <w:color w:val="auto"/>
        </w:rPr>
      </w:pPr>
    </w:p>
    <w:p>
      <w:pPr>
        <w:ind w:right="80"/>
        <w:spacing w:after="0" w:line="480" w:lineRule="auto"/>
        <w:rPr>
          <w:sz w:val="20"/>
          <w:szCs w:val="20"/>
          <w:color w:val="auto"/>
        </w:rPr>
      </w:pPr>
      <w:r>
        <w:rPr>
          <w:rFonts w:ascii="Times New Roman" w:cs="Times New Roman" w:eastAsia="Times New Roman" w:hAnsi="Times New Roman"/>
          <w:sz w:val="20"/>
          <w:szCs w:val="20"/>
          <w:color w:val="auto"/>
        </w:rPr>
        <w:t>WHEREAS, the Corporation has granted to the Employee the right to participate in the Plan in the manner and subject to the terms provided in this Agreement and the Plan.</w:t>
      </w:r>
    </w:p>
    <w:p>
      <w:pPr>
        <w:spacing w:after="0" w:line="282"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benefits that the Corporation will derive in connection with the services to be rendered by the Employee, the Corporation and the Employee hereby agree as follows:</w:t>
      </w:r>
    </w:p>
    <w:p>
      <w:pPr>
        <w:spacing w:after="0" w:line="187" w:lineRule="exact"/>
        <w:rPr>
          <w:sz w:val="20"/>
          <w:szCs w:val="20"/>
          <w:color w:val="auto"/>
        </w:rPr>
      </w:pPr>
    </w:p>
    <w:p>
      <w:pPr>
        <w:ind w:right="60" w:firstLine="656"/>
        <w:spacing w:after="0" w:line="247" w:lineRule="auto"/>
        <w:tabs>
          <w:tab w:leader="none" w:pos="8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Plan Control</w:t>
      </w:r>
      <w:r>
        <w:rPr>
          <w:rFonts w:ascii="Times New Roman" w:cs="Times New Roman" w:eastAsia="Times New Roman" w:hAnsi="Times New Roman"/>
          <w:sz w:val="20"/>
          <w:szCs w:val="20"/>
          <w:color w:val="auto"/>
        </w:rPr>
        <w:t>. 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 Employee. Unless otherwise provided herein, all capitalized words in this Agreement shall have the meaning ascribed to them in the Plan. A copy of the Plan will be delivered to the Employee upon reasonable request.</w:t>
      </w:r>
    </w:p>
    <w:p>
      <w:pPr>
        <w:spacing w:after="0" w:line="207"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Number of Shares; Option Price</w:t>
      </w:r>
      <w:r>
        <w:rPr>
          <w:rFonts w:ascii="Times New Roman" w:cs="Times New Roman" w:eastAsia="Times New Roman" w:hAnsi="Times New Roman"/>
          <w:sz w:val="20"/>
          <w:szCs w:val="20"/>
          <w:color w:val="auto"/>
        </w:rPr>
        <w:t>. The Employee shall have the right and option to purchase all or any part of an aggregate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 Shares (the “Option”) at the purchase price of $_</w:t>
      </w:r>
      <w:r>
        <w:rPr>
          <w:rFonts w:ascii="Times New Roman" w:cs="Times New Roman" w:eastAsia="Times New Roman" w:hAnsi="Times New Roman"/>
          <w:sz w:val="20"/>
          <w:szCs w:val="20"/>
          <w:b w:val="1"/>
          <w:bCs w:val="1"/>
          <w:color w:val="auto"/>
        </w:rPr>
        <w:t>_____</w:t>
      </w:r>
      <w:r>
        <w:rPr>
          <w:rFonts w:ascii="Times New Roman" w:cs="Times New Roman" w:eastAsia="Times New Roman" w:hAnsi="Times New Roman"/>
          <w:sz w:val="20"/>
          <w:szCs w:val="20"/>
          <w:color w:val="auto"/>
        </w:rPr>
        <w:t xml:space="preserve"> per Share.</w:t>
      </w:r>
    </w:p>
    <w:p>
      <w:pPr>
        <w:spacing w:after="0" w:line="220"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Limitations on Exercise of Option</w:t>
      </w:r>
      <w:r>
        <w:rPr>
          <w:rFonts w:ascii="Times New Roman" w:cs="Times New Roman" w:eastAsia="Times New Roman" w:hAnsi="Times New Roman"/>
          <w:sz w:val="20"/>
          <w:szCs w:val="20"/>
          <w:color w:val="auto"/>
        </w:rPr>
        <w:t>. The Option will become exercisable as to __% of the Shares on</w:t>
      </w:r>
    </w:p>
    <w:p>
      <w:pPr>
        <w:spacing w:after="0" w:line="21" w:lineRule="exact"/>
        <w:rPr>
          <w:rFonts w:ascii="Times New Roman" w:cs="Times New Roman" w:eastAsia="Times New Roman" w:hAnsi="Times New Roman"/>
          <w:sz w:val="20"/>
          <w:szCs w:val="20"/>
          <w:color w:val="auto"/>
        </w:rPr>
      </w:pPr>
    </w:p>
    <w:p>
      <w:pPr>
        <w:ind w:right="1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__________________________ and an additional __% will become exercisable on _________________________, provided that the Employee is still in the employ of the Corporation on each such date. To the extent that the number of Shares relating to the Option becoming exercisable on</w:t>
      </w:r>
    </w:p>
    <w:p>
      <w:pPr>
        <w:sectPr>
          <w:pgSz w:w="11900" w:h="16838" w:orient="portrait"/>
          <w:cols w:equalWidth="0" w:num="1">
            <w:col w:w="11420"/>
          </w:cols>
          <w:pgMar w:left="240" w:top="603" w:right="239" w:bottom="1440" w:gutter="0" w:footer="0" w:header="0"/>
        </w:sectPr>
      </w:pPr>
    </w:p>
    <w:bookmarkStart w:id="22" w:name="page23"/>
    <w:bookmarkEnd w:id="22"/>
    <w:p>
      <w:pPr>
        <w:ind w:right="40"/>
        <w:spacing w:after="0" w:line="264" w:lineRule="auto"/>
        <w:rPr>
          <w:sz w:val="20"/>
          <w:szCs w:val="20"/>
          <w:color w:val="auto"/>
        </w:rPr>
      </w:pPr>
      <w:r>
        <w:rPr>
          <w:rFonts w:ascii="Times New Roman" w:cs="Times New Roman" w:eastAsia="Times New Roman" w:hAnsi="Times New Roman"/>
          <w:sz w:val="19"/>
          <w:szCs w:val="19"/>
          <w:color w:val="auto"/>
        </w:rPr>
        <w:t>any anniversary date is a fractional number, the cumulative number shall be rounded to the closest whole number, provided however, that to the extent necessary, the cumulative number of Shares relating to the Option becoming exercisable on __________________________ shall be</w:t>
      </w:r>
    </w:p>
    <w:p>
      <w:pPr>
        <w:spacing w:after="0"/>
        <w:rPr>
          <w:sz w:val="20"/>
          <w:szCs w:val="20"/>
          <w:color w:val="auto"/>
        </w:rPr>
      </w:pPr>
      <w:r>
        <w:rPr>
          <w:rFonts w:ascii="Times New Roman" w:cs="Times New Roman" w:eastAsia="Times New Roman" w:hAnsi="Times New Roman"/>
          <w:sz w:val="20"/>
          <w:szCs w:val="20"/>
          <w:color w:val="auto"/>
        </w:rPr>
        <w:t>adjusted so that the total Shares that have become exercisable on __________________________ equals the total number of Shares indicated</w:t>
      </w:r>
    </w:p>
    <w:p>
      <w:pPr>
        <w:ind w:right="160"/>
        <w:spacing w:after="0" w:line="241" w:lineRule="auto"/>
        <w:rPr>
          <w:sz w:val="20"/>
          <w:szCs w:val="20"/>
          <w:color w:val="auto"/>
        </w:rPr>
      </w:pPr>
      <w:r>
        <w:rPr>
          <w:rFonts w:ascii="Times New Roman" w:cs="Times New Roman" w:eastAsia="Times New Roman" w:hAnsi="Times New Roman"/>
          <w:sz w:val="20"/>
          <w:szCs w:val="20"/>
          <w:color w:val="auto"/>
        </w:rPr>
        <w:t>in Paragraph 2 above. Notwithstanding any limitation established by the Committee on the exercise of the Option or anything else to the contrary contained in this Agreement, the Option shall be immediately exercisable with respect to all Shares upon the occurrence of a Triggering Event. To the extent not previously exercised according to the terms hereof, the Option shall expire on the tenth anniversary of the date hereof.</w:t>
      </w:r>
    </w:p>
    <w:p>
      <w:pPr>
        <w:spacing w:after="0" w:line="216" w:lineRule="exact"/>
        <w:rPr>
          <w:sz w:val="20"/>
          <w:szCs w:val="20"/>
          <w:color w:val="auto"/>
        </w:rPr>
      </w:pPr>
    </w:p>
    <w:p>
      <w:pPr>
        <w:ind w:firstLine="656"/>
        <w:spacing w:after="0" w:line="269"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The Option shall be exercisable upon the termination of the Employee’s employment relationship with the Corporation and its Subsidiaries only in the manner and to the extent provided in Paragraph 7 of the Plan.</w:t>
      </w:r>
    </w:p>
    <w:p>
      <w:pPr>
        <w:spacing w:after="0" w:line="186" w:lineRule="exact"/>
        <w:rPr>
          <w:rFonts w:ascii="Times New Roman" w:cs="Times New Roman" w:eastAsia="Times New Roman" w:hAnsi="Times New Roman"/>
          <w:sz w:val="20"/>
          <w:szCs w:val="20"/>
          <w:color w:val="auto"/>
        </w:rPr>
      </w:pPr>
    </w:p>
    <w:p>
      <w:pPr>
        <w:ind w:right="40" w:firstLine="656"/>
        <w:spacing w:after="0" w:line="244"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Exercising Option</w:t>
      </w:r>
      <w:r>
        <w:rPr>
          <w:rFonts w:ascii="Times New Roman" w:cs="Times New Roman" w:eastAsia="Times New Roman" w:hAnsi="Times New Roman"/>
          <w:sz w:val="20"/>
          <w:szCs w:val="20"/>
          <w:color w:val="auto"/>
        </w:rPr>
        <w:t>. The Option may be exercised in whole or in part in accordance with the manner prescribed by the Corporation in effect on the date of exercise. The Employee may contact the Plan Administrator at the Corporation by calling (414) 961-1000 to receive details regarding the manner of exercise prescribed by the Corporation and in effect on the date of exercise. The Corporation shall have the right to delay the issue or delivery of any Shares to be delivered hereunder until (a) the completion of such registration or qualification of such Shares under federal, state, or foreign law, ruling, or regulation as the Corporation shall deem to be necessary or advisable, and (b) receipt from the Employee of such documents and information as the Committee may deem necessary or appropriate in connection with such registration or qualification or the issuance of Shares hereunder.</w:t>
      </w:r>
    </w:p>
    <w:p>
      <w:pPr>
        <w:spacing w:after="0" w:line="213" w:lineRule="exact"/>
        <w:rPr>
          <w:rFonts w:ascii="Times New Roman" w:cs="Times New Roman" w:eastAsia="Times New Roman" w:hAnsi="Times New Roman"/>
          <w:sz w:val="20"/>
          <w:szCs w:val="20"/>
          <w:color w:val="auto"/>
        </w:rPr>
      </w:pPr>
    </w:p>
    <w:p>
      <w:pPr>
        <w:jc w:val="both"/>
        <w:ind w:right="140" w:firstLine="656"/>
        <w:spacing w:after="0" w:line="254"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Against Transfer</w:t>
      </w:r>
      <w:r>
        <w:rPr>
          <w:rFonts w:ascii="Times New Roman" w:cs="Times New Roman" w:eastAsia="Times New Roman" w:hAnsi="Times New Roman"/>
          <w:sz w:val="20"/>
          <w:szCs w:val="20"/>
          <w:color w:val="auto"/>
        </w:rPr>
        <w:t>. Unless otherwise provided by the Committee and except as provided in Paragraph 7 of the Plan, the Option, and the rights and privileges conferred hereby, may not be transferred by the Employee, and shall be exercisable during the lifetime of the Employee only by the Employee.</w:t>
      </w:r>
    </w:p>
    <w:p>
      <w:pPr>
        <w:spacing w:after="0" w:line="201" w:lineRule="exact"/>
        <w:rPr>
          <w:rFonts w:ascii="Times New Roman" w:cs="Times New Roman" w:eastAsia="Times New Roman" w:hAnsi="Times New Roman"/>
          <w:sz w:val="20"/>
          <w:szCs w:val="20"/>
          <w:color w:val="auto"/>
        </w:rPr>
      </w:pPr>
    </w:p>
    <w:p>
      <w:pPr>
        <w:ind w:right="200" w:firstLine="656"/>
        <w:spacing w:after="0" w:line="247"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Corporation under the terms of this Agreement shall be given in writing either to the management of the Subsidiary employing the Employee, or to the Corporation in care of its Secretary at 5301 North Ironwood Road, Milwaukee, Wisconsin 53217. Any notice to be given to the Employee may be addressed to him at his address as it appears on the payroll records of the Corporation or any Subsidiary thereof. Any such notice shall be deemed to have been duly given if and when actually received by the party to whom it is addressed, as evidenced by a written receipt to that effect.</w:t>
      </w:r>
    </w:p>
    <w:p>
      <w:pPr>
        <w:spacing w:after="0" w:line="207" w:lineRule="exact"/>
        <w:rPr>
          <w:rFonts w:ascii="Times New Roman" w:cs="Times New Roman" w:eastAsia="Times New Roman" w:hAnsi="Times New Roman"/>
          <w:sz w:val="20"/>
          <w:szCs w:val="20"/>
          <w:color w:val="auto"/>
        </w:rPr>
      </w:pPr>
    </w:p>
    <w:p>
      <w:pPr>
        <w:ind w:right="60" w:firstLine="656"/>
        <w:spacing w:after="0" w:line="254"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Corporation may require payment or reimbursement of or may withhold any tax that it believes is required as a result of the grant or exercise of the Option, and the Corporation may defer making delivery with respect to Shares or cash payable hereunder or otherwise until arrangements satisfactory to the Corporation have been made with respect to such withholding obligations.</w:t>
      </w:r>
    </w:p>
    <w:p>
      <w:pPr>
        <w:spacing w:after="0" w:line="201" w:lineRule="exact"/>
        <w:rPr>
          <w:rFonts w:ascii="Times New Roman" w:cs="Times New Roman" w:eastAsia="Times New Roman" w:hAnsi="Times New Roman"/>
          <w:sz w:val="20"/>
          <w:szCs w:val="20"/>
          <w:color w:val="auto"/>
        </w:rPr>
      </w:pPr>
    </w:p>
    <w:p>
      <w:pPr>
        <w:ind w:right="80" w:firstLine="656"/>
        <w:spacing w:after="0" w:line="247" w:lineRule="auto"/>
        <w:tabs>
          <w:tab w:leader="none" w:pos="8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of Employee</w:t>
      </w:r>
      <w:r>
        <w:rPr>
          <w:rFonts w:ascii="Times New Roman" w:cs="Times New Roman" w:eastAsia="Times New Roman" w:hAnsi="Times New Roman"/>
          <w:sz w:val="20"/>
          <w:szCs w:val="20"/>
          <w:color w:val="auto"/>
        </w:rPr>
        <w:t>. The Option, and any payments or other benefits received by the Employee under the Option,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03" w:right="239" w:bottom="1440" w:gutter="0" w:footer="0" w:header="0"/>
        </w:sectPr>
      </w:pPr>
    </w:p>
    <w:bookmarkStart w:id="23" w:name="page24"/>
    <w:bookmarkEnd w:id="23"/>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these presents to be executed as of the date and year first above written, which is the date of the granting of the Option evidenced hereby.</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MANPOWER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-2540</wp:posOffset>
            </wp:positionV>
            <wp:extent cx="2813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undersigned Employee hereby accepts the foregoing Option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450215</wp:posOffset>
            </wp:positionV>
            <wp:extent cx="2859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9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300"/>
      </w:cols>
      <w:pgMar w:left="240" w:top="84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6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decimal"/>
      <w:start w:val="1"/>
    </w:lvl>
    <w:lvl w:ilvl="1">
      <w:lvlJc w:val="left"/>
      <w:lvlText w:val="%2."/>
      <w:numFmt w:val="lowerLetter"/>
      <w:start w:val="1"/>
    </w:lvl>
  </w:abstractNum>
  <w:abstractNum w:abstractNumId="8">
    <w:nsid w:val="519B500D"/>
    <w:multiLevelType w:val="hybridMultilevel"/>
    <w:lvl w:ilvl="0">
      <w:lvlJc w:val="left"/>
      <w:lvlText w:val="%1"/>
      <w:numFmt w:val="lowerLetter"/>
      <w:start w:val="1"/>
    </w:lvl>
    <w:lvl w:ilvl="1">
      <w:lvlJc w:val="left"/>
      <w:lvlText w:val="(%2)"/>
      <w:numFmt w:val="lowerRoman"/>
      <w:start w:val="1"/>
    </w:lvl>
  </w:abstractNum>
  <w:abstractNum w:abstractNumId="9">
    <w:nsid w:val="431BD7B7"/>
    <w:multiLevelType w:val="hybridMultilevel"/>
    <w:lvl w:ilvl="0">
      <w:lvlJc w:val="left"/>
      <w:lvlText w:val="%1."/>
      <w:numFmt w:val="lowerLetter"/>
      <w:start w:val="2"/>
    </w:lvl>
    <w:lvl w:ilvl="1">
      <w:lvlJc w:val="left"/>
      <w:lvlText w:val="(%2)"/>
      <w:numFmt w:val="lowerRoman"/>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lowerLetter"/>
      <w:start w:val="1"/>
    </w:lvl>
    <w:lvl w:ilvl="1">
      <w:lvlJc w:val="left"/>
      <w:lvlText w:val="%2."/>
      <w:numFmt w:val="decimal"/>
      <w:start w:val="4"/>
    </w:lvl>
  </w:abstractNum>
  <w:abstractNum w:abstractNumId="14">
    <w:nsid w:val="436C6125"/>
    <w:multiLevelType w:val="hybridMultilevel"/>
    <w:lvl w:ilvl="0">
      <w:lvlJc w:val="left"/>
      <w:lvlText w:val="%1."/>
      <w:numFmt w:val="lowerLetter"/>
      <w:start w:val="1"/>
    </w:lvl>
    <w:lvl w:ilvl="1">
      <w:lvlJc w:val="left"/>
      <w:lvlText w:val="%2"/>
      <w:numFmt w:val="decimal"/>
      <w:start w:val="1"/>
    </w:lvl>
  </w:abstractNum>
  <w:abstractNum w:abstractNumId="15">
    <w:nsid w:val="628C895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lowerLetter"/>
      <w:start w:val="1"/>
    </w:lvl>
    <w:lvl w:ilvl="1">
      <w:lvlJc w:val="left"/>
      <w:lvlText w:val="(%2)"/>
      <w:numFmt w:val="lowerRoman"/>
      <w:start w:val="4"/>
    </w:lvl>
  </w:abstractNum>
  <w:abstractNum w:abstractNumId="17">
    <w:nsid w:val="721DA317"/>
    <w:multiLevelType w:val="hybridMultilevel"/>
    <w:lvl w:ilvl="0">
      <w:lvlJc w:val="left"/>
      <w:lvlText w:val="%1."/>
      <w:numFmt w:val="lowerLetter"/>
      <w:start w:val="2"/>
    </w:lvl>
    <w:lvl w:ilvl="1">
      <w:lvlJc w:val="left"/>
      <w:lvlText w:val="(%2)"/>
      <w:numFmt w:val="lowerRoman"/>
      <w:start w:val="1"/>
    </w:lvl>
  </w:abstractNum>
  <w:abstractNum w:abstractNumId="18">
    <w:nsid w:val="2443A858"/>
    <w:multiLevelType w:val="hybridMultilevel"/>
    <w:lvl w:ilvl="0">
      <w:lvlJc w:val="left"/>
      <w:lvlText w:val="%1."/>
      <w:numFmt w:val="decimal"/>
      <w:start w:val="8"/>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1"/>
    </w:lvl>
  </w:abstractNum>
  <w:abstractNum w:abstractNumId="22">
    <w:nsid w:val="8EDBDAB"/>
    <w:multiLevelType w:val="hybridMultilevel"/>
    <w:lvl w:ilvl="0">
      <w:lvlJc w:val="left"/>
      <w:lvlText w:val="%1"/>
      <w:numFmt w:val="decimal"/>
      <w:start w:val="1"/>
    </w:lvl>
    <w:lvl w:ilvl="1">
      <w:lvlJc w:val="left"/>
      <w:lvlText w:val="(%2)"/>
      <w:numFmt w:val="lowerRoman"/>
      <w:start w:val="2"/>
    </w:lvl>
  </w:abstractNum>
  <w:abstractNum w:abstractNumId="23">
    <w:nsid w:val="79838CB2"/>
    <w:multiLevelType w:val="hybridMultilevel"/>
    <w:lvl w:ilvl="0">
      <w:lvlJc w:val="left"/>
      <w:lvlText w:val="%1."/>
      <w:numFmt w:val="decimal"/>
      <w:start w:val="4"/>
    </w:lvl>
    <w:lvl w:ilvl="1">
      <w:lvlJc w:val="left"/>
      <w:lvlText w:val="%2"/>
      <w:numFmt w:val="lowerRoman"/>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2019-12-19T23:58:16Z</dcterms:created>
  <dcterms:modified xsi:type="dcterms:W3CDTF">2019-12-19T23:58:16Z</dcterms:modified>
</cp:coreProperties>
</file>