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ind w:left="128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3, 2008</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(State or other jurisdiction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2"/>
          </w:tcPr>
          <w:p>
            <w:pPr>
              <w:jc w:val="center"/>
              <w:ind w:right="660"/>
              <w:spacing w:after="0"/>
              <w:rPr>
                <w:sz w:val="20"/>
                <w:szCs w:val="20"/>
                <w:color w:val="auto"/>
              </w:rPr>
            </w:pPr>
            <w:r>
              <w:rPr>
                <w:rFonts w:ascii="Arial" w:cs="Arial" w:eastAsia="Arial" w:hAnsi="Arial"/>
                <w:sz w:val="22"/>
                <w:szCs w:val="22"/>
                <w:color w:val="auto"/>
                <w:w w:val="91"/>
              </w:rPr>
              <w:t>of incorporation)</w:t>
            </w:r>
          </w:p>
        </w:tc>
        <w:tc>
          <w:tcPr>
            <w:tcW w:w="2680" w:type="dxa"/>
            <w:vAlign w:val="bottom"/>
            <w:gridSpan w:val="4"/>
          </w:tcPr>
          <w:p>
            <w:pPr>
              <w:jc w:val="center"/>
              <w:ind w:right="8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2"/>
          </w:tcPr>
          <w:p>
            <w:pPr>
              <w:jc w:val="center"/>
              <w:ind w:left="172"/>
              <w:spacing w:after="0"/>
              <w:rPr>
                <w:sz w:val="20"/>
                <w:szCs w:val="20"/>
                <w:color w:val="auto"/>
              </w:rPr>
            </w:pPr>
            <w:r>
              <w:rPr>
                <w:rFonts w:ascii="Arial" w:cs="Arial" w:eastAsia="Arial" w:hAnsi="Arial"/>
                <w:sz w:val="22"/>
                <w:szCs w:val="22"/>
                <w:color w:val="auto"/>
                <w:w w:val="89"/>
              </w:rPr>
              <w:t>100 Manpower Place</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jc w:val="center"/>
              <w:ind w:left="152"/>
              <w:spacing w:after="0" w:line="190" w:lineRule="exact"/>
              <w:rPr>
                <w:sz w:val="20"/>
                <w:szCs w:val="20"/>
                <w:color w:val="auto"/>
              </w:rPr>
            </w:pPr>
            <w:r>
              <w:rPr>
                <w:rFonts w:ascii="Arial" w:cs="Arial" w:eastAsia="Arial" w:hAnsi="Arial"/>
                <w:sz w:val="22"/>
                <w:szCs w:val="22"/>
                <w:color w:val="auto"/>
                <w:w w:val="91"/>
              </w:rPr>
              <w:t>Milwaukee, Wisconsin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321" w:lineRule="exact"/>
        <w:rPr>
          <w:rFonts w:ascii="Arial" w:cs="Arial" w:eastAsia="Arial" w:hAnsi="Arial"/>
          <w:sz w:val="19"/>
          <w:szCs w:val="19"/>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321" w:lineRule="exact"/>
        <w:rPr>
          <w:rFonts w:ascii="Arial" w:cs="Arial" w:eastAsia="Arial" w:hAnsi="Arial"/>
          <w:sz w:val="19"/>
          <w:szCs w:val="19"/>
          <w:color w:val="auto"/>
        </w:rPr>
      </w:pPr>
    </w:p>
    <w:p>
      <w:pPr>
        <w:ind w:left="360" w:right="187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60" w:right="189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220" w:right="1440" w:bottom="1440" w:gutter="0" w:footer="0" w:header="0"/>
        </w:sectPr>
      </w:pPr>
    </w:p>
    <w:bookmarkStart w:id="1" w:name="page2"/>
    <w:bookmarkEnd w:id="1"/>
    <w:p>
      <w:pPr>
        <w:ind w:right="2479"/>
        <w:spacing w:after="0" w:line="335"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1999" w:firstLine="378"/>
        <w:spacing w:after="0" w:line="252" w:lineRule="auto"/>
        <w:rPr>
          <w:sz w:val="20"/>
          <w:szCs w:val="20"/>
          <w:color w:val="auto"/>
        </w:rPr>
      </w:pPr>
      <w:r>
        <w:rPr>
          <w:rFonts w:ascii="Arial" w:cs="Arial" w:eastAsia="Arial" w:hAnsi="Arial"/>
          <w:sz w:val="21"/>
          <w:szCs w:val="21"/>
          <w:color w:val="auto"/>
        </w:rPr>
        <w:t>On December 3, 2008, Manpower Inc. (the “Company”) entered into an amended and restated severance agreement with Darryl Green, with an effective date of November 10, 2008, which amended and restated a severance agreement, dated August 1, 2007, between the Company and Mr. Green (the “Prior Agreement”).</w:t>
      </w:r>
    </w:p>
    <w:p>
      <w:pPr>
        <w:spacing w:after="0" w:line="201" w:lineRule="exact"/>
        <w:rPr>
          <w:sz w:val="20"/>
          <w:szCs w:val="20"/>
          <w:color w:val="auto"/>
        </w:rPr>
      </w:pPr>
    </w:p>
    <w:p>
      <w:pPr>
        <w:ind w:right="1799" w:firstLine="648"/>
        <w:spacing w:after="0" w:line="236" w:lineRule="auto"/>
        <w:rPr>
          <w:sz w:val="20"/>
          <w:szCs w:val="20"/>
          <w:color w:val="auto"/>
        </w:rPr>
      </w:pPr>
      <w:r>
        <w:rPr>
          <w:rFonts w:ascii="Arial" w:cs="Arial" w:eastAsia="Arial" w:hAnsi="Arial"/>
          <w:sz w:val="22"/>
          <w:szCs w:val="22"/>
          <w:color w:val="auto"/>
        </w:rPr>
        <w:t>The purpose of the amendments was to bring certain payments under the Prior Agreement into compliance with, or to secure certain exemptions from, Section 409A of the Internal Revenue Code of 1986, as amended (the “Code”), and the final and transitional guidance promulgated thereunder, and to take into account recent guidance issued under Section 162(m) of the Code.</w:t>
      </w:r>
    </w:p>
    <w:p>
      <w:pPr>
        <w:spacing w:after="0" w:line="188" w:lineRule="exact"/>
        <w:rPr>
          <w:sz w:val="20"/>
          <w:szCs w:val="20"/>
          <w:color w:val="auto"/>
        </w:rPr>
      </w:pPr>
    </w:p>
    <w:p>
      <w:pPr>
        <w:ind w:right="1859" w:firstLine="648"/>
        <w:spacing w:after="0" w:line="275" w:lineRule="auto"/>
        <w:rPr>
          <w:sz w:val="20"/>
          <w:szCs w:val="20"/>
          <w:color w:val="auto"/>
        </w:rPr>
      </w:pPr>
      <w:r>
        <w:rPr>
          <w:rFonts w:ascii="Arial" w:cs="Arial" w:eastAsia="Arial" w:hAnsi="Arial"/>
          <w:sz w:val="19"/>
          <w:szCs w:val="19"/>
          <w:color w:val="auto"/>
        </w:rPr>
        <w:t>In addition, the amendments modify the definition of “cause,” remove any section relating to the accelerated vesting of unvested stock options upon a change of control, and revise the section relating to potential payment cutbacks when amounts under the agreement would be subject to Section 4999 excise taxes upon a change of control. Finally, the amendments were made to provide consistent benefits for executive and senior officers, as compared to similar agreements entered into by the Company with other Company officers earlier this year, including, but not limited to, calculation of the prorated bonuses or bonuses used in determining the amount of severance payments upon certain terminations of employment.</w:t>
      </w:r>
    </w:p>
    <w:p>
      <w:pPr>
        <w:spacing w:after="0" w:line="185" w:lineRule="exact"/>
        <w:rPr>
          <w:sz w:val="20"/>
          <w:szCs w:val="20"/>
          <w:color w:val="auto"/>
        </w:rPr>
      </w:pPr>
    </w:p>
    <w:p>
      <w:pPr>
        <w:ind w:right="1819" w:firstLine="648"/>
        <w:spacing w:after="0"/>
        <w:rPr>
          <w:sz w:val="20"/>
          <w:szCs w:val="20"/>
          <w:color w:val="auto"/>
        </w:rPr>
      </w:pPr>
      <w:r>
        <w:rPr>
          <w:rFonts w:ascii="Arial" w:cs="Arial" w:eastAsia="Arial" w:hAnsi="Arial"/>
          <w:sz w:val="22"/>
          <w:szCs w:val="22"/>
          <w:color w:val="auto"/>
        </w:rPr>
        <w:t>The foregoing brief description of the amendments is qualified in its entirety by reference to the amended and restated severance agreement filed therewith as exhibit 10.1, which is incorporated by reference into this Item 5.02.</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p>
    <w:p>
      <w:pPr>
        <w:spacing w:after="0" w:line="247" w:lineRule="exact"/>
        <w:rPr>
          <w:sz w:val="20"/>
          <w:szCs w:val="20"/>
          <w:color w:val="auto"/>
        </w:rPr>
      </w:pPr>
    </w:p>
    <w:p>
      <w:pPr>
        <w:ind w:left="340"/>
        <w:spacing w:after="0"/>
        <w:tabs>
          <w:tab w:leader="none" w:pos="428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60" w:lineRule="exact"/>
        <w:rPr>
          <w:sz w:val="20"/>
          <w:szCs w:val="20"/>
          <w:color w:val="auto"/>
        </w:rPr>
      </w:pPr>
    </w:p>
    <w:p>
      <w:pPr>
        <w:ind w:left="1440" w:right="2459" w:hanging="782"/>
        <w:spacing w:after="0" w:line="251" w:lineRule="auto"/>
        <w:tabs>
          <w:tab w:leader="none" w:pos="14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Amended and Restated Severance Agreement between the Company and Darryl 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111" w:right="1440" w:bottom="1440" w:gutter="0" w:footer="0" w:header="0"/>
        </w:sectPr>
      </w:pPr>
    </w:p>
    <w:bookmarkStart w:id="2" w:name="page3"/>
    <w:bookmarkEnd w:id="2"/>
    <w:p>
      <w:pPr>
        <w:jc w:val="center"/>
        <w:ind w:right="1759"/>
        <w:spacing w:after="0"/>
        <w:rPr>
          <w:sz w:val="20"/>
          <w:szCs w:val="20"/>
          <w:color w:val="auto"/>
        </w:rPr>
      </w:pPr>
      <w:r>
        <w:rPr>
          <w:rFonts w:ascii="Arial" w:cs="Arial" w:eastAsia="Arial" w:hAnsi="Arial"/>
          <w:sz w:val="22"/>
          <w:szCs w:val="22"/>
          <w:u w:val="single" w:color="auto"/>
          <w:color w:val="auto"/>
        </w:rPr>
        <w:t>SIGNATURES</w:t>
      </w:r>
    </w:p>
    <w:p>
      <w:pPr>
        <w:spacing w:after="0" w:line="234"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ind w:left="20"/>
        <w:spacing w:after="0"/>
        <w:tabs>
          <w:tab w:leader="none" w:pos="4180" w:val="left"/>
        </w:tabs>
        <w:rPr>
          <w:sz w:val="20"/>
          <w:szCs w:val="20"/>
          <w:color w:val="auto"/>
        </w:rPr>
      </w:pPr>
      <w:r>
        <w:rPr>
          <w:rFonts w:ascii="Arial" w:cs="Arial" w:eastAsia="Arial" w:hAnsi="Arial"/>
          <w:sz w:val="22"/>
          <w:szCs w:val="22"/>
          <w:color w:val="auto"/>
        </w:rPr>
        <w:t>Dated: December 8, 2008</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By: /s/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-17780</wp:posOffset>
            </wp:positionV>
            <wp:extent cx="2233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3295" cy="8890"/>
                    </a:xfrm>
                    <a:prstGeom prst="rect">
                      <a:avLst/>
                    </a:prstGeom>
                    <a:noFill/>
                  </pic:spPr>
                </pic:pic>
              </a:graphicData>
            </a:graphic>
          </wp:anchor>
        </w:drawing>
      </w:r>
    </w:p>
    <w:p>
      <w:pPr>
        <w:spacing w:after="0" w:line="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Kenneth C. Hunt</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Senior Vice President, General Counsel and</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3" w:name="page4"/>
    <w:bookmarkEnd w:id="3"/>
    <w:p>
      <w:pPr>
        <w:ind w:left="324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69" w:lineRule="exact"/>
        <w:rPr>
          <w:sz w:val="20"/>
          <w:szCs w:val="20"/>
          <w:color w:val="auto"/>
        </w:rPr>
      </w:pPr>
    </w:p>
    <w:p>
      <w:pPr>
        <w:spacing w:after="0"/>
        <w:tabs>
          <w:tab w:leader="none" w:pos="4180" w:val="left"/>
        </w:tabs>
        <w:rPr>
          <w:sz w:val="20"/>
          <w:szCs w:val="20"/>
          <w:color w:val="auto"/>
        </w:rPr>
      </w:pPr>
      <w:r>
        <w:rPr>
          <w:rFonts w:ascii="Arial" w:cs="Arial" w:eastAsia="Arial" w:hAnsi="Arial"/>
          <w:sz w:val="22"/>
          <w:szCs w:val="22"/>
          <w:u w:val="single" w:color="auto"/>
          <w:color w:val="auto"/>
        </w:rPr>
        <w:t>Exhibit No.</w:t>
      </w:r>
      <w:r>
        <w:rPr>
          <w:sz w:val="20"/>
          <w:szCs w:val="20"/>
          <w:color w:val="auto"/>
        </w:rPr>
        <w:tab/>
      </w:r>
      <w:r>
        <w:rPr>
          <w:rFonts w:ascii="Arial" w:cs="Arial" w:eastAsia="Arial" w:hAnsi="Arial"/>
          <w:sz w:val="19"/>
          <w:szCs w:val="19"/>
          <w:u w:val="single" w:color="auto"/>
          <w:color w:val="auto"/>
        </w:rPr>
        <w:t>Description</w:t>
      </w:r>
    </w:p>
    <w:p>
      <w:pPr>
        <w:spacing w:after="0" w:line="260" w:lineRule="exact"/>
        <w:rPr>
          <w:sz w:val="20"/>
          <w:szCs w:val="20"/>
          <w:color w:val="auto"/>
        </w:rPr>
      </w:pPr>
    </w:p>
    <w:p>
      <w:pPr>
        <w:ind w:left="1140" w:right="2619" w:hanging="823"/>
        <w:spacing w:after="0" w:line="251" w:lineRule="auto"/>
        <w:tabs>
          <w:tab w:leader="none" w:pos="11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Amended and Restated Severance Agreement between the Company and Darryl 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079"/>
          </w:cols>
          <w:pgMar w:left="380" w:top="112" w:right="1440" w:bottom="1440" w:gutter="0" w:footer="0" w:header="0"/>
        </w:sectPr>
      </w:pPr>
    </w:p>
    <w:bookmarkStart w:id="4" w:name="page5"/>
    <w:bookmarkEnd w:id="4"/>
    <w:p>
      <w:pPr>
        <w:jc w:val="right"/>
        <w:ind w:right="1779"/>
        <w:spacing w:after="0"/>
        <w:rPr>
          <w:sz w:val="20"/>
          <w:szCs w:val="20"/>
          <w:color w:val="auto"/>
        </w:rPr>
      </w:pPr>
      <w:r>
        <w:rPr>
          <w:rFonts w:ascii="Arial" w:cs="Arial" w:eastAsia="Arial" w:hAnsi="Arial"/>
          <w:sz w:val="22"/>
          <w:szCs w:val="22"/>
          <w:u w:val="single" w:color="auto"/>
          <w:color w:val="auto"/>
        </w:rPr>
        <w:t>Exhibit 10.1</w:t>
      </w:r>
    </w:p>
    <w:p>
      <w:pPr>
        <w:spacing w:after="0" w:line="234"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Manpower Inc.</w:t>
      </w:r>
    </w:p>
    <w:p>
      <w:pPr>
        <w:jc w:val="center"/>
        <w:ind w:right="1779"/>
        <w:spacing w:after="0" w:line="238" w:lineRule="auto"/>
        <w:rPr>
          <w:sz w:val="20"/>
          <w:szCs w:val="20"/>
          <w:color w:val="auto"/>
        </w:rPr>
      </w:pPr>
      <w:r>
        <w:rPr>
          <w:rFonts w:ascii="Arial" w:cs="Arial" w:eastAsia="Arial" w:hAnsi="Arial"/>
          <w:sz w:val="22"/>
          <w:szCs w:val="22"/>
          <w:color w:val="auto"/>
        </w:rPr>
        <w:t>100 Manpower Place</w:t>
      </w:r>
    </w:p>
    <w:p>
      <w:pPr>
        <w:jc w:val="center"/>
        <w:ind w:right="1779"/>
        <w:spacing w:after="0"/>
        <w:rPr>
          <w:sz w:val="20"/>
          <w:szCs w:val="20"/>
          <w:color w:val="auto"/>
        </w:rPr>
      </w:pPr>
      <w:r>
        <w:rPr>
          <w:rFonts w:ascii="Arial" w:cs="Arial" w:eastAsia="Arial" w:hAnsi="Arial"/>
          <w:sz w:val="22"/>
          <w:szCs w:val="22"/>
          <w:color w:val="auto"/>
        </w:rPr>
        <w:t>Milwaukee, Wisconsin 53212</w:t>
      </w:r>
    </w:p>
    <w:p>
      <w:pPr>
        <w:spacing w:after="0" w:line="215"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Effective November 10,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Mr. Darryl Green</w:t>
      </w:r>
    </w:p>
    <w:p>
      <w:pPr>
        <w:spacing w:after="0" w:line="238" w:lineRule="auto"/>
        <w:rPr>
          <w:sz w:val="20"/>
          <w:szCs w:val="20"/>
          <w:color w:val="auto"/>
        </w:rPr>
      </w:pPr>
      <w:r>
        <w:rPr>
          <w:rFonts w:ascii="Arial" w:cs="Arial" w:eastAsia="Arial" w:hAnsi="Arial"/>
          <w:sz w:val="22"/>
          <w:szCs w:val="22"/>
          <w:color w:val="auto"/>
        </w:rPr>
        <w:t>Executive Vice President</w:t>
      </w:r>
    </w:p>
    <w:p>
      <w:pPr>
        <w:spacing w:after="0" w:line="230" w:lineRule="auto"/>
        <w:rPr>
          <w:sz w:val="20"/>
          <w:szCs w:val="20"/>
          <w:color w:val="auto"/>
        </w:rPr>
      </w:pPr>
      <w:r>
        <w:rPr>
          <w:rFonts w:ascii="Arial" w:cs="Arial" w:eastAsia="Arial" w:hAnsi="Arial"/>
          <w:sz w:val="22"/>
          <w:szCs w:val="22"/>
          <w:color w:val="auto"/>
        </w:rPr>
        <w:t>President- Asia Pacific</w:t>
      </w:r>
    </w:p>
    <w:p>
      <w:pPr>
        <w:spacing w:after="0" w:line="231" w:lineRule="auto"/>
        <w:rPr>
          <w:sz w:val="20"/>
          <w:szCs w:val="20"/>
          <w:color w:val="auto"/>
        </w:rPr>
      </w:pPr>
      <w:r>
        <w:rPr>
          <w:rFonts w:ascii="Arial" w:cs="Arial" w:eastAsia="Arial" w:hAnsi="Arial"/>
          <w:sz w:val="22"/>
          <w:szCs w:val="22"/>
          <w:color w:val="auto"/>
        </w:rPr>
        <w:t>Manpower Inc.</w:t>
      </w:r>
    </w:p>
    <w:p>
      <w:pPr>
        <w:spacing w:after="0" w:line="231" w:lineRule="auto"/>
        <w:rPr>
          <w:sz w:val="20"/>
          <w:szCs w:val="20"/>
          <w:color w:val="auto"/>
        </w:rPr>
      </w:pPr>
      <w:r>
        <w:rPr>
          <w:rFonts w:ascii="Arial" w:cs="Arial" w:eastAsia="Arial" w:hAnsi="Arial"/>
          <w:sz w:val="22"/>
          <w:szCs w:val="22"/>
          <w:color w:val="auto"/>
        </w:rPr>
        <w:t>100 Manpower Place</w:t>
      </w:r>
    </w:p>
    <w:p>
      <w:pPr>
        <w:spacing w:after="0"/>
        <w:rPr>
          <w:sz w:val="20"/>
          <w:szCs w:val="20"/>
          <w:color w:val="auto"/>
        </w:rPr>
      </w:pPr>
      <w:r>
        <w:rPr>
          <w:rFonts w:ascii="Arial" w:cs="Arial" w:eastAsia="Arial" w:hAnsi="Arial"/>
          <w:sz w:val="22"/>
          <w:szCs w:val="22"/>
          <w:color w:val="auto"/>
        </w:rPr>
        <w:t>Milwaukee, WI 53212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Darryl:</w:t>
      </w:r>
    </w:p>
    <w:p>
      <w:pPr>
        <w:spacing w:after="0" w:line="233" w:lineRule="exact"/>
        <w:rPr>
          <w:sz w:val="20"/>
          <w:szCs w:val="20"/>
          <w:color w:val="auto"/>
        </w:rPr>
      </w:pPr>
    </w:p>
    <w:p>
      <w:pPr>
        <w:ind w:right="1839" w:firstLine="648"/>
        <w:spacing w:after="0" w:line="244" w:lineRule="auto"/>
        <w:rPr>
          <w:sz w:val="20"/>
          <w:szCs w:val="20"/>
          <w:color w:val="auto"/>
        </w:rPr>
      </w:pPr>
      <w:r>
        <w:rPr>
          <w:rFonts w:ascii="Arial" w:cs="Arial" w:eastAsia="Arial" w:hAnsi="Arial"/>
          <w:sz w:val="21"/>
          <w:szCs w:val="21"/>
          <w:color w:val="auto"/>
        </w:rPr>
        <w:t>Manpower Inc. (the “Corporation”) desires to retain experienced, well-qualified executives, like you, to assure the continued growth and success of the Corporation and its direct and indirect subsidiaries (collectively, the “Manpower Group”). Accordingly, as an inducement for you to continue your employment in order to assure the continued availability of your services to the Manpower Group, we entered into an agreement with you as of August 1, 2007 regarding certain severance protections. Due to the requirements of Internal Revenue Code (the “Code”) Section 409A regarding deferred compensation and the potential application of Code Section 409A to that agreement, as well as the Corporation’s desire to provide consistent severance protection for executives of the Corporation who are members of the Executive Management Committee, we are amending and superseding that letter dated August 1, 20 07 and have agreed as follows:</w:t>
      </w:r>
    </w:p>
    <w:p>
      <w:pPr>
        <w:spacing w:after="0" w:line="20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w:t>
      </w:r>
    </w:p>
    <w:p>
      <w:pPr>
        <w:spacing w:after="0" w:line="233" w:lineRule="exact"/>
        <w:rPr>
          <w:rFonts w:ascii="Arial" w:cs="Arial" w:eastAsia="Arial" w:hAnsi="Arial"/>
          <w:sz w:val="22"/>
          <w:szCs w:val="22"/>
          <w:color w:val="auto"/>
        </w:rPr>
      </w:pPr>
    </w:p>
    <w:p>
      <w:pPr>
        <w:ind w:left="1300" w:right="1879" w:hanging="644"/>
        <w:spacing w:after="0" w:line="274" w:lineRule="auto"/>
        <w:tabs>
          <w:tab w:leader="none" w:pos="1300" w:val="left"/>
        </w:tabs>
        <w:numPr>
          <w:ilvl w:val="1"/>
          <w:numId w:val="3"/>
        </w:numPr>
        <w:rPr>
          <w:rFonts w:ascii="Arial" w:cs="Arial" w:eastAsia="Arial" w:hAnsi="Arial"/>
          <w:sz w:val="21"/>
          <w:szCs w:val="21"/>
          <w:color w:val="auto"/>
        </w:rPr>
      </w:pPr>
      <w:r>
        <w:rPr>
          <w:rFonts w:ascii="Arial" w:cs="Arial" w:eastAsia="Arial" w:hAnsi="Arial"/>
          <w:sz w:val="21"/>
          <w:szCs w:val="21"/>
          <w:u w:val="single" w:color="auto"/>
          <w:color w:val="auto"/>
        </w:rPr>
        <w:t>Benefit Plans</w:t>
      </w:r>
      <w:r>
        <w:rPr>
          <w:rFonts w:ascii="Arial" w:cs="Arial" w:eastAsia="Arial" w:hAnsi="Arial"/>
          <w:sz w:val="21"/>
          <w:szCs w:val="21"/>
          <w:color w:val="auto"/>
        </w:rPr>
        <w:t>. “Benefit Plans” means all benefits of employment generally made available to executives of the Corporation from time to time.</w:t>
      </w:r>
    </w:p>
    <w:p>
      <w:pPr>
        <w:spacing w:after="0" w:line="164" w:lineRule="exact"/>
        <w:rPr>
          <w:rFonts w:ascii="Arial" w:cs="Arial" w:eastAsia="Arial" w:hAnsi="Arial"/>
          <w:sz w:val="21"/>
          <w:szCs w:val="21"/>
          <w:color w:val="auto"/>
        </w:rPr>
      </w:pPr>
    </w:p>
    <w:p>
      <w:pPr>
        <w:ind w:left="1300" w:right="1799" w:hanging="644"/>
        <w:spacing w:after="0" w:line="272"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Manpower Group of your employment with the Manpower Group for “Cause” will mean termination upon (i) your repeated failure to perform your duties with the Manpower 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 ial disloyalty involving the Manpower Group, (iv) any violation by you of a Manpower Group policy of material import, (v) any act by</w:t>
      </w:r>
    </w:p>
    <w:p>
      <w:pPr>
        <w:sectPr>
          <w:pgSz w:w="11900" w:h="16838" w:orient="portrait"/>
          <w:cols w:equalWidth="0" w:num="1">
            <w:col w:w="10219"/>
          </w:cols>
          <w:pgMar w:left="240" w:top="118" w:right="1440" w:bottom="1440" w:gutter="0" w:footer="0" w:header="0"/>
        </w:sectPr>
      </w:pPr>
    </w:p>
    <w:bookmarkStart w:id="5" w:name="page6"/>
    <w:bookmarkEnd w:id="5"/>
    <w:p>
      <w:pPr>
        <w:ind w:left="644" w:right="1799"/>
        <w:spacing w:after="0" w:line="275" w:lineRule="auto"/>
        <w:rPr>
          <w:sz w:val="20"/>
          <w:szCs w:val="20"/>
          <w:color w:val="auto"/>
        </w:rPr>
      </w:pPr>
      <w:r>
        <w:rPr>
          <w:rFonts w:ascii="Arial" w:cs="Arial" w:eastAsia="Arial" w:hAnsi="Arial"/>
          <w:sz w:val="19"/>
          <w:szCs w:val="19"/>
          <w:color w:val="auto"/>
        </w:rPr>
        <w:t>you of moral turpitude which is likely to result in discredit to or loss of business, reputation or goodwill of the Manpower Group, (vi) your chronic absence from work other than by reason of a serious health condition, (vii) your commission of a crime the circumstances of which substantially relate to your employment duties with the Manpower Group, or (viii) the willful engaging by you in conduct which is demonstrably and materially injurious to the Manpower Group. For purposes of this Subsection 1(b), no act, or failure to act, on your part will be deemed “willful” unless done, or omitted to be done, by you not in good faith.</w:t>
      </w:r>
    </w:p>
    <w:p>
      <w:pPr>
        <w:spacing w:after="0" w:line="172" w:lineRule="exact"/>
        <w:rPr>
          <w:sz w:val="20"/>
          <w:szCs w:val="20"/>
          <w:color w:val="auto"/>
        </w:rPr>
      </w:pPr>
    </w:p>
    <w:p>
      <w:pPr>
        <w:ind w:left="644" w:right="2199" w:hanging="644"/>
        <w:spacing w:after="0" w:line="251" w:lineRule="auto"/>
        <w:tabs>
          <w:tab w:leader="none" w:pos="644"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200" w:lineRule="exact"/>
        <w:rPr>
          <w:rFonts w:ascii="Arial" w:cs="Arial" w:eastAsia="Arial" w:hAnsi="Arial"/>
          <w:sz w:val="22"/>
          <w:szCs w:val="22"/>
          <w:color w:val="auto"/>
        </w:rPr>
      </w:pPr>
    </w:p>
    <w:p>
      <w:pPr>
        <w:ind w:left="1304" w:right="1839" w:hanging="655"/>
        <w:spacing w:after="0" w:line="269" w:lineRule="auto"/>
        <w:tabs>
          <w:tab w:leader="none" w:pos="1304"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1304" w:right="1879" w:hanging="655"/>
        <w:spacing w:after="0" w:line="273" w:lineRule="auto"/>
        <w:tabs>
          <w:tab w:leader="none" w:pos="1304"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w:t>
      </w:r>
    </w:p>
    <w:p>
      <w:pPr>
        <w:spacing w:after="0" w:line="200" w:lineRule="exact"/>
        <w:rPr>
          <w:sz w:val="20"/>
          <w:szCs w:val="20"/>
          <w:color w:val="auto"/>
        </w:rPr>
      </w:pPr>
    </w:p>
    <w:p>
      <w:pPr>
        <w:spacing w:after="0" w:line="232"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563"/>
          </w:cols>
          <w:pgMar w:left="896" w:top="118" w:right="1440" w:bottom="1440" w:gutter="0" w:footer="0" w:header="0"/>
        </w:sectPr>
      </w:pPr>
    </w:p>
    <w:bookmarkStart w:id="6" w:name="page7"/>
    <w:bookmarkEnd w:id="6"/>
    <w:p>
      <w:pPr>
        <w:ind w:left="1960" w:right="2019"/>
        <w:spacing w:after="0" w:line="251" w:lineRule="auto"/>
        <w:rPr>
          <w:sz w:val="20"/>
          <w:szCs w:val="20"/>
          <w:color w:val="auto"/>
        </w:rPr>
      </w:pPr>
      <w:r>
        <w:rPr>
          <w:rFonts w:ascii="Arial" w:cs="Arial" w:eastAsia="Arial" w:hAnsi="Arial"/>
          <w:sz w:val="22"/>
          <w:szCs w:val="22"/>
          <w:color w:val="auto"/>
        </w:rPr>
        <w:t>then outstanding common stock or then outstanding voting securities, as the case may be; or</w:t>
      </w:r>
    </w:p>
    <w:p>
      <w:pPr>
        <w:spacing w:after="0" w:line="187" w:lineRule="exact"/>
        <w:rPr>
          <w:sz w:val="20"/>
          <w:szCs w:val="20"/>
          <w:color w:val="auto"/>
        </w:rPr>
      </w:pPr>
    </w:p>
    <w:p>
      <w:pPr>
        <w:ind w:left="1960" w:right="1819" w:hanging="655"/>
        <w:spacing w:after="0"/>
        <w:tabs>
          <w:tab w:leader="none" w:pos="19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213" w:lineRule="exact"/>
        <w:rPr>
          <w:rFonts w:ascii="Arial" w:cs="Arial" w:eastAsia="Arial" w:hAnsi="Arial"/>
          <w:sz w:val="22"/>
          <w:szCs w:val="22"/>
          <w:color w:val="auto"/>
        </w:rPr>
      </w:pPr>
    </w:p>
    <w:p>
      <w:pPr>
        <w:ind w:left="1960" w:right="1799" w:hanging="655"/>
        <w:spacing w:after="0" w:line="272" w:lineRule="auto"/>
        <w:tabs>
          <w:tab w:leader="none" w:pos="196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75" w:lineRule="exact"/>
        <w:rPr>
          <w:rFonts w:ascii="Arial" w:cs="Arial" w:eastAsia="Arial" w:hAnsi="Arial"/>
          <w:sz w:val="19"/>
          <w:szCs w:val="19"/>
          <w:color w:val="auto"/>
        </w:rPr>
      </w:pPr>
    </w:p>
    <w:p>
      <w:pPr>
        <w:ind w:left="1960" w:right="1779" w:hanging="655"/>
        <w:spacing w:after="0" w:line="279" w:lineRule="auto"/>
        <w:tabs>
          <w:tab w:leader="none" w:pos="1960" w:val="left"/>
        </w:tabs>
        <w:numPr>
          <w:ilvl w:val="0"/>
          <w:numId w:val="5"/>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51" w:lineRule="exact"/>
        <w:rPr>
          <w:sz w:val="20"/>
          <w:szCs w:val="20"/>
          <w:color w:val="auto"/>
        </w:rPr>
      </w:pPr>
    </w:p>
    <w:p>
      <w:pPr>
        <w:ind w:right="1779" w:firstLine="648"/>
        <w:spacing w:after="0" w:line="236" w:lineRule="auto"/>
        <w:rPr>
          <w:sz w:val="20"/>
          <w:szCs w:val="20"/>
          <w:color w:val="auto"/>
        </w:rPr>
      </w:pPr>
      <w:r>
        <w:rPr>
          <w:rFonts w:ascii="Arial" w:cs="Arial" w:eastAsia="Arial" w:hAnsi="Arial"/>
          <w:sz w:val="22"/>
          <w:szCs w:val="22"/>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174" w:lineRule="exact"/>
        <w:rPr>
          <w:sz w:val="20"/>
          <w:szCs w:val="20"/>
          <w:color w:val="auto"/>
        </w:rPr>
      </w:pPr>
    </w:p>
    <w:p>
      <w:pPr>
        <w:ind w:left="1300" w:right="1999" w:hanging="644"/>
        <w:spacing w:after="0" w:line="251"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 material dimunition in your authority, duties or responsibilities;</w:t>
      </w:r>
    </w:p>
    <w:p>
      <w:pPr>
        <w:spacing w:after="0" w:line="219" w:lineRule="exact"/>
        <w:rPr>
          <w:rFonts w:ascii="Arial" w:cs="Arial" w:eastAsia="Arial" w:hAnsi="Arial"/>
          <w:sz w:val="22"/>
          <w:szCs w:val="22"/>
          <w:color w:val="auto"/>
        </w:rPr>
      </w:pPr>
    </w:p>
    <w:p>
      <w:pPr>
        <w:jc w:val="both"/>
        <w:ind w:left="1960" w:right="2479" w:hanging="655"/>
        <w:spacing w:after="0" w:line="297" w:lineRule="auto"/>
        <w:tabs>
          <w:tab w:leader="none" w:pos="1960" w:val="left"/>
        </w:tabs>
        <w:numPr>
          <w:ilvl w:val="1"/>
          <w:numId w:val="6"/>
        </w:numPr>
        <w:rPr>
          <w:rFonts w:ascii="Arial" w:cs="Arial" w:eastAsia="Arial" w:hAnsi="Arial"/>
          <w:sz w:val="19"/>
          <w:szCs w:val="19"/>
          <w:color w:val="auto"/>
        </w:rPr>
      </w:pPr>
      <w:r>
        <w:rPr>
          <w:rFonts w:ascii="Arial" w:cs="Arial" w:eastAsia="Arial" w:hAnsi="Arial"/>
          <w:sz w:val="19"/>
          <w:szCs w:val="19"/>
          <w:color w:val="auto"/>
        </w:rPr>
        <w:t>any material breach of this agreement by the Corporation or of any material obligation of any member of the Manpower Group for the payment or provision of compensation or other benefits to you;</w:t>
      </w:r>
    </w:p>
    <w:p>
      <w:pPr>
        <w:spacing w:after="0" w:line="147" w:lineRule="exact"/>
        <w:rPr>
          <w:rFonts w:ascii="Arial" w:cs="Arial" w:eastAsia="Arial" w:hAnsi="Arial"/>
          <w:sz w:val="19"/>
          <w:szCs w:val="19"/>
          <w:color w:val="auto"/>
        </w:rPr>
      </w:pPr>
    </w:p>
    <w:p>
      <w:pPr>
        <w:ind w:left="1960" w:right="2039" w:hanging="655"/>
        <w:spacing w:after="0" w:line="238" w:lineRule="auto"/>
        <w:tabs>
          <w:tab w:leader="none" w:pos="1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a material dimunition in your base salary or a failure by the Manpower Group to provide an arrangement for you for any fiscal year of the Manpower Group giving you the opportunity to earn an incentive bonus for such year;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7" w:name="page8"/>
    <w:bookmarkEnd w:id="7"/>
    <w:p>
      <w:pPr>
        <w:ind w:left="1960" w:right="1939" w:hanging="655"/>
        <w:spacing w:after="0" w:line="236" w:lineRule="auto"/>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material dimunition in your annual target bonus opportunity for a given fiscal year within two years after the occurrence of a Change of Control, as compared to the annual target bonus opportunity for the fiscal year immediately preceding the fiscal year in which a Change of Control occurred.</w:t>
      </w:r>
    </w:p>
    <w:p>
      <w:pPr>
        <w:spacing w:after="0" w:line="215" w:lineRule="exact"/>
        <w:rPr>
          <w:sz w:val="20"/>
          <w:szCs w:val="20"/>
          <w:color w:val="auto"/>
        </w:rPr>
      </w:pPr>
    </w:p>
    <w:p>
      <w:pPr>
        <w:ind w:right="1939" w:firstLine="648"/>
        <w:spacing w:after="0" w:line="270" w:lineRule="auto"/>
        <w:rPr>
          <w:sz w:val="20"/>
          <w:szCs w:val="20"/>
          <w:color w:val="auto"/>
        </w:rPr>
      </w:pPr>
      <w:r>
        <w:rPr>
          <w:rFonts w:ascii="Arial" w:cs="Arial" w:eastAsia="Arial" w:hAnsi="Arial"/>
          <w:sz w:val="19"/>
          <w:szCs w:val="19"/>
          <w:color w:val="auto"/>
        </w:rPr>
        <w:t>Notwithstanding Subsections 1(d)(i) – (iv) above, Good Reason does not exist unless (i) you object to any material dimunition or breach described above by written notice to the Corporation within twenty (20) business days after such dimunition or breach occurs, (ii) the Corporation fails to cure such dimunition or breach within thirty (30) days after such notice is given and (iii) your employment with the Manpower Group is terminated by you within ninety</w:t>
      </w:r>
    </w:p>
    <w:p>
      <w:pPr>
        <w:spacing w:after="0" w:line="4" w:lineRule="exact"/>
        <w:rPr>
          <w:sz w:val="20"/>
          <w:szCs w:val="20"/>
          <w:color w:val="auto"/>
        </w:rPr>
      </w:pPr>
    </w:p>
    <w:p>
      <w:pPr>
        <w:ind w:right="1879" w:firstLine="8"/>
        <w:spacing w:after="0" w:line="273" w:lineRule="auto"/>
        <w:tabs>
          <w:tab w:leader="none" w:pos="414" w:val="left"/>
        </w:tabs>
        <w:numPr>
          <w:ilvl w:val="0"/>
          <w:numId w:val="8"/>
        </w:numPr>
        <w:rPr>
          <w:rFonts w:ascii="Arial" w:cs="Arial" w:eastAsia="Arial" w:hAnsi="Arial"/>
          <w:sz w:val="19"/>
          <w:szCs w:val="19"/>
          <w:color w:val="auto"/>
        </w:rPr>
      </w:pPr>
      <w:r>
        <w:rPr>
          <w:rFonts w:ascii="Arial" w:cs="Arial" w:eastAsia="Arial" w:hAnsi="Arial"/>
          <w:sz w:val="19"/>
          <w:szCs w:val="19"/>
          <w:color w:val="auto"/>
        </w:rPr>
        <w:t>days after such dimunition or breach occurs. Further, notwithstanding Subsections 1(d)(i)-(iv),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Manpower Group, reassigns you to another senior executive level position in the Man power 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68" w:lineRule="exact"/>
        <w:rPr>
          <w:rFonts w:ascii="Arial" w:cs="Arial" w:eastAsia="Arial" w:hAnsi="Arial"/>
          <w:sz w:val="19"/>
          <w:szCs w:val="19"/>
          <w:color w:val="auto"/>
        </w:rPr>
      </w:pPr>
    </w:p>
    <w:p>
      <w:pPr>
        <w:ind w:left="1300" w:right="1999" w:hanging="644"/>
        <w:spacing w:after="0" w:line="275" w:lineRule="auto"/>
        <w:tabs>
          <w:tab w:leader="none" w:pos="130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your employment by the Manpower 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85" w:lineRule="exact"/>
        <w:rPr>
          <w:rFonts w:ascii="Arial" w:cs="Arial" w:eastAsia="Arial" w:hAnsi="Arial"/>
          <w:sz w:val="19"/>
          <w:szCs w:val="19"/>
          <w:color w:val="auto"/>
        </w:rPr>
      </w:pPr>
    </w:p>
    <w:p>
      <w:pPr>
        <w:ind w:left="1300" w:right="1939" w:hanging="644"/>
        <w:spacing w:after="0" w:line="238" w:lineRule="auto"/>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98" w:lineRule="exact"/>
        <w:rPr>
          <w:rFonts w:ascii="Arial" w:cs="Arial" w:eastAsia="Arial" w:hAnsi="Arial"/>
          <w:sz w:val="22"/>
          <w:szCs w:val="22"/>
          <w:color w:val="auto"/>
        </w:rPr>
      </w:pPr>
    </w:p>
    <w:p>
      <w:pPr>
        <w:ind w:left="1300" w:right="1919" w:hanging="644"/>
        <w:spacing w:after="0" w:line="251" w:lineRule="auto"/>
        <w:tabs>
          <w:tab w:leader="none" w:pos="130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Protected Period</w:t>
      </w:r>
      <w:r>
        <w:rPr>
          <w:rFonts w:ascii="Arial" w:cs="Arial" w:eastAsia="Arial" w:hAnsi="Arial"/>
          <w:sz w:val="22"/>
          <w:szCs w:val="22"/>
          <w:color w:val="auto"/>
        </w:rPr>
        <w:t>. The “Protected Period” shall be a period of time determined in accordance with the following:</w:t>
      </w:r>
    </w:p>
    <w:p>
      <w:pPr>
        <w:spacing w:after="0" w:line="186" w:lineRule="exact"/>
        <w:rPr>
          <w:rFonts w:ascii="Arial" w:cs="Arial" w:eastAsia="Arial" w:hAnsi="Arial"/>
          <w:sz w:val="22"/>
          <w:szCs w:val="22"/>
          <w:color w:val="auto"/>
        </w:rPr>
      </w:pPr>
    </w:p>
    <w:p>
      <w:pPr>
        <w:ind w:left="1960" w:right="1799" w:hanging="655"/>
        <w:spacing w:after="0" w:line="279" w:lineRule="auto"/>
        <w:tabs>
          <w:tab w:leader="none" w:pos="1960" w:val="left"/>
        </w:tabs>
        <w:numPr>
          <w:ilvl w:val="2"/>
          <w:numId w:val="8"/>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77" w:lineRule="exact"/>
        <w:rPr>
          <w:rFonts w:ascii="Arial" w:cs="Arial" w:eastAsia="Arial" w:hAnsi="Arial"/>
          <w:sz w:val="19"/>
          <w:szCs w:val="19"/>
          <w:color w:val="auto"/>
        </w:rPr>
      </w:pPr>
    </w:p>
    <w:p>
      <w:pPr>
        <w:ind w:left="1960" w:hanging="655"/>
        <w:spacing w:after="0"/>
        <w:tabs>
          <w:tab w:leader="none" w:pos="1960" w:val="left"/>
        </w:tabs>
        <w:numPr>
          <w:ilvl w:val="2"/>
          <w:numId w:val="8"/>
        </w:numPr>
        <w:rPr>
          <w:rFonts w:ascii="Arial" w:cs="Arial" w:eastAsia="Arial" w:hAnsi="Arial"/>
          <w:sz w:val="21"/>
          <w:szCs w:val="21"/>
          <w:color w:val="auto"/>
        </w:rPr>
      </w:pPr>
      <w:r>
        <w:rPr>
          <w:rFonts w:ascii="Arial" w:cs="Arial" w:eastAsia="Arial" w:hAnsi="Arial"/>
          <w:sz w:val="21"/>
          <w:szCs w:val="21"/>
          <w:color w:val="auto"/>
        </w:rPr>
        <w:t>if a Change of Control is triggered by a merger or consolidation of the</w:t>
      </w:r>
    </w:p>
    <w:p>
      <w:pPr>
        <w:spacing w:after="0" w:line="200" w:lineRule="exact"/>
        <w:rPr>
          <w:sz w:val="20"/>
          <w:szCs w:val="20"/>
          <w:color w:val="auto"/>
        </w:rPr>
      </w:pPr>
    </w:p>
    <w:p>
      <w:pPr>
        <w:spacing w:after="0" w:line="28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18" w:right="1440" w:bottom="1440" w:gutter="0" w:footer="0" w:header="0"/>
        </w:sectPr>
      </w:pPr>
    </w:p>
    <w:bookmarkStart w:id="8" w:name="page9"/>
    <w:bookmarkEnd w:id="8"/>
    <w:p>
      <w:pPr>
        <w:ind w:left="1952" w:right="1899"/>
        <w:spacing w:after="0" w:line="248" w:lineRule="auto"/>
        <w:rPr>
          <w:sz w:val="20"/>
          <w:szCs w:val="20"/>
          <w:color w:val="auto"/>
        </w:rPr>
      </w:pPr>
      <w:r>
        <w:rPr>
          <w:rFonts w:ascii="Arial" w:cs="Arial" w:eastAsia="Arial" w:hAnsi="Arial"/>
          <w:sz w:val="21"/>
          <w:szCs w:val="21"/>
          <w:color w:val="auto"/>
        </w:rPr>
        <w:t>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92" w:lineRule="exact"/>
        <w:rPr>
          <w:sz w:val="20"/>
          <w:szCs w:val="20"/>
          <w:color w:val="auto"/>
        </w:rPr>
      </w:pPr>
    </w:p>
    <w:p>
      <w:pPr>
        <w:ind w:left="1952" w:right="1939" w:hanging="655"/>
        <w:spacing w:after="0" w:line="252" w:lineRule="auto"/>
        <w:tabs>
          <w:tab w:leader="none" w:pos="1952" w:val="left"/>
        </w:tabs>
        <w:numPr>
          <w:ilvl w:val="2"/>
          <w:numId w:val="9"/>
        </w:numPr>
        <w:rPr>
          <w:rFonts w:ascii="Arial" w:cs="Arial" w:eastAsia="Arial" w:hAnsi="Arial"/>
          <w:sz w:val="21"/>
          <w:szCs w:val="21"/>
          <w:color w:val="auto"/>
        </w:rPr>
      </w:pPr>
      <w:r>
        <w:rPr>
          <w:rFonts w:ascii="Arial" w:cs="Arial" w:eastAsia="Arial" w:hAnsi="Arial"/>
          <w:sz w:val="21"/>
          <w:szCs w:val="21"/>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1" w:lineRule="exact"/>
        <w:rPr>
          <w:rFonts w:ascii="Arial" w:cs="Arial" w:eastAsia="Arial" w:hAnsi="Arial"/>
          <w:sz w:val="21"/>
          <w:szCs w:val="21"/>
          <w:color w:val="auto"/>
        </w:rPr>
      </w:pPr>
    </w:p>
    <w:p>
      <w:pPr>
        <w:ind w:left="1292" w:right="2119" w:hanging="644"/>
        <w:spacing w:after="0" w:line="235" w:lineRule="auto"/>
        <w:tabs>
          <w:tab w:leader="none" w:pos="1292"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will be a period beginning on November 10, 2008 and ending on the first to occur of the following: (a) the date which is the two-year anniversary of the occurrence of a Change of Control; (b) the date which is the three-year anniversary of August 1, 2007 if no Change of Control occurs between November 10, 2008 and such three-year anniversary; or (c) the Date of Termination.</w:t>
      </w:r>
    </w:p>
    <w:p>
      <w:pPr>
        <w:spacing w:after="0" w:line="201" w:lineRule="exact"/>
        <w:rPr>
          <w:rFonts w:ascii="Arial" w:cs="Arial" w:eastAsia="Arial" w:hAnsi="Arial"/>
          <w:sz w:val="22"/>
          <w:szCs w:val="22"/>
          <w:color w:val="auto"/>
        </w:rPr>
      </w:pPr>
    </w:p>
    <w:p>
      <w:pPr>
        <w:ind w:left="652" w:hanging="652"/>
        <w:spacing w:after="0"/>
        <w:tabs>
          <w:tab w:leader="none" w:pos="65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right="1819" w:hanging="644"/>
        <w:spacing w:after="0" w:line="245" w:lineRule="auto"/>
        <w:tabs>
          <w:tab w:leader="none" w:pos="1292"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Termination by the Manpower Group for Cause or by You Other Than for Good Reason</w:t>
      </w:r>
      <w:r>
        <w:rPr>
          <w:rFonts w:ascii="Arial" w:cs="Arial" w:eastAsia="Arial" w:hAnsi="Arial"/>
          <w:sz w:val="21"/>
          <w:szCs w:val="21"/>
          <w:color w:val="auto"/>
        </w:rPr>
        <w:t>. If your employment with the Manpower Group is terminated by the Manpower Group for Cause or by you other than for Good Reason, the Corporation will pay or provide you with (i) your full base salary as then in effect through the Date of Termination, (ii) your unpaid bonus, if any, attributable to any complete fiscal year of the Manpower Group ended before the Date of Termination (but no incentive bonus will be payable for the fiscal year in which termination occurs), and (iii) all benefits to which you are entitled under any Benefit Plans in accordance with the terms of such plans. The Manpower Group will have no further obligations to you.</w:t>
      </w:r>
    </w:p>
    <w:p>
      <w:pPr>
        <w:spacing w:after="0" w:line="208" w:lineRule="exact"/>
        <w:rPr>
          <w:rFonts w:ascii="Arial" w:cs="Arial" w:eastAsia="Arial" w:hAnsi="Arial"/>
          <w:sz w:val="21"/>
          <w:szCs w:val="21"/>
          <w:color w:val="auto"/>
        </w:rPr>
      </w:pPr>
    </w:p>
    <w:p>
      <w:pPr>
        <w:ind w:left="1292" w:right="1799" w:hanging="644"/>
        <w:spacing w:after="0" w:line="271" w:lineRule="auto"/>
        <w:tabs>
          <w:tab w:leader="none" w:pos="1292"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Manpower Group terminates during the Term by reason of your disability or death, the Corporation will pay or provide you with (i) your full base salary as then in effect through the Date of Termination, (ii) your unpaid bonus, if any, attributable to any complete fiscal year of the Manpower Group ended before the Date of Termination, (iii)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(iv) all benefits to which you are entitled under any Benefit Plans in accordance with the terms of such plans. For purposes of this letter, “disability” means that you (i) are unable to engage in any substantial gainful activity by reason of any medically determinable physical or mental impairment which can be expected to result in death or can be expected to last for a</w:t>
      </w:r>
    </w:p>
    <w:p>
      <w:pPr>
        <w:spacing w:after="0" w:line="200" w:lineRule="exact"/>
        <w:rPr>
          <w:sz w:val="20"/>
          <w:szCs w:val="20"/>
          <w:color w:val="auto"/>
        </w:rPr>
      </w:pPr>
    </w:p>
    <w:p>
      <w:pPr>
        <w:spacing w:after="0" w:line="236" w:lineRule="exact"/>
        <w:rPr>
          <w:sz w:val="20"/>
          <w:szCs w:val="20"/>
          <w:color w:val="auto"/>
        </w:rPr>
      </w:pPr>
    </w:p>
    <w:p>
      <w:pPr>
        <w:ind w:left="415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11"/>
          </w:cols>
          <w:pgMar w:left="248" w:top="118" w:right="1440" w:bottom="1440" w:gutter="0" w:footer="0" w:header="0"/>
        </w:sectPr>
      </w:pPr>
    </w:p>
    <w:bookmarkStart w:id="9" w:name="page10"/>
    <w:bookmarkEnd w:id="9"/>
    <w:p>
      <w:pPr>
        <w:ind w:left="644" w:right="1859"/>
        <w:spacing w:after="0" w:line="247" w:lineRule="auto"/>
        <w:rPr>
          <w:sz w:val="20"/>
          <w:szCs w:val="20"/>
          <w:color w:val="auto"/>
        </w:rPr>
      </w:pPr>
      <w:r>
        <w:rPr>
          <w:rFonts w:ascii="Arial" w:cs="Arial" w:eastAsia="Arial" w:hAnsi="Arial"/>
          <w:sz w:val="21"/>
          <w:szCs w:val="21"/>
          <w:color w:val="auto"/>
        </w:rPr>
        <w:t>continuous period of not less than twelve months, or (ii)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Manpower Group. The Manpower Group will have no further obligations to you.</w:t>
      </w:r>
    </w:p>
    <w:p>
      <w:pPr>
        <w:spacing w:after="0" w:line="192"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4" w:right="1919" w:hanging="655"/>
        <w:spacing w:after="0" w:line="287" w:lineRule="auto"/>
        <w:tabs>
          <w:tab w:leader="none" w:pos="1304" w:val="left"/>
        </w:tabs>
        <w:numPr>
          <w:ilvl w:val="1"/>
          <w:numId w:val="12"/>
        </w:numPr>
        <w:rPr>
          <w:rFonts w:ascii="Arial" w:cs="Arial" w:eastAsia="Arial" w:hAnsi="Arial"/>
          <w:sz w:val="19"/>
          <w:szCs w:val="19"/>
          <w:color w:val="auto"/>
        </w:rPr>
      </w:pPr>
      <w:r>
        <w:rPr>
          <w:rFonts w:ascii="Arial" w:cs="Arial" w:eastAsia="Arial" w:hAnsi="Arial"/>
          <w:sz w:val="19"/>
          <w:szCs w:val="19"/>
          <w:color w:val="auto"/>
        </w:rPr>
        <w:t>If, during the Term and either during a Protected Period or within two years after the occurrence of a Change of Control, your employment with the Manpower Group is terminated for any reason not specified in Subsections 2(a) or (b), above, you will be entitled to the following:</w:t>
      </w:r>
    </w:p>
    <w:p>
      <w:pPr>
        <w:spacing w:after="0" w:line="156" w:lineRule="exact"/>
        <w:rPr>
          <w:rFonts w:ascii="Arial" w:cs="Arial" w:eastAsia="Arial" w:hAnsi="Arial"/>
          <w:sz w:val="19"/>
          <w:szCs w:val="19"/>
          <w:color w:val="auto"/>
        </w:rPr>
      </w:pPr>
    </w:p>
    <w:p>
      <w:pPr>
        <w:ind w:left="1944" w:right="2219" w:hanging="647"/>
        <w:spacing w:after="0"/>
        <w:tabs>
          <w:tab w:leader="none" w:pos="1944" w:val="left"/>
        </w:tabs>
        <w:numPr>
          <w:ilvl w:val="2"/>
          <w:numId w:val="12"/>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944" w:right="2099" w:hanging="647"/>
        <w:spacing w:after="0"/>
        <w:tabs>
          <w:tab w:leader="none" w:pos="1944" w:val="left"/>
        </w:tabs>
        <w:numPr>
          <w:ilvl w:val="2"/>
          <w:numId w:val="12"/>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86" w:lineRule="exact"/>
        <w:rPr>
          <w:rFonts w:ascii="Arial" w:cs="Arial" w:eastAsia="Arial" w:hAnsi="Arial"/>
          <w:sz w:val="22"/>
          <w:szCs w:val="22"/>
          <w:color w:val="auto"/>
        </w:rPr>
      </w:pPr>
    </w:p>
    <w:p>
      <w:pPr>
        <w:ind w:left="1944" w:right="2019" w:hanging="647"/>
        <w:spacing w:after="0" w:line="273" w:lineRule="auto"/>
        <w:tabs>
          <w:tab w:leader="none" w:pos="1944" w:val="left"/>
        </w:tabs>
        <w:numPr>
          <w:ilvl w:val="2"/>
          <w:numId w:val="12"/>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your target annual bonus for the fiscal year in which the Change of Control occurs; provided, however, that if the Change of Control occurs prior to the date on which the Executive Compensation Committee of the Board approves a bona fide target annual bonus for the fiscal year in which the Change of Control occurs, the bonus paid hereunder shall be equal in amount to your target annual bonus for the fiscal year prior to the fiscal year in which the Change of Control occurs;</w:t>
      </w:r>
    </w:p>
    <w:p>
      <w:pPr>
        <w:spacing w:after="0" w:line="148" w:lineRule="exact"/>
        <w:rPr>
          <w:rFonts w:ascii="Arial" w:cs="Arial" w:eastAsia="Arial" w:hAnsi="Arial"/>
          <w:sz w:val="19"/>
          <w:szCs w:val="19"/>
          <w:color w:val="auto"/>
        </w:rPr>
      </w:pPr>
    </w:p>
    <w:p>
      <w:pPr>
        <w:ind w:left="1944" w:right="2019" w:hanging="647"/>
        <w:spacing w:after="0" w:line="273" w:lineRule="auto"/>
        <w:tabs>
          <w:tab w:leader="none" w:pos="1944" w:val="left"/>
        </w:tabs>
        <w:numPr>
          <w:ilvl w:val="2"/>
          <w:numId w:val="12"/>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(or, to the extent the Change of Control occurs prior to the date on which the Executive Compensation Committee of the Board approves a bona fide target annual bonus for the fiscal year in which the Change of Control occurs, your target annual bonus for the fiscal year prior to the fiscal year in which the Change of Control occurs);</w:t>
      </w:r>
    </w:p>
    <w:p>
      <w:pPr>
        <w:spacing w:after="0" w:line="148" w:lineRule="exact"/>
        <w:rPr>
          <w:rFonts w:ascii="Arial" w:cs="Arial" w:eastAsia="Arial" w:hAnsi="Arial"/>
          <w:sz w:val="19"/>
          <w:szCs w:val="19"/>
          <w:color w:val="auto"/>
        </w:rPr>
      </w:pPr>
    </w:p>
    <w:p>
      <w:pPr>
        <w:ind w:left="1944" w:right="1979" w:hanging="647"/>
        <w:spacing w:after="0" w:line="328" w:lineRule="auto"/>
        <w:tabs>
          <w:tab w:leader="none" w:pos="1944" w:val="left"/>
        </w:tabs>
        <w:numPr>
          <w:ilvl w:val="2"/>
          <w:numId w:val="12"/>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 to provide you and your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563"/>
          </w:cols>
          <w:pgMar w:left="896" w:top="118" w:right="1440" w:bottom="1440" w:gutter="0" w:footer="0" w:header="0"/>
        </w:sectPr>
      </w:pPr>
    </w:p>
    <w:bookmarkStart w:id="10" w:name="page11"/>
    <w:bookmarkEnd w:id="10"/>
    <w:p>
      <w:pPr>
        <w:ind w:left="1400" w:right="2019"/>
        <w:spacing w:after="0" w:line="272" w:lineRule="auto"/>
        <w:rPr>
          <w:sz w:val="20"/>
          <w:szCs w:val="20"/>
          <w:color w:val="auto"/>
        </w:rPr>
      </w:pPr>
      <w:r>
        <w:rPr>
          <w:rFonts w:ascii="Arial" w:cs="Arial" w:eastAsia="Arial" w:hAnsi="Arial"/>
          <w:sz w:val="19"/>
          <w:szCs w:val="19"/>
          <w:color w:val="auto"/>
        </w:rPr>
        <w:t>dependents, at the Manpower Group’s expense, with Health Insurance Continuation (defined below), or other substantially similar coverage, in which you were participating on the Date of Termination; provided, however, that benefits otherwise receivable by you pursuant to this Subsection 2(c)(i)(E)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00" w:lineRule="exact"/>
        <w:rPr>
          <w:sz w:val="20"/>
          <w:szCs w:val="20"/>
          <w:color w:val="auto"/>
        </w:rPr>
      </w:pPr>
    </w:p>
    <w:p>
      <w:pPr>
        <w:spacing w:after="0" w:line="201" w:lineRule="exact"/>
        <w:rPr>
          <w:sz w:val="20"/>
          <w:szCs w:val="20"/>
          <w:color w:val="auto"/>
        </w:rPr>
      </w:pPr>
    </w:p>
    <w:p>
      <w:pPr>
        <w:ind w:left="1400" w:right="1959"/>
        <w:spacing w:after="0" w:line="269" w:lineRule="auto"/>
        <w:rPr>
          <w:sz w:val="20"/>
          <w:szCs w:val="20"/>
          <w:color w:val="auto"/>
        </w:rPr>
      </w:pPr>
      <w:r>
        <w:rPr>
          <w:rFonts w:ascii="Arial" w:cs="Arial" w:eastAsia="Arial" w:hAnsi="Arial"/>
          <w:sz w:val="19"/>
          <w:szCs w:val="19"/>
          <w:color w:val="auto"/>
        </w:rPr>
        <w:t>For purposes of this Subsection 2(c)(i)(E),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 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2(c)(i)(E)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18" w:right="1440" w:bottom="1440" w:gutter="0" w:footer="0" w:header="0"/>
        </w:sectPr>
      </w:pPr>
    </w:p>
    <w:bookmarkStart w:id="11" w:name="page12"/>
    <w:bookmarkEnd w:id="11"/>
    <w:p>
      <w:pPr>
        <w:ind w:left="1400" w:right="1979" w:hanging="647"/>
        <w:spacing w:after="0" w:line="272" w:lineRule="auto"/>
        <w:tabs>
          <w:tab w:leader="none" w:pos="14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2(c)(i)(F), you will be solely responsible for payment of any additional costs incurred as a result of your use of such outplacement services. The Corporation will not substitute cash or other compensation in lieu of the outplacement service program specified in this Subsection 2(c)(i)(F).</w:t>
      </w:r>
    </w:p>
    <w:p>
      <w:pPr>
        <w:spacing w:after="0" w:line="391" w:lineRule="exact"/>
        <w:rPr>
          <w:rFonts w:ascii="Arial" w:cs="Arial" w:eastAsia="Arial" w:hAnsi="Arial"/>
          <w:sz w:val="19"/>
          <w:szCs w:val="19"/>
          <w:color w:val="auto"/>
        </w:rPr>
      </w:pPr>
    </w:p>
    <w:p>
      <w:pPr>
        <w:jc w:val="both"/>
        <w:ind w:left="760" w:right="2039" w:hanging="655"/>
        <w:spacing w:after="0" w:line="238" w:lineRule="auto"/>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If your employment with the Manpower Group is terminated during the Term for any reason not specified in Subsections 2(a) or (b), above, and Subsection 2(c)(i), above, does not apply to the termination, you will be entitled to the following:</w:t>
      </w:r>
    </w:p>
    <w:p>
      <w:pPr>
        <w:spacing w:after="0" w:line="212" w:lineRule="exact"/>
        <w:rPr>
          <w:rFonts w:ascii="Arial" w:cs="Arial" w:eastAsia="Arial" w:hAnsi="Arial"/>
          <w:sz w:val="22"/>
          <w:szCs w:val="22"/>
          <w:color w:val="auto"/>
        </w:rPr>
      </w:pPr>
    </w:p>
    <w:p>
      <w:pPr>
        <w:ind w:left="1400" w:right="2219" w:hanging="647"/>
        <w:spacing w:after="0"/>
        <w:tabs>
          <w:tab w:leader="none" w:pos="14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Corporation will pay you, your full base salary through the Date of Termination at the rate in effect at the time Notice of Termination is given;</w:t>
      </w:r>
    </w:p>
    <w:p>
      <w:pPr>
        <w:spacing w:after="0" w:line="172" w:lineRule="exact"/>
        <w:rPr>
          <w:rFonts w:ascii="Arial" w:cs="Arial" w:eastAsia="Arial" w:hAnsi="Arial"/>
          <w:sz w:val="22"/>
          <w:szCs w:val="22"/>
          <w:color w:val="auto"/>
        </w:rPr>
      </w:pPr>
    </w:p>
    <w:p>
      <w:pPr>
        <w:ind w:left="1400" w:right="2099" w:hanging="647"/>
        <w:spacing w:after="0"/>
        <w:tabs>
          <w:tab w:leader="none" w:pos="14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Corporation will pay you, your unpaid bonus, if any, attributable to any complete fiscal year of the Manpower Group ended before the Date of Termination;</w:t>
      </w:r>
    </w:p>
    <w:p>
      <w:pPr>
        <w:spacing w:after="0" w:line="172" w:lineRule="exact"/>
        <w:rPr>
          <w:rFonts w:ascii="Arial" w:cs="Arial" w:eastAsia="Arial" w:hAnsi="Arial"/>
          <w:sz w:val="22"/>
          <w:szCs w:val="22"/>
          <w:color w:val="auto"/>
        </w:rPr>
      </w:pPr>
    </w:p>
    <w:p>
      <w:pPr>
        <w:ind w:left="1400" w:right="2099" w:hanging="647"/>
        <w:spacing w:after="0" w:line="273" w:lineRule="auto"/>
        <w:tabs>
          <w:tab w:leader="none" w:pos="14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61" w:lineRule="exact"/>
        <w:rPr>
          <w:rFonts w:ascii="Arial" w:cs="Arial" w:eastAsia="Arial" w:hAnsi="Arial"/>
          <w:sz w:val="19"/>
          <w:szCs w:val="19"/>
          <w:color w:val="auto"/>
        </w:rPr>
      </w:pPr>
    </w:p>
    <w:p>
      <w:pPr>
        <w:ind w:left="1400" w:right="1799" w:hanging="647"/>
        <w:spacing w:after="0" w:line="274" w:lineRule="auto"/>
        <w:tabs>
          <w:tab w:leader="none" w:pos="140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(or, to the extent the Date of Termination occurs prior to the date on which the Executive Compensation Committee of the Board approves a bona fide target annual bonus for you for the fiscal year in which the Date of Termination occurs, your target annual bonus for the fiscal year prior to the fiscal year in which the Date of</w:t>
      </w:r>
    </w:p>
    <w:p>
      <w:pPr>
        <w:spacing w:after="0" w:line="186"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118" w:right="1440" w:bottom="1440" w:gutter="0" w:footer="0" w:header="0"/>
        </w:sectPr>
      </w:pPr>
    </w:p>
    <w:bookmarkStart w:id="12" w:name="page13"/>
    <w:bookmarkEnd w:id="12"/>
    <w:p>
      <w:pPr>
        <w:ind w:left="1400"/>
        <w:spacing w:after="0"/>
        <w:rPr>
          <w:sz w:val="20"/>
          <w:szCs w:val="20"/>
          <w:color w:val="auto"/>
        </w:rPr>
      </w:pPr>
      <w:r>
        <w:rPr>
          <w:rFonts w:ascii="Arial" w:cs="Arial" w:eastAsia="Arial" w:hAnsi="Arial"/>
          <w:sz w:val="22"/>
          <w:szCs w:val="22"/>
          <w:color w:val="auto"/>
        </w:rPr>
        <w:t>Termination occurs);</w:t>
      </w:r>
    </w:p>
    <w:p>
      <w:pPr>
        <w:spacing w:after="0" w:line="220" w:lineRule="exact"/>
        <w:rPr>
          <w:sz w:val="20"/>
          <w:szCs w:val="20"/>
          <w:color w:val="auto"/>
        </w:rPr>
      </w:pPr>
    </w:p>
    <w:p>
      <w:pPr>
        <w:ind w:left="1400" w:right="1839" w:hanging="647"/>
        <w:spacing w:after="0" w:line="272"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for up to a twelve-month period after the Date of Termination, the Corporation will arrange to provide you and your eligible dependents with Health Insurance Continuation (defined below); provided, however, that benefits otherwise receivable by you pursuant to this Subsection 2(c)(ii)(E)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1400" w:right="1779"/>
        <w:spacing w:after="0" w:line="269" w:lineRule="auto"/>
        <w:rPr>
          <w:rFonts w:ascii="Arial" w:cs="Arial" w:eastAsia="Arial" w:hAnsi="Arial"/>
          <w:sz w:val="19"/>
          <w:szCs w:val="19"/>
          <w:color w:val="auto"/>
        </w:rPr>
      </w:pPr>
      <w:r>
        <w:rPr>
          <w:rFonts w:ascii="Arial" w:cs="Arial" w:eastAsia="Arial" w:hAnsi="Arial"/>
          <w:sz w:val="19"/>
          <w:szCs w:val="19"/>
          <w:color w:val="auto"/>
        </w:rPr>
        <w:t>For purposes of this Subsection 2(c)(ii)(E),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Manpower Group will pay the normal monthly employer’s cost of coverage under the Corporation’s group medical and dental insurance plans toward such COBRA coverage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 erage to you or such eligible dependent shall terminate as of the date you or such dependent becomes eligible to receive such health insurance benefits from such new employer. During this period of Corporation-subsidized COBRA coverage, you will be responsible for paying the balance of any costs not paid for by the Manpower Group under this Subsection 2(c)(ii)(E) which are associated with your participation in the Corporation’s medical and dental insurance plans and your failure to pay such costs may result in the termination of your participation in such plans. The Corporation may deduct from any amounts payable to you under this Subsection 2(c)(ii) any amounts that you are responsible to pay for Health Insurance Continuation under this Subsection 2(c)(ii)(E). Immediately following this period of Corporation-subsidized COBRA coverage, you and/or your eligible dependents, as applicable, will be solely responsible for payment of the entire cost of COBRA coverage if such coverage remains available and you and/or your eligible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019"/>
          </w:cols>
          <w:pgMar w:left="1440" w:top="118" w:right="1440" w:bottom="1440" w:gutter="0" w:footer="0" w:header="0"/>
        </w:sectPr>
      </w:pPr>
    </w:p>
    <w:bookmarkStart w:id="13" w:name="page14"/>
    <w:bookmarkEnd w:id="13"/>
    <w:p>
      <w:pPr>
        <w:ind w:left="2600" w:right="1899"/>
        <w:spacing w:after="0" w:line="273" w:lineRule="auto"/>
        <w:rPr>
          <w:sz w:val="20"/>
          <w:szCs w:val="20"/>
          <w:color w:val="auto"/>
        </w:rPr>
      </w:pPr>
      <w:r>
        <w:rPr>
          <w:rFonts w:ascii="Arial" w:cs="Arial" w:eastAsia="Arial" w:hAnsi="Arial"/>
          <w:sz w:val="19"/>
          <w:szCs w:val="19"/>
          <w:color w:val="auto"/>
        </w:rPr>
        <w:t>dependents choose to continue such coverage. Within five calendar days of you or any of your eligible dependents becoming eligible to receive health insurance benefits from a new employer, you agree to inform the Corporation of such fact in writing. If the Manpower Group determines that the Corporation-subsidized COBRA payments provided by this Subsection 2(c)(ii)(E) are taxable, the payments will be grossed-up so that the net amount received by you, after subtraction of all taxes applicable to the payments plus the gross-up amount, will equal the cost of such COBRA coverage; and</w:t>
      </w:r>
    </w:p>
    <w:p>
      <w:pPr>
        <w:spacing w:after="0" w:line="176" w:lineRule="exact"/>
        <w:rPr>
          <w:sz w:val="20"/>
          <w:szCs w:val="20"/>
          <w:color w:val="auto"/>
        </w:rPr>
      </w:pPr>
    </w:p>
    <w:p>
      <w:pPr>
        <w:ind w:left="2600" w:right="1839" w:hanging="647"/>
        <w:spacing w:after="0" w:line="268" w:lineRule="auto"/>
        <w:tabs>
          <w:tab w:leader="none" w:pos="26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2(c)(ii)(F), you will be solely responsible for payment of any additional costs incurred as a result of your use of such outplacement services. The Corporation will not substitute cash or other compensation in lieu of the outplacement service program specified in this Subsection 2(c)(ii)</w:t>
      </w:r>
    </w:p>
    <w:p>
      <w:pPr>
        <w:spacing w:after="0" w:line="7" w:lineRule="exact"/>
        <w:rPr>
          <w:rFonts w:ascii="Arial" w:cs="Arial" w:eastAsia="Arial" w:hAnsi="Arial"/>
          <w:sz w:val="19"/>
          <w:szCs w:val="19"/>
          <w:color w:val="auto"/>
        </w:rPr>
      </w:pPr>
    </w:p>
    <w:p>
      <w:pPr>
        <w:ind w:left="2600"/>
        <w:spacing w:after="0"/>
        <w:rPr>
          <w:rFonts w:ascii="Arial" w:cs="Arial" w:eastAsia="Arial" w:hAnsi="Arial"/>
          <w:sz w:val="19"/>
          <w:szCs w:val="19"/>
          <w:color w:val="auto"/>
        </w:rPr>
      </w:pPr>
      <w:r>
        <w:rPr>
          <w:rFonts w:ascii="Arial" w:cs="Arial" w:eastAsia="Arial" w:hAnsi="Arial"/>
          <w:sz w:val="22"/>
          <w:szCs w:val="22"/>
          <w:color w:val="auto"/>
        </w:rPr>
        <w:t>(F).</w:t>
      </w:r>
    </w:p>
    <w:p>
      <w:pPr>
        <w:spacing w:after="0" w:line="215" w:lineRule="exact"/>
        <w:rPr>
          <w:sz w:val="20"/>
          <w:szCs w:val="20"/>
          <w:color w:val="auto"/>
        </w:rPr>
      </w:pPr>
    </w:p>
    <w:p>
      <w:pPr>
        <w:ind w:right="2119" w:firstLine="648"/>
        <w:spacing w:after="0" w:line="270" w:lineRule="auto"/>
        <w:rPr>
          <w:sz w:val="20"/>
          <w:szCs w:val="20"/>
          <w:color w:val="auto"/>
        </w:rPr>
      </w:pPr>
      <w:r>
        <w:rPr>
          <w:rFonts w:ascii="Arial" w:cs="Arial" w:eastAsia="Arial" w:hAnsi="Arial"/>
          <w:sz w:val="19"/>
          <w:szCs w:val="19"/>
          <w:color w:val="auto"/>
        </w:rPr>
        <w:t>The amounts paid to you pursuant to Subsection 2(c)(i)(D) or 2(c)(ii)(D) will not be included as compensation for purposes of any qualified or nonqualified pension or welfare benefit plan of the Manpower 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 e the net after-tax proceeds to you, taking into account the excise tax imposed by Section 4999 of the Code, as if (i) amount to be paid to you pursuant to Subsection 2(c)(i)(D) were reduced, but not below zero, such that the total parachute payments payable to you would not exceed three (3) times the “base amount” as defined in Section 280G of the Code, less One Dollar ($1.00), or (ii) the full amount to be paid to you pursuant to Subsection 2(c)(i)(D) were not reduced. If reducing the amount otherwise payable to you pursuant to Subsection 2(c)(i)(D) hereof would result in a greater after-tax amount to you, such reduced amount shall be paid to you and the remainder shall be forfeited by you as of the Date of Termination. If not reducing the amount otherwise payable to you pursuant to Subsection 2(c)(i)(D) would result in a greater after-tax amount to you, the amount payable to you pursuant to Subsection 2(c)(i)(D) shall not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19"/>
          </w:cols>
          <w:pgMar w:left="240" w:top="118" w:right="1440" w:bottom="1440" w:gutter="0" w:footer="0" w:header="0"/>
        </w:sectPr>
      </w:pPr>
    </w:p>
    <w:bookmarkStart w:id="14" w:name="page15"/>
    <w:bookmarkEnd w:id="14"/>
    <w:p>
      <w:pPr>
        <w:ind w:left="644" w:right="1799" w:hanging="644"/>
        <w:spacing w:after="0" w:line="269" w:lineRule="auto"/>
        <w:tabs>
          <w:tab w:leader="none" w:pos="64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The payments provided for in Subsection 2(c)(i)(A) or 2(c)(ii)(A), above, will be made no later than required by applicable law. The bonus payment provided for in Subsection 2(c)(i)(B) or 2(c)(ii)(B) will be made pursuant to the terms of the applicable bonus plan. The bonus payment provided for in Subsection 2(c)(i)(C) will be paid no later than thirty (30) days after the Date of Termination. The bonus payment provided for in Subsection 2(c)(ii)(C) will between January 1 and March 15 of the calendar year following the Date of Termination. The severance benefit provided for in Subsection 2(c)(i)(D) or 2(c) (ii)(D) will be paid in one lump sum no later than thirty (30) days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six months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Midwest edition (or, i f not so reported, as reported in</w:t>
      </w:r>
      <w:r>
        <w:rPr>
          <w:rFonts w:ascii="Arial" w:cs="Arial" w:eastAsia="Arial" w:hAnsi="Arial"/>
          <w:sz w:val="19"/>
          <w:szCs w:val="19"/>
          <w:i w:val="1"/>
          <w:iCs w:val="1"/>
          <w:color w:val="auto"/>
        </w:rPr>
        <w:t xml:space="preserve"> </w:t>
      </w:r>
      <w:r>
        <w:rPr>
          <w:rFonts w:ascii="Arial" w:cs="Arial" w:eastAsia="Arial" w:hAnsi="Arial"/>
          <w:sz w:val="19"/>
          <w:szCs w:val="19"/>
          <w:color w:val="auto"/>
        </w:rPr>
        <w:t>such other similar source(s) as the Corporation shall select).</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644" w:right="1919" w:hanging="644"/>
        <w:spacing w:after="0" w:line="276" w:lineRule="auto"/>
        <w:tabs>
          <w:tab w:leader="none" w:pos="64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2(c)(i)(C)-(F) or 2(c)(ii)</w:t>
      </w:r>
    </w:p>
    <w:p>
      <w:pPr>
        <w:spacing w:after="0" w:line="1" w:lineRule="exact"/>
        <w:rPr>
          <w:rFonts w:ascii="Arial" w:cs="Arial" w:eastAsia="Arial" w:hAnsi="Arial"/>
          <w:sz w:val="19"/>
          <w:szCs w:val="19"/>
          <w:color w:val="auto"/>
        </w:rPr>
      </w:pPr>
    </w:p>
    <w:p>
      <w:pPr>
        <w:ind w:left="644" w:right="1779"/>
        <w:spacing w:after="0" w:line="270" w:lineRule="auto"/>
        <w:rPr>
          <w:rFonts w:ascii="Arial" w:cs="Arial" w:eastAsia="Arial" w:hAnsi="Arial"/>
          <w:sz w:val="19"/>
          <w:szCs w:val="19"/>
          <w:color w:val="auto"/>
        </w:rPr>
      </w:pPr>
      <w:r>
        <w:rPr>
          <w:rFonts w:ascii="Arial" w:cs="Arial" w:eastAsia="Arial" w:hAnsi="Arial"/>
          <w:sz w:val="19"/>
          <w:szCs w:val="19"/>
          <w:color w:val="auto"/>
        </w:rPr>
        <w:t>(C)-(F), above, unless and until you execute, and there shall be effective following any statutory period for revocation, a release, in a form reasonably acceptable to the Corporation, that irrevocably and unconditionally releases, waives, and fully and forever discharges the Manpower 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Manpower 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w:t>
      </w:r>
    </w:p>
    <w:p>
      <w:pPr>
        <w:spacing w:after="0" w:line="192" w:lineRule="exact"/>
        <w:rPr>
          <w:rFonts w:ascii="Arial" w:cs="Arial" w:eastAsia="Arial" w:hAnsi="Arial"/>
          <w:sz w:val="19"/>
          <w:szCs w:val="19"/>
          <w:color w:val="auto"/>
        </w:rPr>
      </w:pPr>
    </w:p>
    <w:p>
      <w:pPr>
        <w:ind w:left="644" w:right="1799" w:hanging="644"/>
        <w:spacing w:after="0" w:line="287" w:lineRule="auto"/>
        <w:tabs>
          <w:tab w:leader="none" w:pos="64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Notwithstanding the foregoing, your right to receive the payments and benefits to be provided to you under this Section 2 beyond those described in Subsection 2(a), above, is conditioned upon your performance of the obligations stated in Sections 3-5, below, and upon your breach of any such obligations, you</w:t>
      </w:r>
    </w:p>
    <w:p>
      <w:pPr>
        <w:spacing w:after="0" w:line="200" w:lineRule="exact"/>
        <w:rPr>
          <w:sz w:val="20"/>
          <w:szCs w:val="20"/>
          <w:color w:val="auto"/>
        </w:rPr>
      </w:pPr>
    </w:p>
    <w:p>
      <w:pPr>
        <w:spacing w:after="0" w:line="213" w:lineRule="exact"/>
        <w:rPr>
          <w:sz w:val="20"/>
          <w:szCs w:val="20"/>
          <w:color w:val="auto"/>
        </w:rPr>
      </w:pPr>
    </w:p>
    <w:p>
      <w:pPr>
        <w:ind w:left="34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563"/>
          </w:cols>
          <w:pgMar w:left="896" w:top="118" w:right="1440" w:bottom="1440" w:gutter="0" w:footer="0" w:header="0"/>
        </w:sectPr>
      </w:pPr>
    </w:p>
    <w:bookmarkStart w:id="15" w:name="page16"/>
    <w:bookmarkEnd w:id="15"/>
    <w:p>
      <w:pPr>
        <w:ind w:left="1292" w:right="2099"/>
        <w:spacing w:after="0" w:line="241" w:lineRule="auto"/>
        <w:rPr>
          <w:sz w:val="20"/>
          <w:szCs w:val="20"/>
          <w:color w:val="auto"/>
        </w:rPr>
      </w:pPr>
      <w:r>
        <w:rPr>
          <w:rFonts w:ascii="Arial" w:cs="Arial" w:eastAsia="Arial" w:hAnsi="Arial"/>
          <w:sz w:val="22"/>
          <w:szCs w:val="22"/>
          <w:color w:val="auto"/>
        </w:rPr>
        <w:t>will immediately return to the Corporation the amount of such payments and benefits and you will no longer have any right to receive any such payments or benefits.</w:t>
      </w:r>
    </w:p>
    <w:p>
      <w:pPr>
        <w:spacing w:after="0" w:line="197" w:lineRule="exact"/>
        <w:rPr>
          <w:sz w:val="20"/>
          <w:szCs w:val="20"/>
          <w:color w:val="auto"/>
        </w:rPr>
      </w:pPr>
    </w:p>
    <w:p>
      <w:pPr>
        <w:ind w:left="652" w:right="1799" w:hanging="652"/>
        <w:spacing w:after="0" w:line="273"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Manpower Group or during the one-year period following your termination, for whatever reason, of employment with the Manpower Group, either on your own account or in conjunction with or on behalf of any other person, company, business entity, or other organization whatsoever, directly or indirectly induce, solicit, entice or procure any person who is a managerial employee of any company in the Manpower Group (but in the event of your termination, any such managerial employee that you have had contact with in the two years prior to your termination) to terminate his or her employment with the Manpower Group so as to accept employment elsewhere or to diminish or curtail the services such person provides to the Manpower Group.</w:t>
      </w:r>
    </w:p>
    <w:p>
      <w:pPr>
        <w:spacing w:after="0" w:line="188" w:lineRule="exact"/>
        <w:rPr>
          <w:rFonts w:ascii="Arial" w:cs="Arial" w:eastAsia="Arial" w:hAnsi="Arial"/>
          <w:sz w:val="19"/>
          <w:szCs w:val="19"/>
          <w:color w:val="auto"/>
        </w:rPr>
      </w:pPr>
    </w:p>
    <w:p>
      <w:pPr>
        <w:ind w:left="652" w:hanging="652"/>
        <w:spacing w:after="0"/>
        <w:tabs>
          <w:tab w:leader="none" w:pos="65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Customer Nonsolicitation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292" w:right="2139" w:hanging="644"/>
        <w:spacing w:after="0"/>
        <w:tabs>
          <w:tab w:leader="none" w:pos="1292" w:val="left"/>
        </w:tabs>
        <w:numPr>
          <w:ilvl w:val="1"/>
          <w:numId w:val="18"/>
        </w:numPr>
        <w:rPr>
          <w:rFonts w:ascii="Arial" w:cs="Arial" w:eastAsia="Arial" w:hAnsi="Arial"/>
          <w:sz w:val="22"/>
          <w:szCs w:val="22"/>
          <w:color w:val="auto"/>
        </w:rPr>
      </w:pPr>
      <w:r>
        <w:rPr>
          <w:rFonts w:ascii="Arial" w:cs="Arial" w:eastAsia="Arial" w:hAnsi="Arial"/>
          <w:sz w:val="22"/>
          <w:szCs w:val="22"/>
          <w:color w:val="auto"/>
        </w:rPr>
        <w:t>During the term of your employment with the Manpower Group, you will not assist any competitor of any company in the Manpower Group in any capacity anywhere the Manpower Group does business.</w:t>
      </w:r>
    </w:p>
    <w:p>
      <w:pPr>
        <w:spacing w:after="0" w:line="172" w:lineRule="exact"/>
        <w:rPr>
          <w:rFonts w:ascii="Arial" w:cs="Arial" w:eastAsia="Arial" w:hAnsi="Arial"/>
          <w:sz w:val="22"/>
          <w:szCs w:val="22"/>
          <w:color w:val="auto"/>
        </w:rPr>
      </w:pPr>
    </w:p>
    <w:p>
      <w:pPr>
        <w:ind w:left="1292" w:right="1939" w:hanging="644"/>
        <w:spacing w:after="0" w:line="245" w:lineRule="auto"/>
        <w:tabs>
          <w:tab w:leader="none" w:pos="1292" w:val="left"/>
        </w:tabs>
        <w:numPr>
          <w:ilvl w:val="1"/>
          <w:numId w:val="18"/>
        </w:numPr>
        <w:rPr>
          <w:rFonts w:ascii="Arial" w:cs="Arial" w:eastAsia="Arial" w:hAnsi="Arial"/>
          <w:sz w:val="21"/>
          <w:szCs w:val="21"/>
          <w:color w:val="auto"/>
        </w:rPr>
      </w:pPr>
      <w:r>
        <w:rPr>
          <w:rFonts w:ascii="Arial" w:cs="Arial" w:eastAsia="Arial" w:hAnsi="Arial"/>
          <w:sz w:val="21"/>
          <w:szCs w:val="21"/>
          <w:color w:val="auto"/>
        </w:rPr>
        <w:t>During the one-year period which immediately follows the termination, for whatever reason, of your employment with the Manpower Group, you will not, directly or indirectly, contact any customer of the Manpower Group with whom/which you have had contact on behalf of the Manpower Group during the two-year period preceding the Date of Termination or about whom/which you obtained confidential information in connection with your employment with the Manpower Group during such two-year period so as to cause or attempt to cause such customer not to do business or to reduce such customer’s business with the Manpower Group or divert any business from any company in the Manpower Group.</w:t>
      </w:r>
    </w:p>
    <w:p>
      <w:pPr>
        <w:spacing w:after="0" w:line="181" w:lineRule="exact"/>
        <w:rPr>
          <w:rFonts w:ascii="Arial" w:cs="Arial" w:eastAsia="Arial" w:hAnsi="Arial"/>
          <w:sz w:val="21"/>
          <w:szCs w:val="21"/>
          <w:color w:val="auto"/>
        </w:rPr>
      </w:pPr>
    </w:p>
    <w:p>
      <w:pPr>
        <w:ind w:left="652" w:right="1799" w:hanging="652"/>
        <w:spacing w:after="0" w:line="271" w:lineRule="auto"/>
        <w:tabs>
          <w:tab w:leader="none" w:pos="652"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the one-year period which immediately follows the termination, for whatever reason, of your employment with the Manpower Group, you will not, directly or indirectly, provide services or assistance of a nature similar to the services you provided to the Manpower Group during the two-year period immediately preceding the Date of Termination to any entity (i)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US $500,000,000 or (ii) engaged in the business of providing permanent placement, professional staffing, outplacement or human resources consulting services anywhere in the United States or any other country in which the Manpower 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w:t>
      </w:r>
    </w:p>
    <w:p>
      <w:pPr>
        <w:spacing w:after="0" w:line="200" w:lineRule="exact"/>
        <w:rPr>
          <w:sz w:val="20"/>
          <w:szCs w:val="20"/>
          <w:color w:val="auto"/>
        </w:rPr>
      </w:pPr>
    </w:p>
    <w:p>
      <w:pPr>
        <w:spacing w:after="0" w:line="232"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1"/>
          </w:cols>
          <w:pgMar w:left="248" w:top="118" w:right="1440" w:bottom="1440" w:gutter="0" w:footer="0" w:header="0"/>
        </w:sectPr>
      </w:pPr>
    </w:p>
    <w:bookmarkStart w:id="16" w:name="page17"/>
    <w:bookmarkEnd w:id="16"/>
    <w:p>
      <w:pPr>
        <w:ind w:left="652" w:right="1939"/>
        <w:spacing w:after="0" w:line="241" w:lineRule="auto"/>
        <w:rPr>
          <w:sz w:val="20"/>
          <w:szCs w:val="20"/>
          <w:color w:val="auto"/>
        </w:rPr>
      </w:pPr>
      <w:r>
        <w:rPr>
          <w:rFonts w:ascii="Arial" w:cs="Arial" w:eastAsia="Arial" w:hAnsi="Arial"/>
          <w:sz w:val="22"/>
          <w:szCs w:val="22"/>
          <w:color w:val="auto"/>
        </w:rPr>
        <w:t>close identification with the Manpower Group and the customer contacts you developed while employed by the Manpower Group and would involve the use or disclosure of Confidential Information pertaining to the Manpower Group.</w:t>
      </w:r>
    </w:p>
    <w:p>
      <w:pPr>
        <w:spacing w:after="0" w:line="197"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92" w:right="1799" w:hanging="644"/>
        <w:spacing w:after="0" w:line="270" w:lineRule="auto"/>
        <w:tabs>
          <w:tab w:leader="none" w:pos="1292"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Injunction</w:t>
      </w:r>
      <w:r>
        <w:rPr>
          <w:rFonts w:ascii="Arial" w:cs="Arial" w:eastAsia="Arial" w:hAnsi="Arial"/>
          <w:sz w:val="19"/>
          <w:szCs w:val="19"/>
          <w:color w:val="auto"/>
        </w:rPr>
        <w:t>. You recognize that irreparable and incalculable injury will result to the Manpower Group and its businesses and properties in the event of your breach of any of the restrictions imposed by Sections 3-5, above. You therefore agree that, in the event of any such actual, impending or threatened breach, the Corporation will be entitled, in addition to the remedies set forth in Subsection</w:t>
      </w:r>
    </w:p>
    <w:p>
      <w:pPr>
        <w:spacing w:after="0" w:line="4" w:lineRule="exact"/>
        <w:rPr>
          <w:rFonts w:ascii="Arial" w:cs="Arial" w:eastAsia="Arial" w:hAnsi="Arial"/>
          <w:sz w:val="19"/>
          <w:szCs w:val="19"/>
          <w:color w:val="auto"/>
        </w:rPr>
      </w:pPr>
    </w:p>
    <w:p>
      <w:pPr>
        <w:ind w:left="1292" w:right="1939"/>
        <w:spacing w:after="0" w:line="273" w:lineRule="auto"/>
        <w:rPr>
          <w:rFonts w:ascii="Arial" w:cs="Arial" w:eastAsia="Arial" w:hAnsi="Arial"/>
          <w:sz w:val="19"/>
          <w:szCs w:val="19"/>
          <w:color w:val="auto"/>
        </w:rPr>
      </w:pPr>
      <w:r>
        <w:rPr>
          <w:rFonts w:ascii="Arial" w:cs="Arial" w:eastAsia="Arial" w:hAnsi="Arial"/>
          <w:sz w:val="19"/>
          <w:szCs w:val="19"/>
          <w:color w:val="auto"/>
        </w:rPr>
        <w:t>2(f),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 o is acting for you or in concert with you.</w:t>
      </w:r>
    </w:p>
    <w:p>
      <w:pPr>
        <w:spacing w:after="0" w:line="146" w:lineRule="exact"/>
        <w:rPr>
          <w:rFonts w:ascii="Arial" w:cs="Arial" w:eastAsia="Arial" w:hAnsi="Arial"/>
          <w:sz w:val="19"/>
          <w:szCs w:val="19"/>
          <w:color w:val="auto"/>
        </w:rPr>
      </w:pPr>
    </w:p>
    <w:p>
      <w:pPr>
        <w:ind w:left="1292" w:right="2039" w:hanging="644"/>
        <w:spacing w:after="0" w:line="328" w:lineRule="auto"/>
        <w:tabs>
          <w:tab w:leader="none" w:pos="1292"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Equitable Extension</w:t>
      </w:r>
      <w:r>
        <w:rPr>
          <w:rFonts w:ascii="Arial" w:cs="Arial" w:eastAsia="Arial" w:hAnsi="Arial"/>
          <w:sz w:val="19"/>
          <w:szCs w:val="19"/>
          <w:color w:val="auto"/>
        </w:rPr>
        <w:t>. The duration of any restriction in Section 3-5, above, will be extended by any period during which such restriction is violated by you.</w:t>
      </w:r>
    </w:p>
    <w:p>
      <w:pPr>
        <w:spacing w:after="0" w:line="91" w:lineRule="exact"/>
        <w:rPr>
          <w:rFonts w:ascii="Arial" w:cs="Arial" w:eastAsia="Arial" w:hAnsi="Arial"/>
          <w:sz w:val="19"/>
          <w:szCs w:val="19"/>
          <w:color w:val="auto"/>
        </w:rPr>
      </w:pPr>
    </w:p>
    <w:p>
      <w:pPr>
        <w:ind w:left="1292" w:right="2159" w:hanging="644"/>
        <w:spacing w:after="0" w:line="287" w:lineRule="auto"/>
        <w:tabs>
          <w:tab w:leader="none" w:pos="1292"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Nonapplication</w:t>
      </w:r>
      <w:r>
        <w:rPr>
          <w:rFonts w:ascii="Arial" w:cs="Arial" w:eastAsia="Arial" w:hAnsi="Arial"/>
          <w:sz w:val="19"/>
          <w:szCs w:val="19"/>
          <w:color w:val="auto"/>
        </w:rPr>
        <w:t>. Notwithstanding the above, Sections 4 and 5, above, will not apply if your employment with the Manpower Group is terminated by you for Good Reason or by the Corporation without Cause either during a Protected Period or within two years after the occurrence of a Change of Control.</w:t>
      </w:r>
    </w:p>
    <w:p>
      <w:pPr>
        <w:spacing w:after="0" w:line="170" w:lineRule="exact"/>
        <w:rPr>
          <w:rFonts w:ascii="Arial" w:cs="Arial" w:eastAsia="Arial" w:hAnsi="Arial"/>
          <w:sz w:val="19"/>
          <w:szCs w:val="19"/>
          <w:color w:val="auto"/>
        </w:rPr>
      </w:pPr>
    </w:p>
    <w:p>
      <w:pPr>
        <w:ind w:left="652" w:hanging="652"/>
        <w:spacing w:after="0"/>
        <w:tabs>
          <w:tab w:leader="none" w:pos="652"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Unemployment Compensation</w:t>
      </w:r>
      <w:r>
        <w:rPr>
          <w:rFonts w:ascii="Arial" w:cs="Arial" w:eastAsia="Arial" w:hAnsi="Arial"/>
          <w:sz w:val="19"/>
          <w:szCs w:val="19"/>
          <w:color w:val="auto"/>
        </w:rPr>
        <w:t>. The severance benefits provided for in Subsection 2(c)(i)</w:t>
      </w:r>
    </w:p>
    <w:p>
      <w:pPr>
        <w:spacing w:after="0" w:line="42" w:lineRule="exact"/>
        <w:rPr>
          <w:rFonts w:ascii="Arial" w:cs="Arial" w:eastAsia="Arial" w:hAnsi="Arial"/>
          <w:sz w:val="19"/>
          <w:szCs w:val="19"/>
          <w:color w:val="auto"/>
        </w:rPr>
      </w:pPr>
    </w:p>
    <w:p>
      <w:pPr>
        <w:ind w:left="652" w:right="1919"/>
        <w:spacing w:after="0" w:line="277" w:lineRule="auto"/>
        <w:rPr>
          <w:rFonts w:ascii="Arial" w:cs="Arial" w:eastAsia="Arial" w:hAnsi="Arial"/>
          <w:sz w:val="19"/>
          <w:szCs w:val="19"/>
          <w:color w:val="auto"/>
        </w:rPr>
      </w:pPr>
      <w:r>
        <w:rPr>
          <w:rFonts w:ascii="Arial" w:cs="Arial" w:eastAsia="Arial" w:hAnsi="Arial"/>
          <w:sz w:val="19"/>
          <w:szCs w:val="19"/>
          <w:color w:val="auto"/>
        </w:rPr>
        <w:t>(D)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139" w:lineRule="exact"/>
        <w:rPr>
          <w:rFonts w:ascii="Arial" w:cs="Arial" w:eastAsia="Arial" w:hAnsi="Arial"/>
          <w:sz w:val="19"/>
          <w:szCs w:val="19"/>
          <w:color w:val="auto"/>
        </w:rPr>
      </w:pPr>
    </w:p>
    <w:p>
      <w:pPr>
        <w:ind w:left="652" w:right="1779" w:hanging="652"/>
        <w:spacing w:after="0" w:line="272" w:lineRule="auto"/>
        <w:tabs>
          <w:tab w:leader="none" w:pos="652"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Manpower Group, the Corporation agrees that its directors and officers, during their employment by or service to the Manpower Group, will refrain from making any statements that disparage or otherwise impair your reputation or commercial interests. Upon your termination, for whatever reason, of employment with the Manpower Group, you agree to refrain from making any statements that disparage or otherwise impair the reputation, goodwill, or commercial interests of the Manpower Group, or its officers, directors, or employees. However, the foregoing will not preclude the Corporation from providing truthful information about you concerning your employment or termination of employment with the Manpower Group in response to an inquiry from a prospective employer in connection with your possible employment, an d will not preclude either party from providing truthful testimony pursuant to subpoena or other legal process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1"/>
          </w:cols>
          <w:pgMar w:left="248" w:top="118" w:right="1440" w:bottom="1440" w:gutter="0" w:footer="0" w:header="0"/>
        </w:sectPr>
      </w:pPr>
    </w:p>
    <w:bookmarkStart w:id="17" w:name="page18"/>
    <w:bookmarkEnd w:id="17"/>
    <w:p>
      <w:pPr>
        <w:ind w:left="652" w:right="1799"/>
        <w:spacing w:after="0" w:line="251" w:lineRule="auto"/>
        <w:rPr>
          <w:sz w:val="20"/>
          <w:szCs w:val="20"/>
          <w:color w:val="auto"/>
        </w:rPr>
      </w:pPr>
      <w:r>
        <w:rPr>
          <w:rFonts w:ascii="Arial" w:cs="Arial" w:eastAsia="Arial" w:hAnsi="Arial"/>
          <w:sz w:val="22"/>
          <w:szCs w:val="22"/>
          <w:color w:val="auto"/>
        </w:rPr>
        <w:t>the course of any proceeding that may be commenced for purposes of enforcing this letter agreement.</w:t>
      </w:r>
    </w:p>
    <w:p>
      <w:pPr>
        <w:spacing w:after="0" w:line="160" w:lineRule="exact"/>
        <w:rPr>
          <w:sz w:val="20"/>
          <w:szCs w:val="20"/>
          <w:color w:val="auto"/>
        </w:rPr>
      </w:pPr>
    </w:p>
    <w:p>
      <w:pPr>
        <w:ind w:left="652" w:right="1839" w:hanging="652"/>
        <w:spacing w:after="0"/>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 This letter agreement will be binding on the Corporation and its successors and will inure to the benefit of and be enforceable by your personal or legal representatives, heirs and successors.</w:t>
      </w:r>
    </w:p>
    <w:p>
      <w:pPr>
        <w:spacing w:after="0" w:line="213" w:lineRule="exact"/>
        <w:rPr>
          <w:rFonts w:ascii="Arial" w:cs="Arial" w:eastAsia="Arial" w:hAnsi="Arial"/>
          <w:sz w:val="22"/>
          <w:szCs w:val="22"/>
          <w:color w:val="auto"/>
        </w:rPr>
      </w:pPr>
    </w:p>
    <w:p>
      <w:pPr>
        <w:ind w:left="652" w:right="1779" w:hanging="652"/>
        <w:spacing w:after="0" w:line="287"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56" w:lineRule="exact"/>
        <w:rPr>
          <w:rFonts w:ascii="Arial" w:cs="Arial" w:eastAsia="Arial" w:hAnsi="Arial"/>
          <w:sz w:val="19"/>
          <w:szCs w:val="19"/>
          <w:color w:val="auto"/>
        </w:rPr>
      </w:pPr>
    </w:p>
    <w:p>
      <w:pPr>
        <w:ind w:left="652" w:right="1859" w:hanging="652"/>
        <w:spacing w:after="0" w:line="282"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with or without cause, subject to the obligations of the Corporation as set forth herein.</w:t>
      </w:r>
    </w:p>
    <w:p>
      <w:pPr>
        <w:spacing w:after="0" w:line="161" w:lineRule="exact"/>
        <w:rPr>
          <w:rFonts w:ascii="Arial" w:cs="Arial" w:eastAsia="Arial" w:hAnsi="Arial"/>
          <w:sz w:val="19"/>
          <w:szCs w:val="19"/>
          <w:color w:val="auto"/>
        </w:rPr>
      </w:pPr>
    </w:p>
    <w:p>
      <w:pPr>
        <w:ind w:left="652" w:right="1979" w:hanging="652"/>
        <w:spacing w:after="0"/>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may be modified, waived or discharged unless such waiver, modification or discharge is agreed to in writing by you and the Corporation.</w:t>
      </w:r>
    </w:p>
    <w:p>
      <w:pPr>
        <w:spacing w:after="0" w:line="213" w:lineRule="exact"/>
        <w:rPr>
          <w:rFonts w:ascii="Arial" w:cs="Arial" w:eastAsia="Arial" w:hAnsi="Arial"/>
          <w:sz w:val="22"/>
          <w:szCs w:val="22"/>
          <w:color w:val="auto"/>
        </w:rPr>
      </w:pPr>
    </w:p>
    <w:p>
      <w:pPr>
        <w:jc w:val="both"/>
        <w:ind w:left="652" w:right="2119" w:hanging="652"/>
        <w:spacing w:after="0" w:line="297"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Manpower Group shall be entitled to withhold from amounts to be paid to you hereunder any federal, state, or local withholding or other taxes or charges which it is, from time to time, required to withhold under applicable law.</w:t>
      </w:r>
    </w:p>
    <w:p>
      <w:pPr>
        <w:spacing w:after="0" w:line="147" w:lineRule="exact"/>
        <w:rPr>
          <w:rFonts w:ascii="Arial" w:cs="Arial" w:eastAsia="Arial" w:hAnsi="Arial"/>
          <w:sz w:val="19"/>
          <w:szCs w:val="19"/>
          <w:color w:val="auto"/>
        </w:rPr>
      </w:pPr>
    </w:p>
    <w:p>
      <w:pPr>
        <w:ind w:left="652" w:right="2039" w:hanging="652"/>
        <w:spacing w:after="0"/>
        <w:tabs>
          <w:tab w:leader="none" w:pos="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interpreted in accordance with the laws of the State of New York, United States of America, without regard to its conflict of law provisions.</w:t>
      </w:r>
    </w:p>
    <w:p>
      <w:pPr>
        <w:spacing w:after="0" w:line="199" w:lineRule="exact"/>
        <w:rPr>
          <w:rFonts w:ascii="Arial" w:cs="Arial" w:eastAsia="Arial" w:hAnsi="Arial"/>
          <w:sz w:val="22"/>
          <w:szCs w:val="22"/>
          <w:color w:val="auto"/>
        </w:rPr>
      </w:pPr>
    </w:p>
    <w:p>
      <w:pPr>
        <w:ind w:left="652" w:right="1779" w:hanging="652"/>
        <w:spacing w:after="0" w:line="275" w:lineRule="auto"/>
        <w:tabs>
          <w:tab w:leader="none" w:pos="652"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211"/>
          </w:cols>
          <w:pgMar w:left="248" w:top="118" w:right="1440" w:bottom="1440" w:gutter="0" w:footer="0" w:header="0"/>
        </w:sectPr>
      </w:pPr>
    </w:p>
    <w:bookmarkStart w:id="18" w:name="page19"/>
    <w:bookmarkEnd w:id="18"/>
    <w:p>
      <w:pPr>
        <w:ind w:left="652" w:right="1779" w:hanging="652"/>
        <w:spacing w:after="0" w:line="272" w:lineRule="auto"/>
        <w:tabs>
          <w:tab w:leader="none" w:pos="652"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Previous Agreements</w:t>
      </w:r>
      <w:r>
        <w:rPr>
          <w:rFonts w:ascii="Arial" w:cs="Arial" w:eastAsia="Arial" w:hAnsi="Arial"/>
          <w:sz w:val="19"/>
          <w:szCs w:val="19"/>
          <w:color w:val="auto"/>
        </w:rPr>
        <w:t>. To the extent your Date of Termination does not occur prior to the effective date of this letter indicated above and you accept this letter with your signature below, this letter, upon its effective date indicated above, expressly supersedes any and all previous agreements or understandings relating to your employment by the Corporation or the Manpower Group, except for the letter from the Corporation to you dated April 4, 2007, regarding the Corporation’s offer of employment to you (provided this letter will supersede the sections of that prior letter concerning severance protection and restrictive covenants) and the Nondisclosure Agreement between you and the Corporation date May 12, 2007, or the termination of such employment, and any such agreements or understandings shall, as of the date of your acceptance, have no further force or effect. For the sake of clarification, to the extent y our Date of Termination occurs prior to the effective date of this letter indicated above, the provisions of the letter from the Corporation to you dated August 1, 2007 shall control instead of this letter.</w:t>
      </w:r>
    </w:p>
    <w:p>
      <w:pPr>
        <w:spacing w:after="0" w:line="171" w:lineRule="exact"/>
        <w:rPr>
          <w:rFonts w:ascii="Arial" w:cs="Arial" w:eastAsia="Arial" w:hAnsi="Arial"/>
          <w:sz w:val="19"/>
          <w:szCs w:val="19"/>
          <w:color w:val="auto"/>
        </w:rPr>
      </w:pPr>
    </w:p>
    <w:p>
      <w:pPr>
        <w:ind w:left="652" w:right="1799" w:hanging="652"/>
        <w:spacing w:after="0" w:line="277" w:lineRule="auto"/>
        <w:tabs>
          <w:tab w:leader="none" w:pos="652"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6 to the contrary notwithstanding, the parties shall, to the extent feasible, attempt in good faith to resolve promptly by negotiation any dispute arising out of or relating to your employment by the Manpower Group pursuant to this letter agreement. In the event any such dispute has not been resolved within 30 days after a party’s request for negotiation, either party may initiate arbitration as hereinafter provided. For purposes of this Section 17, the party initiating arbitration shall be denominated the “Claimant” and the other party shall be denominated the “Respondent.”</w:t>
      </w:r>
    </w:p>
    <w:p>
      <w:pPr>
        <w:spacing w:after="0" w:line="179" w:lineRule="exact"/>
        <w:rPr>
          <w:rFonts w:ascii="Arial" w:cs="Arial" w:eastAsia="Arial" w:hAnsi="Arial"/>
          <w:sz w:val="19"/>
          <w:szCs w:val="19"/>
          <w:color w:val="auto"/>
        </w:rPr>
      </w:pPr>
    </w:p>
    <w:p>
      <w:pPr>
        <w:ind w:left="1292" w:right="1859" w:hanging="644"/>
        <w:spacing w:after="0" w:line="270" w:lineRule="auto"/>
        <w:tabs>
          <w:tab w:leader="none" w:pos="1292" w:val="left"/>
        </w:tabs>
        <w:numPr>
          <w:ilvl w:val="1"/>
          <w:numId w:val="21"/>
        </w:numPr>
        <w:rPr>
          <w:rFonts w:ascii="Arial" w:cs="Arial" w:eastAsia="Arial" w:hAnsi="Arial"/>
          <w:sz w:val="19"/>
          <w:szCs w:val="19"/>
          <w:color w:val="auto"/>
        </w:rPr>
      </w:pPr>
      <w:r>
        <w:rPr>
          <w:rFonts w:ascii="Arial" w:cs="Arial" w:eastAsia="Arial" w:hAnsi="Arial"/>
          <w:sz w:val="19"/>
          <w:szCs w:val="19"/>
          <w:color w:val="auto"/>
        </w:rPr>
        <w:t>If your principal place of employment with the Manpower 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 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11"/>
          </w:cols>
          <w:pgMar w:left="248" w:top="118" w:right="1440" w:bottom="1440" w:gutter="0" w:footer="0" w:header="0"/>
        </w:sectPr>
      </w:pPr>
    </w:p>
    <w:bookmarkStart w:id="19" w:name="page20"/>
    <w:bookmarkEnd w:id="19"/>
    <w:p>
      <w:pPr>
        <w:ind w:left="1292" w:right="1819" w:hanging="644"/>
        <w:spacing w:after="0" w:line="270" w:lineRule="auto"/>
        <w:tabs>
          <w:tab w:leader="none" w:pos="1292"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Manpower 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 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76" w:lineRule="exact"/>
        <w:rPr>
          <w:rFonts w:ascii="Arial" w:cs="Arial" w:eastAsia="Arial" w:hAnsi="Arial"/>
          <w:sz w:val="19"/>
          <w:szCs w:val="19"/>
          <w:color w:val="auto"/>
        </w:rPr>
      </w:pPr>
    </w:p>
    <w:p>
      <w:pPr>
        <w:jc w:val="both"/>
        <w:ind w:left="652" w:right="1779" w:hanging="652"/>
        <w:spacing w:after="0" w:line="258" w:lineRule="auto"/>
        <w:tabs>
          <w:tab w:leader="none" w:pos="652"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1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11"/>
          </w:cols>
          <w:pgMar w:left="248" w:top="118" w:right="1440" w:bottom="1440" w:gutter="0" w:footer="0" w:header="0"/>
        </w:sectPr>
      </w:pPr>
    </w:p>
    <w:bookmarkStart w:id="20" w:name="page21"/>
    <w:bookmarkEnd w:id="20"/>
    <w:p>
      <w:pPr>
        <w:ind w:right="1959" w:firstLine="648"/>
        <w:spacing w:after="0" w:line="274" w:lineRule="auto"/>
        <w:rPr>
          <w:sz w:val="20"/>
          <w:szCs w:val="20"/>
          <w:color w:val="auto"/>
        </w:rPr>
      </w:pPr>
      <w:r>
        <w:rPr>
          <w:rFonts w:ascii="Arial" w:cs="Arial" w:eastAsia="Arial" w:hAnsi="Arial"/>
          <w:sz w:val="21"/>
          <w:szCs w:val="21"/>
          <w:color w:val="auto"/>
        </w:rPr>
        <w:t>If you are in agreement with the foregoing, please sign and return one copy of this letter which will constitute our agreement with respect to the subject matter of this letter.</w:t>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MANPOWER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2265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5045" cy="8890"/>
                    </a:xfrm>
                    <a:prstGeom prst="rect">
                      <a:avLst/>
                    </a:prstGeom>
                    <a:noFill/>
                  </pic:spPr>
                </pic:pic>
              </a:graphicData>
            </a:graphic>
          </wp:anchor>
        </w:drawing>
      </w:r>
    </w:p>
    <w:p>
      <w:pPr>
        <w:ind w:left="4220"/>
        <w:spacing w:after="0" w:line="238" w:lineRule="auto"/>
        <w:rPr>
          <w:sz w:val="20"/>
          <w:szCs w:val="20"/>
          <w:color w:val="auto"/>
        </w:rPr>
      </w:pPr>
      <w:r>
        <w:rPr>
          <w:rFonts w:ascii="Arial" w:cs="Arial" w:eastAsia="Arial" w:hAnsi="Arial"/>
          <w:sz w:val="22"/>
          <w:szCs w:val="22"/>
          <w:color w:val="auto"/>
        </w:rPr>
        <w:t>Jeffrey A. Joerres, President and</w:t>
      </w:r>
    </w:p>
    <w:p>
      <w:pPr>
        <w:ind w:left="4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10th day of November, 2008.</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Darryl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43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83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Darryl Green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17</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decimal"/>
      <w:start w:val="1"/>
    </w:lvl>
    <w:lvl w:ilvl="1">
      <w:lvlJc w:val="left"/>
      <w:lvlText w:val="(%2)"/>
      <w:numFmt w:val="lowerLetter"/>
      <w:start w:val="1"/>
    </w:lvl>
  </w:abstractNum>
  <w:abstractNum w:abstractNumId="3">
    <w:nsid w:val="109CF92E"/>
    <w:multiLevelType w:val="hybridMultilevel"/>
    <w:lvl w:ilvl="0">
      <w:lvlJc w:val="left"/>
      <w:lvlText w:val="(%1)"/>
      <w:numFmt w:val="lowerLetter"/>
      <w:start w:val="3"/>
    </w:lvl>
    <w:lvl w:ilvl="1">
      <w:lvlJc w:val="left"/>
      <w:lvlText w:val="(%2)"/>
      <w:numFmt w:val="lowerRoman"/>
      <w:start w:val="1"/>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1)"/>
      <w:numFmt w:val="lowerLetter"/>
      <w:start w:val="4"/>
    </w:lvl>
    <w:lvl w:ilvl="1">
      <w:lvlJc w:val="left"/>
      <w:lvlText w:val="(%2)"/>
      <w:numFmt w:val="lowerRoman"/>
      <w:start w:val="1"/>
    </w:lvl>
  </w:abstractNum>
  <w:abstractNum w:abstractNumId="6">
    <w:nsid w:val="1BEFD79F"/>
    <w:multiLevelType w:val="hybridMultilevel"/>
    <w:lvl w:ilvl="0">
      <w:lvlJc w:val="left"/>
      <w:lvlText w:val="(%1)"/>
      <w:numFmt w:val="lowerRoman"/>
      <w:start w:val="4"/>
    </w:lvl>
  </w:abstractNum>
  <w:abstractNum w:abstractNumId="7">
    <w:nsid w:val="41A7C4C9"/>
    <w:multiLevelType w:val="hybridMultilevel"/>
    <w:lvl w:ilvl="0">
      <w:lvlJc w:val="left"/>
      <w:lvlText w:val="(%1)"/>
      <w:numFmt w:val="decimal"/>
      <w:start w:val="90"/>
    </w:lvl>
    <w:lvl w:ilvl="1">
      <w:lvlJc w:val="left"/>
      <w:lvlText w:val="(%2)"/>
      <w:numFmt w:val="lowerLetter"/>
      <w:start w:val="5"/>
    </w:lvl>
    <w:lvl w:ilvl="2">
      <w:lvlJc w:val="left"/>
      <w:lvlText w:val="(%3)"/>
      <w:numFmt w:val="lowerRoman"/>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
    <w:nsid w:val="4E6AFB66"/>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0">
    <w:nsid w:val="25E45D3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1">
    <w:nsid w:val="519B500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
    <w:nsid w:val="431BD7B7"/>
    <w:multiLevelType w:val="hybridMultilevel"/>
    <w:lvl w:ilvl="0">
      <w:lvlJc w:val="left"/>
      <w:lvlText w:val="%1"/>
      <w:numFmt w:val="lowerRoman"/>
      <w:start w:val="1"/>
    </w:lvl>
    <w:lvl w:ilvl="1">
      <w:lvlJc w:val="left"/>
      <w:lvlText w:val="(%2)"/>
      <w:numFmt w:val="upperLetter"/>
      <w:start w:val="6"/>
    </w:lvl>
  </w:abstractNum>
  <w:abstractNum w:abstractNumId="13">
    <w:nsid w:val="3F2DBA31"/>
    <w:multiLevelType w:val="hybridMultilevel"/>
    <w:lvl w:ilvl="0">
      <w:lvlJc w:val="left"/>
      <w:lvlText w:val="(%1)"/>
      <w:numFmt w:val="lowerRoman"/>
      <w:start w:val="2"/>
    </w:lvl>
    <w:lvl w:ilvl="1">
      <w:lvlJc w:val="left"/>
      <w:lvlText w:val="(%2)"/>
      <w:numFmt w:val="upperLetter"/>
      <w:start w:val="1"/>
    </w:lvl>
  </w:abstractNum>
  <w:abstractNum w:abstractNumId="14">
    <w:nsid w:val="7C83E458"/>
    <w:multiLevelType w:val="hybridMultilevel"/>
    <w:lvl w:ilvl="0">
      <w:lvlJc w:val="left"/>
      <w:lvlText w:val="(%1)"/>
      <w:numFmt w:val="upperLetter"/>
      <w:start w:val="5"/>
    </w:lvl>
  </w:abstractNum>
  <w:abstractNum w:abstractNumId="15">
    <w:nsid w:val="257130A3"/>
    <w:multiLevelType w:val="hybridMultilevel"/>
    <w:lvl w:ilvl="0">
      <w:lvlJc w:val="left"/>
      <w:lvlText w:val="(%1)"/>
      <w:numFmt w:val="upperLetter"/>
      <w:start w:val="6"/>
    </w:lvl>
  </w:abstractNum>
  <w:abstractNum w:abstractNumId="16">
    <w:nsid w:val="62BBD95A"/>
    <w:multiLevelType w:val="hybridMultilevel"/>
    <w:lvl w:ilvl="0">
      <w:lvlJc w:val="left"/>
      <w:lvlText w:val="(%1)"/>
      <w:numFmt w:val="lowerLetter"/>
      <w:start w:val="4"/>
    </w:lvl>
  </w:abstractNum>
  <w:abstractNum w:abstractNumId="17">
    <w:nsid w:val="436C6125"/>
    <w:multiLevelType w:val="hybridMultilevel"/>
    <w:lvl w:ilvl="0">
      <w:lvlJc w:val="left"/>
      <w:lvlText w:val="%1."/>
      <w:numFmt w:val="decimal"/>
      <w:start w:val="3"/>
    </w:lvl>
    <w:lvl w:ilvl="1">
      <w:lvlJc w:val="left"/>
      <w:lvlText w:val="(%2)"/>
      <w:numFmt w:val="lowerLetter"/>
      <w:start w:val="1"/>
    </w:lvl>
  </w:abstractNum>
  <w:abstractNum w:abstractNumId="18">
    <w:nsid w:val="628C895D"/>
    <w:multiLevelType w:val="hybridMultilevel"/>
    <w:lvl w:ilvl="0">
      <w:lvlJc w:val="left"/>
      <w:lvlText w:val="%1."/>
      <w:numFmt w:val="decimal"/>
      <w:start w:val="6"/>
    </w:lvl>
    <w:lvl w:ilvl="1">
      <w:lvlJc w:val="left"/>
      <w:lvlText w:val="(%2)"/>
      <w:numFmt w:val="lowerLetter"/>
      <w:start w:val="1"/>
    </w:lvl>
  </w:abstractNum>
  <w:abstractNum w:abstractNumId="19">
    <w:nsid w:val="333AB105"/>
    <w:multiLevelType w:val="hybridMultilevel"/>
    <w:lvl w:ilvl="0">
      <w:lvlJc w:val="left"/>
      <w:lvlText w:val="%1."/>
      <w:numFmt w:val="decimal"/>
      <w:start w:val="9"/>
    </w:lvl>
  </w:abstractNum>
  <w:abstractNum w:abstractNumId="20">
    <w:nsid w:val="721DA317"/>
    <w:multiLevelType w:val="hybridMultilevel"/>
    <w:lvl w:ilvl="0">
      <w:lvlJc w:val="left"/>
      <w:lvlText w:val="%1."/>
      <w:numFmt w:val="decimal"/>
      <w:start w:val="16"/>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2"/>
    </w:lvl>
  </w:abstractNum>
  <w:abstractNum w:abstractNumId="22">
    <w:nsid w:val="2D1D5AE9"/>
    <w:multiLevelType w:val="hybridMultilevel"/>
    <w:lvl w:ilvl="0">
      <w:lvlJc w:val="left"/>
      <w:lvlText w:val="%1."/>
      <w:numFmt w:val="decimal"/>
      <w:start w:val="1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2019-12-19T23:58:19Z</dcterms:created>
  <dcterms:modified xsi:type="dcterms:W3CDTF">2019-12-19T23:58:19Z</dcterms:modified>
</cp:coreProperties>
</file>