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383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83780"/>
                    </a:xfrm>
                    <a:prstGeom prst="rect">
                      <a:avLst/>
                    </a:prstGeom>
                    <a:noFill/>
                  </pic:spPr>
                </pic:pic>
              </a:graphicData>
            </a:graphic>
          </wp:anchor>
        </w:drawing>
      </w:r>
    </w:p>
    <w:p>
      <w:pPr>
        <w:spacing w:after="0" w:line="102" w:lineRule="exact"/>
        <w:rPr>
          <w:sz w:val="24"/>
          <w:szCs w:val="24"/>
          <w:color w:val="auto"/>
        </w:rPr>
      </w:pPr>
    </w:p>
    <w:p>
      <w:pPr>
        <w:sectPr>
          <w:pgSz w:w="11900" w:h="16886"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BOUCHARD J THOMAS</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44 SOUTH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01/01/2010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86" w:orient="portrait"/>
          <w:cols w:equalWidth="0" w:num="3">
            <w:col w:w="3340" w:space="720"/>
            <w:col w:w="3264" w:space="720"/>
            <w:col w:w="3476"/>
          </w:cols>
          <w:pgMar w:left="240" w:top="225" w:right="1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LITCHFIELD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80" w:type="dxa"/>
            <w:vAlign w:val="bottom"/>
          </w:tcPr>
          <w:p>
            <w:pPr>
              <w:ind w:left="440"/>
              <w:spacing w:after="0"/>
              <w:rPr>
                <w:sz w:val="20"/>
                <w:szCs w:val="20"/>
                <w:color w:val="auto"/>
              </w:rPr>
            </w:pPr>
            <w:r>
              <w:rPr>
                <w:rFonts w:ascii="Arial" w:cs="Arial" w:eastAsia="Arial" w:hAnsi="Arial"/>
                <w:sz w:val="17"/>
                <w:szCs w:val="17"/>
                <w:color w:val="0000FF"/>
              </w:rPr>
              <w:t>06759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86" w:orient="portrait"/>
          <w:cols w:equalWidth="0" w:num="2">
            <w:col w:w="3900" w:space="160"/>
            <w:col w:w="746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88"/>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60"/>
              <w:spacing w:after="0"/>
              <w:rPr>
                <w:sz w:val="20"/>
                <w:szCs w:val="20"/>
                <w:color w:val="auto"/>
              </w:rPr>
            </w:pPr>
            <w:r>
              <w:rPr>
                <w:rFonts w:ascii="Arial" w:cs="Arial" w:eastAsia="Arial" w:hAnsi="Arial"/>
                <w:sz w:val="17"/>
                <w:szCs w:val="17"/>
                <w:color w:val="0000FF"/>
              </w:rPr>
              <w:t>01/01/2010</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w w:val="93"/>
              </w:rPr>
              <w:t>1,391</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68"/>
              <w:spacing w:after="0"/>
              <w:rPr>
                <w:sz w:val="20"/>
                <w:szCs w:val="20"/>
                <w:color w:val="auto"/>
              </w:rPr>
            </w:pPr>
            <w:r>
              <w:rPr>
                <w:rFonts w:ascii="Arial" w:cs="Arial" w:eastAsia="Arial" w:hAnsi="Arial"/>
                <w:sz w:val="11"/>
                <w:szCs w:val="11"/>
                <w:color w:val="008000"/>
              </w:rPr>
              <w:t>(8)</w:t>
            </w:r>
          </w:p>
        </w:tc>
        <w:tc>
          <w:tcPr>
            <w:tcW w:w="1360" w:type="dxa"/>
            <w:vAlign w:val="bottom"/>
            <w:gridSpan w:val="3"/>
          </w:tcPr>
          <w:p>
            <w:pPr>
              <w:jc w:val="center"/>
              <w:ind w:left="14"/>
              <w:spacing w:after="0"/>
              <w:rPr>
                <w:sz w:val="20"/>
                <w:szCs w:val="20"/>
                <w:color w:val="auto"/>
              </w:rPr>
            </w:pPr>
            <w:r>
              <w:rPr>
                <w:rFonts w:ascii="Arial" w:cs="Arial" w:eastAsia="Arial" w:hAnsi="Arial"/>
                <w:sz w:val="17"/>
                <w:szCs w:val="17"/>
                <w:color w:val="0000FF"/>
                <w:w w:val="92"/>
              </w:rPr>
              <w:t>16,495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ind w:left="14"/>
              <w:spacing w:after="0"/>
              <w:rPr>
                <w:sz w:val="20"/>
                <w:szCs w:val="20"/>
                <w:color w:val="auto"/>
              </w:rPr>
            </w:pPr>
            <w:r>
              <w:rPr>
                <w:rFonts w:ascii="Arial" w:cs="Arial" w:eastAsia="Arial" w:hAnsi="Arial"/>
                <w:sz w:val="17"/>
                <w:szCs w:val="17"/>
                <w:color w:val="0000FF"/>
                <w:w w:val="93"/>
              </w:rPr>
              <w:t>1,030</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Trustee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of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left="14"/>
              <w:spacing w:after="0"/>
              <w:rPr>
                <w:sz w:val="20"/>
                <w:szCs w:val="20"/>
                <w:color w:val="auto"/>
              </w:rPr>
            </w:pPr>
            <w:r>
              <w:rPr>
                <w:rFonts w:ascii="Arial" w:cs="Arial" w:eastAsia="Arial" w:hAnsi="Arial"/>
                <w:sz w:val="17"/>
                <w:szCs w:val="17"/>
                <w:color w:val="0000FF"/>
                <w:w w:val="92"/>
              </w:rPr>
              <w:t>13,000</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jc w:val="right"/>
              <w:ind w:right="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60" w:type="dxa"/>
            <w:vAlign w:val="bottom"/>
          </w:tcPr>
          <w:p>
            <w:pPr>
              <w:spacing w:after="0"/>
              <w:rPr>
                <w:sz w:val="16"/>
                <w:szCs w:val="16"/>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1,832</w:t>
            </w:r>
          </w:p>
        </w:tc>
        <w:tc>
          <w:tcPr>
            <w:tcW w:w="480" w:type="dxa"/>
            <w:vAlign w:val="bottom"/>
          </w:tcPr>
          <w:p>
            <w:pPr>
              <w:spacing w:after="0"/>
              <w:rPr>
                <w:sz w:val="16"/>
                <w:szCs w:val="16"/>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19"/>
              <w:spacing w:after="0"/>
              <w:rPr>
                <w:sz w:val="20"/>
                <w:szCs w:val="20"/>
                <w:color w:val="auto"/>
              </w:rPr>
            </w:pPr>
            <w:r>
              <w:rPr>
                <w:rFonts w:ascii="Arial" w:cs="Arial" w:eastAsia="Arial" w:hAnsi="Arial"/>
                <w:sz w:val="11"/>
                <w:szCs w:val="11"/>
                <w:color w:val="008000"/>
                <w:w w:val="88"/>
              </w:rPr>
              <w:t>(1)</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1,832</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54.58</w:t>
            </w:r>
            <w:r>
              <w:rPr>
                <w:rFonts w:ascii="Arial" w:cs="Arial" w:eastAsia="Arial" w:hAnsi="Arial"/>
                <w:sz w:val="22"/>
                <w:szCs w:val="22"/>
                <w:color w:val="008000"/>
                <w:w w:val="87"/>
                <w:vertAlign w:val="superscript"/>
              </w:rPr>
              <w:t>(3)</w:t>
            </w:r>
          </w:p>
        </w:tc>
        <w:tc>
          <w:tcPr>
            <w:tcW w:w="58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1,832</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60" w:type="dxa"/>
            <w:vAlign w:val="bottom"/>
          </w:tcPr>
          <w:p>
            <w:pPr>
              <w:spacing w:after="0"/>
              <w:rPr>
                <w:sz w:val="16"/>
                <w:szCs w:val="16"/>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(5)</w:t>
            </w: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82"/>
              </w:rPr>
              <w:t>5</w:t>
            </w:r>
          </w:p>
        </w:tc>
        <w:tc>
          <w:tcPr>
            <w:tcW w:w="480" w:type="dxa"/>
            <w:vAlign w:val="bottom"/>
          </w:tcPr>
          <w:p>
            <w:pPr>
              <w:spacing w:after="0"/>
              <w:rPr>
                <w:sz w:val="16"/>
                <w:szCs w:val="16"/>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19"/>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rPr>
              <w:t>5</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58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321</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60" w:type="dxa"/>
            <w:vAlign w:val="bottom"/>
          </w:tcPr>
          <w:p>
            <w:pPr>
              <w:spacing w:after="0"/>
              <w:rPr>
                <w:sz w:val="16"/>
                <w:szCs w:val="16"/>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(5)</w:t>
            </w: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6"/>
              </w:rPr>
              <w:t>22</w:t>
            </w:r>
          </w:p>
        </w:tc>
        <w:tc>
          <w:tcPr>
            <w:tcW w:w="480" w:type="dxa"/>
            <w:vAlign w:val="bottom"/>
          </w:tcPr>
          <w:p>
            <w:pPr>
              <w:spacing w:after="0"/>
              <w:rPr>
                <w:sz w:val="16"/>
                <w:szCs w:val="16"/>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ind w:right="19"/>
              <w:spacing w:after="0"/>
              <w:rPr>
                <w:sz w:val="20"/>
                <w:szCs w:val="20"/>
                <w:color w:val="auto"/>
              </w:rPr>
            </w:pPr>
            <w:r>
              <w:rPr>
                <w:rFonts w:ascii="Arial" w:cs="Arial" w:eastAsia="Arial" w:hAnsi="Arial"/>
                <w:sz w:val="11"/>
                <w:szCs w:val="11"/>
                <w:color w:val="008000"/>
                <w:w w:val="88"/>
              </w:rPr>
              <w:t>(7)</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94"/>
              </w:rPr>
              <w:t>22</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58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1,391</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60" w:type="dxa"/>
            <w:vAlign w:val="bottom"/>
          </w:tcPr>
          <w:p>
            <w:pPr>
              <w:spacing w:after="0"/>
              <w:rPr>
                <w:sz w:val="16"/>
                <w:szCs w:val="16"/>
                <w:color w:val="auto"/>
              </w:rPr>
            </w:pPr>
          </w:p>
        </w:tc>
        <w:tc>
          <w:tcPr>
            <w:tcW w:w="780" w:type="dxa"/>
            <w:vAlign w:val="bottom"/>
            <w:vMerge w:val="restart"/>
          </w:tcPr>
          <w:p>
            <w:pPr>
              <w:jc w:val="center"/>
              <w:ind w:right="281"/>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6"/>
                <w:szCs w:val="16"/>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1,391</w:t>
            </w:r>
          </w:p>
        </w:tc>
        <w:tc>
          <w:tcPr>
            <w:tcW w:w="840" w:type="dxa"/>
            <w:vAlign w:val="bottom"/>
            <w:gridSpan w:val="2"/>
            <w:vMerge w:val="restart"/>
          </w:tcPr>
          <w:p>
            <w:pPr>
              <w:jc w:val="center"/>
              <w:ind w:right="18"/>
              <w:spacing w:after="0"/>
              <w:rPr>
                <w:sz w:val="20"/>
                <w:szCs w:val="20"/>
                <w:color w:val="auto"/>
              </w:rPr>
            </w:pPr>
            <w:r>
              <w:rPr>
                <w:rFonts w:ascii="Arial" w:cs="Arial" w:eastAsia="Arial" w:hAnsi="Arial"/>
                <w:sz w:val="13"/>
                <w:szCs w:val="13"/>
                <w:color w:val="0000FF"/>
                <w:w w:val="92"/>
              </w:rPr>
              <w:t>01/01/2010</w:t>
            </w:r>
          </w:p>
        </w:tc>
        <w:tc>
          <w:tcPr>
            <w:tcW w:w="720" w:type="dxa"/>
            <w:vAlign w:val="bottom"/>
            <w:vMerge w:val="restart"/>
          </w:tcPr>
          <w:p>
            <w:pPr>
              <w:jc w:val="center"/>
              <w:ind w:right="19"/>
              <w:spacing w:after="0"/>
              <w:rPr>
                <w:sz w:val="20"/>
                <w:szCs w:val="20"/>
                <w:color w:val="auto"/>
              </w:rPr>
            </w:pPr>
            <w:r>
              <w:rPr>
                <w:rFonts w:ascii="Arial" w:cs="Arial" w:eastAsia="Arial" w:hAnsi="Arial"/>
                <w:sz w:val="13"/>
                <w:szCs w:val="13"/>
                <w:color w:val="0000FF"/>
                <w:w w:val="92"/>
              </w:rPr>
              <w:t>01/01/2010</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1,391</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(8)</w:t>
            </w:r>
          </w:p>
        </w:tc>
        <w:tc>
          <w:tcPr>
            <w:tcW w:w="580" w:type="dxa"/>
            <w:vAlign w:val="bottom"/>
            <w:vMerge w:val="restart"/>
          </w:tcPr>
          <w:p>
            <w:pPr>
              <w:jc w:val="center"/>
              <w:ind w:left="177"/>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60" w:type="dxa"/>
            <w:vAlign w:val="bottom"/>
          </w:tcPr>
          <w:p>
            <w:pPr>
              <w:spacing w:after="0"/>
              <w:rPr>
                <w:sz w:val="16"/>
                <w:szCs w:val="16"/>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(5)</w:t>
            </w: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6"/>
              </w:rPr>
              <w:t>29</w:t>
            </w:r>
          </w:p>
        </w:tc>
        <w:tc>
          <w:tcPr>
            <w:tcW w:w="480" w:type="dxa"/>
            <w:vAlign w:val="bottom"/>
          </w:tcPr>
          <w:p>
            <w:pPr>
              <w:spacing w:after="0"/>
              <w:rPr>
                <w:sz w:val="16"/>
                <w:szCs w:val="16"/>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(9)</w:t>
            </w:r>
          </w:p>
        </w:tc>
        <w:tc>
          <w:tcPr>
            <w:tcW w:w="720" w:type="dxa"/>
            <w:vAlign w:val="bottom"/>
            <w:vMerge w:val="restart"/>
          </w:tcPr>
          <w:p>
            <w:pPr>
              <w:jc w:val="center"/>
              <w:ind w:right="19"/>
              <w:spacing w:after="0"/>
              <w:rPr>
                <w:sz w:val="20"/>
                <w:szCs w:val="20"/>
                <w:color w:val="auto"/>
              </w:rPr>
            </w:pPr>
            <w:r>
              <w:rPr>
                <w:rFonts w:ascii="Arial" w:cs="Arial" w:eastAsia="Arial" w:hAnsi="Arial"/>
                <w:sz w:val="11"/>
                <w:szCs w:val="11"/>
                <w:color w:val="008000"/>
                <w:w w:val="88"/>
              </w:rPr>
              <w:t>(9)</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94"/>
              </w:rPr>
              <w:t>29</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58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1,813</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60" w:type="dxa"/>
            <w:vAlign w:val="bottom"/>
          </w:tcPr>
          <w:p>
            <w:pPr>
              <w:spacing w:after="0"/>
              <w:rPr>
                <w:sz w:val="16"/>
                <w:szCs w:val="16"/>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(5)</w:t>
            </w: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6"/>
              </w:rPr>
              <w:t>47</w:t>
            </w:r>
          </w:p>
        </w:tc>
        <w:tc>
          <w:tcPr>
            <w:tcW w:w="480" w:type="dxa"/>
            <w:vAlign w:val="bottom"/>
          </w:tcPr>
          <w:p>
            <w:pPr>
              <w:spacing w:after="0"/>
              <w:rPr>
                <w:sz w:val="16"/>
                <w:szCs w:val="16"/>
                <w:color w:val="auto"/>
              </w:rPr>
            </w:pPr>
          </w:p>
        </w:tc>
        <w:tc>
          <w:tcPr>
            <w:tcW w:w="84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91"/>
              </w:rPr>
              <w:t>(10)</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color w:val="008000"/>
                <w:w w:val="91"/>
              </w:rPr>
              <w:t>(10)</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94"/>
              </w:rPr>
              <w:t>47</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58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2,989</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20" w:firstLine="7"/>
        <w:spacing w:after="0" w:line="30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2010 and will be settled in shares of Manpower common stock on a 1 for 1 basis on the earlier of January 1, 2013 or within 30 days after the reporting person's termination of service as a director, except as otherwise provided in the Terms and Conditions (as defined below).</w:t>
      </w:r>
    </w:p>
    <w:p>
      <w:pPr>
        <w:ind w:left="40" w:right="3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grant of deferred stock under the 2003 Equity Incentive Plan of Manpower Inc. (the "Plan") and the Terms and Conditions Regarding the Grant of Awards to Non-Employee Directors under the Plan (Amended and Restated effective January 1, 2008) (the "Terms and Conditions").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Market Price (as defined in the Plan) on the last trading day of 2009.</w:t>
      </w:r>
    </w:p>
    <w:p>
      <w:pPr>
        <w:spacing w:after="0" w:line="50"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Receipt of deferred stock under the Plan and the Terms and Conditions in lieu of dividends.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Average Trading Price (as defined in the Terms and Conditions).</w:t>
      </w:r>
    </w:p>
    <w:p>
      <w:pPr>
        <w:spacing w:after="0" w:line="50" w:lineRule="exact"/>
        <w:rPr>
          <w:rFonts w:ascii="Arial" w:cs="Arial" w:eastAsia="Arial" w:hAnsi="Arial"/>
          <w:sz w:val="13"/>
          <w:szCs w:val="13"/>
          <w:color w:val="008000"/>
        </w:rPr>
      </w:pPr>
    </w:p>
    <w:p>
      <w:pPr>
        <w:ind w:left="40" w:right="5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as of the earlier of January 1, 2010 or within 30 days after the reporting person's termination of service as a director, except as otherwise provided in the Terms and Conditions.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shares of deferred stock in shares of Manpower common stock on a 1 for 1 basis.</w:t>
      </w:r>
    </w:p>
    <w:p>
      <w:pPr>
        <w:spacing w:after="0" w:line="50"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on the earlier of January 1, 2011 or within 30 days after the reporting person's termination of service as a director, except as otherwise provided in the Terms and Conditions.</w:t>
      </w:r>
    </w:p>
    <w:p>
      <w:pPr>
        <w:spacing w:after="0" w:line="10" w:lineRule="exact"/>
        <w:rPr>
          <w:rFonts w:ascii="Arial" w:cs="Arial" w:eastAsia="Arial" w:hAnsi="Arial"/>
          <w:sz w:val="13"/>
          <w:szCs w:val="13"/>
          <w:color w:val="008000"/>
        </w:rPr>
      </w:pPr>
    </w:p>
    <w:p>
      <w:pPr>
        <w:ind w:left="40" w:right="600" w:firstLine="7"/>
        <w:spacing w:after="0" w:line="27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on the earlier of January 1, 2012 or within 30 days after the reporting person's termination of service as a director, except as otherwise provided in the Terms and Conditions.</w:t>
      </w:r>
    </w:p>
    <w:p>
      <w:pPr>
        <w:sectPr>
          <w:pgSz w:w="11900" w:h="16886"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5"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Power of Attorney filed</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-12700</wp:posOffset>
            </wp:positionV>
            <wp:extent cx="422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52"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280" w:top="121" w:right="1419" w:bottom="1440" w:gutter="0" w:footer="0" w:header="0"/>
        </w:sectPr>
      </w:pPr>
    </w:p>
    <w:bookmarkStart w:id="2" w:name="page3"/>
    <w:bookmarkEnd w:id="2"/>
    <w:p>
      <w:pPr>
        <w:jc w:val="center"/>
        <w:ind w:right="1879"/>
        <w:spacing w:after="0"/>
        <w:rPr>
          <w:sz w:val="20"/>
          <w:szCs w:val="20"/>
          <w:color w:val="auto"/>
        </w:rPr>
      </w:pPr>
      <w:r>
        <w:rPr>
          <w:rFonts w:ascii="Arial" w:cs="Arial" w:eastAsia="Arial" w:hAnsi="Arial"/>
          <w:sz w:val="25"/>
          <w:szCs w:val="25"/>
          <w:b w:val="1"/>
          <w:bCs w:val="1"/>
          <w:color w:val="auto"/>
        </w:rPr>
        <w:t>POWER OF ATTORNEY</w:t>
      </w:r>
    </w:p>
    <w:p>
      <w:pPr>
        <w:spacing w:after="0" w:line="21" w:lineRule="exact"/>
        <w:rPr>
          <w:sz w:val="20"/>
          <w:szCs w:val="20"/>
          <w:color w:val="auto"/>
        </w:rPr>
      </w:pPr>
    </w:p>
    <w:p>
      <w:pPr>
        <w:jc w:val="center"/>
        <w:ind w:right="18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07" w:lineRule="exact"/>
        <w:rPr>
          <w:sz w:val="20"/>
          <w:szCs w:val="20"/>
          <w:color w:val="auto"/>
        </w:rPr>
      </w:pPr>
    </w:p>
    <w:p>
      <w:pPr>
        <w:ind w:right="2399" w:firstLine="641"/>
        <w:spacing w:after="0" w:line="254" w:lineRule="auto"/>
        <w:rPr>
          <w:sz w:val="20"/>
          <w:szCs w:val="20"/>
          <w:color w:val="auto"/>
        </w:rPr>
      </w:pPr>
      <w:r>
        <w:rPr>
          <w:rFonts w:ascii="Arial" w:cs="Arial" w:eastAsia="Arial" w:hAnsi="Arial"/>
          <w:sz w:val="21"/>
          <w:szCs w:val="21"/>
          <w:color w:val="auto"/>
        </w:rPr>
        <w:t>Know all by these present, that the undersigned constitutes and appoints each of Jeffrey A. Joerres, Michael J. Van Handel and Kenneth C. Hunt, signing singly, his true and lawful attorney-in-fact to:</w:t>
      </w:r>
    </w:p>
    <w:p>
      <w:pPr>
        <w:spacing w:after="0" w:line="235" w:lineRule="exact"/>
        <w:rPr>
          <w:sz w:val="20"/>
          <w:szCs w:val="20"/>
          <w:color w:val="auto"/>
        </w:rPr>
      </w:pPr>
    </w:p>
    <w:p>
      <w:pPr>
        <w:ind w:left="1280" w:right="1959" w:hanging="592"/>
        <w:spacing w:after="0" w:line="323" w:lineRule="auto"/>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280" w:right="2079" w:hanging="592"/>
        <w:spacing w:after="0" w:line="269" w:lineRule="auto"/>
        <w:tabs>
          <w:tab w:leader="none" w:pos="128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notices on Form 144 in accordance with Rule 144 under the Securities Act of 1933;</w:t>
      </w:r>
    </w:p>
    <w:p>
      <w:pPr>
        <w:spacing w:after="0" w:line="206" w:lineRule="exact"/>
        <w:rPr>
          <w:rFonts w:ascii="Arial" w:cs="Arial" w:eastAsia="Arial" w:hAnsi="Arial"/>
          <w:sz w:val="21"/>
          <w:szCs w:val="21"/>
          <w:color w:val="auto"/>
        </w:rPr>
      </w:pPr>
    </w:p>
    <w:p>
      <w:pPr>
        <w:ind w:left="1280" w:right="1919" w:hanging="592"/>
        <w:spacing w:after="0" w:line="283" w:lineRule="auto"/>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280" w:right="2239" w:hanging="592"/>
        <w:spacing w:after="0" w:line="275" w:lineRule="auto"/>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3" w:lineRule="exact"/>
        <w:rPr>
          <w:sz w:val="20"/>
          <w:szCs w:val="20"/>
          <w:color w:val="auto"/>
        </w:rPr>
      </w:pPr>
    </w:p>
    <w:p>
      <w:pPr>
        <w:ind w:right="1919" w:firstLine="641"/>
        <w:spacing w:after="0" w:line="269"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90" w:lineRule="exact"/>
        <w:rPr>
          <w:sz w:val="20"/>
          <w:szCs w:val="20"/>
          <w:color w:val="auto"/>
        </w:rPr>
      </w:pPr>
    </w:p>
    <w:p>
      <w:pPr>
        <w:ind w:right="2379" w:firstLine="641"/>
        <w:spacing w:after="0" w:line="269" w:lineRule="auto"/>
        <w:rPr>
          <w:sz w:val="20"/>
          <w:szCs w:val="20"/>
          <w:color w:val="auto"/>
        </w:rPr>
      </w:pPr>
      <w:r>
        <w:rPr>
          <w:rFonts w:ascii="Arial" w:cs="Arial" w:eastAsia="Arial" w:hAnsi="Arial"/>
          <w:sz w:val="21"/>
          <w:szCs w:val="21"/>
          <w:color w:val="auto"/>
        </w:rPr>
        <w:t>IN WITNESS WHEREOF, the undersigned has caused this Power of Attorney to be executed as of this 28th day of April, 2009.</w:t>
      </w: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-12065</wp:posOffset>
            </wp:positionV>
            <wp:extent cx="2196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9646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1"/>
          <w:szCs w:val="21"/>
          <w:color w:val="auto"/>
        </w:rPr>
        <w:t>J. Thomas Bouchard</w:t>
      </w:r>
    </w:p>
    <w:sectPr>
      <w:pgSz w:w="11900" w:h="16838" w:orient="portrait"/>
      <w:cols w:equalWidth="0" w:num="1">
        <w:col w:w="10219"/>
      </w:cols>
      <w:pgMar w:left="240" w:top="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492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2019-12-16T07:44:49Z</dcterms:created>
  <dcterms:modified xsi:type="dcterms:W3CDTF">2019-12-16T07:44:49Z</dcterms:modified>
</cp:coreProperties>
</file>