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an-20231231.htm"/>
      <w:bookmarkStart w:id="1" w:name="ksman20231231"/>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80" w:after="283"/>
        <w:jc w:val="center"/>
        <w:rPr>
          <w:rFonts w:ascii="Times New Roman" w:hAnsi="Times New Roman"/>
          <w:color w:val="000000"/>
          <w:sz w:val="36"/>
        </w:rPr>
      </w:pPr>
      <w:r>
        <w:rPr>
          <w:rFonts w:ascii="Times New Roman" w:hAnsi="Times New Roman"/>
          <w:color w:val="000000"/>
          <w:sz w:val="36"/>
        </w:rPr>
        <w:t>FORM 10-K</w:t>
      </w:r>
    </w:p>
    <w:p>
      <w:pPr>
        <w:pStyle w:val="TextBody"/>
        <w:bidi w:val="0"/>
        <w:jc w:val="center"/>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center"/>
              <w:rPr>
                <w:color w:val="000000"/>
              </w:rPr>
            </w:pPr>
            <w:r>
              <w:rPr>
                <w:color w:val="000000"/>
              </w:rPr>
              <w:t>☒</w:t>
            </w:r>
          </w:p>
        </w:tc>
        <w:tc>
          <w:tcPr>
            <w:tcW w:w="918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ANNUAL REPORT PURSUANT TO SECTION 13 OR 15(d) OF THE SECURITIES EXCHANGE ACT OF 1934:</w:t>
            </w:r>
          </w:p>
        </w:tc>
      </w:tr>
    </w:tbl>
    <w:p>
      <w:pPr>
        <w:pStyle w:val="TextBody"/>
        <w:bidi w:val="0"/>
        <w:spacing w:before="80" w:after="283"/>
        <w:jc w:val="center"/>
        <w:rPr>
          <w:rFonts w:ascii="Times New Roman" w:hAnsi="Times New Roman"/>
          <w:color w:val="000000"/>
          <w:sz w:val="20"/>
        </w:rPr>
      </w:pPr>
      <w:r>
        <w:rPr>
          <w:rFonts w:ascii="Times New Roman" w:hAnsi="Times New Roman"/>
          <w:color w:val="000000"/>
          <w:sz w:val="20"/>
        </w:rPr>
        <w:t>For the fiscal year ended December 31, 2023</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OR</w:t>
      </w:r>
    </w:p>
    <w:p>
      <w:pPr>
        <w:pStyle w:val="TextBody"/>
        <w:bidi w:val="0"/>
        <w:jc w:val="center"/>
        <w:rPr/>
      </w:pPr>
      <w:r>
        <w:rPr/>
        <w:t> </w:t>
      </w:r>
    </w:p>
    <w:tbl>
      <w:tblPr>
        <w:tblW w:w="9797" w:type="dxa"/>
        <w:jc w:val="left"/>
        <w:tblInd w:w="0" w:type="dxa"/>
        <w:tblLayout w:type="fixed"/>
        <w:tblCellMar>
          <w:top w:w="28" w:type="dxa"/>
          <w:left w:w="28" w:type="dxa"/>
          <w:bottom w:w="28" w:type="dxa"/>
          <w:right w:w="28" w:type="dxa"/>
        </w:tblCellMar>
      </w:tblPr>
      <w:tblGrid>
        <w:gridCol w:w="331"/>
        <w:gridCol w:w="9466"/>
      </w:tblGrid>
      <w:tr>
        <w:trPr/>
        <w:tc>
          <w:tcPr>
            <w:tcW w:w="331"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center"/>
              <w:rPr>
                <w:color w:val="000000"/>
              </w:rPr>
            </w:pPr>
            <w:r>
              <w:rPr>
                <w:color w:val="000000"/>
              </w:rPr>
              <w:t>☐</w:t>
            </w:r>
          </w:p>
        </w:tc>
        <w:tc>
          <w:tcPr>
            <w:tcW w:w="94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Commission File No. 1-10686</w:t>
      </w:r>
    </w:p>
    <w:p>
      <w:pPr>
        <w:pStyle w:val="TextBody"/>
        <w:bidi w:val="0"/>
        <w:spacing w:before="80" w:after="283"/>
        <w:jc w:val="center"/>
        <w:rPr>
          <w:rFonts w:ascii="Times New Roman" w:hAnsi="Times New Roman"/>
          <w:color w:val="000000"/>
          <w:sz w:val="44"/>
        </w:rPr>
      </w:pPr>
      <w:r>
        <w:rPr>
          <w:rFonts w:ascii="Times New Roman" w:hAnsi="Times New Roman"/>
          <w:color w:val="000000"/>
          <w:sz w:val="44"/>
        </w:rPr>
        <w:t>MANPOWERGROUP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center"/>
        <w:rPr/>
      </w:pPr>
      <w:r>
        <w:rPr/>
        <w:t> </w:t>
      </w:r>
    </w:p>
    <w:tbl>
      <w:tblPr>
        <w:tblW w:w="7682" w:type="dxa"/>
        <w:jc w:val="left"/>
        <w:tblInd w:w="0" w:type="dxa"/>
        <w:tblLayout w:type="fixed"/>
        <w:tblCellMar>
          <w:top w:w="28" w:type="dxa"/>
          <w:left w:w="28" w:type="dxa"/>
          <w:bottom w:w="28" w:type="dxa"/>
          <w:right w:w="28" w:type="dxa"/>
        </w:tblCellMar>
      </w:tblPr>
      <w:tblGrid>
        <w:gridCol w:w="4936"/>
        <w:gridCol w:w="2746"/>
      </w:tblGrid>
      <w:tr>
        <w:trPr/>
        <w:tc>
          <w:tcPr>
            <w:tcW w:w="493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936" w:type="dxa"/>
            <w:tcBorders/>
            <w:vAlign w:val="center"/>
          </w:tcPr>
          <w:p>
            <w:pPr>
              <w:pStyle w:val="TableContents"/>
              <w:bidi w:val="0"/>
              <w:spacing w:before="0" w:after="283"/>
              <w:jc w:val="center"/>
              <w:rPr>
                <w:rFonts w:ascii="Times New Roman" w:hAnsi="Times New Roman"/>
                <w:b/>
                <w:caps/>
                <w:color w:val="000000"/>
                <w:sz w:val="20"/>
              </w:rPr>
            </w:pPr>
            <w:r>
              <w:rPr>
                <w:rFonts w:ascii="Times New Roman" w:hAnsi="Times New Roman"/>
                <w:b/>
                <w:caps/>
                <w:color w:val="000000"/>
                <w:sz w:val="20"/>
              </w:rPr>
              <w:t>wisconsin</w:t>
            </w:r>
          </w:p>
        </w:tc>
        <w:tc>
          <w:tcPr>
            <w:tcW w:w="2746" w:type="dxa"/>
            <w:tcBorders/>
            <w:vAlign w:val="center"/>
          </w:tcPr>
          <w:p>
            <w:pPr>
              <w:pStyle w:val="TableContents"/>
              <w:bidi w:val="0"/>
              <w:spacing w:before="0" w:after="283"/>
              <w:jc w:val="center"/>
              <w:rPr>
                <w:rFonts w:ascii="Arial" w:hAnsi="Arial"/>
                <w:b/>
                <w:color w:val="000000"/>
                <w:sz w:val="20"/>
              </w:rPr>
            </w:pPr>
            <w:r>
              <w:rPr>
                <w:rFonts w:ascii="Arial" w:hAnsi="Arial"/>
                <w:b/>
                <w:color w:val="000000"/>
                <w:sz w:val="20"/>
              </w:rPr>
              <w:t>39-1672779</w:t>
            </w:r>
          </w:p>
        </w:tc>
      </w:tr>
      <w:tr>
        <w:trPr/>
        <w:tc>
          <w:tcPr>
            <w:tcW w:w="493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274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r>
        <w:trPr/>
        <w:tc>
          <w:tcPr>
            <w:tcW w:w="493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936" w:type="dxa"/>
            <w:tcBorders/>
            <w:vAlign w:val="center"/>
          </w:tcPr>
          <w:p>
            <w:pPr>
              <w:pStyle w:val="TableContents"/>
              <w:bidi w:val="0"/>
              <w:spacing w:before="0" w:after="283"/>
              <w:jc w:val="center"/>
              <w:rPr>
                <w:rFonts w:ascii="Times New Roman" w:hAnsi="Times New Roman"/>
                <w:b/>
                <w:caps/>
                <w:color w:val="000000"/>
                <w:sz w:val="20"/>
              </w:rPr>
            </w:pPr>
            <w:r>
              <w:rPr>
                <w:rFonts w:ascii="Times New Roman" w:hAnsi="Times New Roman"/>
                <w:b/>
                <w:caps/>
                <w:color w:val="000000"/>
                <w:sz w:val="20"/>
              </w:rPr>
              <w:t>100 manpower place, milwaukee, wisconsin</w:t>
            </w:r>
          </w:p>
        </w:tc>
        <w:tc>
          <w:tcPr>
            <w:tcW w:w="27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53212</w:t>
            </w:r>
          </w:p>
        </w:tc>
      </w:tr>
      <w:tr>
        <w:trPr/>
        <w:tc>
          <w:tcPr>
            <w:tcW w:w="493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74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(414) 961-1000</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7936" w:type="dxa"/>
        <w:jc w:val="left"/>
        <w:tblInd w:w="0" w:type="dxa"/>
        <w:tblLayout w:type="fixed"/>
        <w:tblCellMar>
          <w:top w:w="28" w:type="dxa"/>
          <w:left w:w="28" w:type="dxa"/>
          <w:bottom w:w="28" w:type="dxa"/>
          <w:right w:w="28" w:type="dxa"/>
        </w:tblCellMar>
      </w:tblPr>
      <w:tblGrid>
        <w:gridCol w:w="2760"/>
        <w:gridCol w:w="1718"/>
        <w:gridCol w:w="3458"/>
      </w:tblGrid>
      <w:tr>
        <w:trPr/>
        <w:tc>
          <w:tcPr>
            <w:tcW w:w="2760"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3458" w:type="dxa"/>
            <w:tcBorders/>
            <w:vAlign w:val="center"/>
          </w:tcPr>
          <w:p>
            <w:pPr>
              <w:pStyle w:val="TableContents"/>
              <w:bidi w:val="0"/>
              <w:spacing w:before="0" w:after="283"/>
              <w:ind w:left="0" w:right="0" w:firstLine="22"/>
              <w:jc w:val="left"/>
              <w:rPr>
                <w:sz w:val="4"/>
                <w:szCs w:val="4"/>
              </w:rPr>
            </w:pPr>
            <w:r>
              <w:rPr>
                <w:sz w:val="4"/>
                <w:szCs w:val="4"/>
              </w:rPr>
            </w:r>
          </w:p>
        </w:tc>
      </w:tr>
      <w:tr>
        <w:trPr/>
        <w:tc>
          <w:tcPr>
            <w:tcW w:w="2760" w:type="dxa"/>
            <w:tcBorders/>
            <w:vAlign w:val="center"/>
          </w:tcPr>
          <w:p>
            <w:pPr>
              <w:pStyle w:val="TableContents"/>
              <w:bidi w:val="0"/>
              <w:spacing w:before="22" w:after="22"/>
              <w:ind w:left="0" w:right="0" w:firstLine="22"/>
              <w:jc w:val="center"/>
              <w:rPr>
                <w:rFonts w:ascii="Times New Roman" w:hAnsi="Times New Roman"/>
                <w:b/>
                <w:color w:val="000000"/>
                <w:sz w:val="20"/>
              </w:rPr>
            </w:pPr>
            <w:r>
              <w:rPr>
                <w:rFonts w:ascii="Times New Roman" w:hAnsi="Times New Roman"/>
                <w:b/>
                <w:color w:val="000000"/>
                <w:sz w:val="20"/>
              </w:rPr>
              <w:t>Title of each class</w:t>
            </w:r>
          </w:p>
        </w:tc>
        <w:tc>
          <w:tcPr>
            <w:tcW w:w="1718" w:type="dxa"/>
            <w:tcBorders/>
            <w:vAlign w:val="center"/>
          </w:tcPr>
          <w:p>
            <w:pPr>
              <w:pStyle w:val="TableContents"/>
              <w:bidi w:val="0"/>
              <w:spacing w:before="22" w:after="22"/>
              <w:ind w:left="0" w:right="0" w:firstLine="22"/>
              <w:jc w:val="center"/>
              <w:rPr>
                <w:rFonts w:ascii="Times New Roman" w:hAnsi="Times New Roman"/>
                <w:b/>
                <w:color w:val="000000"/>
                <w:sz w:val="20"/>
              </w:rPr>
            </w:pPr>
            <w:r>
              <w:rPr>
                <w:rFonts w:ascii="Times New Roman" w:hAnsi="Times New Roman"/>
                <w:b/>
                <w:color w:val="000000"/>
                <w:sz w:val="20"/>
              </w:rPr>
              <w:t>Trading Symbol(s)</w:t>
            </w:r>
          </w:p>
        </w:tc>
        <w:tc>
          <w:tcPr>
            <w:tcW w:w="3458" w:type="dxa"/>
            <w:tcBorders/>
            <w:vAlign w:val="center"/>
          </w:tcPr>
          <w:p>
            <w:pPr>
              <w:pStyle w:val="TableContents"/>
              <w:bidi w:val="0"/>
              <w:spacing w:before="22" w:after="22"/>
              <w:ind w:left="0" w:right="0" w:firstLine="22"/>
              <w:jc w:val="center"/>
              <w:rPr>
                <w:rFonts w:ascii="Times New Roman" w:hAnsi="Times New Roman"/>
                <w:b/>
                <w:color w:val="000000"/>
                <w:sz w:val="20"/>
              </w:rPr>
            </w:pPr>
            <w:r>
              <w:rPr>
                <w:rFonts w:ascii="Times New Roman" w:hAnsi="Times New Roman"/>
                <w:b/>
                <w:color w:val="000000"/>
                <w:sz w:val="20"/>
              </w:rPr>
              <w:t>Name of Exchange on which registered</w:t>
            </w:r>
          </w:p>
        </w:tc>
      </w:tr>
      <w:tr>
        <w:trPr/>
        <w:tc>
          <w:tcPr>
            <w:tcW w:w="2760" w:type="dxa"/>
            <w:tcBorders/>
            <w:vAlign w:val="center"/>
          </w:tcPr>
          <w:p>
            <w:pPr>
              <w:pStyle w:val="TableContents"/>
              <w:bidi w:val="0"/>
              <w:spacing w:before="22" w:after="22"/>
              <w:ind w:left="22" w:right="22" w:firstLine="22"/>
              <w:jc w:val="center"/>
              <w:rPr>
                <w:rFonts w:ascii="Times New Roman" w:hAnsi="Times New Roman"/>
                <w:b/>
                <w:color w:val="000000"/>
                <w:sz w:val="20"/>
              </w:rPr>
            </w:pPr>
            <w:r>
              <w:rPr>
                <w:rFonts w:ascii="Times New Roman" w:hAnsi="Times New Roman"/>
                <w:b/>
                <w:color w:val="000000"/>
                <w:sz w:val="20"/>
              </w:rPr>
              <w:t>Common Stock, $.01 par value</w:t>
            </w:r>
          </w:p>
        </w:tc>
        <w:tc>
          <w:tcPr>
            <w:tcW w:w="1718" w:type="dxa"/>
            <w:tcBorders/>
            <w:vAlign w:val="center"/>
          </w:tcPr>
          <w:p>
            <w:pPr>
              <w:pStyle w:val="TableContents"/>
              <w:bidi w:val="0"/>
              <w:spacing w:before="0" w:after="283"/>
              <w:ind w:left="0" w:right="0" w:firstLine="22"/>
              <w:jc w:val="center"/>
              <w:rPr>
                <w:rFonts w:ascii="Times New Roman" w:hAnsi="Times New Roman"/>
                <w:b/>
                <w:color w:val="000000"/>
                <w:sz w:val="20"/>
              </w:rPr>
            </w:pPr>
            <w:r>
              <w:rPr>
                <w:rFonts w:ascii="Times New Roman" w:hAnsi="Times New Roman"/>
                <w:b/>
                <w:color w:val="000000"/>
                <w:sz w:val="20"/>
              </w:rPr>
              <w:t>MAN</w:t>
            </w:r>
          </w:p>
        </w:tc>
        <w:tc>
          <w:tcPr>
            <w:tcW w:w="3458" w:type="dxa"/>
            <w:tcBorders/>
            <w:vAlign w:val="center"/>
          </w:tcPr>
          <w:p>
            <w:pPr>
              <w:pStyle w:val="TableContents"/>
              <w:bidi w:val="0"/>
              <w:spacing w:before="22" w:after="22"/>
              <w:ind w:left="22" w:right="22" w:firstLine="22"/>
              <w:jc w:val="center"/>
              <w:rPr>
                <w:rFonts w:ascii="Times New Roman" w:hAnsi="Times New Roman"/>
                <w:b/>
                <w:color w:val="000000"/>
                <w:sz w:val="20"/>
              </w:rPr>
            </w:pPr>
            <w:r>
              <w:rPr>
                <w:rFonts w:ascii="Times New Roman" w:hAnsi="Times New Roman"/>
                <w:b/>
                <w:color w:val="000000"/>
                <w:sz w:val="20"/>
              </w:rPr>
              <w:t>New York Stock Exchange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12(g) of the Act: None</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8"/>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both"/>
        <w:rPr>
          <w:rFonts w:ascii="Times New Roman" w:hAnsi="Times New Roman"/>
          <w:sz w:val="20"/>
        </w:rPr>
      </w:pPr>
      <w:r>
        <w:rPr>
          <w:rFonts w:ascii="Times New Roman" w:hAnsi="Times New Roman"/>
          <w:color w:val="000000"/>
          <w:sz w:val="18"/>
        </w:rPr>
        <w:t>Indicate by check mark if the registrant is not required to file reports pursuant to Section 13 or Section 15(d) of the Act. Yes ☐ No</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6828" w:type="dxa"/>
        <w:jc w:val="left"/>
        <w:tblInd w:w="0" w:type="dxa"/>
        <w:tblLayout w:type="fixed"/>
        <w:tblCellMar>
          <w:top w:w="28" w:type="dxa"/>
          <w:left w:w="28" w:type="dxa"/>
          <w:bottom w:w="28" w:type="dxa"/>
          <w:right w:w="28" w:type="dxa"/>
        </w:tblCellMar>
      </w:tblPr>
      <w:tblGrid>
        <w:gridCol w:w="2108"/>
        <w:gridCol w:w="338"/>
        <w:gridCol w:w="2063"/>
        <w:gridCol w:w="338"/>
        <w:gridCol w:w="1598"/>
        <w:gridCol w:w="383"/>
      </w:tblGrid>
      <w:tr>
        <w:trPr/>
        <w:tc>
          <w:tcPr>
            <w:tcW w:w="210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2108" w:type="dxa"/>
            <w:tcBorders/>
            <w:vAlign w:val="center"/>
          </w:tcPr>
          <w:p>
            <w:pPr>
              <w:pStyle w:val="TableContents"/>
              <w:bidi w:val="0"/>
              <w:spacing w:before="0" w:after="283"/>
              <w:ind w:left="0" w:right="22" w:hanging="0"/>
              <w:jc w:val="left"/>
              <w:rPr>
                <w:rFonts w:ascii="Times New Roman" w:hAnsi="Times New Roman"/>
                <w:color w:val="000000"/>
                <w:sz w:val="18"/>
              </w:rPr>
            </w:pPr>
            <w:r>
              <w:rPr>
                <w:rFonts w:ascii="Times New Roman" w:hAnsi="Times New Roman"/>
                <w:color w:val="000000"/>
                <w:sz w:val="18"/>
              </w:rPr>
              <w:t>Large accelerated filer</w:t>
            </w:r>
          </w:p>
        </w:tc>
        <w:tc>
          <w:tcPr>
            <w:tcW w:w="338" w:type="dxa"/>
            <w:tcBorders/>
            <w:vAlign w:val="center"/>
          </w:tcPr>
          <w:p>
            <w:pPr>
              <w:pStyle w:val="TableContents"/>
              <w:bidi w:val="0"/>
              <w:spacing w:before="0" w:after="283"/>
              <w:ind w:left="0" w:right="22" w:hanging="0"/>
              <w:jc w:val="left"/>
              <w:rPr>
                <w:color w:val="000000"/>
              </w:rPr>
            </w:pPr>
            <w:r>
              <w:rPr>
                <w:color w:val="000000"/>
              </w:rPr>
              <w:t>☒</w:t>
            </w:r>
          </w:p>
        </w:tc>
        <w:tc>
          <w:tcPr>
            <w:tcW w:w="2063" w:type="dxa"/>
            <w:tcBorders/>
            <w:vAlign w:val="center"/>
          </w:tcPr>
          <w:p>
            <w:pPr>
              <w:pStyle w:val="TableContents"/>
              <w:bidi w:val="0"/>
              <w:spacing w:before="0" w:after="283"/>
              <w:ind w:left="0" w:right="22" w:hanging="0"/>
              <w:jc w:val="left"/>
              <w:rPr>
                <w:rFonts w:ascii="Times New Roman" w:hAnsi="Times New Roman"/>
                <w:color w:val="000000"/>
                <w:sz w:val="18"/>
              </w:rPr>
            </w:pPr>
            <w:r>
              <w:rPr>
                <w:rFonts w:ascii="Times New Roman" w:hAnsi="Times New Roman"/>
                <w:color w:val="000000"/>
                <w:sz w:val="18"/>
              </w:rPr>
              <w:t xml:space="preserve">Accelerated filer </w:t>
            </w:r>
          </w:p>
        </w:tc>
        <w:tc>
          <w:tcPr>
            <w:tcW w:w="338" w:type="dxa"/>
            <w:tcBorders/>
            <w:vAlign w:val="center"/>
          </w:tcPr>
          <w:p>
            <w:pPr>
              <w:pStyle w:val="TableContents"/>
              <w:bidi w:val="0"/>
              <w:spacing w:before="0" w:after="283"/>
              <w:ind w:left="0" w:right="22" w:hanging="0"/>
              <w:jc w:val="left"/>
              <w:rPr>
                <w:color w:val="000000"/>
              </w:rPr>
            </w:pPr>
            <w:r>
              <w:rPr>
                <w:color w:val="000000"/>
              </w:rPr>
              <w:t>☐</w:t>
            </w:r>
          </w:p>
        </w:tc>
        <w:tc>
          <w:tcPr>
            <w:tcW w:w="1598" w:type="dxa"/>
            <w:tcBorders/>
            <w:vAlign w:val="center"/>
          </w:tcPr>
          <w:p>
            <w:pPr>
              <w:pStyle w:val="TableContents"/>
              <w:bidi w:val="0"/>
              <w:spacing w:before="0" w:after="283"/>
              <w:ind w:left="0" w:right="22" w:hanging="0"/>
              <w:jc w:val="left"/>
              <w:rPr>
                <w:rFonts w:ascii="Times New Roman" w:hAnsi="Times New Roman"/>
                <w:color w:val="000000"/>
                <w:sz w:val="18"/>
              </w:rPr>
            </w:pPr>
            <w:r>
              <w:rPr>
                <w:rFonts w:ascii="Times New Roman" w:hAnsi="Times New Roman"/>
                <w:color w:val="000000"/>
                <w:sz w:val="18"/>
              </w:rPr>
              <w:t>Non-accelerated filer</w:t>
            </w:r>
          </w:p>
        </w:tc>
        <w:tc>
          <w:tcPr>
            <w:tcW w:w="383" w:type="dxa"/>
            <w:tcBorders/>
            <w:vAlign w:val="center"/>
          </w:tcPr>
          <w:p>
            <w:pPr>
              <w:pStyle w:val="TableContents"/>
              <w:bidi w:val="0"/>
              <w:spacing w:before="0" w:after="283"/>
              <w:ind w:left="0" w:right="22" w:hanging="0"/>
              <w:jc w:val="left"/>
              <w:rPr>
                <w:color w:val="000000"/>
              </w:rPr>
            </w:pPr>
            <w:r>
              <w:rPr>
                <w:color w:val="000000"/>
              </w:rPr>
              <w:t>☐</w:t>
            </w:r>
          </w:p>
        </w:tc>
      </w:tr>
      <w:tr>
        <w:trPr/>
        <w:tc>
          <w:tcPr>
            <w:tcW w:w="2108" w:type="dxa"/>
            <w:tcBorders/>
            <w:vAlign w:val="center"/>
          </w:tcPr>
          <w:p>
            <w:pPr>
              <w:pStyle w:val="TableContents"/>
              <w:bidi w:val="0"/>
              <w:spacing w:before="0" w:after="283"/>
              <w:ind w:left="0" w:right="22" w:hanging="0"/>
              <w:jc w:val="left"/>
              <w:rPr>
                <w:rFonts w:ascii="Times New Roman" w:hAnsi="Times New Roman"/>
                <w:color w:val="000000"/>
                <w:sz w:val="18"/>
              </w:rPr>
            </w:pPr>
            <w:r>
              <w:rPr>
                <w:rFonts w:ascii="Times New Roman" w:hAnsi="Times New Roman"/>
                <w:color w:val="000000"/>
                <w:sz w:val="18"/>
              </w:rPr>
              <w:t xml:space="preserve">Smaller reporting company </w:t>
            </w:r>
          </w:p>
        </w:tc>
        <w:tc>
          <w:tcPr>
            <w:tcW w:w="338" w:type="dxa"/>
            <w:tcBorders/>
            <w:vAlign w:val="center"/>
          </w:tcPr>
          <w:p>
            <w:pPr>
              <w:pStyle w:val="TableContents"/>
              <w:bidi w:val="0"/>
              <w:spacing w:before="0" w:after="283"/>
              <w:ind w:left="0" w:right="22" w:hanging="0"/>
              <w:jc w:val="left"/>
              <w:rPr>
                <w:color w:val="000000"/>
              </w:rPr>
            </w:pPr>
            <w:r>
              <w:rPr>
                <w:color w:val="000000"/>
              </w:rPr>
              <w:t>☐</w:t>
            </w:r>
          </w:p>
        </w:tc>
        <w:tc>
          <w:tcPr>
            <w:tcW w:w="2063" w:type="dxa"/>
            <w:tcBorders/>
            <w:vAlign w:val="center"/>
          </w:tcPr>
          <w:p>
            <w:pPr>
              <w:pStyle w:val="TableContents"/>
              <w:bidi w:val="0"/>
              <w:spacing w:before="0" w:after="283"/>
              <w:ind w:left="0" w:right="22" w:hanging="0"/>
              <w:jc w:val="left"/>
              <w:rPr>
                <w:rFonts w:ascii="Times New Roman" w:hAnsi="Times New Roman"/>
                <w:color w:val="000000"/>
                <w:sz w:val="18"/>
              </w:rPr>
            </w:pPr>
            <w:r>
              <w:rPr>
                <w:rFonts w:ascii="Times New Roman" w:hAnsi="Times New Roman"/>
                <w:color w:val="000000"/>
                <w:sz w:val="18"/>
              </w:rPr>
              <w:t>Emerging growth company</w:t>
            </w:r>
          </w:p>
        </w:tc>
        <w:tc>
          <w:tcPr>
            <w:tcW w:w="338" w:type="dxa"/>
            <w:tcBorders/>
            <w:vAlign w:val="center"/>
          </w:tcPr>
          <w:p>
            <w:pPr>
              <w:pStyle w:val="TableContents"/>
              <w:bidi w:val="0"/>
              <w:spacing w:before="0" w:after="283"/>
              <w:ind w:left="0" w:right="22" w:hanging="0"/>
              <w:jc w:val="left"/>
              <w:rPr>
                <w:color w:val="000000"/>
              </w:rPr>
            </w:pPr>
            <w:r>
              <w:rPr>
                <w:color w:val="000000"/>
              </w:rPr>
              <w:t>☐</w:t>
            </w:r>
          </w:p>
        </w:tc>
        <w:tc>
          <w:tcPr>
            <w:tcW w:w="1598" w:type="dxa"/>
            <w:tcBorders/>
            <w:vAlign w:val="center"/>
          </w:tcPr>
          <w:p>
            <w:pPr>
              <w:pStyle w:val="TableContents"/>
              <w:bidi w:val="0"/>
              <w:spacing w:before="0" w:after="283"/>
              <w:ind w:left="0" w:right="22" w:hanging="0"/>
              <w:jc w:val="left"/>
              <w:rPr/>
            </w:pPr>
            <w:r>
              <w:rPr/>
              <w:t> </w:t>
            </w:r>
          </w:p>
        </w:tc>
        <w:tc>
          <w:tcPr>
            <w:tcW w:w="383" w:type="dxa"/>
            <w:tcBorders/>
            <w:vAlign w:val="center"/>
          </w:tcPr>
          <w:p>
            <w:pPr>
              <w:pStyle w:val="TableContents"/>
              <w:bidi w:val="0"/>
              <w:spacing w:before="0" w:after="283"/>
              <w:ind w:left="0" w:right="22" w:hanging="0"/>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both"/>
        <w:rPr>
          <w:rFonts w:ascii="Times New Roman" w:hAnsi="Times New Roman"/>
          <w:sz w:val="20"/>
        </w:rPr>
      </w:pPr>
      <w:r>
        <w:rPr>
          <w:rFonts w:ascii="Times New Roman" w:hAnsi="Times New Roman"/>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Times New Roman" w:hAnsi="Times New Roman"/>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hAnsi="Times New Roman"/>
          <w:color w:val="231F20"/>
          <w:sz w:val="16"/>
        </w:rPr>
        <w:t xml:space="preserve">§240.10D-1(b).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No ☒</w:t>
      </w:r>
    </w:p>
    <w:p>
      <w:pPr>
        <w:pStyle w:val="TextBody"/>
        <w:bidi w:val="0"/>
        <w:spacing w:before="80" w:after="283"/>
        <w:jc w:val="both"/>
        <w:rPr>
          <w:rFonts w:ascii="Times New Roman" w:hAnsi="Times New Roman"/>
          <w:sz w:val="20"/>
        </w:rPr>
      </w:pPr>
      <w:r>
        <w:rPr>
          <w:rFonts w:ascii="Times New Roman" w:hAnsi="Times New Roman"/>
          <w:color w:val="000000"/>
          <w:sz w:val="18"/>
        </w:rPr>
        <w:t>The aggregate market value of the voting stock held by nonaffiliates of the registrant was $3,949,310,107</w:t>
      </w:r>
      <w:r>
        <w:rPr>
          <w:rFonts w:ascii="Times New Roman" w:hAnsi="Times New Roman"/>
          <w:color w:val="000000"/>
          <w:sz w:val="20"/>
        </w:rPr>
        <w:t xml:space="preserve"> </w:t>
      </w:r>
      <w:r>
        <w:rPr>
          <w:rFonts w:ascii="Times New Roman" w:hAnsi="Times New Roman"/>
          <w:color w:val="000000"/>
          <w:sz w:val="18"/>
        </w:rPr>
        <w:t>as of June 30, 2023. As of</w:t>
      </w:r>
      <w:r>
        <w:rPr>
          <w:rFonts w:ascii="Times New Roman" w:hAnsi="Times New Roman"/>
          <w:color w:val="000000"/>
          <w:sz w:val="20"/>
        </w:rPr>
        <w:t xml:space="preserve"> </w:t>
      </w:r>
      <w:r>
        <w:rPr>
          <w:rFonts w:ascii="Times New Roman" w:hAnsi="Times New Roman"/>
          <w:color w:val="000000"/>
          <w:sz w:val="18"/>
        </w:rPr>
        <w:t>February 14, 2024, there were 48,240,538</w:t>
      </w:r>
      <w:r>
        <w:rPr>
          <w:rFonts w:ascii="Times New Roman" w:hAnsi="Times New Roman"/>
          <w:color w:val="000000"/>
          <w:sz w:val="20"/>
        </w:rPr>
        <w:t xml:space="preserve"> </w:t>
      </w:r>
      <w:r>
        <w:rPr>
          <w:rFonts w:ascii="Times New Roman" w:hAnsi="Times New Roman"/>
          <w:color w:val="000000"/>
          <w:sz w:val="18"/>
        </w:rPr>
        <w:t>of the registrant’s shares of common stock outstanding.</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DOCUMENTS INCORPORATED BY REFERENCE</w:t>
      </w:r>
    </w:p>
    <w:p>
      <w:pPr>
        <w:pStyle w:val="TextBody"/>
        <w:bidi w:val="0"/>
        <w:spacing w:before="80" w:after="283"/>
        <w:jc w:val="both"/>
        <w:rPr>
          <w:rFonts w:ascii="Times New Roman" w:hAnsi="Times New Roman"/>
          <w:sz w:val="20"/>
        </w:rPr>
      </w:pPr>
      <w:r>
        <w:rPr>
          <w:rFonts w:ascii="Times New Roman" w:hAnsi="Times New Roman"/>
          <w:color w:val="000000"/>
          <w:sz w:val="18"/>
        </w:rPr>
        <w:t>Part III is incorporated by reference from the Proxy Statement for the Annual Meeting of Shareholders to be held</w:t>
      </w:r>
      <w:r>
        <w:rPr>
          <w:rFonts w:ascii="Times New Roman" w:hAnsi="Times New Roman"/>
          <w:color w:val="000000"/>
          <w:sz w:val="20"/>
        </w:rPr>
        <w:t xml:space="preserve"> </w:t>
      </w:r>
      <w:r>
        <w:rPr>
          <w:rFonts w:ascii="Times New Roman" w:hAnsi="Times New Roman"/>
          <w:color w:val="000000"/>
          <w:sz w:val="18"/>
        </w:rPr>
        <w:t>on May 3, 2024.</w:t>
      </w:r>
    </w:p>
    <w:p>
      <w:pPr>
        <w:pStyle w:val="TextBody"/>
        <w:bidi w:val="0"/>
        <w:jc w:val="both"/>
        <w:rPr/>
      </w:pPr>
      <w:r>
        <w:rPr/>
        <w:t> </w:t>
      </w:r>
    </w:p>
    <w:tbl>
      <w:tblPr>
        <w:tblW w:w="7056" w:type="dxa"/>
        <w:jc w:val="left"/>
        <w:tblInd w:w="0" w:type="dxa"/>
        <w:tblLayout w:type="fixed"/>
        <w:tblCellMar>
          <w:top w:w="28" w:type="dxa"/>
          <w:left w:w="28" w:type="dxa"/>
          <w:bottom w:w="28" w:type="dxa"/>
          <w:right w:w="28" w:type="dxa"/>
        </w:tblCellMar>
      </w:tblPr>
      <w:tblGrid>
        <w:gridCol w:w="1276"/>
        <w:gridCol w:w="286"/>
        <w:gridCol w:w="1186"/>
        <w:gridCol w:w="1741"/>
        <w:gridCol w:w="1351"/>
        <w:gridCol w:w="1216"/>
      </w:tblGrid>
      <w:tr>
        <w:trPr/>
        <w:tc>
          <w:tcPr>
            <w:tcW w:w="12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27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Auditor Firm Id:</w:t>
            </w:r>
          </w:p>
        </w:tc>
        <w:tc>
          <w:tcPr>
            <w:tcW w:w="28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34</w:t>
            </w:r>
          </w:p>
        </w:tc>
        <w:tc>
          <w:tcPr>
            <w:tcW w:w="118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Auditor Name: </w:t>
            </w:r>
          </w:p>
        </w:tc>
        <w:tc>
          <w:tcPr>
            <w:tcW w:w="17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Deloitte &amp; Touche LLP</w:t>
            </w:r>
          </w:p>
        </w:tc>
        <w:tc>
          <w:tcPr>
            <w:tcW w:w="135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Auditor Location:</w:t>
            </w:r>
          </w:p>
        </w:tc>
        <w:tc>
          <w:tcPr>
            <w:tcW w:w="121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Milwaukee, WI</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ManpowerGroup Inc.</w:t>
      </w:r>
    </w:p>
    <w:p>
      <w:pPr>
        <w:pStyle w:val="TextBody"/>
        <w:bidi w:val="0"/>
        <w:jc w:val="center"/>
        <w:rPr>
          <w:rFonts w:ascii="Times New Roman" w:hAnsi="Times New Roman"/>
          <w:b/>
          <w:color w:val="000000"/>
          <w:sz w:val="20"/>
        </w:rPr>
      </w:pPr>
      <w:r>
        <w:rPr>
          <w:rFonts w:ascii="Times New Roman" w:hAnsi="Times New Roman"/>
          <w:b/>
          <w:color w:val="000000"/>
          <w:sz w:val="20"/>
        </w:rPr>
        <w:t>Form 10-K</w:t>
      </w:r>
    </w:p>
    <w:p>
      <w:pPr>
        <w:pStyle w:val="TextBody"/>
        <w:bidi w:val="0"/>
        <w:jc w:val="center"/>
        <w:rPr>
          <w:rFonts w:ascii="Times New Roman" w:hAnsi="Times New Roman"/>
          <w:b/>
          <w:color w:val="000000"/>
          <w:sz w:val="20"/>
        </w:rPr>
      </w:pPr>
      <w:r>
        <w:rPr>
          <w:rFonts w:ascii="Times New Roman" w:hAnsi="Times New Roman"/>
          <w:b/>
          <w:color w:val="000000"/>
          <w:sz w:val="20"/>
        </w:rPr>
        <w:t>For the Fiscal Year Ended December 31, 2023</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06"/>
        <w:gridCol w:w="8058"/>
        <w:gridCol w:w="841"/>
      </w:tblGrid>
      <w:tr>
        <w:trPr/>
        <w:tc>
          <w:tcPr>
            <w:tcW w:w="1306" w:type="dxa"/>
            <w:tcBorders/>
            <w:vAlign w:val="center"/>
          </w:tcPr>
          <w:p>
            <w:pPr>
              <w:pStyle w:val="TableContents"/>
              <w:bidi w:val="0"/>
              <w:spacing w:before="0" w:after="283"/>
              <w:jc w:val="left"/>
              <w:rPr>
                <w:sz w:val="4"/>
                <w:szCs w:val="4"/>
              </w:rPr>
            </w:pPr>
            <w:r>
              <w:rPr>
                <w:sz w:val="4"/>
                <w:szCs w:val="4"/>
              </w:rPr>
            </w:r>
          </w:p>
        </w:tc>
        <w:tc>
          <w:tcPr>
            <w:tcW w:w="805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1306" w:type="dxa"/>
            <w:tcBorders/>
            <w:vAlign w:val="center"/>
          </w:tcPr>
          <w:p>
            <w:pPr>
              <w:pStyle w:val="TableContents"/>
              <w:bidi w:val="0"/>
              <w:spacing w:before="0" w:after="283"/>
              <w:jc w:val="left"/>
              <w:rPr>
                <w:sz w:val="4"/>
                <w:szCs w:val="4"/>
              </w:rPr>
            </w:pPr>
            <w:r>
              <w:rPr>
                <w:sz w:val="4"/>
                <w:szCs w:val="4"/>
              </w:rPr>
            </w:r>
          </w:p>
        </w:tc>
        <w:tc>
          <w:tcPr>
            <w:tcW w:w="8058" w:type="dxa"/>
            <w:tcBorders/>
            <w:vAlign w:val="center"/>
          </w:tcPr>
          <w:p>
            <w:pPr>
              <w:pStyle w:val="TableContents"/>
              <w:bidi w:val="0"/>
              <w:spacing w:before="0" w:after="283"/>
              <w:jc w:val="left"/>
              <w:rPr>
                <w:sz w:val="4"/>
                <w:szCs w:val="4"/>
              </w:rPr>
            </w:pPr>
            <w:r>
              <w:rPr>
                <w:sz w:val="4"/>
                <w:szCs w:val="4"/>
              </w:rPr>
            </w:r>
          </w:p>
        </w:tc>
        <w:tc>
          <w:tcPr>
            <w:tcW w:w="84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Page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r>
      <w:tr>
        <w:trPr/>
        <w:tc>
          <w:tcPr>
            <w:tcW w:w="1306" w:type="dxa"/>
            <w:tcBorders/>
            <w:shd w:fill="CFF0FC" w:val="clear"/>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PART I</w:t>
              </w:r>
            </w:hyperlink>
          </w:p>
        </w:tc>
        <w:tc>
          <w:tcPr>
            <w:tcW w:w="8058" w:type="dxa"/>
            <w:tcBorders/>
            <w:shd w:fill="CFF0FC" w:val="clear"/>
            <w:vAlign w:val="center"/>
          </w:tcPr>
          <w:p>
            <w:pPr>
              <w:pStyle w:val="TableContents"/>
              <w:bidi w:val="0"/>
              <w:spacing w:before="0" w:after="283"/>
              <w:jc w:val="left"/>
              <w:rPr>
                <w:sz w:val="4"/>
                <w:szCs w:val="4"/>
              </w:rPr>
            </w:pPr>
            <w:r>
              <w:rPr>
                <w:sz w:val="4"/>
                <w:szCs w:val="4"/>
              </w:rPr>
            </w:r>
          </w:p>
        </w:tc>
        <w:tc>
          <w:tcPr>
            <w:tcW w:w="841" w:type="dxa"/>
            <w:tcBorders/>
            <w:shd w:fill="CFF0FC" w:val="clear"/>
            <w:vAlign w:val="center"/>
          </w:tcPr>
          <w:p>
            <w:pPr>
              <w:pStyle w:val="TableContents"/>
              <w:bidi w:val="0"/>
              <w:spacing w:before="0" w:after="283"/>
              <w:jc w:val="left"/>
              <w:rPr/>
            </w:pPr>
            <w:r>
              <w:rPr/>
              <w:t> </w:t>
            </w:r>
          </w:p>
        </w:tc>
      </w:tr>
      <w:tr>
        <w:trPr/>
        <w:tc>
          <w:tcPr>
            <w:tcW w:w="1306" w:type="dxa"/>
            <w:tcBorders/>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Item 1</w:t>
              </w:r>
            </w:hyperlink>
          </w:p>
        </w:tc>
        <w:tc>
          <w:tcPr>
            <w:tcW w:w="8058" w:type="dxa"/>
            <w:tcBorders/>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8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1306" w:type="dxa"/>
            <w:tcBorders/>
            <w:shd w:fill="CFF0FC" w:val="cle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w:t>
              </w:r>
            </w:hyperlink>
          </w:p>
        </w:tc>
        <w:tc>
          <w:tcPr>
            <w:tcW w:w="8058" w:type="dxa"/>
            <w:tcBorders/>
            <w:shd w:fill="CFF0FC" w:val="cle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8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r>
      <w:tr>
        <w:trPr/>
        <w:tc>
          <w:tcPr>
            <w:tcW w:w="1306" w:type="dxa"/>
            <w:tcBorders/>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Item 1B</w:t>
              </w:r>
            </w:hyperlink>
          </w:p>
        </w:tc>
        <w:tc>
          <w:tcPr>
            <w:tcW w:w="8058" w:type="dxa"/>
            <w:tcBorders/>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8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r>
        <w:trPr/>
        <w:tc>
          <w:tcPr>
            <w:tcW w:w="1306" w:type="dxa"/>
            <w:tcBorders/>
            <w:shd w:fill="CFF0FC" w:val="cle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Item 1C</w:t>
              </w:r>
            </w:hyperlink>
          </w:p>
        </w:tc>
        <w:tc>
          <w:tcPr>
            <w:tcW w:w="8058" w:type="dxa"/>
            <w:tcBorders/>
            <w:shd w:fill="CFF0FC" w:val="cle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8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r>
        <w:trPr/>
        <w:tc>
          <w:tcPr>
            <w:tcW w:w="1306" w:type="dxa"/>
            <w:tcBorders/>
            <w:shd w:fill="FFFFFF" w:val="cle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Item 2</w:t>
              </w:r>
            </w:hyperlink>
          </w:p>
        </w:tc>
        <w:tc>
          <w:tcPr>
            <w:tcW w:w="8058" w:type="dxa"/>
            <w:tcBorders/>
            <w:shd w:fill="FFFFFF" w:val="cle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8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r>
      <w:tr>
        <w:trPr/>
        <w:tc>
          <w:tcPr>
            <w:tcW w:w="1306" w:type="dxa"/>
            <w:tcBorders/>
            <w:shd w:fill="CFF0FC" w:val="cle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Item 3</w:t>
              </w:r>
            </w:hyperlink>
          </w:p>
        </w:tc>
        <w:tc>
          <w:tcPr>
            <w:tcW w:w="8058" w:type="dxa"/>
            <w:tcBorders/>
            <w:shd w:fill="CFF0FC" w:val="cle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8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r>
      <w:tr>
        <w:trPr/>
        <w:tc>
          <w:tcPr>
            <w:tcW w:w="1306" w:type="dxa"/>
            <w:tcBorders/>
            <w:shd w:fill="FFFFFF" w:val="cle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w:t>
              </w:r>
            </w:hyperlink>
          </w:p>
        </w:tc>
        <w:tc>
          <w:tcPr>
            <w:tcW w:w="8058" w:type="dxa"/>
            <w:tcBorders/>
            <w:shd w:fill="FFFFFF" w:val="cle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8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r>
      <w:tr>
        <w:trPr/>
        <w:tc>
          <w:tcPr>
            <w:tcW w:w="1306" w:type="dxa"/>
            <w:tcBorders/>
            <w:shd w:fill="CFF0FC" w:val="clear"/>
            <w:vAlign w:val="center"/>
          </w:tcPr>
          <w:p>
            <w:pPr>
              <w:pStyle w:val="TableContents"/>
              <w:bidi w:val="0"/>
              <w:spacing w:before="0" w:after="283"/>
              <w:jc w:val="left"/>
              <w:rPr>
                <w:sz w:val="4"/>
                <w:szCs w:val="4"/>
              </w:rPr>
            </w:pPr>
            <w:r>
              <w:rPr>
                <w:sz w:val="4"/>
                <w:szCs w:val="4"/>
              </w:rPr>
            </w:r>
          </w:p>
        </w:tc>
        <w:tc>
          <w:tcPr>
            <w:tcW w:w="8058" w:type="dxa"/>
            <w:tcBorders/>
            <w:shd w:fill="CFF0FC" w:val="clear"/>
            <w:vAlign w:val="center"/>
          </w:tcPr>
          <w:p>
            <w:pPr>
              <w:pStyle w:val="TableContents"/>
              <w:bidi w:val="0"/>
              <w:spacing w:before="0" w:after="283"/>
              <w:jc w:val="left"/>
              <w:rPr/>
            </w:pPr>
            <w:hyperlink w:anchor="executive_ficers_manpowergroup">
              <w:r>
                <w:rPr>
                  <w:rStyle w:val="InternetLink"/>
                  <w:rFonts w:ascii="Times New Roman" w:hAnsi="Times New Roman"/>
                  <w:color w:val="0000FF"/>
                  <w:sz w:val="20"/>
                  <w:u w:val="single"/>
                </w:rPr>
                <w:t>Executive Officers of ManpowerGroup</w:t>
              </w:r>
            </w:hyperlink>
          </w:p>
        </w:tc>
        <w:tc>
          <w:tcPr>
            <w:tcW w:w="8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r>
        <w:trPr/>
        <w:tc>
          <w:tcPr>
            <w:tcW w:w="1306" w:type="dxa"/>
            <w:tcBorders/>
            <w:shd w:fill="FFFFFF" w:val="clear"/>
            <w:vAlign w:val="center"/>
          </w:tcPr>
          <w:p>
            <w:pPr>
              <w:pStyle w:val="TableContents"/>
              <w:bidi w:val="0"/>
              <w:spacing w:before="0" w:after="283"/>
              <w:jc w:val="left"/>
              <w:rPr>
                <w:sz w:val="4"/>
                <w:szCs w:val="4"/>
              </w:rPr>
            </w:pPr>
            <w:r>
              <w:rPr>
                <w:sz w:val="4"/>
                <w:szCs w:val="4"/>
              </w:rPr>
            </w:r>
          </w:p>
        </w:tc>
        <w:tc>
          <w:tcPr>
            <w:tcW w:w="8058" w:type="dxa"/>
            <w:tcBorders/>
            <w:shd w:fill="FFFFFF" w:val="clear"/>
            <w:vAlign w:val="center"/>
          </w:tcPr>
          <w:p>
            <w:pPr>
              <w:pStyle w:val="TableContents"/>
              <w:bidi w:val="0"/>
              <w:spacing w:before="0" w:after="283"/>
              <w:jc w:val="left"/>
              <w:rPr/>
            </w:pPr>
            <w:hyperlink w:anchor="or_information">
              <w:r>
                <w:rPr>
                  <w:rStyle w:val="InternetLink"/>
                  <w:rFonts w:ascii="Times New Roman" w:hAnsi="Times New Roman"/>
                  <w:color w:val="0000FF"/>
                  <w:sz w:val="20"/>
                  <w:u w:val="single"/>
                </w:rPr>
                <w:t>Other Information</w:t>
              </w:r>
            </w:hyperlink>
          </w:p>
        </w:tc>
        <w:tc>
          <w:tcPr>
            <w:tcW w:w="8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r>
        <w:trPr/>
        <w:tc>
          <w:tcPr>
            <w:tcW w:w="1306" w:type="dxa"/>
            <w:tcBorders/>
            <w:shd w:fill="CFF0FC" w:val="clear"/>
            <w:vAlign w:val="center"/>
          </w:tcPr>
          <w:p>
            <w:pPr>
              <w:pStyle w:val="TableContents"/>
              <w:bidi w:val="0"/>
              <w:spacing w:before="0" w:after="283"/>
              <w:jc w:val="left"/>
              <w:rPr>
                <w:sz w:val="4"/>
                <w:szCs w:val="4"/>
              </w:rPr>
            </w:pPr>
            <w:r>
              <w:rPr>
                <w:sz w:val="4"/>
                <w:szCs w:val="4"/>
              </w:rPr>
            </w:r>
          </w:p>
        </w:tc>
        <w:tc>
          <w:tcPr>
            <w:tcW w:w="8058" w:type="dxa"/>
            <w:tcBorders/>
            <w:shd w:fill="CFF0FC" w:val="clear"/>
            <w:vAlign w:val="center"/>
          </w:tcPr>
          <w:p>
            <w:pPr>
              <w:pStyle w:val="TableContents"/>
              <w:bidi w:val="0"/>
              <w:spacing w:before="0" w:after="283"/>
              <w:jc w:val="left"/>
              <w:rPr>
                <w:sz w:val="4"/>
                <w:szCs w:val="4"/>
              </w:rPr>
            </w:pPr>
            <w:r>
              <w:rPr>
                <w:sz w:val="4"/>
                <w:szCs w:val="4"/>
              </w:rPr>
            </w:r>
          </w:p>
        </w:tc>
        <w:tc>
          <w:tcPr>
            <w:tcW w:w="841" w:type="dxa"/>
            <w:tcBorders/>
            <w:shd w:fill="CFF0FC" w:val="cle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PART II</w:t>
              </w:r>
            </w:hyperlink>
          </w:p>
        </w:tc>
        <w:tc>
          <w:tcPr>
            <w:tcW w:w="8058"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center"/>
              <w:rPr/>
            </w:pPr>
            <w:r>
              <w:rPr/>
              <w:t> </w:t>
            </w:r>
          </w:p>
        </w:tc>
      </w:tr>
      <w:tr>
        <w:trPr/>
        <w:tc>
          <w:tcPr>
            <w:tcW w:w="1306" w:type="dxa"/>
            <w:tcBorders/>
            <w:shd w:fill="CFF0FC" w:val="cle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Item 5</w:t>
              </w:r>
            </w:hyperlink>
          </w:p>
        </w:tc>
        <w:tc>
          <w:tcPr>
            <w:tcW w:w="8058" w:type="dxa"/>
            <w:tcBorders/>
            <w:shd w:fill="CFF0FC" w:val="cle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Shareholder Matters and Issuer Purchases of Equity Securities</w:t>
              </w:r>
            </w:hyperlink>
          </w:p>
        </w:tc>
        <w:tc>
          <w:tcPr>
            <w:tcW w:w="8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r>
      <w:tr>
        <w:trPr/>
        <w:tc>
          <w:tcPr>
            <w:tcW w:w="1306" w:type="dxa"/>
            <w:tcBorders/>
            <w:shd w:fill="FFFFFF" w:val="clear"/>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20"/>
                  <w:u w:val="single"/>
                </w:rPr>
                <w:t>Item 6</w:t>
              </w:r>
            </w:hyperlink>
          </w:p>
        </w:tc>
        <w:tc>
          <w:tcPr>
            <w:tcW w:w="8058" w:type="dxa"/>
            <w:tcBorders/>
            <w:shd w:fill="FFFFFF" w:val="clear"/>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20"/>
                  <w:u w:val="single"/>
                </w:rPr>
                <w:t>[Reserved]</w:t>
              </w:r>
            </w:hyperlink>
          </w:p>
        </w:tc>
        <w:tc>
          <w:tcPr>
            <w:tcW w:w="8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r>
        <w:trPr/>
        <w:tc>
          <w:tcPr>
            <w:tcW w:w="1306" w:type="dxa"/>
            <w:tcBorders/>
            <w:shd w:fill="CFF0FC" w:val="cle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Item 7</w:t>
              </w:r>
            </w:hyperlink>
          </w:p>
        </w:tc>
        <w:tc>
          <w:tcPr>
            <w:tcW w:w="8058" w:type="dxa"/>
            <w:tcBorders/>
            <w:shd w:fill="CFF0FC" w:val="cle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8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r>
      <w:tr>
        <w:trPr/>
        <w:tc>
          <w:tcPr>
            <w:tcW w:w="1306" w:type="dxa"/>
            <w:tcBorders/>
            <w:shd w:fill="FFFFFF" w:val="cle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Item 7A</w:t>
              </w:r>
            </w:hyperlink>
          </w:p>
        </w:tc>
        <w:tc>
          <w:tcPr>
            <w:tcW w:w="8058" w:type="dxa"/>
            <w:tcBorders/>
            <w:shd w:fill="FFFFFF" w:val="cle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8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1306" w:type="dxa"/>
            <w:tcBorders/>
            <w:shd w:fill="CFF0FC" w:val="cle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Item 8</w:t>
              </w:r>
            </w:hyperlink>
          </w:p>
        </w:tc>
        <w:tc>
          <w:tcPr>
            <w:tcW w:w="8058" w:type="dxa"/>
            <w:tcBorders/>
            <w:shd w:fill="CFF0FC" w:val="cle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8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r>
      <w:tr>
        <w:trPr/>
        <w:tc>
          <w:tcPr>
            <w:tcW w:w="1306" w:type="dxa"/>
            <w:tcBorders/>
            <w:shd w:fill="FFFFFF" w:val="cle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Item 9</w:t>
              </w:r>
            </w:hyperlink>
          </w:p>
        </w:tc>
        <w:tc>
          <w:tcPr>
            <w:tcW w:w="8058" w:type="dxa"/>
            <w:tcBorders/>
            <w:shd w:fill="FFFFFF" w:val="cle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8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w:t>
            </w:r>
          </w:p>
        </w:tc>
      </w:tr>
      <w:tr>
        <w:trPr/>
        <w:tc>
          <w:tcPr>
            <w:tcW w:w="1306" w:type="dxa"/>
            <w:tcBorders/>
            <w:shd w:fill="CFF0FC" w:val="cle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Item 9A</w:t>
              </w:r>
            </w:hyperlink>
          </w:p>
        </w:tc>
        <w:tc>
          <w:tcPr>
            <w:tcW w:w="8058" w:type="dxa"/>
            <w:tcBorders/>
            <w:shd w:fill="CFF0FC" w:val="cle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8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w:t>
            </w:r>
          </w:p>
        </w:tc>
      </w:tr>
      <w:tr>
        <w:trPr/>
        <w:tc>
          <w:tcPr>
            <w:tcW w:w="1306" w:type="dxa"/>
            <w:tcBorders/>
            <w:shd w:fill="FFFFFF" w:val="cle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Item 9B</w:t>
              </w:r>
            </w:hyperlink>
          </w:p>
        </w:tc>
        <w:tc>
          <w:tcPr>
            <w:tcW w:w="8058" w:type="dxa"/>
            <w:tcBorders/>
            <w:shd w:fill="FFFFFF" w:val="cle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8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w:t>
            </w:r>
          </w:p>
        </w:tc>
      </w:tr>
      <w:tr>
        <w:trPr/>
        <w:tc>
          <w:tcPr>
            <w:tcW w:w="1306" w:type="dxa"/>
            <w:tcBorders/>
            <w:shd w:fill="CFF0FC" w:val="clear"/>
            <w:vAlign w:val="center"/>
          </w:tcPr>
          <w:p>
            <w:pPr>
              <w:pStyle w:val="TableContents"/>
              <w:bidi w:val="0"/>
              <w:spacing w:before="0" w:after="283"/>
              <w:jc w:val="left"/>
              <w:rPr/>
            </w:pPr>
            <w:hyperlink w:anchor="item9c">
              <w:r>
                <w:rPr>
                  <w:rStyle w:val="InternetLink"/>
                  <w:rFonts w:ascii="Times New Roman" w:hAnsi="Times New Roman"/>
                  <w:color w:val="0000FF"/>
                  <w:sz w:val="20"/>
                  <w:u w:val="single"/>
                </w:rPr>
                <w:t>Item 9C</w:t>
              </w:r>
            </w:hyperlink>
          </w:p>
        </w:tc>
        <w:tc>
          <w:tcPr>
            <w:tcW w:w="8058" w:type="dxa"/>
            <w:tcBorders/>
            <w:shd w:fill="CFF0FC" w:val="clear"/>
            <w:vAlign w:val="center"/>
          </w:tcPr>
          <w:p>
            <w:pPr>
              <w:pStyle w:val="TableContents"/>
              <w:bidi w:val="0"/>
              <w:spacing w:before="0" w:after="283"/>
              <w:jc w:val="left"/>
              <w:rPr/>
            </w:pPr>
            <w:hyperlink w:anchor="item9c">
              <w:r>
                <w:rPr>
                  <w:rStyle w:val="InternetLink"/>
                  <w:rFonts w:ascii="Times New Roman" w:hAnsi="Times New Roman"/>
                  <w:color w:val="0000FF"/>
                  <w:sz w:val="20"/>
                  <w:u w:val="single"/>
                </w:rPr>
                <w:t>Disclosures Regarding Foreign Jurisdictions that Prevent Inspections</w:t>
              </w:r>
            </w:hyperlink>
          </w:p>
        </w:tc>
        <w:tc>
          <w:tcPr>
            <w:tcW w:w="8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w:t>
            </w:r>
          </w:p>
        </w:tc>
      </w:tr>
      <w:tr>
        <w:trPr/>
        <w:tc>
          <w:tcPr>
            <w:tcW w:w="1306" w:type="dxa"/>
            <w:tcBorders/>
            <w:shd w:fill="FFFFFF" w:val="clear"/>
            <w:vAlign w:val="center"/>
          </w:tcPr>
          <w:p>
            <w:pPr>
              <w:pStyle w:val="TableContents"/>
              <w:bidi w:val="0"/>
              <w:spacing w:before="0" w:after="283"/>
              <w:jc w:val="left"/>
              <w:rPr/>
            </w:pPr>
            <w:r>
              <w:rPr/>
              <w:t> </w:t>
            </w:r>
          </w:p>
        </w:tc>
        <w:tc>
          <w:tcPr>
            <w:tcW w:w="8058"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t> </w:t>
            </w:r>
          </w:p>
        </w:tc>
      </w:tr>
      <w:tr>
        <w:trPr/>
        <w:tc>
          <w:tcPr>
            <w:tcW w:w="1306" w:type="dxa"/>
            <w:tcBorders/>
            <w:shd w:fill="CFF0FC" w:val="clear"/>
            <w:vAlign w:val="center"/>
          </w:tcPr>
          <w:p>
            <w:pPr>
              <w:pStyle w:val="TableContents"/>
              <w:bidi w:val="0"/>
              <w:spacing w:before="0" w:after="283"/>
              <w:jc w:val="left"/>
              <w:rPr/>
            </w:pPr>
            <w:hyperlink w:anchor="part_iii">
              <w:r>
                <w:rPr>
                  <w:rStyle w:val="InternetLink"/>
                  <w:rFonts w:ascii="Times New Roman" w:hAnsi="Times New Roman"/>
                  <w:color w:val="0000FF"/>
                  <w:sz w:val="20"/>
                  <w:u w:val="single"/>
                </w:rPr>
                <w:t>PART III</w:t>
              </w:r>
            </w:hyperlink>
          </w:p>
        </w:tc>
        <w:tc>
          <w:tcPr>
            <w:tcW w:w="8058" w:type="dxa"/>
            <w:tcBorders/>
            <w:shd w:fill="CFF0FC" w:val="clear"/>
            <w:vAlign w:val="center"/>
          </w:tcPr>
          <w:p>
            <w:pPr>
              <w:pStyle w:val="TableContents"/>
              <w:bidi w:val="0"/>
              <w:spacing w:before="0" w:after="283"/>
              <w:jc w:val="left"/>
              <w:rPr>
                <w:sz w:val="4"/>
                <w:szCs w:val="4"/>
              </w:rPr>
            </w:pPr>
            <w:r>
              <w:rPr>
                <w:sz w:val="4"/>
                <w:szCs w:val="4"/>
              </w:rPr>
            </w:r>
          </w:p>
        </w:tc>
        <w:tc>
          <w:tcPr>
            <w:tcW w:w="841" w:type="dxa"/>
            <w:tcBorders/>
            <w:shd w:fill="CFF0FC" w:val="cle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Item 10</w:t>
              </w:r>
            </w:hyperlink>
          </w:p>
        </w:tc>
        <w:tc>
          <w:tcPr>
            <w:tcW w:w="8058" w:type="dxa"/>
            <w:tcBorders/>
            <w:shd w:fill="FFFFFF" w:val="cle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8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r>
      <w:tr>
        <w:trPr/>
        <w:tc>
          <w:tcPr>
            <w:tcW w:w="1306" w:type="dxa"/>
            <w:tcBorders/>
            <w:shd w:fill="CFF0FC" w:val="cle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Item 11</w:t>
              </w:r>
            </w:hyperlink>
          </w:p>
        </w:tc>
        <w:tc>
          <w:tcPr>
            <w:tcW w:w="8058" w:type="dxa"/>
            <w:tcBorders/>
            <w:shd w:fill="CFF0FC" w:val="cle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8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w:t>
            </w:r>
          </w:p>
        </w:tc>
      </w:tr>
      <w:tr>
        <w:trPr/>
        <w:tc>
          <w:tcPr>
            <w:tcW w:w="1306" w:type="dxa"/>
            <w:tcBorders/>
            <w:shd w:fill="FFFFFF" w:val="cle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Item 12</w:t>
              </w:r>
            </w:hyperlink>
          </w:p>
        </w:tc>
        <w:tc>
          <w:tcPr>
            <w:tcW w:w="8058" w:type="dxa"/>
            <w:tcBorders/>
            <w:shd w:fill="FFFFFF" w:val="cle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8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1306" w:type="dxa"/>
            <w:tcBorders/>
            <w:shd w:fill="CFF0FC" w:val="cle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Item 13</w:t>
              </w:r>
            </w:hyperlink>
          </w:p>
        </w:tc>
        <w:tc>
          <w:tcPr>
            <w:tcW w:w="8058" w:type="dxa"/>
            <w:tcBorders/>
            <w:shd w:fill="CFF0FC" w:val="cle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8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1306" w:type="dxa"/>
            <w:tcBorders/>
            <w:shd w:fill="FFFFFF" w:val="cle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Item 14</w:t>
              </w:r>
            </w:hyperlink>
          </w:p>
        </w:tc>
        <w:tc>
          <w:tcPr>
            <w:tcW w:w="8058" w:type="dxa"/>
            <w:tcBorders/>
            <w:shd w:fill="FFFFFF" w:val="cle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Principal Accounting Fees and Services</w:t>
              </w:r>
            </w:hyperlink>
          </w:p>
        </w:tc>
        <w:tc>
          <w:tcPr>
            <w:tcW w:w="8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1306" w:type="dxa"/>
            <w:tcBorders/>
            <w:shd w:fill="CFF0FC" w:val="clear"/>
            <w:vAlign w:val="center"/>
          </w:tcPr>
          <w:p>
            <w:pPr>
              <w:pStyle w:val="TableContents"/>
              <w:bidi w:val="0"/>
              <w:spacing w:before="0" w:after="283"/>
              <w:jc w:val="left"/>
              <w:rPr>
                <w:sz w:val="4"/>
                <w:szCs w:val="4"/>
              </w:rPr>
            </w:pPr>
            <w:r>
              <w:rPr>
                <w:sz w:val="4"/>
                <w:szCs w:val="4"/>
              </w:rPr>
            </w:r>
          </w:p>
        </w:tc>
        <w:tc>
          <w:tcPr>
            <w:tcW w:w="8058" w:type="dxa"/>
            <w:tcBorders/>
            <w:shd w:fill="CFF0FC" w:val="clear"/>
            <w:vAlign w:val="center"/>
          </w:tcPr>
          <w:p>
            <w:pPr>
              <w:pStyle w:val="TableContents"/>
              <w:bidi w:val="0"/>
              <w:spacing w:before="0" w:after="283"/>
              <w:jc w:val="left"/>
              <w:rPr>
                <w:sz w:val="4"/>
                <w:szCs w:val="4"/>
              </w:rPr>
            </w:pPr>
            <w:r>
              <w:rPr>
                <w:sz w:val="4"/>
                <w:szCs w:val="4"/>
              </w:rPr>
            </w:r>
          </w:p>
        </w:tc>
        <w:tc>
          <w:tcPr>
            <w:tcW w:w="841" w:type="dxa"/>
            <w:tcBorders/>
            <w:shd w:fill="CFF0FC" w:val="cle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left"/>
              <w:rPr/>
            </w:pPr>
            <w:hyperlink w:anchor="part_iv">
              <w:r>
                <w:rPr>
                  <w:rStyle w:val="InternetLink"/>
                  <w:rFonts w:ascii="Times New Roman" w:hAnsi="Times New Roman"/>
                  <w:color w:val="0000FF"/>
                  <w:sz w:val="20"/>
                  <w:u w:val="single"/>
                </w:rPr>
                <w:t>PART IV</w:t>
              </w:r>
            </w:hyperlink>
          </w:p>
        </w:tc>
        <w:tc>
          <w:tcPr>
            <w:tcW w:w="8058"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center"/>
              <w:rPr/>
            </w:pPr>
            <w:r>
              <w:rPr/>
              <w:t> </w:t>
            </w:r>
          </w:p>
        </w:tc>
      </w:tr>
      <w:tr>
        <w:trPr/>
        <w:tc>
          <w:tcPr>
            <w:tcW w:w="1306" w:type="dxa"/>
            <w:tcBorders/>
            <w:shd w:fill="CFF0FC" w:val="clear"/>
            <w:vAlign w:val="center"/>
          </w:tcPr>
          <w:p>
            <w:pPr>
              <w:pStyle w:val="TableContents"/>
              <w:bidi w:val="0"/>
              <w:spacing w:before="0" w:after="283"/>
              <w:jc w:val="left"/>
              <w:rPr/>
            </w:pPr>
            <w:hyperlink w:anchor="item_15_______exhibits_financial_stateme">
              <w:r>
                <w:rPr>
                  <w:rStyle w:val="InternetLink"/>
                  <w:rFonts w:ascii="Times New Roman" w:hAnsi="Times New Roman"/>
                  <w:color w:val="0000FF"/>
                  <w:sz w:val="20"/>
                  <w:u w:val="single"/>
                </w:rPr>
                <w:t>Item 15</w:t>
              </w:r>
            </w:hyperlink>
          </w:p>
        </w:tc>
        <w:tc>
          <w:tcPr>
            <w:tcW w:w="8058" w:type="dxa"/>
            <w:tcBorders/>
            <w:shd w:fill="CFF0FC" w:val="clear"/>
            <w:vAlign w:val="center"/>
          </w:tcPr>
          <w:p>
            <w:pPr>
              <w:pStyle w:val="TableContents"/>
              <w:bidi w:val="0"/>
              <w:spacing w:before="0" w:after="283"/>
              <w:jc w:val="left"/>
              <w:rPr/>
            </w:pPr>
            <w:hyperlink w:anchor="item_15_______exhibits_financial_stateme">
              <w:r>
                <w:rPr>
                  <w:rStyle w:val="InternetLink"/>
                  <w:rFonts w:ascii="Times New Roman" w:hAnsi="Times New Roman"/>
                  <w:color w:val="0000FF"/>
                  <w:sz w:val="20"/>
                  <w:u w:val="single"/>
                </w:rPr>
                <w:t>Exhibits and Financial Statement Schedules</w:t>
              </w:r>
            </w:hyperlink>
          </w:p>
        </w:tc>
        <w:tc>
          <w:tcPr>
            <w:tcW w:w="8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1306" w:type="dxa"/>
            <w:tcBorders/>
            <w:shd w:fill="FFFFFF" w:val="clear"/>
            <w:vAlign w:val="center"/>
          </w:tcPr>
          <w:p>
            <w:pPr>
              <w:pStyle w:val="TableContents"/>
              <w:bidi w:val="0"/>
              <w:spacing w:before="0" w:after="283"/>
              <w:jc w:val="left"/>
              <w:rPr/>
            </w:pPr>
            <w:hyperlink w:anchor="item_16________form_10k_summary">
              <w:r>
                <w:rPr>
                  <w:rStyle w:val="InternetLink"/>
                  <w:rFonts w:ascii="Times New Roman" w:hAnsi="Times New Roman"/>
                  <w:color w:val="0000FF"/>
                  <w:sz w:val="20"/>
                  <w:u w:val="single"/>
                </w:rPr>
                <w:t>Item 16</w:t>
              </w:r>
            </w:hyperlink>
          </w:p>
        </w:tc>
        <w:tc>
          <w:tcPr>
            <w:tcW w:w="8058" w:type="dxa"/>
            <w:tcBorders/>
            <w:shd w:fill="FFFFFF" w:val="clear"/>
            <w:vAlign w:val="center"/>
          </w:tcPr>
          <w:p>
            <w:pPr>
              <w:pStyle w:val="TableContents"/>
              <w:bidi w:val="0"/>
              <w:spacing w:before="0" w:after="283"/>
              <w:jc w:val="left"/>
              <w:rPr/>
            </w:pPr>
            <w:hyperlink w:anchor="item_16________form_10k_summary">
              <w:r>
                <w:rPr>
                  <w:rStyle w:val="InternetLink"/>
                  <w:rFonts w:ascii="Times New Roman" w:hAnsi="Times New Roman"/>
                  <w:color w:val="0000FF"/>
                  <w:sz w:val="20"/>
                  <w:u w:val="single"/>
                </w:rPr>
                <w:t>Form 10-K Summary</w:t>
              </w:r>
            </w:hyperlink>
          </w:p>
        </w:tc>
        <w:tc>
          <w:tcPr>
            <w:tcW w:w="8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r>
      <w:tr>
        <w:trPr/>
        <w:tc>
          <w:tcPr>
            <w:tcW w:w="1306" w:type="dxa"/>
            <w:tcBorders/>
            <w:shd w:fill="CFF0FC" w:val="clear"/>
            <w:vAlign w:val="center"/>
          </w:tcPr>
          <w:p>
            <w:pPr>
              <w:pStyle w:val="TableContents"/>
              <w:bidi w:val="0"/>
              <w:spacing w:before="0" w:after="283"/>
              <w:jc w:val="left"/>
              <w:rPr>
                <w:sz w:val="4"/>
                <w:szCs w:val="4"/>
              </w:rPr>
            </w:pPr>
            <w:r>
              <w:rPr>
                <w:sz w:val="4"/>
                <w:szCs w:val="4"/>
              </w:rPr>
            </w:r>
          </w:p>
        </w:tc>
        <w:tc>
          <w:tcPr>
            <w:tcW w:w="8058" w:type="dxa"/>
            <w:tcBorders/>
            <w:shd w:fill="CFF0FC" w:val="clear"/>
            <w:vAlign w:val="center"/>
          </w:tcPr>
          <w:p>
            <w:pPr>
              <w:pStyle w:val="TableContents"/>
              <w:bidi w:val="0"/>
              <w:spacing w:before="0" w:after="283"/>
              <w:jc w:val="left"/>
              <w:rPr>
                <w:sz w:val="4"/>
                <w:szCs w:val="4"/>
              </w:rPr>
            </w:pPr>
            <w:r>
              <w:rPr>
                <w:sz w:val="4"/>
                <w:szCs w:val="4"/>
              </w:rPr>
            </w:r>
          </w:p>
        </w:tc>
        <w:tc>
          <w:tcPr>
            <w:tcW w:w="841" w:type="dxa"/>
            <w:tcBorders/>
            <w:shd w:fill="CFF0FC" w:val="cle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8058"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r>
      <w:tr>
        <w:trPr/>
        <w:tc>
          <w:tcPr>
            <w:tcW w:w="1306" w:type="dxa"/>
            <w:tcBorders/>
            <w:shd w:fill="CFF0FC" w:val="clear"/>
            <w:vAlign w:val="center"/>
          </w:tcPr>
          <w:p>
            <w:pPr>
              <w:pStyle w:val="TableContents"/>
              <w:bidi w:val="0"/>
              <w:spacing w:before="0" w:after="283"/>
              <w:jc w:val="left"/>
              <w:rPr/>
            </w:pPr>
            <w:r>
              <w:rPr/>
              <w:t> </w:t>
            </w:r>
          </w:p>
        </w:tc>
        <w:tc>
          <w:tcPr>
            <w:tcW w:w="8058"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bookmarkStart w:id="2" w:name="part_i"/>
      <w:bookmarkEnd w:id="2"/>
      <w:r>
        <w:rPr>
          <w:rFonts w:ascii="Times New Roman" w:hAnsi="Times New Roman"/>
          <w:b/>
          <w:color w:val="000000"/>
          <w:sz w:val="20"/>
          <w:u w:val="single"/>
        </w:rPr>
        <w:t>PART I</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terms “we,” “our,” “us,” "ManpowerGroup," or “the Company” refer to ManpowerGroup Inc. and its consolidated subsidiaries.</w:t>
      </w:r>
    </w:p>
    <w:p>
      <w:pPr>
        <w:pStyle w:val="TextBody"/>
        <w:bidi w:val="0"/>
        <w:spacing w:before="200" w:after="283"/>
        <w:jc w:val="both"/>
        <w:rPr>
          <w:rFonts w:ascii="Times New Roman" w:hAnsi="Times New Roman"/>
          <w:sz w:val="20"/>
        </w:rPr>
      </w:pPr>
      <w:bookmarkStart w:id="3" w:name="item_1_business"/>
      <w:bookmarkEnd w:id="3"/>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Business</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Introduction and History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ManpowerGroup Inc. is a global leader in innovative workforce solutions. Through our network of over 2,100 offices in approximately 75 countries and territories, we put millions of people to work each year with our global, multinational and local clients across all major industry segments. Our strong and connected brands provide solutions that drive organizations forward, accelerate individual success and help build more sustainable communities. We power the future of work.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By offering a comprehensive range of workforce solutions and services, we help companies improve strategy, quality, and efficiency, increase productivity and reduce costs across their workforce to achieve their business goals. ManpowerGroup’s offerings of innovative workforce solutions and services includes: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color w:val="000000"/>
          <w:sz w:val="20"/>
        </w:rPr>
        <w:t>Recruitment and Assessment</w:t>
      </w:r>
      <w:r>
        <w:rPr>
          <w:color w:val="000000"/>
        </w:rPr>
        <w:t xml:space="preserve"> – </w:t>
      </w:r>
      <w:r>
        <w:rPr>
          <w:rFonts w:ascii="Times New Roman" w:hAnsi="Times New Roman"/>
          <w:color w:val="000000"/>
          <w:sz w:val="20"/>
        </w:rPr>
        <w:t>By leveraging our trusted brands, industry knowledge and expertise, we identify the right talent in the right place to help our clients quickly access the people and skills they need when they need them. Through our industry-leading and AI-enabled assessments, we help people and organizations understand their strengths and potential, resulting in better job matches, higher retention and a stronger workforce.</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color w:val="000000"/>
          <w:sz w:val="20"/>
        </w:rPr>
        <w:t>Upskilling, Reskilling, Training and Development</w:t>
      </w:r>
      <w:r>
        <w:rPr>
          <w:color w:val="000000"/>
        </w:rPr>
        <w:t xml:space="preserve"> – </w:t>
      </w:r>
      <w:r>
        <w:rPr>
          <w:rFonts w:ascii="Times New Roman" w:hAnsi="Times New Roman"/>
          <w:color w:val="000000"/>
          <w:sz w:val="20"/>
        </w:rPr>
        <w:t>Our global insights around evolving employer needs and our expertise in training and development help us prepare candidates and associates to succeed in today’s competitive marketplace. We offer an extensive portfolio of training courses and leadership development solutions that help clients maximize talent and optimize performance.</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color w:val="000000"/>
          <w:sz w:val="20"/>
        </w:rPr>
        <w:t>Career Management</w:t>
      </w:r>
      <w:r>
        <w:rPr>
          <w:color w:val="000000"/>
        </w:rPr>
        <w:t xml:space="preserve"> – </w:t>
      </w:r>
      <w:r>
        <w:rPr>
          <w:rFonts w:ascii="Times New Roman" w:hAnsi="Times New Roman"/>
          <w:color w:val="000000"/>
          <w:sz w:val="20"/>
        </w:rPr>
        <w:t>We help individuals find meaningful work and manage their career journey through outplacement services and targeted skills development. By helping individuals and organizations manage workforce transitions and career changes, we unleash human potential.</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color w:val="000000"/>
          <w:sz w:val="20"/>
        </w:rPr>
        <w:t>Outsourcing</w:t>
      </w:r>
      <w:r>
        <w:rPr>
          <w:color w:val="000000"/>
        </w:rPr>
        <w:t xml:space="preserve"> – </w:t>
      </w:r>
      <w:r>
        <w:rPr>
          <w:rFonts w:ascii="Times New Roman" w:hAnsi="Times New Roman"/>
          <w:color w:val="000000"/>
          <w:sz w:val="20"/>
        </w:rPr>
        <w:t>We provide clients with outsourcing services related to human resources functions primarily in the areas of large-scale recruiting and workforce-intensive initiatives that are outcome-based, thereby sharing in the risk and reward with our clients.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b/>
          <w:color w:val="000000"/>
          <w:sz w:val="20"/>
        </w:rPr>
        <w:t>Workforce Consulting</w:t>
      </w:r>
      <w:r>
        <w:rPr>
          <w:color w:val="000000"/>
        </w:rPr>
        <w:t xml:space="preserve"> – </w:t>
      </w:r>
      <w:r>
        <w:rPr>
          <w:rFonts w:ascii="Times New Roman" w:hAnsi="Times New Roman"/>
          <w:color w:val="000000"/>
          <w:sz w:val="20"/>
        </w:rPr>
        <w:t>We help clients create and transform their workforce strategy to achieve their business strategy, increase business agility and flexibility, and accelerate individuals' and business success.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expert family of global brands - Manpower, Experis and Talent Solutions - provide innovative workforce solutions across the globe for hundreds of thousands of organizations every year.</w:t>
      </w:r>
    </w:p>
    <w:p>
      <w:pPr>
        <w:pStyle w:val="TextBody"/>
        <w:bidi w:val="0"/>
        <w:spacing w:before="200" w:after="283"/>
        <w:jc w:val="both"/>
        <w:rPr>
          <w:rFonts w:ascii="Times New Roman" w:hAnsi="Times New Roman"/>
          <w:sz w:val="20"/>
        </w:rPr>
      </w:pPr>
      <w:r>
        <w:rPr>
          <w:rFonts w:ascii="Times New Roman" w:hAnsi="Times New Roman"/>
          <w:b/>
          <w:color w:val="000000"/>
          <w:sz w:val="20"/>
        </w:rPr>
        <w:t>Manpower</w:t>
      </w:r>
      <w:r>
        <w:rPr>
          <w:rFonts w:ascii="Times New Roman" w:hAnsi="Times New Roman"/>
          <w:color w:val="000000"/>
          <w:sz w:val="20"/>
        </w:rPr>
        <w:t xml:space="preserve"> is a global leader in contingent staffing and permanent recruitment, providing strategic and operational flexibility to organizations and connecting people to meaningful work while helping them develop skills to stay employable. With our data driven insight into people’s motivation, skills adjacencies, and performance potential, we provide learning programs, on the job training and market based certifications for rapid reskilling and upskilling at scale.</w:t>
      </w:r>
    </w:p>
    <w:p>
      <w:pPr>
        <w:pStyle w:val="TextBody"/>
        <w:bidi w:val="0"/>
        <w:spacing w:before="200" w:after="283"/>
        <w:jc w:val="both"/>
        <w:rPr>
          <w:rFonts w:ascii="Times New Roman" w:hAnsi="Times New Roman"/>
          <w:sz w:val="20"/>
        </w:rPr>
      </w:pPr>
      <w:r>
        <w:rPr>
          <w:rFonts w:ascii="Times New Roman" w:hAnsi="Times New Roman"/>
          <w:b/>
          <w:color w:val="000000"/>
          <w:sz w:val="20"/>
        </w:rPr>
        <w:t>Experis</w:t>
      </w:r>
      <w:r>
        <w:rPr>
          <w:rFonts w:ascii="Times New Roman" w:hAnsi="Times New Roman"/>
          <w:color w:val="000000"/>
          <w:sz w:val="20"/>
        </w:rPr>
        <w:t xml:space="preserve"> is a global leader in information technology (IT) professional resourcing and project services specializing in Enterprise Applications, Business Transformation, Cloud and Infrastructure, Digital Workspace and Cyber Security. As digital transformation and skills shortages continue in the technology field, Experis provides talent with the combination of in-demand technical skills together with the soft skills that are critical for business success.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Talent Solutions</w:t>
      </w:r>
      <w:r>
        <w:rPr>
          <w:rFonts w:ascii="Times New Roman" w:hAnsi="Times New Roman"/>
          <w:color w:val="000000"/>
          <w:sz w:val="20"/>
        </w:rPr>
        <w:t xml:space="preserve"> combines leading global offerings Recruitment Process Outsourcing (RPO), TAPFIN - Managed Service Provider (MSP) and Right Management to provide data-driven capabilities that help organizations with their workforce transformation. Talent Solutions helps organizations more effectively source, manage and develop talent at scale. From talent attraction and acquisition to upskilling, development and retention, we leverage our integrated HR tech stack PowerSuite to deliver workforce solutions across multiple countries at scale.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leadership position enables us to be a pathway to quality employment opportunities for people at all points in their career journey and we have connected people to meaningful work for 75 years. Governments and policy makers in the markets where we operate look to us to provide employment advice, opportunities and training to assist the unemployed in gaining the skills they need to enter the workforce, providing a bridge to employment and helping build more sustainable communities.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and our predecessors, have been in business since 1948 when we were incorporated as a Wisconsin corporation, and have had our shares listed on the New York Stock Exchange since 1967.</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Our website address is </w:t>
      </w:r>
      <w:r>
        <w:rPr>
          <w:rFonts w:ascii="Times New Roman" w:hAnsi="Times New Roman"/>
          <w:sz w:val="20"/>
        </w:rPr>
        <w:t>www.manpowergroup.com</w:t>
      </w:r>
      <w:r>
        <w:rPr>
          <w:rFonts w:ascii="Times New Roman" w:hAnsi="Times New Roman"/>
          <w:color w:val="000000"/>
          <w:sz w:val="20"/>
        </w:rPr>
        <w:t>. The Investor Relations section (</w:t>
      </w:r>
      <w:r>
        <w:rPr>
          <w:rFonts w:ascii="Times New Roman" w:hAnsi="Times New Roman"/>
          <w:sz w:val="20"/>
        </w:rPr>
        <w:t>investor.manpowergroup.com</w:t>
      </w:r>
      <w:r>
        <w:rPr>
          <w:rFonts w:ascii="Times New Roman" w:hAnsi="Times New Roman"/>
          <w:color w:val="000000"/>
          <w:sz w:val="20"/>
        </w:rPr>
        <w:t>) provides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 In addition, we also make available through our website: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amended and restated articles of incorporation and amended and restated bylaws;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ManpowerGroup code of business conduct and ethics;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corporate governance guidelines;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insider trading policy;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anti-corruption policy;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charters of the Audit, People, Culture &amp; Compensation and Governance &amp; Sustainability Committees of the Board of Directors;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guidelines for selecting board candidates;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categorical standards for relationships deemed not to impair independence of non-employee directors;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independent auditors' services policy;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executive officer stock ownership guidelines;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outside director stock ownership guidelines;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our regular updates on ESG (environmental, social, governance).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Documents available on the website are also available in print for any shareholder who requests them. Requests may be made by writing to Richard Buchband, Secretary, ManpowerGroup, 100 Manpower Place, Milwaukee, Wisconsin 53212. We are not including the information contained on or available through our website as a part of, or incorporating such information by reference into, this Annual Report on Form 10-K.</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Our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workforce solutions and staffing services while demand for our outplacement services typically declines. During periods of increasing demand, we are generally able to improve our profitability and operating leverage as our cost base can support some increase in business without a similar increase in selling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Correspondingly, during periods of weak economic growth or economic contraction, the demand for our staffing services typically declines, while demand for our outplacement services typically accelerates. When demand drops, our operating profit is typically impacted unfavorably as we experience a deleveraging of our selling and administrative expense base as expenses may not decline at the same pace as revenues. In periods of economic contraction, we may have more significant expense deleveraging, as we believe it is prudent not to reduce selling and administrative expenses to levels that could negatively impact the long-term potential of our branch network and brands.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nature of our operations is such that our most significant current asset is accounts receivable, with a days sales outstanding of 54 days as of December 31, 2023. Our most significant current liabilities are payroll related costs, which are generally paid either weekly or monthly. As the demand for our services increases, we generally see an increase in our working capital needs, as we continue to pay our associates on a weekly or monthly basis while the related accounts receivable is outstanding for much longer, which may result in a decline in operating cash flows.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Conversely, as the demand for our services declines, we generally experience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While this may result in an increase in our operating cash flows, longer payment terms and timing of payroll, tax and supplier related payments significantly impact our cash positions and cash flows each period. Any increase in operating cash flows from an economic slowdown would not be sustained in the event that a downturn continues for an extended period.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Due to our industry’s sensitivity to economic factors, the inherent difficulty in forecasting the direction and strength of the economy and the short-term nature of staffing assignments, it is difficult to forecast future demand for our services with certainty. As a result, we monitor a number of economic indicators, as well as recent business trends, to predict future revenue trends for each of the countries and territories where we operate. Based upon these anticipated trends, we determine what level of personnel and office investments are necessary to take full advantage of growth opportunities.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last several years, secular trends toward greater workforce flexibility have impacted the demand for our innovative workforce solutions and services around the world. As companies attempt to increase the variability of their cost base, the workforce solutions we provide help them to effectively address the fluctuating demand for their products or services. As the global economy continues to grow and adapt with new technology, we are helping clients manage their workforce transformation and ensure they have the right skills now and in the future. Whether it is through workforce assessments, targeted training or by creating longer-term development paths, we help organizations and candidates adapt their skills to changing workforce needs.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portfolio of recruitment services includes permanent, temporary and contract recruitment of professionals, as well as administrative, industrial and IT professional positions. These services are provided under our Manpower and Experis brands. We have provided services under our core Manpower brand for 75 years with a primary focus on the areas of office and industrial services and solutions. Our Talent Based Outsourcing offering within our Manpower brand includes outcome-based solutions such as management of financial and administrative processes, including call center and customer service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provide IT resourcing and services under our Experis brand. Our experience and expertise allow us to accurately assess candidates’ workplace potential and technical skills to match them to the needs of our clients. We plan to continue to build our Experis brand and attract the talent our clients need as skills shortages arise or continue.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Talent Solutions brand specializes in the delivery of customized workforce strategies and new solutions and creating added value that addresses our clients’ complex global workforce needs. Through our RPO offering, we manage customized, large-scale recruiting and workforce productivity initiatives for clients through exclusive outsourcing contracts. We can manage a single element or all of a client's permanent recruiting and hiring processes, from job profiling to on-boarding, globally or in a single location. MSP services include overall program management, reporting and tracking, supplier selection and management and order distribution. The MSP and RPO offerings both provide specialty expertise in contingent workforce management and broader administrative functions. Our Right Management offering includes our career management services that have historically been counter-cyclical to our staffing services, which helps to offset the impact of an economic downturn on our overall financial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Americas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provide services as Manpower, Experis and Talent Solutions through both branch and franchise offices. The Americas segment had 425 branch and 138 franchise offices as of December 31, 2023. In the United States, where we realized 67% of the Americas’ revenue, we had 286 branch and 131 franchise offices as of December 31, 2023, as well as on-site locations at clients with significant permanent, temporary and contract recruitment requirements. In Other Americas, the largest operations of which include Canada, Mexico and Argentina, we had 139 branch and 7 franchise offices as of December 31, 2023. We provide a number of central support services to our branches and franchises, which enable us to maintain consistent service quality throughout the region regardless of whether an office is a branch or franchise.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franchise agreements provide the franchisee with the right to use the Manpower® service mark in a specifically defined exclusive territory. In the United States, franchise fees generally range from 2% to 3% of franchisee sales. Our franchise agreements provide that in the event of a proposed sale of a franchise to a third party, we have the right to acquire the franchise at the same price and on the same terms as proposed by the third party. We have exercised this right in the past and may do so in the future if opportunities arise.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Manpower and Experis operations provide a variety of workforce solutions and services, including permanent, temporary and contract recruitment, assessment and selection, and training. Our Talent Solutions operations provide a variety of workforce solutions offerings including RPO, MSP and Right Management. During 2023 in this segment, approximately 91% of revenues were derived from our staffing/interim services, 4% from permanent recruitment services, 1% from outcome-based solutions and consulting and 4% from other services.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Southern Europe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 leading provider of permanent, temporary and contract recruitment, assessment and selection, training and outsourcing services throughout Europe. The Southern Europe segment had 1,139 branch offices as of December 31, 2023. Our largest operations in this segment are in France (57% of the segment revenue) and Italy (20% of the segment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conduct our operations in France as a leading workforce solutions and service provider through 607 branch offices as Manpower, Experis and Talent Solutions, and 169 branch offices under the name Supplay as of December 31, 2023. The employment services market in France calls for a wide range of our services including permanent, temporary and contract recruitment, assessment and selection, and training. The temporary recruitment market is predominantly focused on recruitment for industrial positions. During 2023 in France, approximately 92% of revenues were derived from our staffing/interim services, 1% from permanent recruitment services, 6% from outcome-based solutions and consulting and 1% from other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Italy, we are a leading workforce solutions and services provider. As of December 31, 2023, ManpowerGroup Italy conducted operations through a network of 205 branch offices. It provides a comprehensive suite of workforce solutions and services offered through Manpower, Experis or Talent Solutions, including permanent, temporary and contract recruitment, assessment and selection, training and outsourcing. During 2023 in Italy, approximately 93% of revenues were derived from our staffing/interim services, 3% from permanent recruitment services, 2% from outcome-based solutions and consulting and 2% from other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Northern Europe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largest operations in Northern Europe are in the United Kingdom, the Nordics, Germany, the Netherlands and Belgium providing a comprehensive suite of workforce solutions and services through Manpower, Experis, and Talent Solutions. Collectively, we operate through 285 branch offices in this region.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the United Kingdom, where we have the largest operation in this segment, we are a leading provider of workforce solutions and services. As of December 31, 2023, we conducted operations in the United Kingdom as Manpower, Experis and Talent Solutions through a network of 54 branch offices and also provided on-site services to clients who have significant permanent, temporary and contract recruitment requirements. In the United Kingdom, we also conduct operations as Brook Street Bureau PLC, or Brook Street. Its core business is secretarial, office and light industrial recruitment. Brook Street operates as a local network of branches and competes primarily with local or regional independents. Brook Street’s revenues are comprised of temporary and contract placements as well as permanent recruitment.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2023 in Northern Europe, approximately 84% of revenues were derived from our staffing/interim services, 4% from permanent recruitment services, 9% from outcome-based solutions and consulting and 3% from other services.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APME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operate through 121 branch offices in the Asia Pacific Middle East (APME) region. The largest of these operations are located in Japan, India, Korea and Australia, all of which operate through branch offices. Our APME operations provide a variety of workforce solutions and services offered through Manpower, Experis and Talent Solutions, including permanent, temporary and contract recruitment, assessment and selection, training and outsourcing. During 2023 in this segment, approximately 77% of revenues were derived from our staffing/interim services, 5% from permanent recruitment services, 16% from outcome-based solutions and consulting and 2% from other services.</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Competition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compete in the employment services industry by offering a broad range of services, including permanent, temporary and contract recruitment, project-based workforce solutions, assessment and selection, training, career and talent management, managed service solutions, outsourcing, consulting and professional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industry is large and fragmented, comprised of thousands of firms employing millions of people and generating billions of United States dollars in annual revenues. In most areas, no single company has a dominant share of the employment services market. In addition to us, the largest publicly owned companies specializing in recruitment services are The Adecco Group and Randstad. We also compete against a variety of regional or specialized companies such as Recruit Holdings, Allegis Group, Kelly Services, Robert Half, Kforce, PageGroup, Korn/Ferry International and Alexander Mann. It is a highly competitive industry, reflecting several trends in the global marketplace such as the increasing demand for skilled people, employers’ desire for more flexible working models and consolidation among clients and in the employment services industry itself, as well as low entry costs for small firms wishing to compete in the industry, especially at the local level. We manage these trends by leveraging established strengths, including several of the employment services industry’s most recognized and respected brands; geographic diversification; size and service scope; an innovative product mix; recruiting and assessment expertise; and a strong client base. While staffing is an important aspect of our business, our strategy is focused on providing both the skilled employees our clients need and higher-value workforce management, outsourcing and consulting solutions.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client mix consists of both small- and medium-size businesses, and large national and multinational clients. Client relationships with small- and medium-size businesses are based on a local or regional relationship, and tend to rely less on longer-term contracts, and the competitors for this business are primarily locally-owned businesses. On the other hand, the large national and multinational clients, which comprised approximately 60% of our revenues in 2023, will frequently enter into non-exclusive arrangements with several firms, with the ultimate choice among them being left to local managers. As a result, employment services firms with a large network of offices compete most effectively for this business which generally has agreed-upon pricing or mark-up on services performed.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Legal Regulations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employment services industry is closely regulated in all of the major markets in which we operate, except the United States, the United Kingdom, Canada and Australia. Employment services firms are generally subject to one or more of the following types of government regulation: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regulation of the employer/employee relationship between the firm and its temporary and contract employees;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registration, licensing, record keeping and reporting requirements;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substantive limitations on the operations or the use of temporary and contract employees by clients;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regulation that requires new or additional benefits and pay parity for our associates.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many markets, the existence or absence of collective bargaining agreements with labor organizations has a significant impact on our operations and the ability of clients to use our services. In some markets, labor agreements are structured on an industry-wide, rather than company-by-company, basis. Changes in these collective bargaining agreements have occurred in the past and are expected to occur in the future and may have a material impact on the operations of employment services firms, including 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most countries, workforce solutions and services firms are considered the legal employers of temporary and contract workers. Therefore, laws regulating the employer/employee relationship, such as tax withholding or reporting, social security or retirement, health and other benefits, anti-discrimination and workers’ compensation, govern the firm.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many countries, particularly in continental Europe and Asia, entry into the employment services market is restricted by the requirement to register with, or obtain licenses from, a government agency. In addition, a wide variety of ministerial requirements may be imposed, such as record keeping, written contracts and reporting. The United States, United Kingdom and Canada do not presently have any form of national registration or licensing requirement.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licensing or registration requirements, many countries impose substantive restrictions on the use of temporary and contract workers. Such restrictions include regulations affecting the types of work permitted, the maximum length of assignment, wage levels or reasons for which temporary and contract workers may be employed. In some countries, special taxes, fees or costs are imposed in connection with the use of temporary and contract workers. For example, temporary and contract workers in France are entitled to a 10% allowance for the uncertain duration of employment, which is eliminated if a full-time position is offered to them after assignment termination.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outplacement and consulting services generally are not subject to governmental regulation in the markets in which we operate.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United States, we are subject to various federal and state laws relating to franchising, principally the Federal Trade Commission’s Franchise Rules and analogous state laws which impact our agreements with our franchised operations. These laws and related rules and regulations impose specific disclosure requirements. Virtually all states also regulate the termination of franchises.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Changes in applicable laws or regulations have occurred in the past and are expected in the future to affect the extent to which workforce solutions and services firms may operate. These changes could impose additional costs, taxes, record keeping or reporting requirements; restrict the tasks to which contingent workers may be assigned; limit the duration of or otherwise impose restrictions on the nature of the relationship (with us or the client); or otherwise adversely affect the industry.</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Trademarks</w:t>
      </w:r>
    </w:p>
    <w:p>
      <w:pPr>
        <w:pStyle w:val="TextBody"/>
        <w:bidi w:val="0"/>
        <w:spacing w:before="200" w:after="283"/>
        <w:jc w:val="both"/>
        <w:rPr>
          <w:rFonts w:ascii="Times New Roman" w:hAnsi="Times New Roman"/>
          <w:sz w:val="20"/>
        </w:rPr>
      </w:pPr>
      <w:r>
        <w:rPr>
          <w:rFonts w:ascii="Times New Roman" w:hAnsi="Times New Roman"/>
          <w:color w:val="000000"/>
          <w:sz w:val="20"/>
        </w:rPr>
        <w:t>We maintain a number of registered trademarks, trade names and service marks in the United States and various other countries and territories. We believe that many of these marks and trade names, including ManpowerGroup</w:t>
      </w:r>
      <w:r>
        <w:rPr>
          <w:rFonts w:ascii="Times New Roman" w:hAnsi="Times New Roman"/>
          <w:color w:val="000000"/>
          <w:sz w:val="13"/>
        </w:rPr>
        <w:t>®</w:t>
      </w:r>
      <w:r>
        <w:rPr>
          <w:rFonts w:ascii="Times New Roman" w:hAnsi="Times New Roman"/>
          <w:color w:val="000000"/>
          <w:sz w:val="20"/>
        </w:rPr>
        <w:t>, Manpower</w:t>
      </w:r>
      <w:r>
        <w:rPr>
          <w:rFonts w:ascii="Times New Roman" w:hAnsi="Times New Roman"/>
          <w:color w:val="000000"/>
          <w:sz w:val="13"/>
        </w:rPr>
        <w:t>®</w:t>
      </w:r>
      <w:r>
        <w:rPr>
          <w:rFonts w:ascii="Times New Roman" w:hAnsi="Times New Roman"/>
          <w:color w:val="000000"/>
          <w:sz w:val="20"/>
        </w:rPr>
        <w:t>, Experis</w:t>
      </w:r>
      <w:r>
        <w:rPr>
          <w:rFonts w:ascii="Times New Roman" w:hAnsi="Times New Roman"/>
          <w:color w:val="000000"/>
          <w:sz w:val="13"/>
        </w:rPr>
        <w:t>®</w:t>
      </w:r>
      <w:r>
        <w:rPr>
          <w:rFonts w:ascii="Times New Roman" w:hAnsi="Times New Roman"/>
          <w:color w:val="000000"/>
          <w:sz w:val="20"/>
        </w:rPr>
        <w:t>, Right Management</w:t>
      </w:r>
      <w:r>
        <w:rPr>
          <w:rFonts w:ascii="Times New Roman" w:hAnsi="Times New Roman"/>
          <w:color w:val="000000"/>
          <w:sz w:val="13"/>
        </w:rPr>
        <w:t>®</w:t>
      </w:r>
      <w:r>
        <w:rPr>
          <w:rFonts w:ascii="Times New Roman" w:hAnsi="Times New Roman"/>
          <w:color w:val="000000"/>
          <w:sz w:val="20"/>
        </w:rPr>
        <w:t>, Brook Street</w:t>
      </w:r>
      <w:r>
        <w:rPr>
          <w:rFonts w:ascii="Times New Roman" w:hAnsi="Times New Roman"/>
          <w:color w:val="000000"/>
          <w:sz w:val="13"/>
        </w:rPr>
        <w:t>®</w:t>
      </w:r>
      <w:r>
        <w:rPr>
          <w:rFonts w:ascii="Times New Roman" w:hAnsi="Times New Roman"/>
          <w:color w:val="000000"/>
          <w:sz w:val="20"/>
        </w:rPr>
        <w:t>, Jefferson Wells</w:t>
      </w:r>
      <w:r>
        <w:rPr>
          <w:rFonts w:ascii="Times New Roman" w:hAnsi="Times New Roman"/>
          <w:color w:val="000000"/>
          <w:sz w:val="13"/>
        </w:rPr>
        <w:t>®</w:t>
      </w:r>
      <w:r>
        <w:rPr>
          <w:rFonts w:ascii="Times New Roman" w:hAnsi="Times New Roman"/>
          <w:color w:val="000000"/>
          <w:sz w:val="20"/>
        </w:rPr>
        <w:t>, Supplay</w:t>
      </w:r>
      <w:r>
        <w:rPr>
          <w:rFonts w:ascii="Times New Roman" w:hAnsi="Times New Roman"/>
          <w:color w:val="000000"/>
          <w:sz w:val="13"/>
        </w:rPr>
        <w:t>®</w:t>
      </w:r>
      <w:r>
        <w:rPr>
          <w:rFonts w:ascii="Times New Roman" w:hAnsi="Times New Roman"/>
          <w:color w:val="000000"/>
          <w:sz w:val="20"/>
        </w:rPr>
        <w:t>, PowerSuite</w:t>
      </w:r>
      <w:r>
        <w:rPr>
          <w:rFonts w:ascii="Times New Roman" w:hAnsi="Times New Roman"/>
          <w:color w:val="000000"/>
          <w:sz w:val="13"/>
        </w:rPr>
        <w:t xml:space="preserve">® </w:t>
      </w:r>
      <w:r>
        <w:rPr>
          <w:rFonts w:ascii="Times New Roman" w:hAnsi="Times New Roman"/>
          <w:color w:val="000000"/>
          <w:sz w:val="20"/>
        </w:rPr>
        <w:t>and MyPath</w:t>
      </w:r>
      <w:r>
        <w:rPr>
          <w:rFonts w:ascii="Times New Roman" w:hAnsi="Times New Roman"/>
          <w:color w:val="000000"/>
          <w:sz w:val="13"/>
        </w:rPr>
        <w:t xml:space="preserve">® </w:t>
      </w:r>
      <w:r>
        <w:rPr>
          <w:rFonts w:ascii="Times New Roman" w:hAnsi="Times New Roman"/>
          <w:color w:val="000000"/>
          <w:sz w:val="20"/>
        </w:rPr>
        <w:t>have significant value and are materially important to our business. In addition, we maintain other intangible property rights. The trademarks have been assigned an indefinite life based on our expectation of renewing the trademarks, as required, without material modifications and at a minimal cost, and our expectation of positive cash flows beyond the foreseeable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Employees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had approximately 27,900 full-time equivalent employees as of December 31, 2023. In addition, we recruit millions of permanent, temporary and contract workers on a worldwide basis each year on behalf of our clients.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described above, in most jurisdictions, we, as the employer of our temporary and contract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and contract employees.</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Human Capital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We Are a Workforce Solutions and Human Capital Company.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Human capital management is at the core of our business. Our purpose is to provide meaningful and sustainable employment and is rooted in our values: People, Knowledge and Innovation. Our 27,900 employees, spanning approximately 75 countries, help improve the lives of more than 500,000 workers daily by providing guidance, advice, assessments, coaching, upskilling, reskilling and pathways to long-term sustainable employment. These efforts support local economies by increasing employability and opportunity for the millions of lives that we reach each year.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Through our ESG report </w:t>
      </w:r>
      <w:r>
        <w:rPr>
          <w:rFonts w:ascii="Times New Roman" w:hAnsi="Times New Roman"/>
          <w:i/>
          <w:color w:val="000000"/>
          <w:sz w:val="20"/>
        </w:rPr>
        <w:t>Working to Change the World</w:t>
      </w:r>
      <w:r>
        <w:rPr>
          <w:rFonts w:ascii="Times New Roman" w:hAnsi="Times New Roman"/>
          <w:color w:val="000000"/>
          <w:sz w:val="20"/>
        </w:rPr>
        <w:t>, we report progress on our People &amp; Prosperity pillar, where we are focused on being Creators of Talent at Scale, championing diversity, equity, inclusion and belonging, and improving employability and prosperity. For 75 years, we have developed global insights on the issues and trends impacting organizations and individuals in today’s fast changing world of work. Our own research and solutions, coupled with partnerships with clients and Non-Governmental Organizations (e.g. World Economic Forum, World Employment Confederation and Junior Achievement, among others), enable us to advance the global discussion around the future of work and future for workers. These include the impact of digitization and generative AI, the green transition and shift in in-demand skills, exacerbating talent shortages, and the increased need for reskilling and upskilling. Our most recent annual Talent Shortage Survey reported that 75% of companies cannot find the skilled workers they need.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We Seek to Create Talent at Scale.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Manpower MyPath program is designed to deliver targeted upskilling at speed and scale to our Manpower associates in order to accelerate their employability at higher wage levels, while also growing the pool of in-demand talent for our clients. Through this program, Manpower recruiters provide personalized and data-driven guidance, development, training, and access to jobs especially in growth sectors including advanced manufacturing, information technology, supply chain and customer service. MyPath has impacted over 240,000 lives through 2023, and MyPath associates now represent 36% of our associate talent pool, across nearly 13,000 clients and 12 markets.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also targeting the creation of IT talent through our Experis Academy. This accelerated development program features custom-designed curricula to upskill people into specialized roles that can meet the demand for cloud, infrastructure, business transformation and digital workforces skills. Paired with coaching and soft skills training, upon completion most Academy graduates receive a permanent job offer from our clients. Through the end of 2023, we have graduated more than 1,900 developers while also bridging the skills gaps for more than 170 tech companies across 17 countries.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We Are Focused on Championing DEIB (Diversity, Equity, Inclusion, Belonging), Strengthening Our Culture and Developing Our People.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Our Global Footprint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a global footprint, though our teams are managed locally: 30% of our people are in the Americas, 32% in Southern Europe, 21% in Northern Europe and 17% in Asia Pacific/Middle East.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Championing DEIB</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that all people deserve to feel safe, respected and able to thrive in the workplace. Our focus on DEIB encompasses four goals: (1) globally, support gender diversity at leadership levels; (2) locally, address a second dimension of diversity based on gaps or opportunities within a country; (3) culturally, foster an inclusive environment that supports our diverse workforce; and (4) societally, advance employment security for workers while promoting upskilling, well-being, flexibility and income opportunity.</w:t>
        <w:b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that diversity starts at the top. Our Board of Directors has exceeded 30% gender diversity for more than 10 years, is as of December 31, 2023, 17% racially diverse and 42% non-US born. Our Executive Leadership Team, which reports directly to the CEO, is 30% women, 40% racially diverse and 70% non-US born. Our Global Leadership Team, the top 95 leaders in the company, is 34% women.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gender parity aspiration is 50% at the global leadership level by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Gender diversity is our primary DEIB goal across all markets; in addition, our 17 largest markets have also established secondary diversity targets. These have been developed to reflect socio-economic challenges, cultural references and data privacy requirements specific to each of these countries. Examples include: First Nations representation in Australia, people with disabilities in Japan, young people in Mexico, LGBTQ+ in the Netherlands, age diversity in Spain, and racial and ethnic diversity in the 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Championing DEIB in our workplaces also means that we prioritize people’s health and wellbeing and have committed to flexible work models across the globe to attract, engage and retain our people. In a number of markets, we have launched initiatives and trained our managers to promote greater awareness of mental wellbeing.</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Developing our People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believe our success in creating value for individuals and organizations around the world will depend on our ability to leverage the potential of our own people. We are investing in our people to support both our strategic ambitions and their personal goals.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2023, we continued to broaden and deepen our investment through our Leadership Development Programs, incorporating the 3 E’s of our development philosophy: Education, Exposure and Experience.</w:t>
        <w:b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 our Future Leader Program (FLP) that targets individual contributors wanting to take on their first managerial role, 198 employees completed this program in 2023 - and a total of 832 employees have completed the program since its inception in 2019.</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 our Accelerated Leadership Program (XLP) that targets current managers ready to move into bigger or more complex roles, 58 employees completed this program in 2023 - and a total of 90 employees have completed the program since it began in 2022.</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For our Strategic Leadership Program (SLP) that focuses on senior leaders to prepare them to move into the Global Leadership team, 20 employees completed program in 2023 and a total of 42 employees have completed the program since it began in 2022.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completion of these programs, the majority of our people have made positive leadership career moves.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Strengthening our Culture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Encouraging active engagement among our workforce is important for nurturing a strong and inclusive culture. We believe regular pulse surveys offer valuable insights into employee sentiments, spanning various areas such as the effectiveness of our People &amp; Culture strategy, leadership assessments, ethics, values, and developmental opportunities. In 2023, we furthered our Culture Matters initiative by refining and incorporating these behaviors into Our Standards. Our business strategy guides our actions for achieving our goals, and the behaviors in Our Standards—Clarity, Care, and Grow— illustrate how we execute these strategies. We believe our global leaders should provide clarity to our people and our clients, care about themselves and others through our people practices, and make decisions that grow our business and ourselves. Our core belief is that for ManpowerGroup to be successful, each of us needs to be accountable to delivering on these at all levels of our organization.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Additionally, we remain committed to innovation and in 2023, we introduced a new survey platform with expanded data analytics capabilities. Our first pulse survey targeted a small population of leaders within ManpowerGroup globally. With a response rate of approximately 70%, and over 200 comments, leaders provided insight into how they view the strength of our strategy. </w:t>
        <w:b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Annual Report on Form 10-K contains forward-looking statements within the meaning of Section 27A of the Securities Act of 1933, as amended, and Section 21E of the Exchange Act of 1934, as amended, (each a "forward-looking statement"). Statements made in this report that are not statements of historical fact are forward-looking statements. In addition, from time to time, we and our representatives may make statements that are forward-looking. Forward-looking statements are based on management’s current assumptions and expectations and are subject to risks and uncertainties that are beyond our control. This section provides you with cautionary statements identifying, for purposes of the safe harbor provisions of the Private Securities Litigation Reform Act of 1995, important factors that could materially adversely affect our business, operational and financial results and cash flows. In addition, these factors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 We caution that any forward-looking statement reflects only our belief at the time the statement is made. We undertake no obligation to update any forward-looking statements to reflect subsequent events or circumstances.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are some of the factors that could materially adversely affect our business, operational and financial results and cash flows or cause actual results to differ materially from estimates contained in our forward-looking statements. Risks in this section are grouped in the following categories: (1) Company and Operational Risks; (2) Strategic Risks; (3) Financial and Market Risks; and (4) Regulatory and Legal Risks. Many risks affect more than one category, and the risks are not in order of significance or probability of occurrence because they have been grouped by categories. </w:t>
      </w:r>
    </w:p>
    <w:p>
      <w:pPr>
        <w:pStyle w:val="TextBody"/>
        <w:bidi w:val="0"/>
        <w:spacing w:before="200" w:after="283"/>
        <w:jc w:val="both"/>
        <w:rPr>
          <w:rFonts w:ascii="Times New Roman" w:hAnsi="Times New Roman"/>
          <w:b/>
          <w:i/>
          <w:color w:val="000000"/>
          <w:sz w:val="20"/>
          <w:u w:val="single"/>
        </w:rPr>
      </w:pPr>
      <w:r>
        <w:rPr>
          <w:rFonts w:ascii="Times New Roman" w:hAnsi="Times New Roman"/>
          <w:b/>
          <w:i/>
          <w:color w:val="000000"/>
          <w:sz w:val="20"/>
          <w:u w:val="single"/>
        </w:rPr>
        <w:t>Company and Operational Risks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Volatile, negative or uncertain economic conditions;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Inability to timely operate our business or respond to the needs of our clients;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Competition in the worldwide employment services industry limiting our ability to maintain or increase market share or profitability;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Cyberattack or improper disclosure or loss of sensitive or confidential company, employee, associate or client data, including personal data;</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Disruption, increased costs and reputational risk from outsourcing various aspects of our business;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loss or reduction in revenues from one or more large clients;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Loss of key personnel;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Competition in labor markets limiting our ability to attract, train and retain the personnel necessary to meet our clients’ staffing needs;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Political unrest, natural disasters, health crises, infrastructure disruptions and other risks beyond our control;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preserve our reputation in the marketplace;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client attitudes toward the use of our services or our industry;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Limited ability to protect our thought leadership and other intellectual property.</w:t>
      </w:r>
    </w:p>
    <w:p>
      <w:pPr>
        <w:pStyle w:val="TextBody"/>
        <w:bidi w:val="0"/>
        <w:jc w:val="both"/>
        <w:rPr/>
      </w:pPr>
      <w:r>
        <w:rPr/>
        <w:t> </w:t>
      </w:r>
    </w:p>
    <w:p>
      <w:pPr>
        <w:pStyle w:val="TextBody"/>
        <w:bidi w:val="0"/>
        <w:jc w:val="both"/>
        <w:rPr>
          <w:rFonts w:ascii="Times New Roman" w:hAnsi="Times New Roman"/>
          <w:b/>
          <w:i/>
          <w:color w:val="000000"/>
          <w:sz w:val="20"/>
          <w:u w:val="single"/>
        </w:rPr>
      </w:pPr>
      <w:r>
        <w:rPr>
          <w:rFonts w:ascii="Times New Roman" w:hAnsi="Times New Roman"/>
          <w:b/>
          <w:i/>
          <w:color w:val="000000"/>
          <w:sz w:val="20"/>
          <w:u w:val="single"/>
        </w:rPr>
        <w:t>Strategic Risks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Inability to effectively implement our business strategy or achieve our objectives;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Failure to keep pace with technological change and marketplace demand in the development and implementation of our services and solutions;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ESG strategy exposes us to business risks;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Costs or disruptions resulting from acquisitions we complete;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Risks related to dispositions we may undertake via sales, franchises, joint ventures or other exit activities.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i/>
          <w:color w:val="000000"/>
          <w:sz w:val="20"/>
          <w:u w:val="single"/>
        </w:rPr>
      </w:pPr>
      <w:r>
        <w:rPr>
          <w:rFonts w:ascii="Times New Roman" w:hAnsi="Times New Roman"/>
          <w:b/>
          <w:i/>
          <w:color w:val="000000"/>
          <w:sz w:val="20"/>
          <w:u w:val="single"/>
        </w:rPr>
        <w:t>Financial and Market Risks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Foreign currency fluctuations;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Inability to meet our liquidity or working capital needs;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Inability to maintain effective internal controls;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Material adverse effects on our operating flexibility resulting from our debt levels;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Failure to comply with restrictive covenants under our revolving credit facilities and other debt instruments;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Inability to obtain credit on terms acceptable to us or at all;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performance of our subsidiaries and their ability to distribute cash to our parent company, ManpowerGroup, may vary;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Inability to secure guarantees or letters of credit on acceptable terms;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tax legislation;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Fluctuation of our stock price.</w:t>
      </w:r>
    </w:p>
    <w:p>
      <w:pPr>
        <w:pStyle w:val="TextBody"/>
        <w:bidi w:val="0"/>
        <w:jc w:val="both"/>
        <w:rPr/>
      </w:pPr>
      <w:r>
        <w:rPr/>
        <w:t> </w:t>
      </w:r>
    </w:p>
    <w:p>
      <w:pPr>
        <w:pStyle w:val="TextBody"/>
        <w:bidi w:val="0"/>
        <w:jc w:val="both"/>
        <w:rPr>
          <w:rFonts w:ascii="Times New Roman" w:hAnsi="Times New Roman"/>
          <w:b/>
          <w:i/>
          <w:color w:val="000000"/>
          <w:sz w:val="20"/>
          <w:u w:val="single"/>
        </w:rPr>
      </w:pPr>
      <w:r>
        <w:rPr>
          <w:rFonts w:ascii="Times New Roman" w:hAnsi="Times New Roman"/>
          <w:b/>
          <w:i/>
          <w:color w:val="000000"/>
          <w:sz w:val="20"/>
          <w:u w:val="single"/>
        </w:rPr>
        <w:t>Regulatory and Legal Risks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Challenges meeting contractual obligations if we or third parties fail to deliver on performance commitments;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Legal regulations in places we do business or the regulatory prohibition or restriction of employment services or the imposition of additional licensing or tax requirements;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Failure to comply with anti-corruption and bribery laws;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Legal claims, including employment-related claims, from clients or third parties;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Liability resulting from competition law;</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Provisions under Wisconsin law and our articles of incorporation and bylaws could make the takeover of our Company more difficult;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Other factors that may be disclosed below or from time to time in our SEC filings or otherwise.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 FACTORS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the other information set forth in this report, you should carefully consider the following factors which could materially adversely affect our business, financial condition, results of operations (including revenues and profitability) or stock price. Our business is also subject to general risks and uncertainties that may broadly affect companies. Additional risks and uncertainties not currently known to us or that we currently deem to be immaterial also could materially adversely affect our business, financial condition, results of operations or stock price.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u w:val="single"/>
        </w:rPr>
      </w:pPr>
      <w:r>
        <w:rPr>
          <w:rFonts w:ascii="Times New Roman" w:hAnsi="Times New Roman"/>
          <w:b/>
          <w:i/>
          <w:color w:val="000000"/>
          <w:sz w:val="20"/>
          <w:u w:val="single"/>
        </w:rPr>
        <w:t>Company and Operational Risks</w:t>
      </w:r>
    </w:p>
    <w:p>
      <w:pPr>
        <w:pStyle w:val="TextBody"/>
        <w:bidi w:val="0"/>
        <w:spacing w:before="200" w:after="283"/>
        <w:jc w:val="both"/>
        <w:rPr>
          <w:rFonts w:ascii="Times New Roman" w:hAnsi="Times New Roman"/>
          <w:sz w:val="20"/>
        </w:rPr>
      </w:pPr>
      <w:r>
        <w:rPr>
          <w:rFonts w:ascii="Times New Roman" w:hAnsi="Times New Roman"/>
          <w:b/>
          <w:color w:val="000000"/>
          <w:sz w:val="20"/>
        </w:rPr>
        <w:t>Our results of operations have been and may in the future be materially adversely affected by volatile, negative, or uncertain economic conditions, including the risk of recession.</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business is sensitive to changes in global macroeconomic conditions. We have at times experienced uncertainty and volatility in global economic conditions, including in rates of growth or decline in the markets we serve. Our operating countries and regions, which are increasingly interdependent, have experienced periods of volatile growth patterns or declines, and we expect that global conditions will continue to be characterized by instability and unpredictability. Such conditions have and may continue to cause our clients to reduce or defer their spending on new projects that require our solutions which could decrease demand for our various staffing services. If our business growth is slow, or if it contracts for an extended period of time, this could have a material adverse effect on our business and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profitability is sensitive to decreases in demand. Based on current macroeconomic conditions, there is a significant risk that some of our most important markets will experience a recession, which would likely be accompanied by a decline in demand for our services. When demand drops or remains low, our operating profit is impacted unfavorably as we experience a deleveraging of our selling and administrative expense base as expenses do not decline as quickly as revenues. For example, our ability to achieve cost containment through reductions in our headcount may be impeded or slowed by applicable legal requirements to consult with employee representative bodies such as works councils. In periods of decline, we may not be able to reduce selling and administrative expenses without negatively impacting the long-term potential of our branch network and brands. Additionally, some clients may slow the rate at which they pay us, or become unable to pay their obligations and our cash flow and profitability may suffer.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Economic conditions in the countries and territories where we do business may be affected by recent or emerging events, such as the rise of populism, political volatility, civil violence and unrest, election results or other changes in ruling parties or governmental leadership, trade disputes, protectionism or changes in global trade policies, capital flows, the global refugee crisis, social justice movements, energy shortages or instability in the global energy market, global health crises including COVID-19, changes in immigration policy, the impact of supply chain challenges on our clients, changes in employment policy, rising interest rates, inflation, the impact of terrorist activity, or by other political or economic developments. In addition, there is a risk the current inflationary environment and efforts to combat inflation could have an impact on the countries and territories where we do business. We are particularly susceptible to changes in demand patterns and economic conditions in Europe, which represents two of our operating segments and 64% of our revenue. </w:t>
        <w:b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is a risk that economic conditions in European markets or elsewhere may continue to be negatively impacted by geopolitical events. In recent years these have included labor unrest, civil protest, heightened trade tensions, refugee crises, the ongoing conflict between Russia and Ukraine and, most recently, the ongoing conflict between Israel and Hamas. We cannot predict the potential consequences arising from these conflicts and the further escalation of geopolitical tensions globally, including whether they could have an effect on the global economy and on our business and results of operations. Geopolitical events could give rise to the imposition of further sanctions, regional or international expansion of current conflicts, instability in energy supplies, potential retaliatory action by governments, heightened cybersecurity threats, disruptions in the global supply chain, volatility in foreign exchange rates, and inflationary pressures. Any of these events or trends could have a material adverse effect on our business and operating results, particularly our European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is a risk that even when overall global economic conditions are positive, we could experience declines in all, or in portions, of our business. During past periods of recovery, we have experienced inconsistent results, with some geographical regions, or countries within a region, suffering declines or weakness in economic activity while others improve. Differing economic conditions and patterns of economic growth or contraction may affect demand for our solutions and services, and there is a risk that, even during times of strengthening global economic conditions, we may not experience uniform, or any, increases in demand for our solutions and services within the markets where our business is concentrated.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Even without uncertainty and volatility, it is difficult for us to forecast future demand for our services due to the inherent difficulty in forecasting the direction and strength of economic cycles, and the short-term nature of many of our staffing assignments. When it is difficult for us to accurately forecast future demand, we may not be able to determine the optimal level of personnel and office investments necessary to profitably operate our business or take advantage of growth opportunities.</w:t>
        <w:b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We may lack the speed, agility, and resiliency to effectively operate our business and respond to the needs of our clients.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is a risk we may not be able to respond with sufficient speed and agility to the needs of our diverse clients, which span all industries and whose needs may change rapidly as their businesses and industries evolve. The size and breadth of our organization, comprising approximately 27,900 employees based out of over 2,100 offices in approximately 75 countries and territories, may make it difficult for us to effectively manage our resources, to maintain our corporate culture throughout the organization, to drive service improvements and to provide coordinated solutions to our clients who require our services in multiple locations. For example, client demands for uniform service across borders may be difficult to satisfy because of variation in local laws and customs. We see a trend in more multi-country and enterprise-level relationships, and we may have difficulty in profitably managing and delivering projects involving multiple countries. Also, our size and organizational structure may make it difficult to develop and implement new processes and tools across the enterprise in a consistent manner. If we are not effective at anticipating or meeting the widely ranging needs of our current and prospective clients, or our competitors are more agile or effective at doing so, our business and financial results could be materially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perform at speed, and to meet client expectations, may also be adversely affected by limitations in our own information systems and those of our third-party vendors. We are increasingly dependent on these systems, which are subject to damage or interruption from multiple causes, including power outages, facility damage, computer and telecommunications failures, vandalism, malware, hacking and other malicious acts, catastrophic events and human error. If our information systems are damaged, fail to work properly, or otherwise become unavailable, we may incur substantial costs to repair or replace them, and may experience reputational damage, loss of critical information, customer disruption, and interruptions or delays in our ability to perform essential functions and implement new and innovative services.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br/>
        <w:t>The worldwide employment services industry is highly competitive with limited barriers to entry in many markets, which could limit our ability to maintain or increase our market share or profitability.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worldwide employment services industry is highly competitive with limited barriers to entry in many markets, and in recent years has undergone significant consolidation. We compete in markets throughout the world with full-service and specialized employment services agencies. Several of our global competitors have very substantial marketing and financial resources, and may be better positioned in certain markets. Portions of our industry may become increasingly commoditized, with the result that competition in key areas could become more focused on pricing. We expect that we will continue to experience pressure on price from competitors and clients. There is a risk that we will not compete effectively, including on price, which could limit our ability to maintain or increase our market share and could materially adversely affect our financial results. This may worsen as clients increasingly take advantage of low-cost alternatives including using their own in-house resources rather than engaging a third party. The increased availability and maturation of artificial intelligence (AI) tools may enable clients to use advanced automation capabilities in lieu of services provided by our employees, contractors and associates.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We could incur liabilities or suffer reputational damage from a cyberattack or improper disclosure or loss of personal or confidential data, and our use of data is subject to complex and ever-changing privacy and cybersecurity legal requirements that could negatively impact our business or subject us to claims and/or fines for non-compliance.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operation of our business, we store, process and transmit a large amount of data, including personnel and payment data, about our employees, clients, associates and candidates, a portion of which is personal data and/or confidential data. We expect our use of data to increase, including through the use of analytics, artificial intelligence (AI) and machine learning (ML). In engaging in these data-related activities, we rely on our own technology systems and software, and those of third-party vendors we use for a variety of processes, including, but not limited to cloud-based technology and systems, mobile technologies and social media. Unauthorized access to, disclosure, modification, use or loss of personal or confidential data may occur through various methods. These include, but are not limited to, ransomware, systems failure, employee negligence or malfeasance, fraud or misappropriation, or unauthorized access to or through our information systems, whether by our employees, vendors or third parties, including a cyberattack by hackers, members of organized crime and/or state-sponsored organizations, who may develop and deploy supply chain interruptions, social engineering attacks, viruses, worms or other malicious software programs, or obtain credentials to our systems through other unrelated cyberattacks.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 incident involving disclosure, system failure, data modification, loss or security breach could harm our reputation and subject us to significant monetary damages or losses, litigation, negative publicity, regulatory enforcement actions, fines, criminal prosecution, as well as liability under our contracts and laws that protect personal and/or confidential data, resulting in increased costs or loss of revenues. Cybersecurity threats continue to increase in frequency and sophistication, thereby increasing the difficulty of detecting and defending against them. In the past, we have experienced data security breaches resulting from unauthorized access to our systems and other fraudulent activities, such as social engineering, which to date have not had a material impact on our operations or financial results. We regularly engage an independent external security firm to assess our defenses to a potential cyberattack, and these assessments may uncover new or additional vulnerabilities and weaknesses that could lead to a compromise of our systems and/or a loss of personal data. In a recent evaluation, vulnerabilities were identified that could facilitate or contribute to a security incident involving personal data. The assessment firm was able to penetrate defensive protections adopted by us, as well as protections that we obtain from third party providers. We are prioritizing the resolution of security gaps that could lead to a loss of personal data or to other damage. Despite our efforts to identify and address vulnerabilities in our systems, vulnerabilities in software products used by us are disclosed by our software providers on a daily basis, and attackers grow continuously more sophisticated in their attack methods, which may additionally make use of AI technology, making it impossible to give assurance that our cybersecurity efforts will be successful.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is a risk that our and our third-party vendors’ preventative security controls and practices will be inadequate to prevent unauthorized access to, disclosure of, or loss of personal and/or confidential data, or fraudulent activity, especially given that third party attacks have become more common. In the past, our data has been exposed due to data security breaches at our third party vendors, but to date none of these incidents have had a material impact on our operations or financial results. Any such future events, such as unauthorized access or fraudulent activity with our third parties could have a material adverse effect on our business and financial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More of our employees are working from their homes or other remote locations than before the COVID-19 pandemic, which makes it more difficult for us to monitor their activities, the security of their work locations, insider threats, and data exfiltration. This has increased the risk of security incidents, which could include unauthorized access to, disclosure of, or loss of personal and/or confidential data, as well as other types of fraudulent activity. Any such unauthorized access or fraudulent activity could have a material adverse effect on our business and financial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potential risk of security breaches, fraud and cyberattacks may increase as we continue to introduce services and offerings, whether mobile, cloud, or otherwise. Any additional services and offerings inevitably increase the potential for a cyberattack against us. Further, data privacy and cybersecurity are subject to frequently changing laws and regulations, including the European Union’s General Data Protection Regulation (the “GDPR”), the California Privacy Rights Act (the “CPRA”), and additional legislation in place, or expected to become effective, in various U.S. states and other countries. These laws and regulations are increasing in number, complexity, burden and potential financial penalties, and are often inconsistent among the various jurisdictions and countries in which we provide services. For example, the GDPR and the CPRA impose significant compliance obligations that add costs and operational burdens to our business with respect to our collection, use, storage and retention of personal data. Compliance with these obligations could reduce operational efficiency and increase our regulatory compliance costs, and failure to satisfy these requirements may lead to significant regulatory enforcement actions and/or large private litigation in the event of a security breach or other violation. Under the GDPR, the maximum fine can be up to 4% of a company’s global revenue, and there is no maximum penalty under the CPRA. In addition, our liability insurance might not be sufficient in scope or amount to cover us against claims and losses related to violations of data privacy and cybersecurity laws or security breaches, social engineering, cyberattacks and other related data disclosure, loss or breach.</w:t>
      </w:r>
    </w:p>
    <w:p>
      <w:pPr>
        <w:pStyle w:val="TextBody"/>
        <w:bidi w:val="0"/>
        <w:spacing w:before="200" w:after="283"/>
        <w:jc w:val="both"/>
        <w:rPr>
          <w:rFonts w:ascii="Times New Roman" w:hAnsi="Times New Roman"/>
          <w:sz w:val="20"/>
        </w:rPr>
      </w:pPr>
      <w:r>
        <w:rPr>
          <w:rFonts w:ascii="Times New Roman" w:hAnsi="Times New Roman"/>
          <w:b/>
          <w:color w:val="000000"/>
          <w:sz w:val="20"/>
        </w:rPr>
        <w:t>We have outsourced aspects of our business, which could result in disruption, increased costs, and reputational risk.</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increasingly outsourced, and may further outsource, important processes of our business to third party vendors, which exposes us to other risks, including increased costs, supply chain interruptions, potential disruptions to our business operations, and reputational risk. For example, we rely on third parties to host, manage and secure certain aspects of our data center information and technology infrastructure, to develop and maintain new technology for attracting, onboarding, managing, and analyzing our workforce, and to provide important back-office support. We have increasingly centralized our vendor profile so that we are reliant on a small number of vendors for highly critical corporate and technology functions. While we believe these third-party vendors provide greater efficiency and expertise, our dependence on a small number of vendors increases the risk that our business will be adversely affected if our vendors are unable to provide these services consistent with our needs. Similarly, our business continuity and our margins could be adversely affected if we needed to replace one of our critical vendors for performance or economic reasons.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operations also depend significantly upon these vendors’ and our ability to protect our data and to ensure the availability of our servers, software applications and websites. Despite our and our third-party vendors’ implementation of security measures, our systems remain susceptible to system failures, computer viruses, natural disasters, unauthorized access, cyberattacks and other similar incidents, any of which could result in disruptions to our operations. Our vendors have experienced data losses in the past, and we can expect such data incidents will occur in the future. A successful breach of the security of our technology systems, or those of our vendors, could result in the theft of confidential, personally identifiable, or other sensitive data, including data about our employees and/or associates, or our human resources operations, any of which could damage our reputation in the market. If we are not able to realize the savings associated with outsourcing services or if there is a disruption or security breach of our outsourced services that results in a loss or damage to our data, or in an inappropriate disclosure of confidential, personally identifiable, or sensitive data, our business and financial results could be materially adversely affected.</w:t>
      </w:r>
    </w:p>
    <w:p>
      <w:pPr>
        <w:pStyle w:val="TextBody"/>
        <w:bidi w:val="0"/>
        <w:spacing w:before="200" w:after="283"/>
        <w:jc w:val="both"/>
        <w:rPr>
          <w:rFonts w:ascii="Times New Roman" w:hAnsi="Times New Roman"/>
          <w:sz w:val="20"/>
        </w:rPr>
      </w:pPr>
      <w:r>
        <w:rPr>
          <w:rFonts w:ascii="Times New Roman" w:hAnsi="Times New Roman"/>
          <w:b/>
          <w:color w:val="000000"/>
          <w:sz w:val="20"/>
        </w:rPr>
        <w:t>A loss or reduction in revenues from large client accounts could have a material adverse effect on our business.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client mix consists of both small- and medium-size businesses, which are based upon a local or regional relationship with our presence in each market, and large national and multinational clients. These large national and multinational clients will frequently enter into non-exclusive arrangements with several firms, and the client is generally able to terminate their contract with us on short notice without penalty. The deterioration of the financial condition or business prospects of one or more large national and/or multinational clients, or a change in their strategy around the use of our services, could reduce their need for our services and result in a significant decrease in the revenues and earnings we derive from them. A loss or reduction in revenues from our large national and multinational clients could have a material adverse effect on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If we lose our key personnel, then our business may suffer.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operations are dependent on the continued efforts of our officers and executive management and the performance and productivity of headquarters management and staff, our local managers and field personnel. Our ability to attract and retain business is significantly affected by local relationships and the quality of service rendered. If we were to lose key personnel who have acquired significant experience in managing our business or managing companies on a global basis or in key markets, it could have a significant impact on our operations.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Intense competition may limit our ability to attract, train and retain the qualified personnel necessary for us to meet our clients’ staffing needs.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business depends on our ability to attract and retain qualified associates who meet the requirements of our clients and possess skill sets and experience that match client needs. In many markets, we have recently experienced an unusually tight labor market, with historically low levels of unemployment, and there is a risk that we may be unable to meet our clients’ requirements in identifying an adequate number of associates. These labor shortages have been exacerbated by employees and potential employees leaving the labor market due to burn-out, resignation, early retirement, immigration challenges, workplace safety concerns, and childcare responsibilities. Workers have also impacted the labor market through increasing demands for change in employment conditions, such as demands for higher wages, remote work, and additional flexibility in work schedule. We must continually evaluate and upgrade our base of available qualified personnel through recruiting and training programs to keep pace with changing client needs and emerging technologies. This is especially acute for individuals with critical IT capabilities and other technology skills that are in high demand by many companies, as competition for such individuals with proven professional skills is intense, and we expect demand for such individuals to remain strong for the foreseeable future. Qualified personnel with relevant skills may not be available to us in sufficient numbers and on terms of employment acceptable to us. Additionally, our clients may look to us for assistance in identifying and integrating into their organizations’ workers from diverse backgrounds, and who may represent different generations, geographical regions, and skillsets. These needs may change due to business requirements, or in response to geopolitical and societal trends. There is a risk that we may not be able to identify workers with skills that match client demand, or that our training programs may not succeed in developing effective or adequate skills. If we fail to recruit, train and retain qualified associates who meet the needs of our clients, our reputation, business and financial results could be materially adversely affected.</w:t>
      </w:r>
    </w:p>
    <w:p>
      <w:pPr>
        <w:pStyle w:val="TextBody"/>
        <w:bidi w:val="0"/>
        <w:spacing w:before="200" w:after="283"/>
        <w:jc w:val="both"/>
        <w:rPr>
          <w:rFonts w:ascii="Times New Roman" w:hAnsi="Times New Roman"/>
          <w:sz w:val="20"/>
        </w:rPr>
      </w:pPr>
      <w:r>
        <w:rPr>
          <w:rFonts w:ascii="Times New Roman" w:hAnsi="Times New Roman"/>
          <w:b/>
          <w:color w:val="000000"/>
          <w:sz w:val="20"/>
        </w:rPr>
        <w:t>Our global operations subject us to certain risks beyond our control.</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With operations in approximately 75 countries and territories around the world, we are subject to numerous risks outside of our control, including risks arising from political unrest and other political events, regional and international hostilities and international responses to these hostilities, strikes and other worker unrest, natural disasters, the impact of global climate change, acts of war, including the ongoing conflicts between Russia and Ukraine as well as Israel and Hamas, terrorism, international conflict, severe weather conditions, pandemics, including COVID-19 and other global health emergencies, disruptions of infrastructure and utilities including energy, cyberattacks, and other events beyond our control.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Although it is not possible to predict such events or their consequences, these events could materially adversely affect our reputation, business and financial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ability to attract and retain business and employees may depend on our reputation in the marketplace.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our reputation, along with our brand equity in the ManpowerGroup name and our various other brands, are important corporate resources that help distinguish our services from those of competitors and also contribute to our efforts to recruit and retain talented employees. However, our corporate reputation is potentially susceptible to material damage by events such as disputes with clients, information technology security breaches, internal control deficiencies, delivery failures or compliance violations. Similarly, our reputation could be damaged by actions or statements of current or former clients, employees, competitors, vendors, franchisees and other third-party brand licensees, adversaries in legal proceedings, government regulators, as well as members of the investment community or the media. There is a risk that negative information about ManpowerGroup, even if based on rumor or misunderstanding, could materially adversely affect our business. Damage to our reputation could be difficult, expensive and time-consuming to repair, could make potential or existing clients reluctant to select us for new engagements, resulting in a loss of business, and could materially adversely affect our recruitment and retention efforts. Damage to our reputation and could also reduce the value and effectiveness of the ManpowerGroup name and our other brand names, and could reduce investor confidence in us, materially adversely affecting our share price.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Changes in sentiment toward the staffing industry could affect the marketplace for our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the staffing industry has come under criticism from unions, works councils, regulatory agencies and other constituents that maintain that labor and employment protections, such as wage and benefits regulations, are subverted when clients use contingent staffing services. Our business is dependent on the continued acceptance of contingent staffing arrangements as a source of flexible labor for our clients. If attitudes or business practices in some locations change due to pressure from organized labor, political groups or regulatory agencies, it could have a material adverse effect on our business, results of operations and financial condition.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We have only a limited ability to protect our thought leadership and other intellectual property, which is important to our success.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success depends, in part, upon our ability to protect our proprietary methodologies and other intellectual property including the value of our brands. Existing laws of the various countries in which we provide services or solutions may offer only limited protection. We rely upon a combination of trade secrets, confidentiality, license and other contractual agreements, and copyright, and trademark laws to protect our intellectual property rights. We cannot be certain that the legal steps we are taking around the world are sufficient to protect our intellectual property rights and may not be adequate to prevent or deter infringement or other misappropriation of our intellectual property by competitors, former employees or other third parties. In addition, our intellectual property rights may not prevent competitors from independently developing products, services and solutions similar to ours. Failure to adequately protect our intellectual property rights, or changes in law that diminish or remove our current legal protections could have a material adverse impact on our business and financial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we cannot be sure that our services and solutions do not infringe on the intellectual property rights of third parties, and these third parties could claim that we or our clients are infringing upon their intellectual property rights. These claims could harm our reputation, cause us to incur substantial costs or prevent us from offering some services or solutions in the future.</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u w:val="single"/>
        </w:rPr>
      </w:pPr>
      <w:r>
        <w:rPr>
          <w:rFonts w:ascii="Times New Roman" w:hAnsi="Times New Roman"/>
          <w:b/>
          <w:i/>
          <w:color w:val="000000"/>
          <w:sz w:val="20"/>
          <w:u w:val="single"/>
        </w:rPr>
        <w:t>Strategic Risks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We may be unable to effectively implement our business strategy, and there can be no assurance that we will achieve our objectives.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business strategy focuses on growing revenues while improving our operating profits. An important element of our strategy is our effort to diversify our revenues beyond our core staffing and employment services. This includes expanding our sales in higher margin professional resourcing, such as our Experis brand in IT recruitment. There is a risk that our growth strategy in Experis may be impeded due to the scarcity of talent in the IT field, which is particularly in demand, and which may restrict our ability to fulfill customer requirements. Similarly, another aspect of our strategy to expand beyond our core staffing and employment services is through the sale of innovative workforce solutions designed to achieve higher operating margins. Our higher-margin Right Management career management services have historically performed well in periods of downturn, and it is part of our business strategy that this counter-cyclical effect would help cushion our results in the event of a period of decline. However, in the event of a downturn, there can be no assurances that the margin contribution from Right Management would increase, or that it would significantly offset other declines we might experience in the business. Additionally, our workforce solutions are often unique, non-repeatable and tailored to a client’s needs, and present costs, risks and complexity that may be difficult to calculate. These solutions may be unprofitable if we are not able to accurately anticipate these costs and risks in our pricing for these solutions. For example, we may fail to structure and price our solutions in a manner that properly compensates us to create an adequate delivery model, to adequately manage new solutions, or to obtain adequate insurance coverage in amount or scope to cover potential risks arising from such solutions.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business strategy also includes continuing efforts to transform how we use personnel and technology to manage our financial administration and to enhance our delivery of services. These projects are complex, and may consume considerable financial and personnel resources. The goal of these transformation initiatives is to become a more agile and effective competitor, to reduce the cost of operating our business and to increase our operating profit and operating profit margin. However, as these efforts may consume considerable resources, they may put pressure on our operating results or ability to address other priorities. They may not be successful, may not be achieved within our timing and cost estimates, and may not ultimately reduce our operating costs or prevent the return of any costs that are eliminated. Additionally, reductions in personnel and other changes emerging from these projects could materially adversely affect our ability to effectively operate our business. If, for these or other reasons, we are not successful in implementing our business strategy or achieving the anticipated results of our transformation initiatives, our business, financial condition and results of operations could be materially adversely affected.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results of operations and ability to grow could be materially negatively affected if we cannot successfully keep pace with technological changes in the development and implementation of our services and solutions.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success depends on our ability to keep pace with rapid technological changes in the development and implementation of our services and solutions. For example, rapid changes in the functionality and potential uses of AI, machine learning and robotics are having a significant impact on some of the industries we serve. This technological disruption could also have significant and unforeseen consequences for the workforce services industry and for our business in particular, such as a reduced demand for our services or challenges to effective implementation of this technology. There is a risk that these, or other developments, could result in significant rapid disruption to our business model, and that we will be unprepared to compete effectively. This challenge is further complicated by rapidly evolving regulatory restrictions governing the permitted uses of artificial intelligence.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Additionally, our business is reliant on a variety of technologies, including those which support applicant on-boarding and tracking systems, order management, billing, payroll, and client data analytics. There is a risk we will not sufficiently invest in technology or industry developments, or evolve our business with the right strategic investments, or at sufficient speed and scale, to adapt to changes in our marketplace. Similarly, from time to time we make strategic commitments to particular technologies to recruit, manage or analyze our workforce or support our business, and there is a risk they will be unsuccessful. Additionally, there are risks and uncertainties associated with our use of AI technologies which could expose us to regulatory, legal, reputational or financial harm. These and similar risks could have a negative effect on our services and solutions, our results of operations, and our ability to develop and maintain a competitive advantage in the marketplace.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environmental, social, and governance (ESG) commitments and disclosures may expose us to risks, legal liability, and increased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business could be impacted in several ways by our corporate environmental, social and governance (ESG) initiatives, including our goals for sustainability, diversity, equity, and inclusion.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positions and disclosures on these matters, or failure to achieve our commitments, could harm our reputation or brand image. For example, we have made various commitments regarding the future reduction of our greenhouse gas emissions, and there is a risk we will be unsuccessful in making progress toward our goals or ultimately meeting them, which could have adverse reputational impacts. Reputational concerns could also cause us to examine our relationships with certain clients and vendors, and choose not to conduct business with certain partners, which could negatively affect our performance or operational efficiency.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Positions we take, or do not take, on politically sensitive social issues or other ESG matters may be unpopular with certain existing or potential clients and employees, which may impact our ability to attract and retain those clients and employees.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experience increased compliance burdens and costs in order to implement our initiatives, including those costs associated with any new legal or regulatory requirements (such as the EU Corporate Sustainability Reporting Directive), or voluntary standards and commitments, designed to mitigate climate change or address human capital management concerns.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achieve our ESG commitments may be subject to numerous external factors outside of our control, including: (1) the availability and cost of low-carbon energy sources; (2) evolving regulatory requirements affecting ESG standards or disclosures; (3) the availability of vendors and other business partners that can meet our sustainability, diversity, and other standards; and (4) our ability to recruit, develop, and retain diverse talent.</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Standard methodologies and frameworks, as well as our processes and controls, for measuring and reporting ESG matters across our operations are continuously evolving, including ESG-related disclosures that may be required by the SEC, European and other regulators; and such changing standards could result in significant revisions to our current goals, reported progress in achieving such goals, or our ability to achieve such goals in the future.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br/>
        <w:t>Our acquisition strategy may be unsuccessful and may introduce unexpected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we make acquisitions of other companies or operating assets, including a significant acquisition of ettain group, in 2021. These activities involve significant strategic and operational risks, including: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they may fail to achieve our strategic objectives or fail to meet our performance expectations, including as a result of challenges integrating the acquired company and assimilating their corporate culture;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over-valuation by us of any companies or assets that we acquire;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have difficulties integrating the operations, leadership, personnel, financial reporting, services or other functions of acquired companies;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experience disputes that arise with the sellers;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fail to effectively monitor compliance with corporate policies as well as regulatory requirements;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face unanticipated risks and liabilities in connection with the acquired company's operations;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may obtain insufficient indemnification from the selling parties for liabilities incurred by the acquired companies prior to the acquisitions;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acquisition transactions, and the integration of acquired entities, may result in a diversion of our management’s attention from other business concerns.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risks could have a material adverse effect on our business because they may result in substantial costs to us and disrupt our business. The integration of prior acquisitions, as well as entry into future acquisition transactions, could materially adversely affect our business, financial condition, results of operations and liquidity. We could also incur impairment losses on goodwill and other intangible assets with an indefinite life or restructuring charges as a result of acquisitions we make.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From time to time, we undertake dispositions via sales, franchises, joint ventures or other exit activities, and we may face risks related to such transactions.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Occasionally, we dispose of parts of our operations based on risk considerations and to optimize our global strategic and geographic footprint and overall efficiency. We have engaged in such dispositions in the past, including the dispositions of our businesses in the Philippines in September 2023 and Russia and Hungary in January and December 2022, respectively. We expect that we will continue to dispose of portions of our business that are not meeting our performance or strategic objectives. Among other alternatives, this could take the form of a closure of a business, the contribution of the business to a joint venture, or an exit by means of a sale to, or a franchise arrangement with, a third party. There are risks and costs associated with any exit activities, which could include difficulties in the separation of operations, services or personnel, the diversion of management attention, and the disruption of our business. Any such transactions may require regulatory or governmental approvals, which could impede the transaction. Divestitures may also involve continued financial involvement in, or liability with respect to, the divested businesses. As a result of divestiture transactions, we could incur severance charges for personnel and payments for lease and other commitments, charges from the impairment or write-off of assets, and other financial loss due to the transaction. Furthermore, there is the risk that we might lose customers, in particular multinational clients with operations in the exited countries or operations. Additionally, if we choose to enter into a franchise arrangement for a third party to operate our business in the exited region using our trademarks and other licensed assets, we face potential counterparty and reputational risks arising from the franchisee’s operation of the business. The reputational risks include the risk that marketplace participants, including clients, candidates and the media, may believe that we continue to control the operations of a divested or franchised business that operates utilizing our name or other trademarks.</w:t>
      </w:r>
    </w:p>
    <w:p>
      <w:pPr>
        <w:pStyle w:val="TextBody"/>
        <w:bidi w:val="0"/>
        <w:spacing w:before="200" w:after="283"/>
        <w:jc w:val="both"/>
        <w:rPr>
          <w:rFonts w:ascii="Times New Roman" w:hAnsi="Times New Roman"/>
          <w:b/>
          <w:i/>
          <w:color w:val="000000"/>
          <w:sz w:val="20"/>
          <w:u w:val="single"/>
        </w:rPr>
      </w:pPr>
      <w:r>
        <w:rPr>
          <w:rFonts w:ascii="Times New Roman" w:hAnsi="Times New Roman"/>
          <w:b/>
          <w:i/>
          <w:color w:val="000000"/>
          <w:sz w:val="20"/>
          <w:u w:val="single"/>
        </w:rPr>
        <w:t>Financial and Market Risks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Foreign currency fluctuations may have a material adverse effect on our operating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Although we report our results of operations in United States dollars, the majority of our revenues and expenses are denominated in currencies other than the United States dollar, and unfavorable fluctuations in foreign currency exchange rates could have a material adverse effect on our reported financial results. Highly inflationary economies of foreign countries can result in foreign currency devaluation, which may also negatively impact our reported financial results. This occurred in Argentina and is likely to continue while the country attempts to stabilize its currency exchange rate going forward.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2023, approximately 84% of our revenues were generated outside of the United States, the majority of which were generated in Europe. Furthermore, $1,002.6 million of our outstanding indebtedness as of December 31, 2023 was denominated in foreign currencies, including $988.2 million related to our Euro-denominated notes (€900.0 million). Increases or decreases in the value of the United States dollar against other major currencies, or the imposition of limitations on conversion of foreign currencies into United States dollars, could affect our revenues, operating profit and the value of balance sheet items denominated in foreign currencies. Our exposure to foreign currencies, in particular the Euro, could have a material adverse effect on our reported results and shareholders’ equity, however, such fluctuations generally do not affect our cash flow or result in actual economic gains or losses unless we repatriate funds. Furthermore, the volatility of currencies may make year-over-year comparability of our financial results difficult.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seek to mitigate our exposure to foreign currency fluctuations by utilizing net investment hedges and, from time to time, foreign currency forward exchange contracts and cross-currency swaps. Our Euro-denominated notes are designated as a hedge of our net investment in subsidiaries with a Euro-functional currency as of December 31, 2023, to mitigate our Euro currency translation exposure. The effectiveness of this hedge in part depends on our ability to accurately forecast future cash flows, which is particularly difficult during periods of uncertain or uneven demand for our services and highly volatile exchange rates. Further, hedging activities may only offset a portion, or none at all, of the material adverse financial effects of unfavorable fluctuations in foreign exchange rates over the time the hedge is in place or effective.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Our liquidity could be adversely impacted by economic conditions affecting our clients.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working capital is primarily in the form of trade receivables which generally increase as sales increase. One of the ways in which we measure our working capital is in terms of working capital as a percent of revenue with a focus on Days Sales Outstanding (“DSO”). During periods of decline or uncertainty, our clients may slow the rate at which they pay their vendors, or they may become unable to pay their obligations. In addition, some clients have begun to impose more challenging billing terms, which increases the length of time before we receive payment for services. If our clients become unable to pay amounts owed to us, or pay us more slowly, then our DSO will increase, and our cash flow, liquidity, and profitability may suffer.</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results of operations and share price could be materially adversely affected if we are unable to maintain effective internal controls.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accuracy of our financial reporting is dependent on the effectiveness of our internal controls. We are required to provide a report from management to our shareholders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because of changed conditions, and fraud. Because of these inherent limitations, internal control over financial reporting might not prevent or detect all misstatements or fraud. If we cannot maintain and execute adequate internal control over financial reporting or implement required new or improved controls that provide reasonable assurance of the reliability of the financial reporting and preparation of our financial statements for external use, we could suffer harm to our reputation, fail to meet our public reporting requirements timely, be unable to properly report on our business and our results of operations, or be required to restate our financial statements. If any of these were to occur, the market price of our securities and our ability to obtain new business could be materially adversely affected.</w:t>
      </w:r>
    </w:p>
    <w:p>
      <w:pPr>
        <w:pStyle w:val="TextBody"/>
        <w:bidi w:val="0"/>
        <w:spacing w:before="200" w:after="283"/>
        <w:jc w:val="both"/>
        <w:rPr>
          <w:rFonts w:ascii="Times New Roman" w:hAnsi="Times New Roman"/>
          <w:sz w:val="20"/>
        </w:rPr>
      </w:pPr>
      <w:r>
        <w:rPr>
          <w:rFonts w:ascii="Times New Roman" w:hAnsi="Times New Roman"/>
          <w:b/>
          <w:color w:val="000000"/>
          <w:sz w:val="20"/>
        </w:rPr>
        <w:t>Our debt levels could materially adversely affect our operating flexibility and put us at a competitive disadvantage.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we had $1,002.6 million of total debt. Our level of debt and the limitations imposed on us by our credit agreements could have important consequences for investors, including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not be able to obtain additional debt financing for future working capital, capital expenditures, significant acquisition opportunities, or other corporate purposes or may have to pay more for such financing;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borrowings under our revolving credit facilities are at a variable interest rate, making us more vulnerable to increases in interest rates;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we could be less able to take advantage of significant business opportunities and to react to changes in market or industry conditions.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failure to comply with restrictive covenants under our revolving credit facilities and other debt instruments could trigger prepayment obligations.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materially adversely affected by increased costs and rates.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The lenders under our and our subsidiaries’ credit facilities may be unwilling or unable to extend credit to us on acceptable terms or at all.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our liquidity needs increase, we would expect to use our revolving credit facility, which is provided by a syndicate of banks. Each bank in the syndicate is responsible on a several, but not joint, basis for providing a portion of the loans under the facility. If any of the participants in the syndicate fails to satisfy its obligations to extend credit under the facility, the other participants refuse or are unable to assume its obligations and we are unable to find an alternative source of funding at comparable rates, our liquidity may be materially adversely affected, or our interest expense may increase substantially.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Furthermore, a number of our subsidiaries maintain uncommitted lines of credit with various banks. Under the terms of these lines of credit, the bank is not obligated to make loans to the subsidiary or to make loans to the subsidiary at a particular interest rate. If any of these banks cancel these lines of credit or otherwise refuse to extend credit on acceptable terms, we may need to extend credit to those subsidiaries, or the liquidity of our subsidiaries may be materially adversely affected.</w:t>
      </w:r>
    </w:p>
    <w:p>
      <w:pPr>
        <w:pStyle w:val="TextBody"/>
        <w:bidi w:val="0"/>
        <w:spacing w:before="200" w:after="283"/>
        <w:jc w:val="both"/>
        <w:rPr>
          <w:rFonts w:ascii="Times New Roman" w:hAnsi="Times New Roman"/>
          <w:sz w:val="20"/>
        </w:rPr>
      </w:pPr>
      <w:r>
        <w:rPr>
          <w:rFonts w:ascii="Times New Roman" w:hAnsi="Times New Roman"/>
          <w:b/>
          <w:color w:val="000000"/>
          <w:sz w:val="20"/>
        </w:rPr>
        <w:t>The performance of our subsidiaries and their ability to distribute cash to our parent company may vary, negatively affecting our ability to service our debt at the parent company level or in other subsidiaries.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Since we conduct a significant portion of our operations through our subsidiaries, our cash flow and our consequent ability to service our debt depends in part upon the earnings of our subsidiaries and the distribution of those earnings to our parent company, or upon loans or other payments of funds by those subsidiaries to our parent company or to other subsidiaries. The payment of such dividends and the making of such loans and advances by our subsidiaries may be subject to legal or contractual restrictions, depend upon the earnings of those subsidiaries and working capital requirements, and be subject to various business considerations, including the ability of such subsidiaries to pay such dividends or make such loans and advances.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inability to secure guarantees or letters of credit on acceptable terms may substantially increase our cost of doing business in various countries.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 number of countries and territories in which we conduct business, we are obligated to provide guarantees or letters of credit to secure licenses, lease space or for insurance coverage. We typically receive these guarantees and letters of credit from a number of financial institutions around the world. In the event that we are unable to secure these arrangements from a bank, lender or other third party on acceptable terms, our liquidity may be materially adversely affected, there could be a disruption to our business or there could be a substantial increase in cost for our business.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We could be subject to changes in tax rates, adoption of new United States or international tax legislation or tax audits that could result in additional income tax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subject to income and other taxes in the United States and international jurisdictions where we have operations. The tax bases and rates of these respective tax jurisdictions change from time to time due to economic and political conditions. Our effective income tax rate is affected by changes in earnings in countries with differing tax rates, changes in valuation of deferred tax assets and liabilities or changes in the respective tax laws. Our other taxes are impacted by changes in local tax laws or changes in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tax accounting involves complex matters and requires our judgment to determine our worldwide provision for income and other taxes and tax assets and liabilities. These complex matters include transfer pricing and reporting related to intercompany transactions. We are routinely subject to tax examinations by the United States Internal Revenue Service and other tax authorities. Tax authorities have disagreed, and may disagree in the future, with our judgments. Many taxing authorities are taking increasingly aggressive positions opposing the judgments we make, including with respect to our intercompany transactions. We regularly assess the likely outcomes of our audits and tax proceedings to determine the appropriateness of our tax liabilities. However, our judgments might not be sustained as a result of these audits and tax proceedings, and the amounts ultimately paid could be materially different from the amounts previously recorded.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changes in tax laws, treaties or regulations, or their interpretation or enforcement, have become more unpredictable and may become more stringent, which could materially adversely affect our tax position. A number of countries where we do business, including the United States and many countries in the European Union, have implemented, and are considering implementing, changes in relevant tax, accounting and other laws, regulations and interpretations. The overall tax environment has made it increasingly challenging for multinational corporations to operate with certainty about taxation in many jurisdictions. For example, the Organization for Economic Co-operation and Development (“OECD”), which represents a coalition of member countries, agreed to enact Pillar Two, which introduces a global minimum effective tax rate whereby certain multinational groups are subject to a 15% minimum tax on income derived in low-tax jurisdictions. These rules become effective in some countries beginning in 2024. In the United States, various proposals to raise corporate income taxes are periodically considered such as the Inflation Reduction Act, which introduced a 15% Corporate Alternative Minimum Tax beginning in 2023. These proposed and enacted changes in tax laws, treaties or regulations, or their interpretation or enforcement, could have a material adverse impact on our current or future tax positions.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The price of our common stock may fluctuate significantly, which may result in losses for investors.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market price for our common stock may be subject to significant volatility. For example, during 2023, the price of our common stock as reported on the New York Stock Exchange ranged from a high of $91.50 to a low of $67.09. Our stock price can fluctuate as a result of a variety of factors, including factors listed in these “Risk Factors” and others, many of which are beyond our control. These factors include: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general economic conditions;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actual or anticipated variations in our quarterly operating results;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announcement of new services by us or our competitors;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announcements relating to strategic relationships or acquisitions;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financial estimates or other statements by securities analysts;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changes in investor sentiment regarding the company arising from these or other events, or the economy in general.</w:t>
      </w:r>
    </w:p>
    <w:p>
      <w:pPr>
        <w:pStyle w:val="TextBody"/>
        <w:bidi w:val="0"/>
        <w:spacing w:before="200" w:after="283"/>
        <w:jc w:val="both"/>
        <w:rPr>
          <w:rFonts w:ascii="Times New Roman" w:hAnsi="Times New Roman"/>
          <w:b/>
          <w:i/>
          <w:color w:val="000000"/>
          <w:sz w:val="20"/>
          <w:u w:val="single"/>
        </w:rPr>
      </w:pPr>
      <w:r>
        <w:rPr>
          <w:rFonts w:ascii="Times New Roman" w:hAnsi="Times New Roman"/>
          <w:b/>
          <w:i/>
          <w:color w:val="000000"/>
          <w:sz w:val="20"/>
          <w:u w:val="single"/>
        </w:rPr>
        <w:t>Regulatory and Legal Risks</w:t>
      </w:r>
    </w:p>
    <w:p>
      <w:pPr>
        <w:pStyle w:val="TextBody"/>
        <w:bidi w:val="0"/>
        <w:spacing w:before="200" w:after="283"/>
        <w:jc w:val="both"/>
        <w:rPr>
          <w:rFonts w:ascii="Times New Roman" w:hAnsi="Times New Roman"/>
          <w:sz w:val="20"/>
        </w:rPr>
      </w:pPr>
      <w:r>
        <w:rPr>
          <w:rFonts w:ascii="Times New Roman" w:hAnsi="Times New Roman"/>
          <w:b/>
          <w:color w:val="000000"/>
          <w:sz w:val="20"/>
        </w:rPr>
        <w:t>Our performance on contracts may be materially adversely affected if we or third parties fail to deliver on commitments.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contracts are increasingly complex and, in most instances, require that we partner with other parties or subcontractors to provide the workforce solutions required by our clients. Our clients have become more sophisticated in their contractual negotiation process and more detailed in defining their operational requirements, including requirements to use the client's form of agreement. Our ability to deliver these solutions and provide the services required by our clients is dependent on our and our partners’ ability to meet our clients’ delivery requirements and schedules. If we or our partners fail to deliver services on time and in accordance with contractual performance obligations, then our ability to successfully complete our contracts may be affected, which may have a material and adverse impact on our client relations, revenues and profitability. Additionally, we may incur liability for the actions or omissions of our partners, subcontractors or vendors and we may face challenges or be unable to enforce these obligations against those partners.</w:t>
      </w:r>
    </w:p>
    <w:p>
      <w:pPr>
        <w:pStyle w:val="TextBody"/>
        <w:bidi w:val="0"/>
        <w:spacing w:before="200" w:after="283"/>
        <w:jc w:val="both"/>
        <w:rPr>
          <w:rFonts w:ascii="Times New Roman" w:hAnsi="Times New Roman"/>
          <w:sz w:val="20"/>
        </w:rPr>
      </w:pPr>
      <w:r>
        <w:rPr>
          <w:rFonts w:ascii="Times New Roman" w:hAnsi="Times New Roman"/>
          <w:b/>
          <w:color w:val="000000"/>
          <w:sz w:val="20"/>
        </w:rPr>
        <w:t>Government regulations may result in prohibition or restriction of certain types of employment services or the imposition of additional licensing or tax requirements that may reduce our future earnings.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many jurisdictions in which we operate, such as France, Italy, Germany, Japan and Mexico, the employment services industry is heavily regulated and scrutinized. For example, in 2021, new legislation was adopted in Mexico that affects many types of temporary placements under the country’s labor laws. The new law broadly prohibits the provision of our traditional temporary staffing services, only allowing outsourced worker assignments for special, deliverables-based projects outside of the client’s core business activity. This has had a material adverse impact on our business in Mexico. In Europe, governmental regulations in Germany restrict the length of contracts and the industries in which our associates may be used. In some countries, special taxes, fees or costs are imposed in connection with the use of our associates. Additionally, in some countries, trade unions have used the political process to target our industry in an effort to increase the regulatory burden and expense associated with offering or utilizing contingent workforce solutions. Moreover, many countries, including the Netherlands and Japan, have established regulations that require equal-pay for equal-work for temporary workers and fixed term employees. Furthermore, some countries are adopting more restrictive immigration regulations, which may lead to greater expense or inability to fulfill client demand, particularly in our cross-border Talent Solutions business. All of these continuously-evolving regulations could have a significant impact to our revenues, costs, and operating margins as we and customers adjust to these new regulations.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countries and territories in which we operate may, among other things: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create additional regulations that prohibit or restrict the types of employment services or categories of job roles that we may provide;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expand governmental or regulatory scrutiny on the use of AI within the recruitment process;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require new or additional benefits be paid to our associates;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require pay parity for our associates or impose mandatory thresholds for employee diversity;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regulate the period of time for which we may or may not employ our workers, including maximum term limits or minimum time requirements for associates on assignment at our clients;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require us to obtain additional licensing to provide employment services; or</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increase taxes, such as sales or value-added taxes.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types of future regulation may have a material adverse effect on our business and financial results by making it more difficult or expensive for us to continue to cost-effectively provide employment services, particularly if we cannot pass along increases in costs to our clients.</w:t>
      </w:r>
    </w:p>
    <w:p>
      <w:pPr>
        <w:pStyle w:val="TextBody"/>
        <w:bidi w:val="0"/>
        <w:spacing w:before="200" w:after="283"/>
        <w:jc w:val="both"/>
        <w:rPr>
          <w:rFonts w:ascii="Times New Roman" w:hAnsi="Times New Roman"/>
          <w:sz w:val="20"/>
        </w:rPr>
      </w:pPr>
      <w:r>
        <w:rPr>
          <w:rFonts w:ascii="Times New Roman" w:hAnsi="Times New Roman"/>
          <w:b/>
          <w:color w:val="000000"/>
          <w:sz w:val="20"/>
        </w:rPr>
        <w:t>Failure to comply with antibribery and corruption laws could materially adversely affect our business.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additionally subject to numerous legal and regulatory requirements that prohibit bribery and corrupt acts. These include the Foreign Corrupt Practices Act and the UK Bribery Act 2010, as well as similar legislation in many of the countries and territories in which we operate. Our employees (but not our temporary associates) are required to participate in a global anticorruption compliance training program designed to ensure compliance with these laws and regulations. However, there are no assurances this program will be effective. In many countries where we operate, practices in the local business community may not conform to international business standards and could violate anticorruption law or regulations. Furthermore, we remain subject to the risk that one of our employees (or one of our associates on a temporary or contract-based assignment) could engage in business practices that are prohibited by our policies and these laws and regulations. Any such violations could materially adversely affect our business.</w:t>
      </w:r>
    </w:p>
    <w:p>
      <w:pPr>
        <w:pStyle w:val="TextBody"/>
        <w:bidi w:val="0"/>
        <w:spacing w:before="200" w:after="283"/>
        <w:jc w:val="both"/>
        <w:rPr>
          <w:rFonts w:ascii="Times New Roman" w:hAnsi="Times New Roman"/>
          <w:sz w:val="20"/>
        </w:rPr>
      </w:pPr>
      <w:r>
        <w:rPr>
          <w:rFonts w:ascii="Times New Roman" w:hAnsi="Times New Roman"/>
          <w:b/>
          <w:color w:val="000000"/>
          <w:sz w:val="20"/>
        </w:rPr>
        <w:t>We may be exposed to legal claims, including employment-related claims that could materially adversely affect our business, financial condition and results of operations.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subject to a wide variety of potential litigation and other legal claims that arise in the ordinary course of our business. The results of litigation and other legal proceedings are inherently uncertain, and adverse judgments or settlements in some, or all of these legal disputes may result in materially adverse monetary damages, fines, penalties or injunctive relief against 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example, through our direct interaction with our clients’ businesses and facilities, including functions and systems that are sensitive or critical to their core businesses, we may be exposed to operational, regulatory, reputational and other risks specific to their business, including data security risks. These risks may be reduced through contractual provisions that limit damages or mitigate our responsibility for losses caused by our assigned workers; but these types of contractual protections are not always possible because we may perceive an important economic opportunity, because of the contracting practices of our industry competitors or because our personnel did not adequately follow our contracting guidelines. In addition, as we expand our services and solutions into new areas, we may be exposed to additional and evolving risks specific to these new areas.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in the business of employing people and placing them in the workplaces of other businesses. Risks relating to these activities could include possible claims of or relating to: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discrimination or harassment;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employee pay, including wage and hour requirements;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wrongful termination or retaliation;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actions or inactions of our workers, including matters for which we may have to indemnify a client;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laws governing employment screening and privacy;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classification of workers as employees or independent contractors;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employee unionization and collective bargaining activity, which we have recently experienced with certain small employee groups;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employment of undocumented or illegal workers;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issues relating to health and safety, including workers’ compensation;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employee benefits, including leave and healthcare coverage;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errors and omissions relating to the performance of professional roles such as IT professionals, accountants, engineers and the like;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our workers’ misuse of proprietary information, misappropriation of funds, other criminal activity or torts or other similar claims.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incur fines and other losses or negative publicity with respect to the above risks. In addition, some or all of these claims may give rise to litigation, which could be time-consuming to our management team and costly and could have a negative impact on our business regardless of the merits of the claim. For example, in the past, we have devoted considerable time and expense to resolve several California-based “wage and hour” claims that asserted deficiencies in our payroll practices, and we are often sued by plaintiffs in various other employment-related matters, including those seeking class action status in the US. It is likely we will continue to experience similar claims in the future, which may increase in number as a result of remote working assignments as well as increasing employment regulation at the state and local level.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cannot be certain our insurance will be sufficient in amount or scope to cover all claims that may be asserted against us. Should the ultimate judgments or settlements exceed our insurance coverage, they could have a material effect on our results of operations, financial position and cash flows. We cannot be certain we will be able to obtain appropriate types or levels of insurance in the future, that adequate replacement policies will be available on acceptable terms, if at all, or that the companies from which we have obtained insurance will be able to pay claims we make under such policies.</w:t>
      </w:r>
    </w:p>
    <w:p>
      <w:pPr>
        <w:pStyle w:val="TextBody"/>
        <w:bidi w:val="0"/>
        <w:spacing w:before="200" w:after="283"/>
        <w:jc w:val="both"/>
        <w:rPr>
          <w:rFonts w:ascii="Times New Roman" w:hAnsi="Times New Roman"/>
          <w:sz w:val="20"/>
        </w:rPr>
      </w:pPr>
      <w:r>
        <w:rPr>
          <w:rFonts w:ascii="Times New Roman" w:hAnsi="Times New Roman"/>
          <w:b/>
          <w:color w:val="000000"/>
          <w:sz w:val="20"/>
        </w:rPr>
        <w:t>Our business exposes us to competition law risk.</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subject to antitrust and competition law in the United States, the European Union, and many other regions in which we operate. Some of our business models may carry a heightened risk of regulatory inquiry under relevant competition laws. Although we have put in place safeguards designed to maintain compliance with applicable competition laws, there can be no assurance these protections will be adequate. Competition law authorities have investigated our business practices in the past in France and in other countries, and there continues to be a risk of such inquiries in the future. There is no assurance we would successfully defend against any such regulatory inquiries, and they could consume substantial amounts of our financial and managerial resources, remain outstanding for a significant duration, and result in adverse publicity, even if successfully resolved. An unfavorable outcome could result in liabilities that have a material adverse effect upon our business, financial condition or results of operations.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Wisconsin law and our articles of incorporation and bylaws contain provisions that could make the takeover of our company more difficult.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currently include: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permitting removal of directors only for cause;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providing that vacancies on the board of directors will be filled by the remaining directors then in office;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requiring advance notice for shareholder proposals and director nominees.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Wisconsin control share acquisition statute and Wisconsin’s “fair price” and “business combination” provisions, in addition to other provisions of Wisconsin law, limit the ability of an acquiring person to engage in certain transactions or to exercise the full voting power of acquired shares under certain circumstances. As a result, offers to acquire us, which may represent a premium over the available market price of our common stock, may be withdrawn or otherwise fail to be realized. The provisions described above could cause our stock price to decline.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both"/>
        <w:rPr/>
      </w:pPr>
      <w:r>
        <w:rPr/>
        <w:t> </w:t>
      </w:r>
    </w:p>
    <w:p>
      <w:pPr>
        <w:pStyle w:val="TextBody"/>
        <w:bidi w:val="0"/>
        <w:jc w:val="left"/>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an enterprise-wide information security program designed to identify, protect, detect, and respond to and manage reasonably foreseeable cybersecurity risks and threats. To protect our information systems from cybersecurity threats, we use various security tools that help prevent, detect, escalate, investigate, and remediate identified risks and security incidents in a timely manner. We also maintain a third-party security program to identify, prioritize, assess, mitigate, and remediate third-party risks; however, we often rely on the third parties we use to implement security programs commensurate with their risk, and we cannot ensure in all circumstances that their efforts will be successful.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regularly assess risks from cybersecurity and technology threats and monitor our information systems for potential vulnerabilities. We use a widely adopted risk quantification model to identify, measure and prioritize cybersecurity and technology risks and develop related security controls and safeguards. We conduct regular reviews and tests of our information security controls and leverage audits by our internal audit team, tabletop exercises, penetration and vulnerability testing, red team exercises, and other exercises to evaluate the effectiveness of our information security program and improve our security measures and planning. We also engage an independent industry recognized security service provider to conduct an annual red team assessment of our security controls, as well as third-party penetration testing of our information systems. The results of these assessments are reported to senior management and the Audit Committee of the Board of Directors.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systems periodically experience directed attacks intended to lead to interruptions and delays in our operations and the services we provide to clients as well as loss, misuse or theft of personal information (candidates, associates, vendors, clients and employees) and other data, confidential information or intellectual property, and we have experienced data exposures in the past. However, to date these incidents have not had a material impact on our services, information systems or business. Any significant disruption to our services or access to our systems could result in a loss of clients and adversely affect our business and results of operation. Further, a penetration of our information systems or a third-party’s information systems or other misappropriation or misuse of personal information could subject us to business, regulatory, litigation and reputation risk, which could have a negative effect on our business, financial condition, and results of operations. See Item 1A of Part I, “Risk Factors,” under the heading “We could incur liabilities or suffer reputational damage from a cyberattack or improper disclosure or loss of personal or confidential data, and our use of data is subject to complex and ever-changing privacy and cybersecurity legal requirements that could negatively impact our business or subject us to claims and/or fines for non-compliance,” which should be read in conjunction with the information above.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Chief Information Security Officer (CISO) leads our global information security organization responsible for overseeing the Company’s information security program. Our CISO has over 25 years of industry experience, including serving in similar roles leading and overseeing cybersecurity programs at other public companies. Team members who support our information security program have relevant educational and industry experience, including holding similar positions at various technology companies. The global information security organization provides regular reports to senior management on various cybersecurity threats, assessments and findings.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Audit Committee of the Board of Directors oversees our annual enterprise risk assessment, where we assess key risks within the company, including security and technology risks and cybersecurity threats. The Audit Committee of the Board of Directors oversees our cybersecurity risk and regularly receives reports from our CISO on various cybersecurity matters, including risk assessments, mitigation strategies, areas of emerging risks, incidents and industry trends, and other areas of importance.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own properties at various locations worldwide, none of which are material. Most of our operations are conducted from leased premises and we do not anticipate any difficulty in renewing these leases or in finding alternative sites in the ordinary course of business.</w:t>
      </w:r>
    </w:p>
    <w:p>
      <w:pPr>
        <w:pStyle w:val="TextBody"/>
        <w:bidi w:val="0"/>
        <w:spacing w:before="360" w:after="283"/>
        <w:jc w:val="both"/>
        <w:rPr>
          <w:rFonts w:ascii="Times New Roman" w:hAnsi="Times New Roman"/>
          <w:sz w:val="20"/>
        </w:rPr>
      </w:pPr>
      <w:bookmarkStart w:id="8" w:name="item_3_legal_proceedings"/>
      <w:bookmarkEnd w:id="8"/>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involved in litigation of a routine nature and various legal matters, which are being defended and handled in the ordinary course of business.</w:t>
      </w:r>
    </w:p>
    <w:p>
      <w:pPr>
        <w:pStyle w:val="TextBody"/>
        <w:bidi w:val="0"/>
        <w:spacing w:before="360" w:after="283"/>
        <w:jc w:val="both"/>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executive_ficers_manpowergroup"/>
      <w:bookmarkEnd w:id="10"/>
      <w:r>
        <w:rPr>
          <w:rFonts w:ascii="Times New Roman" w:hAnsi="Times New Roman"/>
          <w:b/>
          <w:color w:val="000000"/>
          <w:sz w:val="20"/>
        </w:rPr>
        <w:t>EXECUTIVE OFFICERS</w:t>
      </w:r>
      <w:r>
        <w:rPr>
          <w:rFonts w:ascii="Times New Roman" w:hAnsi="Times New Roman"/>
          <w:color w:val="000000"/>
          <w:sz w:val="20"/>
        </w:rPr>
        <w:t xml:space="preserve"> </w:t>
      </w:r>
      <w:r>
        <w:rPr>
          <w:rFonts w:ascii="Times New Roman" w:hAnsi="Times New Roman"/>
          <w:b/>
          <w:color w:val="000000"/>
          <w:sz w:val="20"/>
        </w:rPr>
        <w:t>OF MANPOWERGROUP</w:t>
      </w:r>
    </w:p>
    <w:p>
      <w:pPr>
        <w:pStyle w:val="TextBody"/>
        <w:bidi w:val="0"/>
        <w:jc w:val="center"/>
        <w:rPr>
          <w:rFonts w:ascii="Times New Roman" w:hAnsi="Times New Roman"/>
          <w:b/>
          <w:color w:val="000000"/>
          <w:sz w:val="20"/>
        </w:rPr>
      </w:pPr>
      <w:r>
        <w:rPr>
          <w:rFonts w:ascii="Times New Roman" w:hAnsi="Times New Roman"/>
          <w:b/>
          <w:color w:val="000000"/>
          <w:sz w:val="20"/>
        </w:rPr>
        <w:t>(as of February 16,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116"/>
        <w:gridCol w:w="146"/>
        <w:gridCol w:w="8943"/>
      </w:tblGrid>
      <w:tr>
        <w:trPr/>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43" w:type="dxa"/>
            <w:tcBorders/>
            <w:vAlign w:val="center"/>
          </w:tcPr>
          <w:p>
            <w:pPr>
              <w:pStyle w:val="TableContents"/>
              <w:bidi w:val="0"/>
              <w:spacing w:before="0" w:after="283"/>
              <w:jc w:val="left"/>
              <w:rPr>
                <w:sz w:val="4"/>
                <w:szCs w:val="4"/>
              </w:rPr>
            </w:pPr>
            <w:r>
              <w:rPr>
                <w:sz w:val="4"/>
                <w:szCs w:val="4"/>
              </w:rPr>
            </w:r>
          </w:p>
        </w:tc>
      </w:tr>
      <w:tr>
        <w:trPr/>
        <w:tc>
          <w:tcPr>
            <w:tcW w:w="111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of Officer</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943"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Office</w:t>
            </w:r>
          </w:p>
        </w:tc>
      </w:tr>
      <w:tr>
        <w:trPr/>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Jonas Prising</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 59</w:t>
            </w:r>
          </w:p>
        </w:tc>
        <w:tc>
          <w:tcPr>
            <w:tcW w:w="146" w:type="dxa"/>
            <w:tcBorders/>
            <w:vAlign w:val="center"/>
          </w:tcPr>
          <w:p>
            <w:pPr>
              <w:pStyle w:val="TableContents"/>
              <w:bidi w:val="0"/>
              <w:spacing w:before="0" w:after="283"/>
              <w:jc w:val="both"/>
              <w:rPr/>
            </w:pPr>
            <w:r>
              <w:rPr/>
              <w:t> </w:t>
            </w:r>
          </w:p>
        </w:tc>
        <w:tc>
          <w:tcPr>
            <w:tcW w:w="8943"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Chairman of ManpowerGroup since December 2015. Chief Executive Officer of ManpowerGroup since May 2014. ManpowerGroup President from November 2012 to May 2014. Executive Vice President, President of ManpowerGroup - the Americas from January 2009 to October 2012. Executive Vice President, President – United States and Canadian Operations from January 2006 to December 2008. A director of ManpowerGroup since May 2014. An employee of ManpowerGroup since May 1999. A director of Kohl's Corporation since August 2015.</w:t>
            </w:r>
          </w:p>
        </w:tc>
      </w:tr>
      <w:tr>
        <w:trPr/>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John T. McGinnis</w:t>
            </w:r>
          </w:p>
          <w:p>
            <w:pPr>
              <w:pStyle w:val="TableContents"/>
              <w:bidi w:val="0"/>
              <w:jc w:val="left"/>
              <w:rPr>
                <w:rFonts w:ascii="Times New Roman" w:hAnsi="Times New Roman"/>
                <w:color w:val="000000"/>
                <w:sz w:val="20"/>
              </w:rPr>
            </w:pPr>
            <w:r>
              <w:rPr>
                <w:rFonts w:ascii="Times New Roman" w:hAnsi="Times New Roman"/>
                <w:color w:val="000000"/>
                <w:sz w:val="20"/>
              </w:rPr>
              <w:t>Age 57</w:t>
            </w:r>
          </w:p>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8943"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Executive Vice President, Chief Financial Officer of ManpowerGroup since February 2016. Global Controller of Morgan Stanley from January 2014 to February 2016. Chief Financial Officer, HSBC North America from July 2012 to January 2014. Chief Financial Officer, HSBC Bank USA from July 2010 to January 2014. An employee of ManpowerGroup since February 2016.</w:t>
            </w:r>
          </w:p>
        </w:tc>
      </w:tr>
      <w:tr>
        <w:trPr/>
        <w:tc>
          <w:tcPr>
            <w:tcW w:w="11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both"/>
              <w:rPr/>
            </w:pPr>
            <w:r>
              <w:rPr/>
              <w:t> </w:t>
            </w:r>
          </w:p>
        </w:tc>
        <w:tc>
          <w:tcPr>
            <w:tcW w:w="8943" w:type="dxa"/>
            <w:tcBorders/>
            <w:vAlign w:val="center"/>
          </w:tcPr>
          <w:p>
            <w:pPr>
              <w:pStyle w:val="TableContents"/>
              <w:bidi w:val="0"/>
              <w:spacing w:before="0" w:after="283"/>
              <w:jc w:val="both"/>
              <w:rPr/>
            </w:pPr>
            <w:r>
              <w:rPr/>
              <w:t> </w:t>
            </w:r>
          </w:p>
        </w:tc>
      </w:tr>
      <w:tr>
        <w:trPr/>
        <w:tc>
          <w:tcPr>
            <w:tcW w:w="111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Michelle S. Nettles</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 52</w:t>
            </w:r>
          </w:p>
        </w:tc>
        <w:tc>
          <w:tcPr>
            <w:tcW w:w="146" w:type="dxa"/>
            <w:tcBorders/>
            <w:vAlign w:val="center"/>
          </w:tcPr>
          <w:p>
            <w:pPr>
              <w:pStyle w:val="TableContents"/>
              <w:bidi w:val="0"/>
              <w:spacing w:before="0" w:after="283"/>
              <w:jc w:val="both"/>
              <w:rPr/>
            </w:pPr>
            <w:r>
              <w:rPr/>
              <w:t> </w:t>
            </w:r>
          </w:p>
        </w:tc>
        <w:tc>
          <w:tcPr>
            <w:tcW w:w="894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People and Culture Officer since May 2022. Senior Vice President, Chief People and Culture Office from July 2019 to May 2022. Chief People and Diversity Officer of Molson Coors Brewing Company from October 2016 to July 2019. Chief Human Resources Officer of MillerCoors from October 2014 to October 2016. Prior thereto, held other positions at MillerCoors since 2009. An employee of ManpowerGroup since July 2019. A director of RXO, Inc. since November 2022.</w:t>
            </w:r>
          </w:p>
        </w:tc>
      </w:tr>
      <w:tr>
        <w:trPr/>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Richard D. Buchband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 60</w:t>
            </w:r>
          </w:p>
        </w:tc>
        <w:tc>
          <w:tcPr>
            <w:tcW w:w="146" w:type="dxa"/>
            <w:tcBorders/>
            <w:vAlign w:val="center"/>
          </w:tcPr>
          <w:p>
            <w:pPr>
              <w:pStyle w:val="TableContents"/>
              <w:bidi w:val="0"/>
              <w:spacing w:before="0" w:after="283"/>
              <w:jc w:val="both"/>
              <w:rPr/>
            </w:pPr>
            <w:r>
              <w:rPr/>
              <w:t> </w:t>
            </w:r>
          </w:p>
        </w:tc>
        <w:tc>
          <w:tcPr>
            <w:tcW w:w="8943"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Senior Vice President, General Counsel and Secretary of ManpowerGroup since January 2013. Partner and Associate General Counsel for Accenture plc from 2006 to 2011. An employee of ManpowerGroup since January 2013.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or_information"/>
      <w:bookmarkEnd w:id="11"/>
      <w:r>
        <w:rPr>
          <w:rFonts w:ascii="Times New Roman" w:hAnsi="Times New Roman"/>
          <w:b/>
          <w:color w:val="000000"/>
          <w:sz w:val="20"/>
        </w:rPr>
        <w:t>OTHER INFORMATION</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Audit Committee Approval of Audit-Related and Non-Audit Services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Audit Committee of our Board of Directors has approved the following audit-related and non-audit services performed or to be performed for us by our independent registered public accounting firm, Deloitte &amp; Touche LLP and Affiliates, in 2023: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preparation and/or review of tax returns, including sales and use tax, excise tax, income tax, local tax, property tax, and value added tax and consultation regarding appropriate handling of items on the United States and international tax returns;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advice and assistance with respect to transfer pricing matters, as well as communicating with various taxing authorities regarding the requirements associated with royalties and inter-company pricing, and tax audits;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audit services with respect to certain procedures and certifications where required.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part_ii"/>
      <w:bookmarkEnd w:id="12"/>
      <w:r>
        <w:rPr>
          <w:rFonts w:ascii="Times New Roman" w:hAnsi="Times New Roman"/>
          <w:b/>
          <w:color w:val="000000"/>
          <w:sz w:val="20"/>
        </w:rPr>
        <w:t>PART II</w:t>
      </w:r>
    </w:p>
    <w:p>
      <w:pPr>
        <w:pStyle w:val="TextBody"/>
        <w:bidi w:val="0"/>
        <w:spacing w:before="200" w:after="283"/>
        <w:jc w:val="both"/>
        <w:rPr>
          <w:rFonts w:ascii="Times New Roman" w:hAnsi="Times New Roman"/>
          <w:b/>
          <w:color w:val="000000"/>
          <w:sz w:val="20"/>
        </w:rPr>
      </w:pPr>
      <w:bookmarkStart w:id="13" w:name="item_5_market_for_registrants_common_equ"/>
      <w:bookmarkEnd w:id="13"/>
      <w:r>
        <w:rPr>
          <w:rFonts w:ascii="Times New Roman" w:hAnsi="Times New Roman"/>
          <w:b/>
          <w:color w:val="000000"/>
          <w:sz w:val="20"/>
        </w:rPr>
        <w:t>Item 5. Market for Registrant’s Common Equity, Related Shareholder Matters and Issuer Purchases of Equity Securities</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Common Stock Listing and Trading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common stock is listed for trading on the New York Stock Exchange under the symbol MAN.</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Shareholders of Record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February 14, 2024, the Company's common stock was held by approximately 2,500 record holders.</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Dividend Policy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While we currently expect that future semi-annual dividends will continue to be paid, our dividend policy is subject to review and change at the discretion of our Board of Directors and may depend upon, among other factors, earnings, financial condition, and other requirements.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Issuer Purchases of Equity Securities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In August 2023 and August 2021, the Board of Directors authorized the repurchase of 5.0 million shares and 4.0 million shares of our common stock, respectively. We conduct share repurchases from time to time through a variety of methods, including open market purchases, block transactions, privately negotiated transactions or similar facilities. The following table shows the total number of shares repurchased during the fourth quarter of 2023. As of December 31, 2023, there were 4.6 million shares remaining authorized for repurchase under the 2023 authorization and no shares remaining authorized for repurchase under the 2021 authorization.</w:t>
      </w:r>
    </w:p>
    <w:tbl>
      <w:tblPr>
        <w:tblW w:w="9414" w:type="dxa"/>
        <w:jc w:val="left"/>
        <w:tblInd w:w="0" w:type="dxa"/>
        <w:tblLayout w:type="fixed"/>
        <w:tblCellMar>
          <w:top w:w="28" w:type="dxa"/>
          <w:left w:w="28" w:type="dxa"/>
          <w:bottom w:w="28" w:type="dxa"/>
          <w:right w:w="28" w:type="dxa"/>
        </w:tblCellMar>
      </w:tblPr>
      <w:tblGrid>
        <w:gridCol w:w="1981"/>
        <w:gridCol w:w="146"/>
        <w:gridCol w:w="244"/>
        <w:gridCol w:w="1316"/>
        <w:gridCol w:w="146"/>
        <w:gridCol w:w="271"/>
        <w:gridCol w:w="258"/>
        <w:gridCol w:w="702"/>
        <w:gridCol w:w="146"/>
        <w:gridCol w:w="146"/>
        <w:gridCol w:w="263"/>
        <w:gridCol w:w="1417"/>
        <w:gridCol w:w="146"/>
        <w:gridCol w:w="146"/>
        <w:gridCol w:w="229"/>
        <w:gridCol w:w="1466"/>
        <w:gridCol w:w="3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w:t>
              <w:br/>
              <w:t>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br/>
              <w:t>price paid</w:t>
              <w:br/>
              <w:t>per share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number of</w:t>
              <w:br/>
              <w:t>shares purchased</w:t>
              <w:br/>
              <w:t>as part of publicly</w:t>
              <w:br/>
              <w:t>announced plan or</w:t>
              <w:br/>
              <w:t>programs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9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Maximum number</w:t>
              <w:br/>
              <w:t>of shares that may</w:t>
              <w:br/>
              <w:t>yet be purchased</w:t>
              <w:br/>
              <w:t>under the plan or</w:t>
              <w:br/>
              <w:t>programs</w:t>
            </w:r>
          </w:p>
        </w:tc>
        <w:tc>
          <w:tcPr>
            <w:tcW w:w="391" w:type="dxa"/>
            <w:tcBorders/>
            <w:shd w:fill="FFFFFF" w:val="clear"/>
            <w:vAlign w:val="center"/>
          </w:tcPr>
          <w:p>
            <w:pPr>
              <w:pStyle w:val="TableContents"/>
              <w:bidi w:val="0"/>
              <w:spacing w:before="0" w:after="283"/>
              <w:jc w:val="center"/>
              <w:rPr/>
            </w:pPr>
            <w:r>
              <w:rPr/>
              <w:t> </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1 - 31, 2023</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13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484,355</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(1)</w:t>
            </w:r>
          </w:p>
        </w:tc>
        <w:tc>
          <w:tcPr>
            <w:tcW w:w="2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14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4,811,019</w:t>
            </w:r>
          </w:p>
        </w:tc>
        <w:tc>
          <w:tcPr>
            <w:tcW w:w="391" w:type="dxa"/>
            <w:tcBorders/>
            <w:shd w:fill="CFF0FC"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1 - 30, 2023</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212,783</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4,598,236</w:t>
            </w:r>
          </w:p>
        </w:tc>
        <w:tc>
          <w:tcPr>
            <w:tcW w:w="391" w:type="dxa"/>
            <w:tcBorders/>
            <w:shd w:fill="FFFFFF" w:val="clear"/>
            <w:vAlign w:val="center"/>
          </w:tcPr>
          <w:p>
            <w:pPr>
              <w:pStyle w:val="TableContents"/>
              <w:bidi w:val="0"/>
              <w:spacing w:before="0" w:after="283"/>
              <w:jc w:val="left"/>
              <w:rPr/>
            </w:pPr>
            <w:r>
              <w:rPr/>
              <w:t> </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1 - 31, 2023</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1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4,598,236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697,138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694,957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4,598,236</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18"/>
        </w:rPr>
        <w:t xml:space="preserve">(1) </w:t>
      </w:r>
      <w:r>
        <w:rPr>
          <w:rFonts w:ascii="Times New Roman" w:hAnsi="Times New Roman"/>
          <w:color w:val="000000"/>
          <w:sz w:val="20"/>
        </w:rPr>
        <w:t>Includes 2,181 shares of common stock withheld by ManpowerGroup to satisfy tax withholding obligations on shares acquired by certain officers in settlement of restricted stock.</w:t>
      </w:r>
    </w:p>
    <w:p>
      <w:pPr>
        <w:pStyle w:val="TextBody"/>
        <w:bidi w:val="0"/>
        <w:spacing w:before="0" w:after="16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Performance Graph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Set forth below is a graph for the periods ending December 31, 2018-2023 comparing the cumulative total shareholder return on our common stock with the cumulative total return of companies in the Standard &amp; Poor’s 400 Midcap Stock Index and the Standard &amp; Poor’s 1500 Human Resources and Employment Services Sub-Industry Index. We are included in the Standard &amp; Poor’s 1500 Human Resources and Employment Services Sub-Industry Index and we estimate that we constituted 2% of the total market capitalization of the companies included in the index. The graph assumes a $100 investment on December 31, 2018 in our common stock, the Standard &amp; Poor’s 400 Midcap Stock Index and the Standard &amp; Poor’s 1500 Human Resources and Employment Services Sub-Industry Index and assumes the reinvestment of all dividends.</w:t>
      </w:r>
    </w:p>
    <w:p>
      <w:pPr>
        <w:pStyle w:val="TextBody"/>
        <w:bidi w:val="0"/>
        <w:jc w:val="both"/>
        <w:rPr/>
      </w:pPr>
      <w:r>
        <w:rPr/>
        <w:t> </w:t>
      </w:r>
    </w:p>
    <w:p>
      <w:pPr>
        <w:pStyle w:val="TextBody"/>
        <w:bidi w:val="0"/>
        <w:jc w:val="center"/>
        <w:rPr/>
      </w:pPr>
      <w:r>
        <w:rPr/>
        <w:drawing>
          <wp:inline distT="0" distB="0" distL="0" distR="0">
            <wp:extent cx="5334000" cy="2162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334000" cy="2162175"/>
                    </a:xfrm>
                    <a:prstGeom prst="rect">
                      <a:avLst/>
                    </a:prstGeom>
                  </pic:spPr>
                </pic:pic>
              </a:graphicData>
            </a:graphic>
          </wp:inline>
        </w:drawing>
      </w: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16"/>
        <w:gridCol w:w="146"/>
        <w:gridCol w:w="211"/>
        <w:gridCol w:w="421"/>
        <w:gridCol w:w="146"/>
        <w:gridCol w:w="146"/>
        <w:gridCol w:w="211"/>
        <w:gridCol w:w="421"/>
        <w:gridCol w:w="146"/>
        <w:gridCol w:w="146"/>
        <w:gridCol w:w="211"/>
        <w:gridCol w:w="421"/>
        <w:gridCol w:w="146"/>
        <w:gridCol w:w="146"/>
        <w:gridCol w:w="211"/>
        <w:gridCol w:w="421"/>
        <w:gridCol w:w="146"/>
        <w:gridCol w:w="146"/>
        <w:gridCol w:w="211"/>
        <w:gridCol w:w="421"/>
        <w:gridCol w:w="146"/>
        <w:gridCol w:w="146"/>
        <w:gridCol w:w="211"/>
        <w:gridCol w:w="421"/>
        <w:gridCol w:w="191"/>
      </w:tblGrid>
      <w:tr>
        <w:trPr/>
        <w:tc>
          <w:tcPr>
            <w:tcW w:w="4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91" w:type="dxa"/>
            <w:tcBorders/>
            <w:shd w:fill="CFF0FC" w:val="clear"/>
            <w:vAlign w:val="center"/>
          </w:tcPr>
          <w:p>
            <w:pPr>
              <w:pStyle w:val="TableContents"/>
              <w:bidi w:val="0"/>
              <w:spacing w:before="0" w:after="283"/>
              <w:jc w:val="left"/>
              <w:rPr/>
            </w:pPr>
            <w:r>
              <w:rPr/>
              <w:t> </w:t>
            </w:r>
          </w:p>
        </w:tc>
      </w:tr>
      <w:tr>
        <w:trPr/>
        <w:tc>
          <w:tcPr>
            <w:tcW w:w="4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S&amp;P 400 Midcap Stock Index</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91" w:type="dxa"/>
            <w:tcBorders/>
            <w:shd w:fill="FFFFFF" w:val="clear"/>
            <w:vAlign w:val="center"/>
          </w:tcPr>
          <w:p>
            <w:pPr>
              <w:pStyle w:val="TableContents"/>
              <w:bidi w:val="0"/>
              <w:spacing w:before="0" w:after="283"/>
              <w:jc w:val="left"/>
              <w:rPr/>
            </w:pPr>
            <w:r>
              <w:rPr/>
              <w:t> </w:t>
            </w:r>
          </w:p>
        </w:tc>
      </w:tr>
      <w:tr>
        <w:trPr/>
        <w:tc>
          <w:tcPr>
            <w:tcW w:w="4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S&amp;P 1500 Human Resources and Employment Services Sub-Industry Index</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bookmarkStart w:id="14" w:name="item_6_selected_financial_data"/>
      <w:bookmarkEnd w:id="14"/>
      <w:r>
        <w:rPr/>
        <w:t> </w:t>
      </w:r>
    </w:p>
    <w:p>
      <w:pPr>
        <w:pStyle w:val="TextBody"/>
        <w:bidi w:val="0"/>
        <w:jc w:val="both"/>
        <w:rPr>
          <w:rFonts w:ascii="Times New Roman" w:hAnsi="Times New Roman"/>
          <w:b/>
          <w:color w:val="000000"/>
          <w:sz w:val="20"/>
        </w:rPr>
      </w:pPr>
      <w:r>
        <w:rPr>
          <w:rFonts w:ascii="Times New Roman" w:hAnsi="Times New Roman"/>
          <w:b/>
          <w:color w:val="000000"/>
          <w:sz w:val="20"/>
        </w:rPr>
        <w:t>Item 6. [Reserved]</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5" w:name="item_7_managements_discussion_analysis_f"/>
      <w:bookmarkEnd w:id="15"/>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Financial Measures — Constant Currency And Organic Constant Currency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including Argentina which operates in a hyperinflationary economy.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ongoing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Constant currency and organic constant currency percent variances, along with a reconciliation of these amounts to certain of our reported results, are included in the Financial Measures section found in Item 7. "Management's Discussion and Analysis of Financial Condition and Results of Operations."</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Results of Operations - For Years of Operation Ending December 31, 2023 and 2022</w:t>
      </w:r>
    </w:p>
    <w:p>
      <w:pPr>
        <w:pStyle w:val="TextBody"/>
        <w:bidi w:val="0"/>
        <w:spacing w:before="200" w:after="283"/>
        <w:jc w:val="both"/>
        <w:rPr/>
      </w:pPr>
      <w:r>
        <w:rPr>
          <w:rFonts w:ascii="Times New Roman" w:hAnsi="Times New Roman"/>
          <w:color w:val="000000"/>
          <w:sz w:val="20"/>
        </w:rPr>
        <w:t xml:space="preserve">The financial discussion that follows focuses on 2023 results compared to 2022. For a discussion of 2022 results compared to 2021, see the company’s </w:t>
      </w:r>
      <w:hyperlink r:id="rId3">
        <w:r>
          <w:rPr>
            <w:rStyle w:val="InternetLink"/>
            <w:rFonts w:ascii="Times New Roman" w:hAnsi="Times New Roman"/>
            <w:color w:val="0000FF"/>
            <w:sz w:val="20"/>
            <w:u w:val="single"/>
          </w:rPr>
          <w:t>Annual Report on Form 10-K for the year ended December 31, 2022</w:t>
        </w:r>
      </w:hyperlink>
      <w:r>
        <w:rPr>
          <w:rFonts w:ascii="Times New Roman" w:hAnsi="Times New Roman"/>
          <w:color w:val="000000"/>
          <w:sz w:val="2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2023, revenues decreased -4.6% compared to 2022. Our 2023 results reflected the negative impact of economic uncertainty, particularly in Europe and North America, as we saw decreased demand for our staffing and permanent recruitment services, partially offset by increased demand for our Talent Solutions outplacement services. As Europe represents a significant portion of our operations, we continue to monitor economic conditions in our Southern Europe and Northern Europe segments. The Americas market also experienced a challenging operating environment during 2023, driven primarily by elevated inflation and the United States' sensitivity to higher interest rates. As a result of these factors, we expect the business environment will continue to be challenging for us in future periods, especially in North America and Europe, with many companies delaying hiring decisions or reducing their demand for contingent labor. The current economic risks are driven by increasing geopolitical tensions and slowing economic growth in many parts of the world. Compounding the challenging business environment, the attack in Israel on October 7, 2023 and the subsequent hostilities in Gaza could negatively impact our operations in Israel, which represents 4.1% of our revenues in the Southern Europe region and 1.8% of our ManpowerGroup revenues. These evolving events could put further pressure on our results and may increase geopolitical risk and business caution more globally.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2023, the United States dollar was generally stable, on average, relative to the currencies in most of our markets, and overall had a slight unfavorable impact on our reported results. The changes in the foreign currency exchange rates had a -0.6% unfavorable impact on revenues from services and an approximately $0.14 per share unfavorable impact on net earnings per share – diluted in 2023. Substantially all of our subsidiaries derive revenues from services and incur expenses within the same local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2023, we experienced the following quarterly changes to our consolidated revenues compared to 2022: a -7.6% decrease in revenue in the first quarter due to softening demand for staffing services due to increased economic uncertainty, partially offset by an increase in demand for our Talent Solutions outplacement services; a revenue decrease of -4.3% in the second quarter due to the continued softening demand for staffing services, partially offset by an increase in demand for our Talent Solutions outplacement services; a revenue decrease of -2.6% in the third quarter due to the continued softening demand for staffing services, partially offset by an increase in demand for our Talent Solutions outplacement services; and ending the year with a -3.7% revenue decrease in the fourth quarter of 2023 due to the continuing decrease in demand for our staffing services, partially offset by an increase in demand for our Talent Solutions outplacement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2023 compared to 2022, most of our markets experienced revenue decreases due to softening demand for our staffing and permanent recruitment services and the strengthening of the dollar in certain markets, partially offset by increased demand for our Talent Solutions outplacement services. We experienced a -10.6% revenue decrease in the Americas primarily driven by decreased demand across our staffing and permanent recruitment services, partially offset by increased demand for our outplacement services. We experienced a -0.2% revenue decrease in Southern Europe, primarily due to decreased demand for our Manpower staffing services, partially offset by the favorable impact of currency exchange rates. We experienced a revenue decrease of -7.4% in Northern Europe primarily driven by decreased demand across our staffing/interim and permanent recruitment services, partially offset by increased demand for our Talent Solutions outplacement services. We experienced a -2.7% revenue decrease in APME primarily due to the unfavorable impact of changes in currency exchange rates and decreased activity in our RPO permanent recruitment business driven by the non-recurrence of a government contract mid-year and Experis interim services, partially offset by increased demand for our Manpower staffing services.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a brand perspective, we experienced a revenue decrease in Manpower, Experis and Talent Solutions during 2023 compared to 2022. The revenue decrease in our Manpower brand was due to decreased demand for our staffing services and the unfavorable impact of currency exchange rates, partially offset by increased demand for our outcome-based solutions services. In our Experis brand, the revenue decrease was primarily due to decreased demand for our interim services. The revenue decrease in our Talent Solutions brand, which includes Recruitment Process Outsourcing (RPO), TAPFIN - Managed Service Provider (MSP) and our Right Management offerings, was driven primarily by decreased activity in our RPO permanent recruitment business, partially offset by increased demand for our Right Management outplacement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2023 our gross profit margin decreased 20 basis points compared to 2022 primarily due to decreases in our higher-margin permanent recruitment business as permanent hiring demand continued to soften and experienced reduced levels from the significant activity in the prior year period and decreased activity in our higher margin Experis solutions business. The decrease was partially offset by a change in business mix as our higher-margin Right Management outplacement business represented a higher percentage of the revenue mix and improvements in staffing/interim margins.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2023 our operating profit decreased -56.0% while our operating profit margin decreased 150 basis points compared to 2022. Excluding the effects of currency exchange rates, restructuring costs of $149.2 million in 2023 and $3.6 million in 2022, goodwill impairment charges of $55.1 million in 2023 and $50.0 million in 2022, both of which were related to our Netherlands reporting unit, $2.2 million in software impairment charges in 2023, $14.7 million in acquisition integration costs incurred in 2022, and a $10.5 million loss on the disposition of subsidiaries in 2022, our operating profit decreased -28.5%. Excluding the impact of the items previously listed, our operating profit margin decreased 80 basis points compared to 2022. The operating profit margin decreased primarily due to selling and administrative expenses decreasing at a lesser rate than revenues and the overall decrease in our gross profit margin, as noted above.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 we initiated significant restructuring actions on businesses heavily impacted by the continuing decline in activity. With these actions, we expect our overall cost structure to decline. We expect to continue to monitor expenses closely to maintain the benefit of our efforts to optimize our organizational cost structures. At the same time, we plan to invest appropriately to enable the business to grow in the future and enhance our productivity, technology and digital capabilities. We are focused on managing costs as efficiently as possible in the short term while continuing to progress transformational actions aligned with our strategic priorities.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Consolidated Results - 2023 compared to 2022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selected consolidated financial data for 2023 as compared to 2022.</w:t>
      </w:r>
    </w:p>
    <w:tbl>
      <w:tblPr>
        <w:tblW w:w="10205" w:type="dxa"/>
        <w:jc w:val="left"/>
        <w:tblInd w:w="0" w:type="dxa"/>
        <w:tblLayout w:type="fixed"/>
        <w:tblCellMar>
          <w:top w:w="28" w:type="dxa"/>
          <w:left w:w="28" w:type="dxa"/>
          <w:bottom w:w="28" w:type="dxa"/>
          <w:right w:w="28" w:type="dxa"/>
        </w:tblCellMar>
      </w:tblPr>
      <w:tblGrid>
        <w:gridCol w:w="3381"/>
        <w:gridCol w:w="146"/>
        <w:gridCol w:w="211"/>
        <w:gridCol w:w="826"/>
        <w:gridCol w:w="271"/>
        <w:gridCol w:w="146"/>
        <w:gridCol w:w="211"/>
        <w:gridCol w:w="826"/>
        <w:gridCol w:w="271"/>
        <w:gridCol w:w="146"/>
        <w:gridCol w:w="169"/>
        <w:gridCol w:w="612"/>
        <w:gridCol w:w="295"/>
        <w:gridCol w:w="146"/>
        <w:gridCol w:w="185"/>
        <w:gridCol w:w="671"/>
        <w:gridCol w:w="295"/>
        <w:gridCol w:w="146"/>
        <w:gridCol w:w="185"/>
        <w:gridCol w:w="671"/>
        <w:gridCol w:w="395"/>
      </w:tblGrid>
      <w:tr>
        <w:trPr/>
        <w:tc>
          <w:tcPr>
            <w:tcW w:w="3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Reported</w:t>
              <w:br/>
              <w:t>Variance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Variance in</w:t>
              <w:br/>
              <w:t>Constant</w:t>
              <w:br/>
              <w:t>Currency</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Variance in</w:t>
              <w:br/>
              <w:t>Organic</w:t>
              <w:br/>
              <w:t>Constant</w:t>
              <w:br/>
              <w:t>Currency</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from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18,914.5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19,827.5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15,556.5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Gross profit margin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17.8</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18.0</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781" w:type="dxa"/>
            <w:gridSpan w:val="2"/>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3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 expenses, excluding goodwill impairment charges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jc w:val="right"/>
              <w:rPr/>
            </w:pPr>
            <w:r>
              <w:rPr/>
              <w:t> </w:t>
            </w:r>
          </w:p>
        </w:tc>
      </w:tr>
      <w:tr>
        <w:trPr/>
        <w:tc>
          <w:tcPr>
            <w:tcW w:w="3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 charges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9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95" w:type="dxa"/>
            <w:tcBorders/>
            <w:shd w:fill="CFF0FC" w:val="clear"/>
            <w:vAlign w:val="center"/>
          </w:tcPr>
          <w:p>
            <w:pPr>
              <w:pStyle w:val="TableContents"/>
              <w:bidi w:val="0"/>
              <w:spacing w:before="0" w:after="283"/>
              <w:jc w:val="left"/>
              <w:rPr/>
            </w:pPr>
            <w:r>
              <w:rPr/>
              <w:t> </w:t>
            </w:r>
          </w:p>
        </w:tc>
      </w:tr>
      <w:tr>
        <w:trPr/>
        <w:tc>
          <w:tcPr>
            <w:tcW w:w="3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Selling and administrative expenses as a % of 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16.4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15.1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3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8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Operating profit margin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1.4</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2.9</w:t>
            </w:r>
          </w:p>
        </w:tc>
        <w:tc>
          <w:tcPr>
            <w:tcW w:w="271" w:type="dxa"/>
            <w:tcBorders/>
            <w:shd w:fill="FFFFFF"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781" w:type="dxa"/>
            <w:gridSpan w:val="2"/>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ind w:left="0" w:right="0" w:firstLine="200"/>
              <w:jc w:val="right"/>
              <w:rPr/>
            </w:pPr>
            <w:r>
              <w:rPr/>
              <w:t> </w:t>
            </w:r>
          </w:p>
        </w:tc>
      </w:tr>
      <w:tr>
        <w:trPr/>
        <w:tc>
          <w:tcPr>
            <w:tcW w:w="33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81" w:type="dxa"/>
            <w:gridSpan w:val="2"/>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ind w:left="0" w:right="0" w:firstLine="200"/>
              <w:jc w:val="right"/>
              <w:rPr/>
            </w:pPr>
            <w:r>
              <w:rPr/>
              <w:t> </w:t>
            </w:r>
          </w:p>
        </w:tc>
      </w:tr>
      <w:tr>
        <w:trPr/>
        <w:tc>
          <w:tcPr>
            <w:tcW w:w="33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expenses (income),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9"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856" w:type="dxa"/>
            <w:gridSpan w:val="2"/>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ind w:left="0" w:right="0" w:firstLine="200"/>
              <w:jc w:val="right"/>
              <w:rPr/>
            </w:pPr>
            <w:r>
              <w:rPr/>
              <w:t> </w:t>
            </w:r>
          </w:p>
        </w:tc>
      </w:tr>
      <w:tr>
        <w:trPr/>
        <w:tc>
          <w:tcPr>
            <w:tcW w:w="33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9"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2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6"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ind w:left="0" w:right="0" w:firstLine="200"/>
              <w:jc w:val="right"/>
              <w:rPr/>
            </w:pPr>
            <w:r>
              <w:rPr/>
              <w:t> </w:t>
            </w:r>
          </w:p>
        </w:tc>
      </w:tr>
      <w:tr>
        <w:trPr/>
        <w:tc>
          <w:tcPr>
            <w:tcW w:w="338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i/>
                <w:color w:val="000000"/>
                <w:sz w:val="20"/>
              </w:rPr>
            </w:pPr>
            <w:r>
              <w:rPr>
                <w:rFonts w:ascii="Times New Roman" w:hAnsi="Times New Roman"/>
                <w:i/>
                <w:color w:val="000000"/>
                <w:sz w:val="20"/>
              </w:rPr>
              <w:t>Effective income tax rate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56.9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32.9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8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per share - diluted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 diluted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year-over-year decrease in revenues from services of -4.6% (-4.0% in constant currency) was attributed to: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revenue decrease in the Americas of -10.6% (-6.8% in constant currency) primarily due to the decreased demand of $246.4 million for our Manpower and Experis staffing/interim services, decreased activity of $59.1 million in our RPO permanent recruitment business and a decrease of $17.5 million in our MSP business as we exited lower margin arrangements, partially offset by the increase in demand of $29.9 million for our Talent Solutions outplacement services. The United States, our largest market in the Americas, experienced a revenue decrease of -15.4% primarily driven by decreased demand of $443.8 million for our Manpower and Experis staffing/interim services, decreased activity of $57.1 million in our RPO permanent recruitment business and a decrease of $18.1 million in our MSP business as we exited lower margin arrangements, partially offset by an increase in demand of $27.7 million for our Talent Solutions outplacement services;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revenue decrease in Southern Europe of -0.2% (-2.4% in constant currency and -2.6% in organic constant currency) which was primarily due to decreased demand of $230.8 million for our Manpower staffing services, partially offset by the $185.9 million favorable impact of changes in currency exchange rates and a $31.4 million increase in demand for our Talent Solutions outplacement services. France, the largest market in Southern Europe, experienced a revenue increase of 1.7% (-1.0% in constant currency and decrease of -1.5% in organic constant currency), which was primarily due to $129.7 million favorable impact of foreign currency exchange rates and an increase in demand of $31.0 million for our Talent Solutions outplacement services, partially offset by decreased demand of $83.8 million for our Manpower staffing services. Italy, our second-largest market in Southern Europe, experienced a revenue increase of 0.1% (-2.5% in constant currency), which was primarily due to the $43.8 million favorable impact of foreign currency exchange rates, increased demand of $5.5 million for our consulting services, primarily driven by Experis, and increased demand of $2.6 million for our Manpower permanent recruitment services. The increase in Italy was partially offset by the decrease in demand of $51.8 million for our Manpower and Experis staffing/interim services;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revenue decrease in Northern Europe of -7.4% (-7.3% in constant currency and -7.2% in organic constant currency), which was primarily due to decreased demand of $295.6 million for our Manpower and Experis staffing/interim services and decreased demand of $25.8 million in our permanent recruitment business, partially offset by increased demand of $7.5 million for our Experis outcome-based solutions and consulting services, increased demand of $6.7 million for our Talent Solutions outplacement services and increased demand of $4.8 million within our MSP business. Within Northern Europe, we experienced revenue decreases in the United Kingdom of $190.1 million, the Nordics of $150.4 million, and the Netherlands of $20.2 million, which represented revenue decreases of -12.7%, -15.8% and -5.0%, respectively (-13.0%, -9.8% and -7.4%, respectively, in constant currency). These decreases were partially offset by revenue increases in Germany of $28.2 million and Belgium of $18.8 million, which represented revenue increases of 5.3% and 6.2%, respectively (2.6% and 3.1%, respectively, in constant currency);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revenue decrease in APME of -2.7% (increase of 1.9% in constant currency and 2.3% in organic constant currency) primarily due to the $110.8 million unfavorable impact of foreign currency exchange rates, decreased activity of $32.7 million in our RPO permanent recruitment business driven by the non-recurrence of a government contract mid-year and decreased demand of $25.2 million for our Experis interim services, partially offset by increased demand of $86.7 million for our Manpower staffing services, particularly in Japan, increased demand of $13.1 million for our Manpower outcome-based solutions services and increased demand of $9.0 million for our Talent Solutions outplacement services.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year-over-year 20 basis point decrease in gross profit margin was primarily attributed to: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50 basis point unfavorable impact due to decreases in permanent recruitment, including Talent Solutions RPO, as permanent hiring demand continued to soften and experienced reduced levels from the significant activity in the prior year period;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10 basis point unfavorable impact due to decreases in our staffing/interim margins driven by our Experis businesses; partially offset by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30 basis point favorable impact from a change in business mix as the higher-margin Right Management outplacement business represented a higher percentage of the revenue mix;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10 basis point favorable impact from changes in currency exchange rates.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3.7% increase in selling and administrative expenses in the year ended December 31, 2023 (3.8% in constant currency; 3.7% in organic constant currency) was primarily attributed to: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an increase in restructuring costs to $149.2 million incurred in the year ended December 31, 2023 from $3.6 million in the year ended December 31, 2022;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$45.3 million, or 5.1% increase (5.4% in constant currency and 4.9% in organic constant currency) in non-personnel costs, due to a $13.0 million increase in consulting and outside services costs associated with our technology and back-office transformation initiatives, an $11.1 million increase in software amortization and software maintenance related costs and a $9.2 million increase in costs related to office leases;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 increase in our goodwill impairment charge to $55.1 million incurred in the year ended December 31, 2023 from $50.0 million incurred in the year ended December 31, 2022, both of which were related to our Netherlands reporting unit; partially offset by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$59.1 million, or -3.2% decrease (-2.9% in constant currency) in personnel costs due to a $52.2 million decrease in bonuses and sales commissions costs;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nonrecurrence of $14.7 million in acquisition integration costs incurred in the year ended December 31, 2022;</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$10.5 million loss on the disposition of subsidiaries in the year ended December 31, 2022;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$2.7 million, or 0.1% decrease due to the impact of changes in currency exchange rates.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Selling and administrative expenses as a percent of revenues increased 130 basis points in the year ended December 31, 2023 compared to the year ended December 31, 2022 due primarily to: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70 basis point unfavorable impact as a result of the increase in restructuring costs in the year ended December 31, 2023 compared to the year ended December 31, 2022;</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50 basis point unfavorable impact as non-personnel costs increased due to investments in consulting and outside services and software maintenance costs related to various transformation initiatives, as well as an increase in office lease costs;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10 basis point unfavorable impact as personnel costs decreased at a lesser rate than revenues;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10 basis point unfavorable impact from changes in currency exchange rates; partially offset by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10 basis point favorable impact due to the nonrecurrence of acquisition integration costs and the disposition of subsidiaries in the year ended December 31, 2022.</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Interest and other expenses, net is comprised of interest, foreign exchange gains and losses and other miscellaneous non-operating income and expenses, including those associated with noncontrolling interests. Interest expense, net was $45.5 million in 2023 compared to $29.0 million in 2022 primarily due to the higher interest cost on pension obligations and a higher interest rate Euro note following the refinancing mid 2022. Miscellaneous income, net was $17.4 million in 2023 compared to $16.3 million in 2022. Foreign exchange loss, net was $21.8 million in 2023 compared to $11.9 million in 2022 primarily due to non-cash currency translation loss related to our Argentina business. Argentina is required to be treated as a hyperinflationary economy for accounting purposes and the non-cash currency translation losses reflected the devaluation of the Argentine peso in 2023. This is a non-cash accounting charge as our Argentina business operates in their local currency.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recorded income tax expense at an effective rate of 56.9% for 2023, as compared to an effective rate of 32.9% for 2022. The 2023 rate was higher than the 2022 rate primarily due to a lower level of pre-tax earnings with a less beneficial mix driven by restructuring costs in certain countries for which we did not recognize a corresponding tax benefit due to valuation allowances. The 56.9% effective tax rate for 2023 was higher than the United States Federal statutory rate of 21% primarily due to restructuring costs in certain countries for which we did not recognize a corresponding tax benefit due to valuation allowances, the Netherlands non-deductible goodwill impairment charge, the French business tax and the overall mix of earnings.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earnings per share - diluted was $1.76 in 2023 compared to $7.08 in 2022. Restructuring costs recorded in 2023 and 2022 negatively impacted net earnings per share - diluted by approximately $2.74 and $0.05 per share, net of tax, in 2023 and 2022, respectively. Foreign currency exchange rates in 2023 unfavorably impacted net earnings per share - diluted by approximately $0.14 per share, net of tax, in 2023. Goodwill and other impairment charges recorded in 2023 and 2022 negatively impacted net earnings per share - diluted by approximately $1.13 and $0.93 per share, net of tax, in 2023 and 2022, respectively. The pension settlement expense recorded in 2023 and 2022 negatively impacted net earnings per share - diluted by approximately $0.12 and $0.05, net of tax, in 2023 and 2022, respectively. Non-cash currency translation losses related to our Argentina business in 2023 unfavorably impacted net earnings per share - diluted by approximately $0.26, net of tax, in 2023. The loss from the disposition of subsidiaries recorded in 2023 and 2022 negatively impacted net earnings per share - diluted by approximately $0.03 and $0.19 per share, net of tax, in 2023 and 2022, respectively. The acquisition transaction and integration costs recorded in 2022 negatively impacted net earnings per share - diluted by approximately $0.22, net of tax, in 2022.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Weighted average shares - diluted decreased to 50.4 million in 2023 from 52.8 million in 2022. This decrease was due to the impact of share repurchases completed in 2023, partially offset by grants of share-based awards.</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Segment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evaluate performance based on operating unit profit (“OUP”), which is equal to segment revenues less direct costs and branch and national headquarters operating costs. This profit measure does not include goodwill and intangible asset impairment charges or amortization of intangible assets related to acquisitions, corporate expenses, interest and other income and expense amounts or income taxes.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Americas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Americas, revenues from services decreased -10.6% (-6.8% in constant currency) in 2023 compared to 2022. In the United States, revenues from services decreased -15.4% in 2023 compared to 2022, primarily driven by decreased demand of $443.8 million for our Manpower and Experis staffing/interim services, decreased activity of $57.1 million in our RPO permanent recruitment business and a decrease of $18.1 million in our MSP business as we exited lower margin arrangements, partially offset by an increase in demand of $27.7 million for our Talent Solutions outplacement services. In Other Americas, revenues from services increased 1.2% (14.2% in constant currency) in 2023 compared to 2022 primarily due to increased demand of $211.3 million for our Manpower staffing services, partially offset by the $187.3 million unfavorable impact of foreign currency exchange rates and decreased demand of $13.9 million for our Experis interim services. The increase in revenues from services in Other Americas was driven by revenue increases in Mexico and Argentina of $35.3 million, or 17.2%, and $19.4 million, or 11.6%, respectively (3.2% and 139.8%, respectively, in constant currency), partially offset by a revenue decrease in Canada of $61.2 million, or -14.7% (-11.3% in constant currency). The constant currency increase in Other Americas was primarily due to inflation in Argentina.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Gross profit margin decreased 80 basis points in 2023 compared to 2022 primarily due to decreased activity in our permanent recruitment business, particularly Talent Solutions RPO, which contributed 130 basis points to the decrease and decreased margins in our staffing and interim services, particularly within Experis, which contributed 50 basis points to the decrease. These contributions were partially offset by increased demand in our higher-margin Right Management outplacement business, which had a 60 basis point offsetting impact and the favorable impact of currency exchange rates, which had a 40 basis point offsetting impact.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Selling and administrative expenses decreased -4.7% (-3.2% in constant currency) in 2023 compared to 2022, primarily due to a $32.4 million decrease in bonuses and sales commissions as a result of decreased profitability in certain key markets, a $14.6 million decrease in salaries from a reduction in headcount and zero acquisition integration costs in 2023 compared to acquisition integration costs of $14.7 million in 2022. The decreases were partially offset by $11.5 million in restructuring costs incurred in 2023 compared to $1.7 million in 2022. The restructuring charges in the 2023 were primarily related to headcount reductions in the United States, Mexico and Canada.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Operating Unit Profit (“OUP”) decreased -41.4% (-37.5% in constant currency). This decrease was primarily due to decreased profitability in the United States business of $118.8 million, which includes the decreased demand for our Manpower and Experis staffing/interim services and decreased activity in our RPO permanent recruitment business, as noted above. The decreased profitability in the United States was partially offset by decreased selling and administrative expenses, particularly bonuses and sales commissions and salaries, as noted above. OUP margin in the Americas decreased to 3.8% in 2023 from 5.7% in 2022, respectively. In the United States, OUP margin decreased to 3.4% in 2023 from 6.3% in 2022 primarily due to a decrease in gross profit margin as we saw decreased demand for our Manpower and Experis staffing/interim services and decreased activity in our RPO permanent recruitment business. The decrease was also due to an increase in our selling and administrative expenses as a percent of revenue as we reduced costs slower than the decline in gross profit and incurred higher levels of restructuring charges as compared to the previous year. Other Americas OUP margin increased to 4.5% in 2023 from 4.4% in 2022 primarily due to an increase in our gross profit margin, specifically in our Manpower staffing services, partially offset by an increase in our selling and administrative expenses as a percent of revenue as we saw restructuring in both Canada and Mexico.</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Southern Europe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Southern Europe, revenues from services decreased -0.2% (-2.4% in constant currency and -2.6% in organic constant currency) in 2023 compared to 2022. In France, revenues from services increased 1.7% (-1.0% in constant currency and -1.5% in organic constant currency) in 2023 compared 2022. In Italy, revenues from services increased 0.1% (-2.5% in constant currency) in 2023 compared to 2022. The increase in France is primarily due to the $129.7 million favorable impact of foreign currency exchange rates and an increase in demand of $31.0 million for our Talent Solutions outplacement services, partially offset by decreased demand of $83.8 million for our Manpower staffing services. The increase in Italy was primarily due to the $43.8 million favorable impact of foreign currency exchange rates, increased demand of $5.5 million for our consulting services, primarily driven by Experis, and increased demand of $2.6 million for our Manpower permanent recruitment services. The increase in Italy was partially offset by the decrease in demand of $51.8 million for our Manpower and Experis staffing/interim services. In Other Southern Europe, revenues from services decreased -5.1% (-5.7% in constant currency) in 2023 compared to 2022, primarily due to decreased demand of $105.1 million for our Manpower and Experis staffing/interim services. The decrease in Other Southern Europe was driven by revenue decreases in Spain and Switzerland of $42.6 million, or -7.9% and $14.9 million, or -3.0%, respectively (-10.4% and -8.7%, respectively, in constant currency).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Gross profit margin increased 20 basis points in 2023 compared to 2022. The increases were primarily due to increased demand in our higher-margin Right Management outplacement business, which contributed 20 basis points to the increase and increased demand in our permanent recruitment business, particularly within Manpower, which contributed 5 basis points to the increase. These contributions were partially offset by decreased activity in our higher margin Manpower staffing services, which had a 5 basis point offsetting impact.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Selling and administrative expenses increased 8.5% (6.3% in constant currency and 5.5% in organic constant currency) during 2023 compared to 2022 primarily due to the $19.2 million unfavorable impact of currency exchange rates, an $18.6 million increase in salary-related costs and $13.6 million in restructuring costs incurred in 2023 compared to $0.9 million in 2022, partially offset by a $1.0 million decrease in bad debt expense and a $0.9 million decrease in bonuses and sales commissions as a result of decreased profitability in certain key markets. The restructuring charges in 2023 were primarily related to headcount reductions in Spain of $6.2 million, as well as $3.2 million in the regional head office, $2.5 million in France and $1.6 million in Italy.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OUP in Southern Europe decreased -13.4% (-15.2% in constant currency). This decrease was primarily due to decreased profitability in the France reporting unit of $38.4 million and increased selling and administrative expense, as noted above. OUP margin in Southern Europe decreased to 4.2% in 2023 from 4.8% in 2022. In France, the OUP margin was 3.9% in 2023 compared to 4.7% in 2022. The decrease in France was primarily due to an increase in salary related costs and restructuring charges, as noted above, which had a significant impact on the overall increase in selling and administrative expenses as a percent of revenue. In Italy, the OUP margin increased to 7.3% in 2023 from 7.2% in 2022 primarily due to an increase in the gross profit margin, partially offset by restructuring charges, as noted above, which had a significant impact on the overall increase in selling and administrative expenses as a percent of revenue. In Other Southern Europe, the OUP margin decreased to 2.3% in 2023 from 3.1% in 2022 primarily due to an increase in our selling and administrative expenses as a percent of revenue as we incurred restructuring charges related to Spain and the regional head office, as noted above.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Northern Europe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Northern Europe, the largest country operations include the United Kingdom, the Nordics, Germany, the Netherlands and Belgium (comprising 35%, 21%, 15%, 10% and 9%, respectively, of Northern Europe’s revenues). In the Northern Europe region, revenues from services decreased -7.4% (-7.3% in constant currency and -7.2% in organic constant currency) in 2023 compared to 2022. We experienced revenue decreases in the United Kingdom of $190.1 million, the Nordics of $150.4 million, and the Netherlands of $20.2 million, which represented revenue decreases of -12.7%, -15.8% and -5.0%, respectively (-13.0%, -9.8% and -7.4%, respectively, in constant currency). These decreases were partially offset by revenue increases in Germany of $28.2 million and Belgium of $18.8 million, which represented revenue increases of 5.3% and 6.2%, respectively (2.6% and 3.1%, respectively, in constant currency). The revenue decrease in Northern Europe was primarily due to decreased demand of $295.6 million for our Manpower and Experis staffing/interim services and decreased demand of $25.8 million for our permanent recruitment services, partially offset by the increased demand of $6.7 million for our Talent Solutions outplacement services and increased demand of $4.8 million within our MSP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Gross profit margin decreased by 10 basis points in 2023 compared to 2022 primarily due to decreases in our staffing/interim margins, which contributed 30 basis points to the decrease and decreased demand in our permanent recruitment business, particularly in Manpower and Experis, which contributed 30 basis points to the decrease. These contributions were partially offset by a shift in business mix towards our higher-margin Talent Solutions outplacement and MSP services, which had a 20 basis point offsetting impact and improvements in our consulting solutions margins, which had a 30 basis point offsetting impact.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Selling and administrative expenses increased 15.8% (15.1% in constant currency and 15.2% in organic constant currency) in 2023 compared to 2022. The increase is primarily due to $120.4 million in restructuring costs incurred in 2023 compared to $0.8 million in 2022 and the $4.5 million unfavorable impact of currency exchange rates, partially offset by the $15.6 million decrease in bonuses and sales commissions as a result of decreased profitability in certain markets and the disposition of our Russia business of $9.7 million incurred in 2022. The restructuring charges in 2023 were primarily related to headcount reductions and professional and other fees in Germany of $91.7 million as we wind down our Proservia operations in the country and headcount reductions in the Nordics of $14.3 million, as well as $5.2 million in the Netherlands, $5.0 million in the United Kingdom and $3.9 million in Belgium.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OUP in Northern Europe decreased -375.0% (-363.8% in constant currency), which represents a -3.1% OUP margin, a decrease from 1.0% in 2022. This OUP decrease was primarily driven by a decrease in profitability of our bench model countries, notably Germany, the Nordics and the Netherlands, which experienced decreases of $88.2 million, $39.7 million and $9.1 million, respectively, and the $120.4 million in restructuring costs, as noted above, which had a significant impact on the overall increase in selling and administrative expenses as a percent of revenue.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APME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Revenues from services decreased -2.7% (increase of 1.9% in constant currency and 2.3% in organic constant currency) in 2023 compared to 2022. In Japan, revenues from services increased 3.9% (11.4% in constant currency) due to increased demand of $117.1 million for our Manpower and Experis staffing/interim services and increased demand of $4.0 million for our Talent Solutions outplacement services, partially offset by the $81.8 million unfavorable impact of foreign currency exchange rates. In Australia, revenues from services decreased -25.0% (-21.3% in constant currency), primarily due to decreased demand of $46.4 million for our Experis interim services, decreased activity of $30.4 million in our RPO permanent recruitment business driven by the non-recurrence of a government contract mid-year and the $10.7 million unfavorable impact of currency exchange rates, partially offset by increased demand of $20.0 million for our Manpower staffing services and increased demand of $3.3 million for our Talent Solutions outplacement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Gross profit margin decreased 20 basis points in 2023 compared to 2022 primarily due to decreased activity in our permanent recruitment business, particularly Talent Solutions RPO, which contributed 120 basis points to the decrease. This contribution was partially offset by improvement in our staffing/interim margins, which had a 60 basis point offsetting impact, and increased demand in our higher-margin Right Management outplacement services, which had a 40 basis point offsetting impact.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Selling and administrative expenses decreased -6.9% (-2.4% in constant currency and -2.1% in organic constant currency) in 2023 compared 2022. The decrease is primarily due to the $14.2 million favorable impact of currency exchange rates, a $6.0 million decrease in office lease related costs and a $5.8 million decrease in salary related costs from a reduction in headcount, partially offset by $3.3 million in restructuring costs incurred in 2023 compared to $0.1 million in 2022. The restructuring charges in 2023 were related to headcount reductions in Australia.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OUP in APME increased 5.6% (11.6% in constant currency) which represents a 4.0% OUP margin, an increase from 3.7% in 2022. This OUP increase was primarily driven by increased profitability in the Japan reporting unit of $7.3 million, partially offset by decreased profitability in the Australia reporting unit of $2.3 million primarily due to the non-recurrence of a government contract mid-year.</w:t>
      </w:r>
    </w:p>
    <w:p>
      <w:pPr>
        <w:pStyle w:val="TextBody"/>
        <w:bidi w:val="0"/>
        <w:spacing w:before="200" w:after="283"/>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Financial Measures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Constant Currency And Organic Constant Currency Reconciliation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constant currency and organic constant currency percent variances are discussed throughout this report. A reconciliation of these Non-GAAP percent variances to the percent variances calculated based on our annual GAAP financial results is provided below. (See Constant Currency and Organic Constant Currency on page 34 for information.)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80"/>
        <w:gridCol w:w="146"/>
        <w:gridCol w:w="201"/>
        <w:gridCol w:w="756"/>
        <w:gridCol w:w="166"/>
        <w:gridCol w:w="146"/>
        <w:gridCol w:w="171"/>
        <w:gridCol w:w="670"/>
        <w:gridCol w:w="273"/>
        <w:gridCol w:w="146"/>
        <w:gridCol w:w="195"/>
        <w:gridCol w:w="649"/>
        <w:gridCol w:w="273"/>
        <w:gridCol w:w="146"/>
        <w:gridCol w:w="179"/>
        <w:gridCol w:w="705"/>
        <w:gridCol w:w="273"/>
        <w:gridCol w:w="146"/>
        <w:gridCol w:w="290"/>
        <w:gridCol w:w="779"/>
        <w:gridCol w:w="256"/>
        <w:gridCol w:w="146"/>
        <w:gridCol w:w="180"/>
        <w:gridCol w:w="706"/>
        <w:gridCol w:w="527"/>
      </w:tblGrid>
      <w:tr>
        <w:trPr/>
        <w:tc>
          <w:tcPr>
            <w:tcW w:w="2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2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Amounts represent 2023</w:t>
              <w:br/>
              <w:t>Percentages represent 2023 compared</w:t>
              <w:br/>
              <w:t>to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Reported</w:t>
              <w:br/>
              <w:t> Amount</w:t>
              <w:br/>
              <w:t>(in millions)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Reported</w:t>
              <w:br/>
              <w:t> Variance</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Impact of</w:t>
              <w:br/>
              <w:t>Currency</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Variance in</w:t>
              <w:br/>
              <w:t>Constant</w:t>
              <w:br/>
              <w:t>Currency</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Impact of</w:t>
              <w:br/>
              <w:t>Acquisitions</w:t>
              <w:br/>
              <w:t xml:space="preserve">and </w:t>
              <w:br/>
              <w:t>Dispositions</w:t>
              <w:br/>
              <w:t>(in Constant</w:t>
              <w:br/>
              <w:t>Currency)</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Organic</w:t>
              <w:br/>
              <w:t> Constant</w:t>
              <w:br/>
              <w:t> Currency</w:t>
              <w:br/>
              <w:t> Variance</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080"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 from Services</w:t>
            </w:r>
          </w:p>
        </w:tc>
        <w:tc>
          <w:tcPr>
            <w:tcW w:w="146" w:type="dxa"/>
            <w:tcBorders/>
            <w:shd w:fill="CFF0FC" w:val="clear"/>
            <w:vAlign w:val="center"/>
          </w:tcPr>
          <w:p>
            <w:pPr>
              <w:pStyle w:val="TableContents"/>
              <w:bidi w:val="0"/>
              <w:spacing w:before="0" w:after="283"/>
              <w:jc w:val="left"/>
              <w:rPr/>
            </w:pPr>
            <w:r>
              <w:rPr/>
              <w:t> </w:t>
            </w:r>
          </w:p>
        </w:tc>
        <w:tc>
          <w:tcPr>
            <w:tcW w:w="9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1" w:type="dxa"/>
            <w:gridSpan w:val="2"/>
            <w:tcBorders/>
            <w:shd w:fill="CFF0FC" w:val="clear"/>
            <w:vAlign w:val="center"/>
          </w:tcPr>
          <w:p>
            <w:pPr>
              <w:pStyle w:val="TableContents"/>
              <w:bidi w:val="0"/>
              <w:spacing w:before="0" w:after="283"/>
              <w:jc w:val="right"/>
              <w:rPr/>
            </w:pPr>
            <w:r>
              <w:rPr/>
              <w:t> </w:t>
            </w:r>
          </w:p>
        </w:tc>
        <w:tc>
          <w:tcPr>
            <w:tcW w:w="27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4" w:type="dxa"/>
            <w:gridSpan w:val="2"/>
            <w:tcBorders/>
            <w:shd w:fill="CFF0FC" w:val="clear"/>
            <w:vAlign w:val="center"/>
          </w:tcPr>
          <w:p>
            <w:pPr>
              <w:pStyle w:val="TableContents"/>
              <w:bidi w:val="0"/>
              <w:spacing w:before="0" w:after="283"/>
              <w:jc w:val="right"/>
              <w:rPr/>
            </w:pPr>
            <w:r>
              <w:rPr/>
              <w:t> </w:t>
            </w:r>
          </w:p>
        </w:tc>
        <w:tc>
          <w:tcPr>
            <w:tcW w:w="27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4" w:type="dxa"/>
            <w:gridSpan w:val="2"/>
            <w:tcBorders/>
            <w:shd w:fill="CFF0FC" w:val="clear"/>
            <w:vAlign w:val="center"/>
          </w:tcPr>
          <w:p>
            <w:pPr>
              <w:pStyle w:val="TableContents"/>
              <w:bidi w:val="0"/>
              <w:spacing w:before="0" w:after="283"/>
              <w:jc w:val="right"/>
              <w:rPr/>
            </w:pPr>
            <w:r>
              <w:rPr/>
              <w:t> </w:t>
            </w:r>
          </w:p>
        </w:tc>
        <w:tc>
          <w:tcPr>
            <w:tcW w:w="27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69" w:type="dxa"/>
            <w:gridSpan w:val="2"/>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527" w:type="dxa"/>
            <w:tcBorders/>
            <w:shd w:fill="CFF0FC" w:val="clear"/>
            <w:vAlign w:val="center"/>
          </w:tcPr>
          <w:p>
            <w:pPr>
              <w:pStyle w:val="TableContents"/>
              <w:bidi w:val="0"/>
              <w:spacing w:before="0" w:after="283"/>
              <w:ind w:left="0" w:right="0" w:firstLine="100"/>
              <w:jc w:val="right"/>
              <w:rPr/>
            </w:pPr>
            <w:r>
              <w:rPr/>
              <w:t> </w:t>
            </w:r>
          </w:p>
        </w:tc>
      </w:tr>
      <w:tr>
        <w:trPr/>
        <w:tc>
          <w:tcPr>
            <w:tcW w:w="20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Americas:</w:t>
            </w:r>
          </w:p>
        </w:tc>
        <w:tc>
          <w:tcPr>
            <w:tcW w:w="146" w:type="dxa"/>
            <w:tcBorders/>
            <w:shd w:fill="FFFFFF" w:val="clear"/>
            <w:vAlign w:val="center"/>
          </w:tcPr>
          <w:p>
            <w:pPr>
              <w:pStyle w:val="TableContents"/>
              <w:bidi w:val="0"/>
              <w:spacing w:before="0" w:after="283"/>
              <w:jc w:val="left"/>
              <w:rPr/>
            </w:pPr>
            <w:r>
              <w:rPr/>
              <w:t> </w:t>
            </w:r>
          </w:p>
        </w:tc>
        <w:tc>
          <w:tcPr>
            <w:tcW w:w="9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1" w:type="dxa"/>
            <w:gridSpan w:val="2"/>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4" w:type="dxa"/>
            <w:gridSpan w:val="2"/>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4" w:type="dxa"/>
            <w:gridSpan w:val="2"/>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9" w:type="dxa"/>
            <w:gridSpan w:val="2"/>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527" w:type="dxa"/>
            <w:tcBorders/>
            <w:shd w:fill="FFFFFF" w:val="clear"/>
            <w:vAlign w:val="center"/>
          </w:tcPr>
          <w:p>
            <w:pPr>
              <w:pStyle w:val="TableContents"/>
              <w:bidi w:val="0"/>
              <w:spacing w:before="0" w:after="283"/>
              <w:ind w:left="0" w:right="0" w:firstLine="200"/>
              <w:jc w:val="right"/>
              <w:rPr/>
            </w:pPr>
            <w:r>
              <w:rPr/>
              <w:t> </w:t>
            </w:r>
          </w:p>
        </w:tc>
      </w:tr>
      <w:tr>
        <w:trPr/>
        <w:tc>
          <w:tcPr>
            <w:tcW w:w="208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United States</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27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right"/>
              <w:rPr>
                <w:color w:val="000000"/>
              </w:rPr>
            </w:pPr>
            <w:r>
              <w:rPr>
                <w:color w:val="000000"/>
              </w:rPr>
              <w:t>—</w:t>
            </w:r>
          </w:p>
        </w:tc>
        <w:tc>
          <w:tcPr>
            <w:tcW w:w="27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27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90"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527"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08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52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0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Southern Europe:</w:t>
            </w:r>
          </w:p>
        </w:tc>
        <w:tc>
          <w:tcPr>
            <w:tcW w:w="146" w:type="dxa"/>
            <w:tcBorders/>
            <w:shd w:fill="FFFFFF" w:val="clear"/>
            <w:vAlign w:val="center"/>
          </w:tcPr>
          <w:p>
            <w:pPr>
              <w:pStyle w:val="TableContents"/>
              <w:bidi w:val="0"/>
              <w:spacing w:before="0" w:after="283"/>
              <w:jc w:val="left"/>
              <w:rPr/>
            </w:pPr>
            <w:r>
              <w:rPr/>
              <w:t> </w:t>
            </w:r>
          </w:p>
        </w:tc>
        <w:tc>
          <w:tcPr>
            <w:tcW w:w="9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1" w:type="dxa"/>
            <w:gridSpan w:val="2"/>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4" w:type="dxa"/>
            <w:gridSpan w:val="2"/>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4" w:type="dxa"/>
            <w:gridSpan w:val="2"/>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9" w:type="dxa"/>
            <w:gridSpan w:val="2"/>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527" w:type="dxa"/>
            <w:tcBorders/>
            <w:shd w:fill="FFFFFF" w:val="clear"/>
            <w:vAlign w:val="center"/>
          </w:tcPr>
          <w:p>
            <w:pPr>
              <w:pStyle w:val="TableContents"/>
              <w:bidi w:val="0"/>
              <w:spacing w:before="0" w:after="283"/>
              <w:ind w:left="0" w:right="0" w:firstLine="200"/>
              <w:jc w:val="right"/>
              <w:rPr/>
            </w:pPr>
            <w:r>
              <w:rPr/>
              <w:t> </w:t>
            </w:r>
          </w:p>
        </w:tc>
      </w:tr>
      <w:tr>
        <w:trPr/>
        <w:tc>
          <w:tcPr>
            <w:tcW w:w="208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France</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7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7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7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90"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527"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08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Italy</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7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7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7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color w:val="000000"/>
              </w:rPr>
            </w:pPr>
            <w:r>
              <w:rPr>
                <w:color w:val="000000"/>
              </w:rPr>
              <w:t>—</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527"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08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Southern Europe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5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08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Northern Europe</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7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7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7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90"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5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527"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08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APME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8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8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6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08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Intercompany Eliminations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ManpowerGroup</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5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80"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Profit - ManpowerGroup</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27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27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27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52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80"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Unit Profit</w:t>
            </w:r>
          </w:p>
        </w:tc>
        <w:tc>
          <w:tcPr>
            <w:tcW w:w="146" w:type="dxa"/>
            <w:tcBorders/>
            <w:shd w:fill="CFF0FC" w:val="clear"/>
            <w:vAlign w:val="center"/>
          </w:tcPr>
          <w:p>
            <w:pPr>
              <w:pStyle w:val="TableContents"/>
              <w:bidi w:val="0"/>
              <w:spacing w:before="0" w:after="283"/>
              <w:jc w:val="left"/>
              <w:rPr/>
            </w:pPr>
            <w:r>
              <w:rPr/>
              <w:t> </w:t>
            </w:r>
          </w:p>
        </w:tc>
        <w:tc>
          <w:tcPr>
            <w:tcW w:w="9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1" w:type="dxa"/>
            <w:gridSpan w:val="2"/>
            <w:tcBorders/>
            <w:shd w:fill="CFF0FC" w:val="clear"/>
            <w:vAlign w:val="center"/>
          </w:tcPr>
          <w:p>
            <w:pPr>
              <w:pStyle w:val="TableContents"/>
              <w:bidi w:val="0"/>
              <w:spacing w:before="0" w:after="283"/>
              <w:jc w:val="right"/>
              <w:rPr/>
            </w:pPr>
            <w:r>
              <w:rPr/>
              <w:t> </w:t>
            </w:r>
          </w:p>
        </w:tc>
        <w:tc>
          <w:tcPr>
            <w:tcW w:w="27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4" w:type="dxa"/>
            <w:gridSpan w:val="2"/>
            <w:tcBorders/>
            <w:shd w:fill="CFF0FC" w:val="clear"/>
            <w:vAlign w:val="center"/>
          </w:tcPr>
          <w:p>
            <w:pPr>
              <w:pStyle w:val="TableContents"/>
              <w:bidi w:val="0"/>
              <w:spacing w:before="0" w:after="283"/>
              <w:jc w:val="right"/>
              <w:rPr/>
            </w:pPr>
            <w:r>
              <w:rPr/>
              <w:t> </w:t>
            </w:r>
          </w:p>
        </w:tc>
        <w:tc>
          <w:tcPr>
            <w:tcW w:w="27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4" w:type="dxa"/>
            <w:gridSpan w:val="2"/>
            <w:tcBorders/>
            <w:shd w:fill="CFF0FC" w:val="clear"/>
            <w:vAlign w:val="center"/>
          </w:tcPr>
          <w:p>
            <w:pPr>
              <w:pStyle w:val="TableContents"/>
              <w:bidi w:val="0"/>
              <w:spacing w:before="0" w:after="283"/>
              <w:jc w:val="right"/>
              <w:rPr/>
            </w:pPr>
            <w:r>
              <w:rPr/>
              <w:t> </w:t>
            </w:r>
          </w:p>
        </w:tc>
        <w:tc>
          <w:tcPr>
            <w:tcW w:w="27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69" w:type="dxa"/>
            <w:gridSpan w:val="2"/>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527" w:type="dxa"/>
            <w:tcBorders/>
            <w:shd w:fill="CFF0FC" w:val="clear"/>
            <w:vAlign w:val="center"/>
          </w:tcPr>
          <w:p>
            <w:pPr>
              <w:pStyle w:val="TableContents"/>
              <w:bidi w:val="0"/>
              <w:spacing w:before="0" w:after="283"/>
              <w:ind w:left="0" w:right="0" w:firstLine="100"/>
              <w:jc w:val="right"/>
              <w:rPr/>
            </w:pPr>
            <w:r>
              <w:rPr/>
              <w:t> </w:t>
            </w:r>
          </w:p>
        </w:tc>
      </w:tr>
      <w:tr>
        <w:trPr/>
        <w:tc>
          <w:tcPr>
            <w:tcW w:w="20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Americas:</w:t>
            </w:r>
          </w:p>
        </w:tc>
        <w:tc>
          <w:tcPr>
            <w:tcW w:w="146" w:type="dxa"/>
            <w:tcBorders/>
            <w:shd w:fill="FFFFFF" w:val="clear"/>
            <w:vAlign w:val="center"/>
          </w:tcPr>
          <w:p>
            <w:pPr>
              <w:pStyle w:val="TableContents"/>
              <w:bidi w:val="0"/>
              <w:spacing w:before="0" w:after="283"/>
              <w:jc w:val="left"/>
              <w:rPr/>
            </w:pPr>
            <w:r>
              <w:rPr/>
              <w:t> </w:t>
            </w:r>
          </w:p>
        </w:tc>
        <w:tc>
          <w:tcPr>
            <w:tcW w:w="9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1" w:type="dxa"/>
            <w:gridSpan w:val="2"/>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4" w:type="dxa"/>
            <w:gridSpan w:val="2"/>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4" w:type="dxa"/>
            <w:gridSpan w:val="2"/>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9" w:type="dxa"/>
            <w:gridSpan w:val="2"/>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527" w:type="dxa"/>
            <w:tcBorders/>
            <w:shd w:fill="FFFFFF" w:val="clear"/>
            <w:vAlign w:val="center"/>
          </w:tcPr>
          <w:p>
            <w:pPr>
              <w:pStyle w:val="TableContents"/>
              <w:bidi w:val="0"/>
              <w:spacing w:before="0" w:after="283"/>
              <w:ind w:left="0" w:right="0" w:firstLine="200"/>
              <w:jc w:val="right"/>
              <w:rPr/>
            </w:pPr>
            <w:r>
              <w:rPr/>
              <w:t> </w:t>
            </w:r>
          </w:p>
        </w:tc>
      </w:tr>
      <w:tr>
        <w:trPr/>
        <w:tc>
          <w:tcPr>
            <w:tcW w:w="208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United States</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w:t>
            </w:r>
          </w:p>
        </w:tc>
        <w:tc>
          <w:tcPr>
            <w:tcW w:w="27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right"/>
              <w:rPr>
                <w:color w:val="000000"/>
              </w:rPr>
            </w:pPr>
            <w:r>
              <w:rPr>
                <w:color w:val="000000"/>
              </w:rPr>
              <w:t>—</w:t>
            </w:r>
          </w:p>
        </w:tc>
        <w:tc>
          <w:tcPr>
            <w:tcW w:w="27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w:t>
            </w:r>
          </w:p>
        </w:tc>
        <w:tc>
          <w:tcPr>
            <w:tcW w:w="27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90"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w:t>
            </w:r>
          </w:p>
        </w:tc>
        <w:tc>
          <w:tcPr>
            <w:tcW w:w="527"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08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w:t>
            </w:r>
          </w:p>
        </w:tc>
        <w:tc>
          <w:tcPr>
            <w:tcW w:w="52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0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Southern Europe:</w:t>
            </w:r>
          </w:p>
        </w:tc>
        <w:tc>
          <w:tcPr>
            <w:tcW w:w="146" w:type="dxa"/>
            <w:tcBorders/>
            <w:shd w:fill="FFFFFF" w:val="clear"/>
            <w:vAlign w:val="center"/>
          </w:tcPr>
          <w:p>
            <w:pPr>
              <w:pStyle w:val="TableContents"/>
              <w:bidi w:val="0"/>
              <w:spacing w:before="0" w:after="283"/>
              <w:jc w:val="left"/>
              <w:rPr/>
            </w:pPr>
            <w:r>
              <w:rPr/>
              <w:t> </w:t>
            </w:r>
          </w:p>
        </w:tc>
        <w:tc>
          <w:tcPr>
            <w:tcW w:w="9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1" w:type="dxa"/>
            <w:gridSpan w:val="2"/>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4" w:type="dxa"/>
            <w:gridSpan w:val="2"/>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4" w:type="dxa"/>
            <w:gridSpan w:val="2"/>
            <w:tcBorders/>
            <w:shd w:fill="FFFFFF" w:val="clear"/>
            <w:vAlign w:val="center"/>
          </w:tcPr>
          <w:p>
            <w:pPr>
              <w:pStyle w:val="TableContents"/>
              <w:bidi w:val="0"/>
              <w:spacing w:before="0" w:after="283"/>
              <w:jc w:val="right"/>
              <w:rPr/>
            </w:pPr>
            <w:r>
              <w:rPr/>
              <w:t> </w:t>
            </w:r>
          </w:p>
        </w:tc>
        <w:tc>
          <w:tcPr>
            <w:tcW w:w="27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9" w:type="dxa"/>
            <w:gridSpan w:val="2"/>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527" w:type="dxa"/>
            <w:tcBorders/>
            <w:shd w:fill="FFFFFF" w:val="clear"/>
            <w:vAlign w:val="center"/>
          </w:tcPr>
          <w:p>
            <w:pPr>
              <w:pStyle w:val="TableContents"/>
              <w:bidi w:val="0"/>
              <w:spacing w:before="0" w:after="283"/>
              <w:ind w:left="0" w:right="0" w:firstLine="200"/>
              <w:jc w:val="right"/>
              <w:rPr/>
            </w:pPr>
            <w:r>
              <w:rPr/>
              <w:t> </w:t>
            </w:r>
          </w:p>
        </w:tc>
      </w:tr>
      <w:tr>
        <w:trPr/>
        <w:tc>
          <w:tcPr>
            <w:tcW w:w="208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France</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27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7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w:t>
            </w:r>
          </w:p>
        </w:tc>
        <w:tc>
          <w:tcPr>
            <w:tcW w:w="27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90"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527"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08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Italy</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7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7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7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color w:val="000000"/>
              </w:rPr>
            </w:pPr>
            <w:r>
              <w:rPr>
                <w:color w:val="000000"/>
              </w:rPr>
              <w:t>—</w:t>
            </w:r>
          </w:p>
        </w:tc>
        <w:tc>
          <w:tcPr>
            <w:tcW w:w="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27"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08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Southern Europe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5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52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08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Northern Europe</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71"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(375.0</w:t>
            </w:r>
          </w:p>
        </w:tc>
        <w:tc>
          <w:tcPr>
            <w:tcW w:w="27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c>
          <w:tcPr>
            <w:tcW w:w="64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27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(363.8</w:t>
            </w:r>
          </w:p>
        </w:tc>
        <w:tc>
          <w:tcPr>
            <w:tcW w:w="27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290"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2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(364.3</w:t>
            </w:r>
          </w:p>
        </w:tc>
        <w:tc>
          <w:tcPr>
            <w:tcW w:w="527"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20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APME</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27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27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27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2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527" w:type="dxa"/>
            <w:tcBorders/>
            <w:shd w:fill="FFFFFF" w:val="clear"/>
            <w:vAlign w:val="center"/>
          </w:tcPr>
          <w:p>
            <w:pPr>
              <w:pStyle w:val="TableContents"/>
              <w:bidi w:val="0"/>
              <w:spacing w:before="0" w:after="283"/>
              <w:jc w:val="left"/>
              <w:rPr/>
            </w:pPr>
            <w:r>
              <w:rPr/>
              <w:t> </w:t>
            </w:r>
          </w:p>
        </w:tc>
      </w:tr>
      <w:tr>
        <w:trPr/>
        <w:tc>
          <w:tcPr>
            <w:tcW w:w="2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Unit Profit - ManpowerGroup</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w:t>
            </w:r>
          </w:p>
        </w:tc>
        <w:tc>
          <w:tcPr>
            <w:tcW w:w="5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u w:val="single"/>
        </w:rPr>
      </w:pPr>
      <w:r>
        <w:rPr>
          <w:rFonts w:ascii="Times New Roman" w:hAnsi="Times New Roman"/>
          <w:color w:val="000000"/>
          <w:sz w:val="20"/>
          <w:u w:val="single"/>
        </w:rPr>
        <w:t>Cash Sources and Uses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December 31, 2023, we had $503.5 million of cash held by foreign subsidiaries. We have historically made and anticipate future cash repatriations to the United States from certain foreign subsidiaries to fund corporate activities. As of December 31, 2023, deferred taxes related to non-United States withholding and other taxes were provided on $1,519.8 million of accumulated unremitted earnings of non-United States subsidiaries that may be remitted to the United States. As of December 31, 2023 and 2022, we have recorded a deferred tax liability of $23.1 million and $18.4 million, respectively, related to these non-United States earnings that may be remitted. As of December 31, 2023, we had an additional $391.5 million of accumulated unremitted earnings of non-United States subsidiaries for which we have not provided deferred taxes as amounts are deemed indefinitely reinvested. We have not estimated the deferred tax liability on these earnings as such estimation is not practicable to determine or immaterial to the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principal ongoing cash needs are to finance working capital, capital expenditures, debt payments, interest expense, dividends, share repurchases and acquisitions. Working capital is primarily in the form of trade receivables, which generally increase as revenues increase. The amount of financing necessary to support revenue growth depends on receivables turnover, which differs in each market where we operate.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provided by operating activities was $348.2 million, $423.3 million and $644.8 million for 2023, 2022 and 2021, respectively. Changes in operating assets and liabilities generated $98.7 million, compared to $139.7 million utilized and $135.6 million of cash generated in 2023, 2022 and 2021, respectively. The change in 2023 from 2022 was primarily attributable to a decrease in accounts receivable due to the slowdown in the demand for our services. The change in 2022 from 2021 was primarily attributable to a decrease in accounts payable due to timing.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Accounts receivable decreased to $4,830.0 million as of December 31, 2023 from $5,137.4 million as of December 31, 2022. The decrease was partly offset by the impact of changes in currency exchange rates. DSO decreased by two days from December 31, 2022 to 54 days as of December 31, 2023 due to favorable mix changes, with lower growth in countries with a higher average DSO.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Capital expenditures were $78.2 million, $75.6 million and $64.2 million during 2023, 2022 and 2021, respectively. These expenditures were comprised of purchases of computer equipment, office furniture and other costs related to office openings and refurbishments, as well as capitalized software costs of $12.0 million, $34.2 million and $26.9 million in 2023, 2022 and 2021, respectively. The higher expenditures in 2022 and 2021 were primarily due to additional technology investments and the timing of capital expenditures.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debt repayments were $16.2 million in 2023 as compared to net debt repayments of $58.7 million in 2022 and net borrowings of $70.3 million in 2021. The decrease in 2023 from 2022 is mainly due to the $75.0 million repayment we made into our revolving credit facility during 2022 to clear the outstanding borrowings as of December 31, 2022 related to the Experis acquisition. The acquisition was funded through cash on hand and a $150.0 million draw on our revolving credit facility on October 1, 2021 which was paid in 2022.</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Board of Directors authorized the repurchase of 5.0 million, 4.0 million and 6.0 million shares of our common stock in August 2023, August 2021 and August 2019. Share repurchases may be made from time to time through a variety of methods, including open market purchases, block transactions, privately negotiated transactions or similar facilities. In 2023, we repurchased a total of 2.4 million shares comprised of 2.0 million shares under the 2021 authorization and 0.4 million shares under the 2023 authorization, at a total cost of $179.8 million excluding excise tax on share repurchases of $1.7 million. In 2022, we repurchased a total of 3.2 million shares comprised of 1.2 million shares under the 2019 authorization and 2.0 million shares under the 2021 authorization, at a total cost of $270.0 million. In 2021, we repurchased 2.1 million shares under the 2019 authorization at a total cost of $210.0 million. As of December 31, 2023, there were 4.6 million shares remaining authorized for repurchase under the 2023 authorization and no shares remaining authorized for repurchase under the 2021 or 2019 authorization.</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2023, 2022 and 2021, the Board of Directors declared total cash dividends of $2.94, $2.72 and $2.52 per share, respectively, resulting in total dividend payments of $144.3 million, $139.9 million and $136.6 million,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aggregate commitments of $2,303.4 million related to debt, operating leases, purchase obligations for global technology and financial shared services, restructuring costs, transition tax resulting from the Tax Act and certain other commitments,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129"/>
        <w:gridCol w:w="146"/>
        <w:gridCol w:w="211"/>
        <w:gridCol w:w="721"/>
        <w:gridCol w:w="146"/>
        <w:gridCol w:w="146"/>
        <w:gridCol w:w="211"/>
        <w:gridCol w:w="571"/>
        <w:gridCol w:w="146"/>
        <w:gridCol w:w="146"/>
        <w:gridCol w:w="247"/>
        <w:gridCol w:w="670"/>
        <w:gridCol w:w="146"/>
        <w:gridCol w:w="146"/>
        <w:gridCol w:w="247"/>
        <w:gridCol w:w="670"/>
        <w:gridCol w:w="146"/>
        <w:gridCol w:w="146"/>
        <w:gridCol w:w="275"/>
        <w:gridCol w:w="746"/>
        <w:gridCol w:w="193"/>
      </w:tblGrid>
      <w:tr>
        <w:trPr/>
        <w:tc>
          <w:tcPr>
            <w:tcW w:w="41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2025-2026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2027-2028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Thereafter</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1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including interest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41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borrowings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color w:val="000000"/>
              </w:rPr>
            </w:pPr>
            <w:r>
              <w:rPr>
                <w:color w:val="000000"/>
              </w:rPr>
              <w:t>—</w:t>
            </w:r>
          </w:p>
        </w:tc>
        <w:tc>
          <w:tcPr>
            <w:tcW w:w="193" w:type="dxa"/>
            <w:tcBorders/>
            <w:shd w:fill="FFFFFF" w:val="clear"/>
            <w:vAlign w:val="center"/>
          </w:tcPr>
          <w:p>
            <w:pPr>
              <w:pStyle w:val="TableContents"/>
              <w:bidi w:val="0"/>
              <w:spacing w:before="0" w:after="283"/>
              <w:jc w:val="left"/>
              <w:rPr/>
            </w:pPr>
            <w:r>
              <w:rPr/>
              <w:t> </w:t>
            </w:r>
          </w:p>
        </w:tc>
      </w:tr>
      <w:tr>
        <w:trPr/>
        <w:tc>
          <w:tcPr>
            <w:tcW w:w="41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93" w:type="dxa"/>
            <w:tcBorders/>
            <w:shd w:fill="CFF0FC" w:val="clear"/>
            <w:vAlign w:val="center"/>
          </w:tcPr>
          <w:p>
            <w:pPr>
              <w:pStyle w:val="TableContents"/>
              <w:bidi w:val="0"/>
              <w:spacing w:before="0" w:after="283"/>
              <w:jc w:val="left"/>
              <w:rPr/>
            </w:pPr>
            <w:r>
              <w:rPr/>
              <w:t> </w:t>
            </w:r>
          </w:p>
        </w:tc>
      </w:tr>
      <w:tr>
        <w:trPr/>
        <w:tc>
          <w:tcPr>
            <w:tcW w:w="41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obligations for global technology and financial shared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93" w:type="dxa"/>
            <w:tcBorders/>
            <w:shd w:fill="FFFFFF" w:val="clear"/>
            <w:vAlign w:val="center"/>
          </w:tcPr>
          <w:p>
            <w:pPr>
              <w:pStyle w:val="TableContents"/>
              <w:bidi w:val="0"/>
              <w:spacing w:before="0" w:after="283"/>
              <w:jc w:val="left"/>
              <w:rPr/>
            </w:pPr>
            <w:r>
              <w:rPr/>
              <w:t> </w:t>
            </w:r>
          </w:p>
        </w:tc>
      </w:tr>
      <w:tr>
        <w:trPr/>
        <w:tc>
          <w:tcPr>
            <w:tcW w:w="41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41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funding commitments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93" w:type="dxa"/>
            <w:tcBorders/>
            <w:shd w:fill="FFFFFF" w:val="clear"/>
            <w:vAlign w:val="center"/>
          </w:tcPr>
          <w:p>
            <w:pPr>
              <w:pStyle w:val="TableContents"/>
              <w:bidi w:val="0"/>
              <w:spacing w:before="0" w:after="283"/>
              <w:jc w:val="left"/>
              <w:rPr/>
            </w:pPr>
            <w:r>
              <w:rPr/>
              <w:t> </w:t>
            </w:r>
          </w:p>
        </w:tc>
      </w:tr>
      <w:tr>
        <w:trPr/>
        <w:tc>
          <w:tcPr>
            <w:tcW w:w="41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Transition tax resulting from the Tax Act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67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color w:val="000000"/>
              </w:rPr>
            </w:pPr>
            <w:r>
              <w:rPr>
                <w:color w:val="000000"/>
              </w:rPr>
              <w:t>—</w:t>
            </w:r>
          </w:p>
        </w:tc>
        <w:tc>
          <w:tcPr>
            <w:tcW w:w="193" w:type="dxa"/>
            <w:tcBorders/>
            <w:shd w:fill="CFF0FC" w:val="clear"/>
            <w:vAlign w:val="center"/>
          </w:tcPr>
          <w:p>
            <w:pPr>
              <w:pStyle w:val="TableContents"/>
              <w:bidi w:val="0"/>
              <w:spacing w:before="0" w:after="283"/>
              <w:jc w:val="left"/>
              <w:rPr/>
            </w:pPr>
            <w:r>
              <w:rPr/>
              <w:t> </w:t>
            </w:r>
          </w:p>
        </w:tc>
      </w:tr>
      <w:tr>
        <w:trPr/>
        <w:tc>
          <w:tcPr>
            <w:tcW w:w="4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Other</w:t>
            </w:r>
            <w:r>
              <w:rPr>
                <w:rFonts w:ascii="Times New Roman" w:hAnsi="Times New Roman"/>
                <w:color w:val="000000"/>
                <w:sz w:val="15"/>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18"/>
        </w:rPr>
        <w:t>(1) Includes local information technology contracts and other vendor commitments.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liability for unrecognized tax benefits, including related interest and penalties, of $17.1 million is excluded from the commitments above as we cannot determine the years in which these positions might ultimately be settled.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recorded net restructuring costs of $149.2 million, $3.6 million and $15.2 million during 2023, 2022 and 2021, respectively, in selling and administrative expenses, primarily related to severances and office closures and consolidations in multiple countries and territories. The costs paid out of our restructuring reserve were $72.4 million during 2023.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entered into guarantee contracts and stand-by letters of credit that total $745.7 million as of December 31, 2023 ($696.9 million for guarantees and $48.8 million for stand-by letters of credit).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 The cost of these guarantees and letters of credit was $1.6 million for 2023.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Total capitalization as of December 31, 2023 was $3,236.7 million, comprised of $1,002.6 million in debt and $2,234.1 million in equity. Debt as a percentage of total capitalization was 31%, 29% and 31% as of December 31, 2023, 2022 and 2021, respectively.</w:t>
      </w:r>
    </w:p>
    <w:p>
      <w:pPr>
        <w:pStyle w:val="TextBody"/>
        <w:bidi w:val="0"/>
        <w:spacing w:before="200" w:after="283"/>
        <w:jc w:val="both"/>
        <w:rPr>
          <w:rFonts w:ascii="Times New Roman" w:hAnsi="Times New Roman"/>
          <w:sz w:val="20"/>
        </w:rPr>
      </w:pPr>
      <w:r>
        <w:rPr>
          <w:rFonts w:ascii="Times New Roman" w:hAnsi="Times New Roman"/>
          <w:i/>
          <w:color w:val="000000"/>
          <w:sz w:val="20"/>
        </w:rPr>
        <w:t>Acquisitions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October 1, 2021, we acquired ettain group, one of the largest privately held IT resourcing and services providers in North America. Effective that date, ettain group became part of our Experis business in the Americas segment. The acquisition is intended to accelerate our strategy of diversifying our business mix into higher growth and higher value services. The aggregate cash consideration paid was $930.9 million. Of the total consideration paid, $925.0 million was for the acquired interests and the remaining $5.9 million was for excess working capital and cash. The transaction was funded through cash on hand and a $150.0 million draw on our revolving debt facility on October 1, 2021. We finalized the purchase accounting during the third quarter of 2022 and recognized post-closing working capital adjustments of $3.4 million and income tax adjustments of $3.1 million with a corresponding offset to goodwill.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From time to time, we acquire and invest in companies throughout the world, including franchises. The total cash consideration paid for acquisitions excluding ettain group, net of cash acquired, for the years ended December 31, 2023, 2022, and 2021 was $0.0 million, $20.2 million and $8.1 million, respectively. The 2022 payments primarily represent a consideration payment for the acquisition of Tingari, a talent solutions company in France. The 2022 and 2021 balances include consideration payments for franchises in the United States and contingent consideration payments related to previous acquisitions, of which $3.8 million and $6.3 million, respectively, had been recognized as a liability at the acquisition date.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2022, goodwill and intangible assets resulting from the 2022 acquisitions were $8.8 million and $5.3 million, respectively. We did not make any acquisitions in 2023.</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Dispositions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Occasionally, we dispose of parts of our operations based on risk considerations and to optimize our global strategic and geographic footprint and overall efficiency. On September 29, 2023, we disposed of our Philippines business in our APME segment for total consideration of $6.5 million. In connection with the disposition, we recognized a one-time net loss on disposition of $1.3 million, which was included in interest and other expenses in the Consolidated Statements of Operations in the year ended December 31, 2023.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17, 2022, we disposed of our Russia business in our Northern Europe segment for cash proceeds of $3.2 million. In connection with the disposition, we recognized a one-time net loss on disposition of $8.0 million, of which $9.7 million was included in selling and administrative expenses and a gain of $1.7 million was included in interest and other expenses in the Consolidated Statements of Operations in the year ended December 31, 2022. On September 30, 2022, our Belgium business disposed of its Service Voucher Division and recognized a one-time gain of $4.1 million, which was included in selling and administrative expenses in the Consolidated Statements of Operations in the year ended December 31, 2022. On December 15, 2022, we disposed of our Hungary business in our Southern Europe segment and recognized a one-time loss of $2.1 million, of which $0.9 million was included in selling and administrative expenses and $1.2 million was included in interest and other expenses in the Consolidated Statements of Operations in the year ended December 31, 2022.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November 2021, we disposed of our Tunisia business in our Southern Europe segment and recognized a one-time loss of $1.2 million, which was included in selling and administrative expenses in the Consolidated Statements of Operations in the year ended December 31, 2021.</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Euro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June 30, 2022, we offered and sold €400.0 million aggregate principal amount of the Company’s 3.50% notes due June 30, 2027 (the “€400.0 million notes”). The proceeds from the €400.0 million notes were used in July 2022 to repay our €400.0 million 1.875% notes due September 11, 2022. The €400.0 million notes were issued at a price of 99.465% to yield an effective interest rate of 3.514%, net of a favorable impact of a forward starting interest rate swap. Interest on the €400.0 million notes is payable in arrears on June 30 of each year. The Notes are unsecured senior obligations and rank equally with all of the Company’s existing and future senior unsecured debt and other liabilities.</w:t>
      </w:r>
    </w:p>
    <w:p>
      <w:pPr>
        <w:pStyle w:val="TextBody"/>
        <w:bidi w:val="0"/>
        <w:jc w:val="left"/>
        <w:rPr>
          <w:rFonts w:ascii="Times New Roman" w:hAnsi="Times New Roman"/>
          <w:color w:val="000000"/>
          <w:sz w:val="20"/>
        </w:rPr>
      </w:pPr>
      <w:r>
        <w:rPr>
          <w:rFonts w:ascii="Times New Roman" w:hAnsi="Times New Roman"/>
          <w:color w:val="000000"/>
          <w:sz w:val="20"/>
        </w:rPr>
        <w:t>On June 22, 2018, we offered and sold €500.0 million aggregate principal amount of the Company’s 1.750% notes due June 2026 (the “€500.0 million notes”). The net proceeds from the €500.0 million notes of €495.7 million were used to repay our €350.0 million notes due June 22, 2018, with the remaining balance used for general corporate purposes, which included share repurchases. The €500.0 million notes were issued at a price of 99.564% to yield an effective interest rate of 1.809%. Interest on the €500.0 million notes is payable in arrears on June 22 of each year. The €500.0 million notes are unsecured senior obligations and rank equally with all of the Company’s existing and future senior unsecured debt and other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Both the €500.0 million notes and €400.0 million notes contain certain customary non-financial restrictive covenants and events of default and are unsecured senior obligations and rank equally with all of our existing and future senior unsecured debt and other liabilities. These notes have been designated as a hedge of our net investment in subsidiaries with a Euro-functional currency as of December 31, 2023. Since our net investment in these subsidiaries exceeds the respective amount of the designated borrowings, the related translation gains or losses are included as a component of accumulated other comprehensive loss. (See the Significant Matters Affecting Results of Operations section and Notes 8 and 12 to the Consolidated Financial Statements found in Item 8. "Financial Statements and Supplementary Data" for further information.)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Revolving Credit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27, 2022, we entered into a new Credit Agreement (the “Credit Agreement”) with a syndicate of commercial banks with a termination date of May 27, 2027 to replace our previous $600.0 million revolving credit facility. The Credit Agreement includes terms generally consistent with our previous 5-year credit facility, except the Credit Agreement uses the Secured Overnight Financing Rate (SOFR) as the base rate index instead of London Interbank Offered Rate (LIBOR). The Credit Agreement allows for borrowing of $600.0 million in various currencies, and up to $150.0 million may be used for the issuance of stand-by letters of credit. We had no borrowings under this facility as of December 31, 2023 and 2022. Outstanding letters of credit issued totaled $0.4 million, hence additional borrowings of $599.6 million were available to us under the facility as of both December 31, 2023 and 2022.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Credit Agreement, a credit ratings-based pricing grid determines the facility fee and the credit spread that we add to the applicable interbank borrowing rate on all borrowings. At our current credit rating, the annual facility fee is 10 basis points paid on the entire facility and the credit spread is 102.5 basis points on any borrowings. A downgrade from both credit agencies would unfavorably impact our interest and facility fees and result in additional costs ranging from approximately $0.2 million to $0.5 million annually.</w:t>
      </w:r>
    </w:p>
    <w:p>
      <w:pPr>
        <w:pStyle w:val="TextBody"/>
        <w:bidi w:val="0"/>
        <w:jc w:val="left"/>
        <w:rPr>
          <w:rFonts w:ascii="Times New Roman" w:hAnsi="Times New Roman"/>
          <w:color w:val="000000"/>
          <w:sz w:val="20"/>
        </w:rPr>
      </w:pPr>
      <w:r>
        <w:rPr>
          <w:rFonts w:ascii="Times New Roman" w:hAnsi="Times New Roman"/>
          <w:color w:val="000000"/>
          <w:sz w:val="20"/>
        </w:rPr>
        <w:t>The Credit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In the Credit Agreement, Net Debt is defined as total debt less cash in excess of $400.0 million. The Credit Agreement also contains customary events of default, including, among others, payment defaults, material inaccuracy of representations and warranties, covenant defaults, bankruptcy or involuntary proceedings, certain monetary and non-monetary judgements, change of control and customary ERISA defaults.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defined in the Credit Agreement, we had a net Debt-to-EBITDA ratio of 1.92 to 1 (compared to the maximum allowable ratio of 3.5 to 1) and a Fixed Charge Coverage ratio of 3.45 to 1 (compared to the minimum required ratio of 1.5 to 1) as of December 31, 2023.</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Other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the previously mentioned facilities, we maintain separate bank credit lines with financial institutions to meet working capital needs of our subsidiary operations. As of December 31, 2023, such uncommitted credit lines totaled $308.6 million, of which $294.2 million was unused. Under the Credit Agreement, total subsidiary borrowings cannot exceed $300.0 million in the first, second and fourth quarters, and $600.0 million in the third quarter of each year. Due to these limitations, additional borrowings of $285.6 million could have been made under these lines as of December 31, 2023.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long-term debt has a rating of Baa1 from Moody's Investor Services and BBB from Standard and Poor's, both with a stable outlook. Both of the credit ratings are investment grade. Rating agencies use proprietary methodology in determining their ratings and outlook which includes, among other things, financial ratios based upon debt levels and earnings performance.</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Assessment of the Liquidity Position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assessed our liquidity position as of December 31, 2023 and for the near future. As of December 31, 2023, our cash and cash equivalents balance was $581.3 million. We also have access to the previously mentioned revolving credit facility that could have immediately provided us with up to $600.0 million of additional cash, less any outstanding borrowings and letters of credit, and we have an option to request an increase to the total availability under the revolving credit facility by an additional $300.0 million and each lender may participate in the requested increase at their discretion. In addition, we have access to the previously mentioned credit lines of up to $300.0 million ($600.0 million in the third quarter) to meet the working capital needs of our subsidiaries, of which $285.6 million was available to use as of December 31, 2023. Our €500.0 ($550.0) million notes mature in June 2026, and our €400.0 ($438.2) million notes mature in June 2027. Based on the above, we believe we have sufficient liquidity and capital resources to satisfy future requirements and meet our obligations currently and in the near future.</w:t>
      </w:r>
    </w:p>
    <w:p>
      <w:pPr>
        <w:pStyle w:val="TextBody"/>
        <w:bidi w:val="0"/>
        <w:spacing w:before="200" w:after="283"/>
        <w:jc w:val="left"/>
        <w:rPr/>
      </w:pPr>
      <w:r>
        <w:rPr/>
        <w:t>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Application of Critical Accounting Policies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Business Combinations</w:t>
      </w:r>
    </w:p>
    <w:p>
      <w:pPr>
        <w:pStyle w:val="TextBody"/>
        <w:bidi w:val="0"/>
        <w:jc w:val="both"/>
        <w:rPr>
          <w:rFonts w:ascii="Times New Roman" w:hAnsi="Times New Roman"/>
          <w:sz w:val="20"/>
        </w:rPr>
      </w:pPr>
      <w:r>
        <w:rPr>
          <w:rFonts w:ascii="Times New Roman" w:hAnsi="Times New Roman"/>
          <w:i/>
          <w:color w:val="000000"/>
          <w:sz w:val="20"/>
          <w:u w:val="single"/>
        </w:rPr>
        <w:br/>
        <w:br/>
      </w:r>
      <w:r>
        <w:rPr>
          <w:rFonts w:ascii="Times New Roman" w:hAnsi="Times New Roman"/>
          <w:color w:val="000000"/>
          <w:sz w:val="20"/>
        </w:rPr>
        <w:t xml:space="preserve">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requires management to make estimates, which are based on all available information and in some cases assumptions with respect to the timing and amount of future revenues and expenses associated with an asset. On October 1, 2021, we acquired ettain group (see Note 4 to the Consolidated Financial Statements for further information). As part of the accounting for the acquisition, we identified and recorded a customer relationship intangible asset of $360.0 million which is amortized over a 15 year useful life. We utilized the discounted cash flow method to estimate the fair value of the customer relationship asset, which required management to make significant assumptions in the model, but was calculated based on the historical customer sales of the acquired company. A change in the customer attrition rate of 250 basis points would result in a decrease of $66.0 million or an increase of $87.0 million in intangible assets, respectively.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br/>
        <w:t>Defined Benefit Pension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sponsor several qualified and nonqualified pension plans covering permanent employees. The most significant plans are located in Switzerland, the United Kingdom, the Netherlands, Germany and France. Annual expense relating to these plans was $21.7 million, $18.6 million and $22.2 million in 2023, 2022 and 2021, respectively. Pension expense is estimated to be approximately $16.0 million in 2024.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calculations of annual pension expense and the pension liability required at year-end include various actuarial assumptions such as discount rates, expected rate of return on plan assets, compensation increases and employee turnover rates. We review the actuarial assumptions on an annual basis and make modifications to the assumptions as necessary. We review market data and historical rates, on a country-by-country basis, to check for reasonableness in setting both the discount rate and the expected return on plan assets. We determine the discount rate based on an index of high-quality corporate bond yields and matched-funding yield curve analysis as of the end of each fiscal year. The expected return on plan assets is determined based on the expected returns of the various investment asset classes held in the plans. We estimate compensation increases and employee turnover rates for each plan based on the historical rates and the expected future rates for each respective country. Changes to any of these assumptions will impact annual expense recorded related to the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determining the estimated 2024 pension expense for non-United States plans, we used a weighted-average discount rate of 2.7% compared to 3.2% for 2023, reflecting the current interest rate environment. We have selected a weighted-average expected return on plan assets of 3.4% for the non-United States plans in determining the 2024 estimated pension expense, compared to 3.5% used for the calculation of the 2023 pension expense. Absent any other changes, a 25 basis point increase in the weighted-average discount rate would decrease our 2024 consolidated pension expense by $1.5 million, and a 25 basis point decrease in the weighted-average discount rate would increase our 2024 consolidated pension expense by $5.3 million. Absent any other changes, a 25 basis point increase or decrease in the weighted-average expected return on plan assets would decrease or increase our 2024 consolidated pension expense by $1.4 million. (See Note 9 to the Consolidated Financial Statements found in Item 8. "Financial Statements and Supplementary Data" for further information.)</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accounting guidance related to uncertain tax positions requires an evaluation process for all tax positions taken that involves a review of probability for sustaining a tax position. If the probability for sustaining a tax position is more likely than not, which is a 50% threshold, then the tax position is warranted and the largest amount, based on cumulative probability, that is greater than 50% likely of being realized upon settlement is recognized. An uncertain tax position, one which does not exceed the 50% threshold, will not be recognized in the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provide for income taxes on a quarterly basis based on an estimated annual tax rate. In determining this rate, we make estimates about taxable income for each of our largest locations worldwide, as well as the tax rate that will be in effect for each location. To the extent these estimates change during the year, or actual results differ from these estimates, our estimated annual tax rate may change between quarterly periods and may differ from the actual effective tax rate for the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i/>
          <w:color w:val="000000"/>
          <w:sz w:val="20"/>
          <w:u w:val="single"/>
        </w:rPr>
        <w:t>Goodwill Impairment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because of management’s insight and experience with the reporting units. Significant assumptions used in our goodwill impairment tests include: expected future revenue growth rates, operating unit profit margins, working capital levels and discount rates.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third quarter of 2023, we performed our annual impairment test of our goodwill and determined that there was no impairment.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each reporting unit at the time of our annual impairment test was at least 20% in excess of the respective reporting unit’s carrying value with the exception of the Netherlands reporting unit. The Netherlands reporting unit, which is part of the Northern Europe segment, had a fair value that approximated its carrying value. Key assumptions included in the Netherlands discounted cash flow valuation performed at our 2023 annual impairment test included a discount rate of 12.5%, working capital of 0.5% of revenue, revenue growth for the next 10 years ranging from -1.2% to 6.4%, a terminal value revenue growth rate of 2.0%, and a terminal value OUP margin of 3.2%.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During the fourth quarter of 2023, in connection with the preparation of our annual financial statements, we assessed the changes in circumstances that occurred during the quarter to determine if it was more likely than not that the fair value of any reporting unit was below its carrying amount. We identified several factors related to our Netherlands reporting unit that led us to conclude that it was more likely than not that the fair value of the reporting unit was below its carrying amount which triggered us to perform an interim impairment assessment. These factors included further deterioration of the macroeconomic and local market conditions subsequent to July 1, 2023, financial performance that came in significantly below management's planned revenue and OUP expectations for the fourth quarter of 2023, and revisions downward for full year 2024 planned revenue and OUP projections. As a result of the interim test, we recognized a non-cash impairment loss of $55.1 million to bring the carrying value of the Netherlands reporting unit down to its estimated fair value, which led to full impairment of the remaining goodwill in the Netherlands reporting unit.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Key assumptions included in the Netherlands discounted cash flow valuation performed during the fourth quarter of 2023 included a discount rate of 13.2%, working capital of 0.5% of revenue, revenue growth for the next 10 years ranging from -6.3% to 3.0%, a terminal value revenue growth rate of 2.0%, and a terminal value OUP margin of 3.0%.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closely monitors the results of all the reporting units and comparisons to the key assumptions used in our fair value estimate at the time of our annual impairment test, in addition to operational initiatives and macroeconomic conditions, which may impact the results of the reporting units. While our other reporting units' fair values exceeded their respective carrying values by 20% or more, there could be significant further decreases in the operating results of our reporting units for a sustained period, which may result in a recognition of goodwill impairment that could be material to the Consolidated Financial Statements.</w:t>
      </w:r>
    </w:p>
    <w:p>
      <w:pPr>
        <w:pStyle w:val="TextBody"/>
        <w:bidi w:val="0"/>
        <w:jc w:val="left"/>
        <w:rPr/>
      </w:pPr>
      <w:r>
        <w:rPr/>
        <w:t> </w:t>
      </w:r>
    </w:p>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6" w:name="item_7a_quantitative_qualitative_disclos"/>
      <w:bookmarkEnd w:id="16"/>
      <w:r>
        <w:rPr>
          <w:rFonts w:ascii="Times New Roman" w:hAnsi="Times New Roman"/>
          <w:b/>
          <w:color w:val="000000"/>
          <w:sz w:val="20"/>
        </w:rPr>
        <w:t>Item 7A. Quantitative and Qualitative Disclosures about Market Risk</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Significant Matters Affecting Results of Operations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Market Risks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exposed to the impact of foreign currency exchange rate fluctuations and interest rate changes.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Exchange Rates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exposure to foreign currency exchange rates relates primarily to our foreign subsidiaries and our Euro-denominated borrowings. For our foreign subsidiaries, exchange rates impact the United States dollar value of our reported earnings, our investments in the subsidiaries and the intercompany transactions with the subsidiaries.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Approximately 84% of our revenues are generated outside of the United States, with 47% generated from our European operations with a Euro-functional currency. As a result, fluctuations in the value of foreign currencies against the United States dollar, particularly the Euro, may have a significant impact on our reported results. Revenues and expenses denominated in foreign currencies are translated into United States dollars at the average exchange rates each month. Consequently, as the value of the United States dollar changes relative to the currencies of our major markets, our reported results vary.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United States dollar was generally stable relative to the currencies of our major markets during 2023, whereas it strengthened in 2022 on average. Revenues from services in constant currency were 0.6% higher than reported revenues in 2023. In 2022, revenues from services in constant currency were 9.2% higher than reported revenues. A change in the strength of the United States dollar by an additional 10% would have impacted our revenues from services by approximately 8.4% and 8.2% from the amounts reported in 2023 and 2022,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Fluctuations in currency exchange rates also impact the United States dollar amount of our shareholders’ equity. The assets and liabilities of our non-United States subsidiaries are translated into United States dollars at the exchange rates in effect at year-end. The resulting translation adjustments are recorded in shareholders’ equity as a component of accumulated other comprehensive loss. The United States dollar weakened relative to many foreign currencies as of December 31, 2023 compared to December 31, 2022. Consequently, shareholders’ equity increased by $17.1 million as a result of the foreign currency translation as of December 31, 2023. If the United States dollar had weakened an additional 10% as of December 31, 2023, resulting translation adjustments recorded in shareholders’ equity would have increased by approximately $60.0 million from the amounts reported.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2022, the United States dollar strengthened relative to many foreign currencies as of December 31, 2022 compared to December 31, 2021. Consequently, shareholders’ equity decreased by $116.3 million as a result of the foreign currency translation as of December 31, 2022. If the United States dollar had strengthened an additional 10% as of December 31, 2022, resulting translation adjustments recorded in shareholders’ equity would have decreased by approximately $170.0 million from the amounts reported.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cross-border transfers of funds, except for transfers to the United States for payment of intercompany franchise fees and interest expense on intercompany loans, working capital loans made between the United States and our foreign subsidiaries, dividends from our foreign subsidiaries, and payments between certain countries and territories for services provided. To reduce the currency risk related to these transactions, we may borrow funds in the relevant foreign currency under our revolving credit agreement or we may enter into a forward contract to hedge the transfer.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2023, we had outstanding $988.2 million in principal amount of Euro-denominated notes (€900.0 million). These notes have been designated as a hedge of our net investment in subsidiaries with a Euro-functional currency as of December 31, 2023. Since our net investment in these subsidiaries exceeds the respective amount of the designated borrowings, both net of tax, the related translation gains or losses are included as a component of accumulated other comprehensive loss. Shareholders’ equity decreased by $30.0 million, net of tax, due to changes in accumulated other comprehensive loss during 2023, due to the currency impact on these designated borrowings.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hypothetical impact of the stated change in rates on 2023 total other comprehensive income (loss) for the Euro Notes and forward contracts is as follows:</w:t>
      </w:r>
    </w:p>
    <w:tbl>
      <w:tblPr>
        <w:tblW w:w="10205" w:type="dxa"/>
        <w:jc w:val="left"/>
        <w:tblInd w:w="0" w:type="dxa"/>
        <w:tblLayout w:type="fixed"/>
        <w:tblCellMar>
          <w:top w:w="28" w:type="dxa"/>
          <w:left w:w="28" w:type="dxa"/>
          <w:bottom w:w="28" w:type="dxa"/>
          <w:right w:w="28" w:type="dxa"/>
        </w:tblCellMar>
      </w:tblPr>
      <w:tblGrid>
        <w:gridCol w:w="3045"/>
        <w:gridCol w:w="146"/>
        <w:gridCol w:w="1005"/>
        <w:gridCol w:w="2232"/>
        <w:gridCol w:w="166"/>
        <w:gridCol w:w="146"/>
        <w:gridCol w:w="928"/>
        <w:gridCol w:w="2324"/>
        <w:gridCol w:w="213"/>
      </w:tblGrid>
      <w:tr>
        <w:trPr/>
        <w:tc>
          <w:tcPr>
            <w:tcW w:w="3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2023 </w:t>
            </w:r>
            <w:r>
              <w:rPr>
                <w:rFonts w:ascii="Times New Roman" w:hAnsi="Times New Roman"/>
                <w:b/>
                <w:i/>
                <w:color w:val="000000"/>
                <w:sz w:val="20"/>
              </w:rPr>
              <w:t>(in millions)</w:t>
            </w:r>
            <w:r>
              <w:rPr>
                <w:rFonts w:ascii="Times New Roman" w:hAnsi="Times New Roman"/>
                <w:b/>
                <w:color w:val="000000"/>
                <w:sz w:val="20"/>
              </w:rPr>
              <w:br/>
              <w:t>Market Sensitive 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 Depreciation in Exchange Rates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 Appreciation in Exchange Rates</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4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Euro Notes:</w:t>
            </w:r>
          </w:p>
        </w:tc>
        <w:tc>
          <w:tcPr>
            <w:tcW w:w="146" w:type="dxa"/>
            <w:tcBorders/>
            <w:shd w:fill="CFF0FC" w:val="clear"/>
            <w:vAlign w:val="center"/>
          </w:tcPr>
          <w:p>
            <w:pPr>
              <w:pStyle w:val="TableContents"/>
              <w:bidi w:val="0"/>
              <w:spacing w:before="0" w:after="283"/>
              <w:jc w:val="left"/>
              <w:rPr/>
            </w:pPr>
            <w:r>
              <w:rPr/>
              <w:t> </w:t>
            </w:r>
          </w:p>
        </w:tc>
        <w:tc>
          <w:tcPr>
            <w:tcW w:w="32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252" w:type="dxa"/>
            <w:gridSpan w:val="2"/>
            <w:tcBorders/>
            <w:shd w:fill="CFF0FC" w:val="clear"/>
            <w:vAlign w:val="center"/>
          </w:tcPr>
          <w:p>
            <w:pPr>
              <w:pStyle w:val="TableContents"/>
              <w:bidi w:val="0"/>
              <w:spacing w:before="0" w:after="283"/>
              <w:jc w:val="right"/>
              <w:rPr/>
            </w:pPr>
            <w:r>
              <w:rPr/>
              <w:t> </w:t>
            </w:r>
          </w:p>
        </w:tc>
        <w:tc>
          <w:tcPr>
            <w:tcW w:w="213" w:type="dxa"/>
            <w:tcBorders/>
            <w:shd w:fill="CFF0FC" w:val="clear"/>
            <w:vAlign w:val="center"/>
          </w:tcPr>
          <w:p>
            <w:pPr>
              <w:pStyle w:val="TableContents"/>
              <w:bidi w:val="0"/>
              <w:spacing w:before="0" w:after="283"/>
              <w:jc w:val="right"/>
              <w:rPr/>
            </w:pPr>
            <w:r>
              <w:rPr/>
              <w:t> </w:t>
            </w:r>
          </w:p>
        </w:tc>
      </w:tr>
      <w:tr>
        <w:trPr/>
        <w:tc>
          <w:tcPr>
            <w:tcW w:w="3045" w:type="dxa"/>
            <w:tcBorders/>
            <w:shd w:fill="FFFFFF"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500.0, 1.81% Notes due June 2026</w:t>
            </w:r>
          </w:p>
        </w:tc>
        <w:tc>
          <w:tcPr>
            <w:tcW w:w="146"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2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5" w:type="dxa"/>
            <w:tcBorders/>
            <w:shd w:fill="CFF0FC"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400.0, 3.50% Notes due June 2027</w:t>
            </w:r>
          </w:p>
        </w:tc>
        <w:tc>
          <w:tcPr>
            <w:tcW w:w="146" w:type="dxa"/>
            <w:tcBorders/>
            <w:shd w:fill="CFF0FC" w:val="clear"/>
            <w:vAlign w:val="center"/>
          </w:tcPr>
          <w:p>
            <w:pPr>
              <w:pStyle w:val="TableContents"/>
              <w:bidi w:val="0"/>
              <w:spacing w:before="0" w:after="283"/>
              <w:jc w:val="left"/>
              <w:rPr/>
            </w:pPr>
            <w:r>
              <w:rPr/>
              <w:t> </w:t>
            </w:r>
          </w:p>
        </w:tc>
        <w:tc>
          <w:tcPr>
            <w:tcW w:w="1005" w:type="dxa"/>
            <w:tcBorders/>
            <w:shd w:fill="CFF0FC" w:val="clear"/>
            <w:vAlign w:val="center"/>
          </w:tcPr>
          <w:p>
            <w:pPr>
              <w:pStyle w:val="TableContents"/>
              <w:bidi w:val="0"/>
              <w:spacing w:before="0" w:after="283"/>
              <w:jc w:val="left"/>
              <w:rPr/>
            </w:pPr>
            <w:r>
              <w:rPr/>
              <w:t> </w:t>
            </w:r>
          </w:p>
        </w:tc>
        <w:tc>
          <w:tcPr>
            <w:tcW w:w="22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28" w:type="dxa"/>
            <w:tcBorders/>
            <w:shd w:fill="CFF0FC" w:val="clear"/>
            <w:vAlign w:val="center"/>
          </w:tcPr>
          <w:p>
            <w:pPr>
              <w:pStyle w:val="TableContents"/>
              <w:bidi w:val="0"/>
              <w:spacing w:before="0" w:after="283"/>
              <w:jc w:val="left"/>
              <w:rPr/>
            </w:pPr>
            <w:r>
              <w:rPr/>
              <w:t> </w:t>
            </w:r>
          </w:p>
        </w:tc>
        <w:tc>
          <w:tcPr>
            <w:tcW w:w="23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Forward contracts:</w:t>
            </w:r>
          </w:p>
        </w:tc>
        <w:tc>
          <w:tcPr>
            <w:tcW w:w="146" w:type="dxa"/>
            <w:tcBorders/>
            <w:shd w:fill="FFFFFF" w:val="clear"/>
            <w:vAlign w:val="center"/>
          </w:tcPr>
          <w:p>
            <w:pPr>
              <w:pStyle w:val="TableContents"/>
              <w:bidi w:val="0"/>
              <w:spacing w:before="0" w:after="283"/>
              <w:jc w:val="left"/>
              <w:rPr/>
            </w:pPr>
            <w:r>
              <w:rPr/>
              <w:t> </w:t>
            </w:r>
          </w:p>
        </w:tc>
        <w:tc>
          <w:tcPr>
            <w:tcW w:w="32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252"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3045" w:type="dxa"/>
            <w:tcBorders/>
            <w:shd w:fill="CFF0FC" w:val="cle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(261.2) to $(281.6)</w:t>
            </w:r>
          </w:p>
        </w:tc>
        <w:tc>
          <w:tcPr>
            <w:tcW w:w="146" w:type="dxa"/>
            <w:tcBorders/>
            <w:shd w:fill="CFF0FC" w:val="clear"/>
            <w:vAlign w:val="center"/>
          </w:tcPr>
          <w:p>
            <w:pPr>
              <w:pStyle w:val="TableContents"/>
              <w:bidi w:val="0"/>
              <w:spacing w:before="0" w:after="283"/>
              <w:jc w:val="left"/>
              <w:rPr/>
            </w:pPr>
            <w:r>
              <w:rPr/>
              <w:t> </w:t>
            </w:r>
          </w:p>
        </w:tc>
        <w:tc>
          <w:tcPr>
            <w:tcW w:w="1005" w:type="dxa"/>
            <w:tcBorders/>
            <w:shd w:fill="CFF0FC" w:val="clear"/>
            <w:vAlign w:val="center"/>
          </w:tcPr>
          <w:p>
            <w:pPr>
              <w:pStyle w:val="TableContents"/>
              <w:bidi w:val="0"/>
              <w:spacing w:before="0" w:after="283"/>
              <w:jc w:val="left"/>
              <w:rPr/>
            </w:pPr>
            <w:r>
              <w:rPr/>
              <w:t> </w:t>
            </w:r>
          </w:p>
        </w:tc>
        <w:tc>
          <w:tcPr>
            <w:tcW w:w="22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28" w:type="dxa"/>
            <w:tcBorders/>
            <w:shd w:fill="CFF0FC" w:val="clear"/>
            <w:vAlign w:val="center"/>
          </w:tcPr>
          <w:p>
            <w:pPr>
              <w:pStyle w:val="TableContents"/>
              <w:bidi w:val="0"/>
              <w:spacing w:before="0" w:after="283"/>
              <w:jc w:val="left"/>
              <w:rPr/>
            </w:pPr>
            <w:r>
              <w:rPr/>
              <w:t> </w:t>
            </w:r>
          </w:p>
        </w:tc>
        <w:tc>
          <w:tcPr>
            <w:tcW w:w="23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¥308.0 to $2.2</w:t>
            </w:r>
          </w:p>
        </w:tc>
        <w:tc>
          <w:tcPr>
            <w:tcW w:w="146"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left"/>
              <w:rPr/>
            </w:pPr>
            <w:r>
              <w:rPr/>
              <w:t> </w:t>
            </w:r>
          </w:p>
        </w:tc>
        <w:tc>
          <w:tcPr>
            <w:tcW w:w="22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928" w:type="dxa"/>
            <w:tcBorders/>
            <w:shd w:fill="FFFFFF" w:val="clear"/>
            <w:vAlign w:val="center"/>
          </w:tcPr>
          <w:p>
            <w:pPr>
              <w:pStyle w:val="TableContents"/>
              <w:bidi w:val="0"/>
              <w:spacing w:before="0" w:after="283"/>
              <w:jc w:val="left"/>
              <w:rPr/>
            </w:pPr>
            <w:r>
              <w:rPr/>
              <w:t> </w:t>
            </w:r>
          </w:p>
        </w:tc>
        <w:tc>
          <w:tcPr>
            <w:tcW w:w="23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3" w:type="dxa"/>
            <w:tcBorders/>
            <w:shd w:fill="FFFFFF" w:val="clear"/>
            <w:vAlign w:val="center"/>
          </w:tcPr>
          <w:p>
            <w:pPr>
              <w:pStyle w:val="TableContents"/>
              <w:bidi w:val="0"/>
              <w:spacing w:before="0" w:after="283"/>
              <w:jc w:val="left"/>
              <w:rPr/>
            </w:pPr>
            <w:r>
              <w:rPr/>
              <w:t> </w:t>
            </w:r>
          </w:p>
        </w:tc>
      </w:tr>
      <w:tr>
        <w:trPr/>
        <w:tc>
          <w:tcPr>
            <w:tcW w:w="30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KRW (6,000.0) to $(4.7)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both"/>
        <w:rPr>
          <w:rFonts w:ascii="Times New Roman" w:hAnsi="Times New Roman"/>
          <w:i/>
          <w:color w:val="000000"/>
          <w:sz w:val="20"/>
          <w:u w:val="single"/>
        </w:rPr>
      </w:pPr>
      <w:r>
        <w:rPr>
          <w:rFonts w:ascii="Times New Roman" w:hAnsi="Times New Roman"/>
          <w:i/>
          <w:color w:val="000000"/>
          <w:sz w:val="20"/>
          <w:u w:val="single"/>
        </w:rPr>
        <w:t>Interest Rates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exposure to market risk for changes in interest rates relates primarily to our variable rate debt obligations. We have historically managed interest rates through the use of a combination of fixed- and variable-rate borrowings. As of December 31, 2023, we had the following fixed- and variable-rate borrowings:</w:t>
      </w:r>
    </w:p>
    <w:tbl>
      <w:tblPr>
        <w:tblW w:w="5167" w:type="dxa"/>
        <w:jc w:val="left"/>
        <w:tblInd w:w="0" w:type="dxa"/>
        <w:tblLayout w:type="fixed"/>
        <w:tblCellMar>
          <w:top w:w="28" w:type="dxa"/>
          <w:left w:w="28" w:type="dxa"/>
          <w:bottom w:w="28" w:type="dxa"/>
          <w:right w:w="28" w:type="dxa"/>
        </w:tblCellMar>
      </w:tblPr>
      <w:tblGrid>
        <w:gridCol w:w="2131"/>
        <w:gridCol w:w="146"/>
        <w:gridCol w:w="211"/>
        <w:gridCol w:w="721"/>
        <w:gridCol w:w="146"/>
        <w:gridCol w:w="146"/>
        <w:gridCol w:w="321"/>
        <w:gridCol w:w="1029"/>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Weighted-</w:t>
              <w:br/>
              <w:t>Average</w:t>
              <w:br/>
              <w:t>Interest Rate</w:t>
            </w:r>
            <w:r>
              <w:rPr>
                <w:rFonts w:ascii="Times New Roman" w:hAnsi="Times New Roman"/>
                <w:b/>
                <w:color w:val="000000"/>
                <w:sz w:val="13"/>
              </w:rPr>
              <w:t>(1)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Variable-rate borrowings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21"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Fixed-rate borrowings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282A32"/>
          <w:sz w:val="18"/>
        </w:rPr>
      </w:pPr>
      <w:r>
        <w:rPr>
          <w:rFonts w:ascii="Times New Roman" w:hAnsi="Times New Roman"/>
          <w:color w:val="282A32"/>
          <w:sz w:val="18"/>
        </w:rPr>
        <w:t>(1) The rates are impacted by currency exchange rate movements.</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Impact of Economic Conditions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One of the principal attractions of using workforce solutions and service providers is to maintain a flexible supply of labor to meet changing economic conditions. Therefore, the industry has been and remains sensitive to economic cycles. To help minimize the effects of these economic cycles, we offer clients a continuum of services to meet their needs throughout the business cycle. We believe that the breadth of our operations and the diversity of our service mix cushion us against the impact of an adverse economic cycle in any single country or industry. However, adverse economic conditions in any of our largest markets, or in several markets simultaneously, would have a material impact on our consolidated financial results.</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Recently Issued Accounting Standards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Note 1 to the Consolidated Financial Statements found in Item 8. "Financial Statements and Supplementary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17" w:name="item_8_financial_statements_supplementar"/>
      <w:bookmarkEnd w:id="17"/>
      <w:r>
        <w:rPr>
          <w:rFonts w:ascii="Times New Roman" w:hAnsi="Times New Roman"/>
          <w:b/>
          <w:color w:val="000000"/>
          <w:sz w:val="20"/>
        </w:rPr>
        <w:t>Item 8. Financial Statements and Supplementary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820"/>
        <w:gridCol w:w="109"/>
        <w:gridCol w:w="1276"/>
      </w:tblGrid>
      <w:tr>
        <w:trPr/>
        <w:tc>
          <w:tcPr>
            <w:tcW w:w="8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8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 Number</w:t>
            </w:r>
          </w:p>
        </w:tc>
      </w:tr>
      <w:tr>
        <w:trPr/>
        <w:tc>
          <w:tcPr>
            <w:tcW w:w="88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Index to Consolidated Financial Statements:</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76" w:type="dxa"/>
            <w:tcBorders/>
            <w:shd w:fill="CFF0FC" w:val="clear"/>
            <w:vAlign w:val="center"/>
          </w:tcPr>
          <w:p>
            <w:pPr>
              <w:pStyle w:val="TableContents"/>
              <w:bidi w:val="0"/>
              <w:spacing w:before="0" w:after="283"/>
              <w:ind w:left="0" w:right="0" w:firstLine="490"/>
              <w:jc w:val="left"/>
              <w:rPr>
                <w:sz w:val="4"/>
                <w:szCs w:val="4"/>
              </w:rPr>
            </w:pPr>
            <w:r>
              <w:rPr>
                <w:sz w:val="4"/>
                <w:szCs w:val="4"/>
              </w:rPr>
            </w:r>
          </w:p>
        </w:tc>
      </w:tr>
      <w:tr>
        <w:trPr/>
        <w:tc>
          <w:tcPr>
            <w:tcW w:w="8820" w:type="dxa"/>
            <w:tcBorders/>
            <w:vAlign w:val="center"/>
          </w:tcPr>
          <w:p>
            <w:pPr>
              <w:pStyle w:val="TableContents"/>
              <w:bidi w:val="0"/>
              <w:spacing w:before="0" w:after="283"/>
              <w:ind w:left="490" w:right="0" w:firstLine="490"/>
              <w:jc w:val="left"/>
              <w:rPr>
                <w:rFonts w:ascii="Times New Roman" w:hAnsi="Times New Roman"/>
                <w:color w:val="0000FF"/>
                <w:sz w:val="20"/>
                <w:u w:val="single"/>
              </w:rPr>
            </w:pPr>
            <w:r>
              <w:rPr>
                <w:rFonts w:ascii="Times New Roman" w:hAnsi="Times New Roman"/>
                <w:color w:val="0000FF"/>
                <w:sz w:val="20"/>
                <w:u w:val="single"/>
              </w:rPr>
              <w:t>Report of Independent Registered Public Accounting Firm</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ind w:left="0" w:right="0" w:firstLine="490"/>
              <w:jc w:val="center"/>
              <w:rPr>
                <w:rFonts w:ascii="Times New Roman" w:hAnsi="Times New Roman"/>
                <w:color w:val="000000"/>
                <w:sz w:val="20"/>
              </w:rPr>
            </w:pPr>
            <w:r>
              <w:rPr>
                <w:rFonts w:ascii="Times New Roman" w:hAnsi="Times New Roman"/>
                <w:color w:val="000000"/>
                <w:sz w:val="20"/>
              </w:rPr>
              <w:t>53</w:t>
            </w:r>
          </w:p>
        </w:tc>
      </w:tr>
      <w:tr>
        <w:trPr/>
        <w:tc>
          <w:tcPr>
            <w:tcW w:w="8820" w:type="dxa"/>
            <w:tcBorders/>
            <w:shd w:fill="CFF0FC" w:val="clear"/>
            <w:vAlign w:val="center"/>
          </w:tcPr>
          <w:p>
            <w:pPr>
              <w:pStyle w:val="TableContents"/>
              <w:bidi w:val="0"/>
              <w:spacing w:before="0" w:after="283"/>
              <w:ind w:left="490" w:right="0" w:firstLine="490"/>
              <w:jc w:val="left"/>
              <w:rPr/>
            </w:pPr>
            <w:hyperlink w:anchor="consolidated_statements_operations">
              <w:r>
                <w:rPr>
                  <w:rStyle w:val="InternetLink"/>
                  <w:rFonts w:ascii="Times New Roman" w:hAnsi="Times New Roman"/>
                  <w:color w:val="0000FF"/>
                  <w:sz w:val="20"/>
                  <w:u w:val="single"/>
                </w:rPr>
                <w:t>Consolidated Statements of Operations for the years ended December 31, 2023, 2022 and 2021</w:t>
              </w:r>
            </w:hyperlink>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76" w:type="dxa"/>
            <w:tcBorders/>
            <w:shd w:fill="CFF0FC" w:val="clear"/>
            <w:vAlign w:val="center"/>
          </w:tcPr>
          <w:p>
            <w:pPr>
              <w:pStyle w:val="TableContents"/>
              <w:bidi w:val="0"/>
              <w:spacing w:before="0" w:after="283"/>
              <w:ind w:left="0" w:right="0" w:firstLine="490"/>
              <w:jc w:val="center"/>
              <w:rPr>
                <w:rFonts w:ascii="Times New Roman" w:hAnsi="Times New Roman"/>
                <w:color w:val="000000"/>
                <w:sz w:val="20"/>
              </w:rPr>
            </w:pPr>
            <w:r>
              <w:rPr>
                <w:rFonts w:ascii="Times New Roman" w:hAnsi="Times New Roman"/>
                <w:color w:val="000000"/>
                <w:sz w:val="20"/>
              </w:rPr>
              <w:t>57</w:t>
            </w:r>
          </w:p>
        </w:tc>
      </w:tr>
      <w:tr>
        <w:trPr/>
        <w:tc>
          <w:tcPr>
            <w:tcW w:w="8820" w:type="dxa"/>
            <w:tcBorders/>
            <w:vAlign w:val="center"/>
          </w:tcPr>
          <w:p>
            <w:pPr>
              <w:pStyle w:val="TableContents"/>
              <w:bidi w:val="0"/>
              <w:spacing w:before="0" w:after="283"/>
              <w:ind w:left="490" w:right="0" w:firstLine="490"/>
              <w:jc w:val="left"/>
              <w:rPr/>
            </w:pPr>
            <w:hyperlink w:anchor="consolidated_statements_comprehensive_in">
              <w:r>
                <w:rPr>
                  <w:rStyle w:val="InternetLink"/>
                  <w:rFonts w:ascii="Times New Roman" w:hAnsi="Times New Roman"/>
                  <w:color w:val="0000FF"/>
                  <w:sz w:val="20"/>
                  <w:u w:val="single"/>
                </w:rPr>
                <w:t>Consolidated Statements of Comprehensive Income for the years ended December 31, 2023, 2022 and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ind w:left="0" w:right="0" w:firstLine="490"/>
              <w:jc w:val="center"/>
              <w:rPr>
                <w:rFonts w:ascii="Times New Roman" w:hAnsi="Times New Roman"/>
                <w:color w:val="000000"/>
                <w:sz w:val="20"/>
              </w:rPr>
            </w:pPr>
            <w:r>
              <w:rPr>
                <w:rFonts w:ascii="Times New Roman" w:hAnsi="Times New Roman"/>
                <w:color w:val="000000"/>
                <w:sz w:val="20"/>
              </w:rPr>
              <w:t>57</w:t>
            </w:r>
          </w:p>
        </w:tc>
      </w:tr>
      <w:tr>
        <w:trPr/>
        <w:tc>
          <w:tcPr>
            <w:tcW w:w="8820" w:type="dxa"/>
            <w:tcBorders/>
            <w:shd w:fill="CFF0FC" w:val="clear"/>
            <w:vAlign w:val="center"/>
          </w:tcPr>
          <w:p>
            <w:pPr>
              <w:pStyle w:val="TableContents"/>
              <w:bidi w:val="0"/>
              <w:spacing w:before="0" w:after="283"/>
              <w:ind w:left="490" w:right="0" w:firstLine="490"/>
              <w:jc w:val="left"/>
              <w:rPr/>
            </w:pPr>
            <w:hyperlink w:anchor="consolidated_balance_sheets">
              <w:r>
                <w:rPr>
                  <w:rStyle w:val="InternetLink"/>
                  <w:rFonts w:ascii="Times New Roman" w:hAnsi="Times New Roman"/>
                  <w:color w:val="0000FF"/>
                  <w:sz w:val="20"/>
                  <w:u w:val="single"/>
                </w:rPr>
                <w:t>Consolidated Balance Sheets as of December 31, 2023 and 2022</w:t>
              </w:r>
            </w:hyperlink>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76" w:type="dxa"/>
            <w:tcBorders/>
            <w:shd w:fill="CFF0FC" w:val="clear"/>
            <w:vAlign w:val="center"/>
          </w:tcPr>
          <w:p>
            <w:pPr>
              <w:pStyle w:val="TableContents"/>
              <w:bidi w:val="0"/>
              <w:spacing w:before="0" w:after="283"/>
              <w:ind w:left="0" w:right="0" w:firstLine="490"/>
              <w:jc w:val="center"/>
              <w:rPr>
                <w:rFonts w:ascii="Times New Roman" w:hAnsi="Times New Roman"/>
                <w:color w:val="000000"/>
                <w:sz w:val="20"/>
              </w:rPr>
            </w:pPr>
            <w:r>
              <w:rPr>
                <w:rFonts w:ascii="Times New Roman" w:hAnsi="Times New Roman"/>
                <w:color w:val="000000"/>
                <w:sz w:val="20"/>
              </w:rPr>
              <w:t>58</w:t>
            </w:r>
          </w:p>
        </w:tc>
      </w:tr>
      <w:tr>
        <w:trPr/>
        <w:tc>
          <w:tcPr>
            <w:tcW w:w="8820" w:type="dxa"/>
            <w:tcBorders/>
            <w:vAlign w:val="center"/>
          </w:tcPr>
          <w:p>
            <w:pPr>
              <w:pStyle w:val="TableContents"/>
              <w:bidi w:val="0"/>
              <w:spacing w:before="0" w:after="283"/>
              <w:ind w:left="490" w:right="0" w:firstLine="490"/>
              <w:jc w:val="left"/>
              <w:rPr/>
            </w:pPr>
            <w:hyperlink w:anchor="consolidated_statements_cash_flows">
              <w:r>
                <w:rPr>
                  <w:rStyle w:val="InternetLink"/>
                  <w:rFonts w:ascii="Times New Roman" w:hAnsi="Times New Roman"/>
                  <w:color w:val="0000FF"/>
                  <w:sz w:val="20"/>
                  <w:u w:val="single"/>
                </w:rPr>
                <w:t>Consolidated Statements of Cash Flows for the years ended December 31, 2023, 2022 and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ind w:left="0" w:right="0" w:firstLine="490"/>
              <w:jc w:val="center"/>
              <w:rPr>
                <w:rFonts w:ascii="Times New Roman" w:hAnsi="Times New Roman"/>
                <w:color w:val="000000"/>
                <w:sz w:val="20"/>
              </w:rPr>
            </w:pPr>
            <w:r>
              <w:rPr>
                <w:rFonts w:ascii="Times New Roman" w:hAnsi="Times New Roman"/>
                <w:color w:val="000000"/>
                <w:sz w:val="20"/>
              </w:rPr>
              <w:t>59</w:t>
            </w:r>
          </w:p>
        </w:tc>
      </w:tr>
      <w:tr>
        <w:trPr/>
        <w:tc>
          <w:tcPr>
            <w:tcW w:w="8820" w:type="dxa"/>
            <w:tcBorders/>
            <w:shd w:fill="CFF0FC" w:val="clear"/>
            <w:vAlign w:val="center"/>
          </w:tcPr>
          <w:p>
            <w:pPr>
              <w:pStyle w:val="TableContents"/>
              <w:bidi w:val="0"/>
              <w:spacing w:before="0" w:after="283"/>
              <w:ind w:left="490" w:right="0" w:firstLine="490"/>
              <w:jc w:val="left"/>
              <w:rPr/>
            </w:pPr>
            <w:hyperlink w:anchor="consolidated_statements_shareholders_equ">
              <w:r>
                <w:rPr>
                  <w:rStyle w:val="InternetLink"/>
                  <w:rFonts w:ascii="Times New Roman" w:hAnsi="Times New Roman"/>
                  <w:color w:val="0000FF"/>
                  <w:sz w:val="20"/>
                  <w:u w:val="single"/>
                </w:rPr>
                <w:t>Consolidated Statements of Shareholders’ Equity for the years ended December 31, 2023, 2022 and 2021</w:t>
              </w:r>
            </w:hyperlink>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76" w:type="dxa"/>
            <w:tcBorders/>
            <w:shd w:fill="CFF0FC" w:val="clear"/>
            <w:vAlign w:val="center"/>
          </w:tcPr>
          <w:p>
            <w:pPr>
              <w:pStyle w:val="TableContents"/>
              <w:bidi w:val="0"/>
              <w:spacing w:before="0" w:after="283"/>
              <w:ind w:left="0" w:right="0" w:firstLine="490"/>
              <w:jc w:val="center"/>
              <w:rPr>
                <w:rFonts w:ascii="Times New Roman" w:hAnsi="Times New Roman"/>
                <w:color w:val="000000"/>
                <w:sz w:val="20"/>
              </w:rPr>
            </w:pPr>
            <w:r>
              <w:rPr>
                <w:rFonts w:ascii="Times New Roman" w:hAnsi="Times New Roman"/>
                <w:color w:val="000000"/>
                <w:sz w:val="20"/>
              </w:rPr>
              <w:t>60</w:t>
            </w:r>
          </w:p>
        </w:tc>
      </w:tr>
      <w:tr>
        <w:trPr/>
        <w:tc>
          <w:tcPr>
            <w:tcW w:w="8820" w:type="dxa"/>
            <w:tcBorders/>
            <w:vAlign w:val="center"/>
          </w:tcPr>
          <w:p>
            <w:pPr>
              <w:pStyle w:val="TableContents"/>
              <w:bidi w:val="0"/>
              <w:spacing w:before="0" w:after="283"/>
              <w:ind w:left="490" w:right="0" w:firstLine="490"/>
              <w:jc w:val="left"/>
              <w:rPr/>
            </w:pPr>
            <w:hyperlink w:anchor="notes_consolidated_financial_statements">
              <w:r>
                <w:rPr>
                  <w:rStyle w:val="InternetLink"/>
                  <w:rFonts w:ascii="Times New Roman" w:hAnsi="Times New Roman"/>
                  <w:color w:val="0000FF"/>
                  <w:sz w:val="20"/>
                  <w:u w:val="single"/>
                </w:rPr>
                <w:t>Notes to Consolidated 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8" w:name="ind_registered_public_accounting_firm"/>
      <w:bookmarkEnd w:id="18"/>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shareholders and the Board of Directors of ManpowerGroup Inc.</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have audited the internal control over financial reporting of ManpowerGroup Inc. and subsidiaries (the “Company”)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issued by COSO.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consolidated financial statements as of and for the year ended December 31, 2023, of the Company and our report dated February 16, 2024, expressed an unqualified opinion on those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Basis for Opinion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rFonts w:ascii="Times New Roman" w:hAnsi="Times New Roman"/>
          <w:color w:val="000000"/>
          <w:sz w:val="20"/>
        </w:rPr>
      </w:pPr>
      <w:r>
        <w:rPr>
          <w:rFonts w:ascii="Times New Roman" w:hAnsi="Times New Roman"/>
          <w:color w:val="000000"/>
          <w:sz w:val="20"/>
        </w:rPr>
        <w:t xml:space="preserve">Milwaukee, Wisconsin </w:t>
      </w:r>
    </w:p>
    <w:p>
      <w:pPr>
        <w:pStyle w:val="TextBody"/>
        <w:bidi w:val="0"/>
        <w:jc w:val="left"/>
        <w:rPr>
          <w:rFonts w:ascii="Times New Roman" w:hAnsi="Times New Roman"/>
          <w:color w:val="000000"/>
          <w:sz w:val="20"/>
        </w:rPr>
      </w:pPr>
      <w:r>
        <w:rPr>
          <w:rFonts w:ascii="Times New Roman" w:hAnsi="Times New Roman"/>
          <w:color w:val="000000"/>
          <w:sz w:val="20"/>
        </w:rPr>
        <w:t>February 16, 2024</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shareholders and the Board of Directors of ManpowerGroup Inc.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audited the accompanying consolidated balance sheets of ManpowerGroup Inc. and subsidiaries (the "Company") as of December 31, 2023 and 2022, the related consolidated statements of operations, comprehensive income, shareholders' equity, and cash flows, for each of the three years in the period ended December 31, 2023, and the related notes and the schedule listed in the Index at Item 15(a)(2)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and our report dated February 16, 2024, expressed an unqualified opinion on the Company's internal control over financial reporting.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Goodwill - Netherlands Reporting Unit – Refer to Notes 1 and 7 to the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evaluation of goodwill for impairment involves the comparison of the estimated fair value of each reporting unit to its carrying value. The annual impairment test of goodwill at a reporting unit level is performed annually as of July 1, or more frequently if events or circumstances indicate the fair value of a reporting unit may be below its respective carrying value. The Company used the discounted cash flow method to estimate fair value, which requires management to make significant estimates and assumptions related to discount rates and forecasts of future revenues and operating unit profit margins for each reporting unit. Changes in these assumptions could have a significant impact on either the fair value, the amount of any goodwill impairment charge, or both.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Following the July 1 annual impairment test of goodwill, the Netherlands reporting unit’s fair value approximated it’s carrying value. Given the fair value approximated the carrying value of this reporting unit, the performance of the Netherlands reporting unit and the potential for future developments in the economic environment introduced a heightened risk for impairment following the July 1 assessment.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fourth quarter of 2023 the Company identified a triggering event that caused the Company to re-evaluate the goodwill associated with the Netherlands reporting unit for potential impairment. These factors included further deterioration of the macroeconomic and industry conditions subsequent to July 1, 2023, in the Netherlands, financial performance that came in significantly below management's planned revenue and OUP expectations for the fourth quarter of 2023, and revisions downward for full year 2024 planned revenue and OUP projections. The Company updated its fair value estimate as of December 31, 2023 to reflect current market conditions and as a result recorded a $55.1 million impairment of goodwill based on the excess of the Netherlands reporting unit’s carrying amount over its estimated fair value.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Given that forecasted revenues and operating unit profit margins for the Netherlands reporting unit are highly sensitive to changes in demand and efficiency of operations, and considering the breakeven excess of fair value over carrying value of this reporting unit at the annual impairment test date, auditing these estimates and assumptions including the selected discount rates and terminal value revenue growth rates, and auditing the appropriateness of the impairment charge, involved especially subjective judgment. As a result, we identified the Company’s evaluation of goodwill impairment for the Netherlands reporting unit as a critical audit matter due to the high degree of auditor judgment and the increased extent of effort that was required when performing audit procedures to evaluate the reasonableness of management’s significant estimates and assumptions, including the need to involve our fair value specialists.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 procedures related to forecasts of future revenues and operating unit profit margins, and the selection of discount rates and terminal value revenue growth rates for the Netherlands reporting unit at the annual impairment date and the triggering event in the fourth quarter of 2023 included the following, among others: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tested the effectiveness of controls over goodwill, including controls over the review of forecasts related to revenue and operating unit profit margin and selection of discount rates and terminal value revenue growth rates.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evaluated management’s ability to accurately forecast revenue and operating unit profit margins by performing a retrospective comparison of prior forecasts to actual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evaluated the reasonableness of management’s current revenue and operating unit profit margin forecasts by comparing the forecasts to (1) historical results (2) internal communications to management and the Board of Directors, and (3) forecasted information included in Company press releases, analyst and industry reports of the Company and companies in its peer group.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assistance of our fair value specialists, we evaluated the reasonableness of management’s fair value estimate by: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 independent range of fair values based on market multiples of similar companies and comparing this to the company’s estimated fair values.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Testing the source information underlying the determination of the discount rate and the mathematical accuracy of the calculation.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 range of independent estimates of discount rates and comparing those to the discount rates selected by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 range of independent estimates of terminal value revenue growth rates using reporting-unit specific macroeconomic indicators and industry projections, and comparing those to the terminal value revenue growth rate selected by management.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rFonts w:ascii="Times New Roman" w:hAnsi="Times New Roman"/>
          <w:color w:val="000000"/>
          <w:sz w:val="20"/>
        </w:rPr>
      </w:pPr>
      <w:r>
        <w:rPr>
          <w:rFonts w:ascii="Times New Roman" w:hAnsi="Times New Roman"/>
          <w:color w:val="000000"/>
          <w:sz w:val="20"/>
        </w:rPr>
        <w:t xml:space="preserve">Milwaukee, Wisconsin </w:t>
      </w:r>
    </w:p>
    <w:p>
      <w:pPr>
        <w:pStyle w:val="TextBody"/>
        <w:bidi w:val="0"/>
        <w:jc w:val="left"/>
        <w:rPr>
          <w:rFonts w:ascii="Times New Roman" w:hAnsi="Times New Roman"/>
          <w:color w:val="000000"/>
          <w:sz w:val="20"/>
        </w:rPr>
      </w:pPr>
      <w:r>
        <w:rPr>
          <w:rFonts w:ascii="Times New Roman" w:hAnsi="Times New Roman"/>
          <w:color w:val="000000"/>
          <w:sz w:val="20"/>
        </w:rPr>
        <w:t xml:space="preserve">February 16, 2024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2005.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82A32"/>
          <w:sz w:val="20"/>
        </w:rPr>
      </w:pPr>
      <w:bookmarkStart w:id="19" w:name="consolidated_statements_operations"/>
      <w:bookmarkEnd w:id="19"/>
      <w:r>
        <w:rPr>
          <w:rFonts w:ascii="Times New Roman" w:hAnsi="Times New Roman"/>
          <w:b/>
          <w:color w:val="282A32"/>
          <w:sz w:val="20"/>
        </w:rPr>
        <w:t>CONSOLIDATED STATEMENTS OF OPERATIONS</w:t>
      </w:r>
    </w:p>
    <w:p>
      <w:pPr>
        <w:pStyle w:val="TextBody"/>
        <w:bidi w:val="0"/>
        <w:spacing w:before="120" w:after="283"/>
        <w:jc w:val="center"/>
        <w:rPr>
          <w:rFonts w:ascii="Times New Roman" w:hAnsi="Times New Roman"/>
          <w:b/>
          <w:i/>
          <w:color w:val="282A32"/>
          <w:sz w:val="20"/>
        </w:rPr>
      </w:pPr>
      <w:r>
        <w:rPr>
          <w:rFonts w:ascii="Times New Roman" w:hAnsi="Times New Roman"/>
          <w:b/>
          <w:i/>
          <w:color w:val="282A32"/>
          <w:sz w:val="20"/>
        </w:rPr>
        <w:t>in millions, except per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973"/>
        <w:gridCol w:w="146"/>
        <w:gridCol w:w="211"/>
        <w:gridCol w:w="826"/>
        <w:gridCol w:w="146"/>
        <w:gridCol w:w="146"/>
        <w:gridCol w:w="211"/>
        <w:gridCol w:w="826"/>
        <w:gridCol w:w="146"/>
        <w:gridCol w:w="146"/>
        <w:gridCol w:w="211"/>
        <w:gridCol w:w="826"/>
        <w:gridCol w:w="391"/>
      </w:tblGrid>
      <w:tr>
        <w:trPr/>
        <w:tc>
          <w:tcPr>
            <w:tcW w:w="5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from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20,724.4</w:t>
            </w:r>
          </w:p>
        </w:tc>
        <w:tc>
          <w:tcPr>
            <w:tcW w:w="391" w:type="dxa"/>
            <w:tcBorders/>
            <w:shd w:fill="CFF0FC" w:val="clear"/>
            <w:vAlign w:val="center"/>
          </w:tcPr>
          <w:p>
            <w:pPr>
              <w:pStyle w:val="TableContents"/>
              <w:bidi w:val="0"/>
              <w:spacing w:before="0" w:after="283"/>
              <w:jc w:val="left"/>
              <w:rPr/>
            </w:pPr>
            <w:r>
              <w:rPr/>
              <w:t> </w:t>
            </w:r>
          </w:p>
        </w:tc>
      </w:tr>
      <w:tr>
        <w:trPr/>
        <w:tc>
          <w:tcPr>
            <w:tcW w:w="5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7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3,407.5</w:t>
            </w:r>
          </w:p>
        </w:tc>
        <w:tc>
          <w:tcPr>
            <w:tcW w:w="391" w:type="dxa"/>
            <w:tcBorders/>
            <w:shd w:fill="CFF0FC" w:val="clear"/>
            <w:vAlign w:val="center"/>
          </w:tcPr>
          <w:p>
            <w:pPr>
              <w:pStyle w:val="TableContents"/>
              <w:bidi w:val="0"/>
              <w:spacing w:before="0" w:after="283"/>
              <w:jc w:val="left"/>
              <w:rPr/>
            </w:pPr>
            <w:r>
              <w:rPr/>
              <w:t> </w:t>
            </w:r>
          </w:p>
        </w:tc>
      </w:tr>
      <w:tr>
        <w:trPr/>
        <w:tc>
          <w:tcPr>
            <w:tcW w:w="59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 expenses, excluding goodwill impairment charges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2,822.1</w:t>
            </w:r>
          </w:p>
        </w:tc>
        <w:tc>
          <w:tcPr>
            <w:tcW w:w="391" w:type="dxa"/>
            <w:tcBorders/>
            <w:shd w:fill="FFFFFF" w:val="clear"/>
            <w:vAlign w:val="center"/>
          </w:tcPr>
          <w:p>
            <w:pPr>
              <w:pStyle w:val="TableContents"/>
              <w:bidi w:val="0"/>
              <w:spacing w:before="0" w:after="283"/>
              <w:jc w:val="left"/>
              <w:rPr/>
            </w:pPr>
            <w:r>
              <w:rPr/>
              <w:t> </w:t>
            </w:r>
          </w:p>
        </w:tc>
      </w:tr>
      <w:tr>
        <w:trPr/>
        <w:tc>
          <w:tcPr>
            <w:tcW w:w="5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 charges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7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w:t>
            </w:r>
          </w:p>
        </w:tc>
        <w:tc>
          <w:tcPr>
            <w:tcW w:w="391" w:type="dxa"/>
            <w:tcBorders/>
            <w:shd w:fill="CFF0FC" w:val="clear"/>
            <w:vAlign w:val="center"/>
          </w:tcPr>
          <w:p>
            <w:pPr>
              <w:pStyle w:val="TableContents"/>
              <w:bidi w:val="0"/>
              <w:spacing w:before="0" w:after="283"/>
              <w:jc w:val="left"/>
              <w:rPr/>
            </w:pPr>
            <w:r>
              <w:rPr/>
              <w:t> </w:t>
            </w:r>
          </w:p>
        </w:tc>
      </w:tr>
      <w:tr>
        <w:trPr/>
        <w:tc>
          <w:tcPr>
            <w:tcW w:w="5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expenses,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7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Earnings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568.1</w:t>
            </w:r>
          </w:p>
        </w:tc>
        <w:tc>
          <w:tcPr>
            <w:tcW w:w="391" w:type="dxa"/>
            <w:tcBorders/>
            <w:shd w:fill="CFF0FC" w:val="clear"/>
            <w:vAlign w:val="center"/>
          </w:tcPr>
          <w:p>
            <w:pPr>
              <w:pStyle w:val="TableContents"/>
              <w:bidi w:val="0"/>
              <w:spacing w:before="0" w:after="283"/>
              <w:jc w:val="left"/>
              <w:rPr/>
            </w:pPr>
            <w:r>
              <w:rPr/>
              <w:t> </w:t>
            </w:r>
          </w:p>
        </w:tc>
      </w:tr>
      <w:tr>
        <w:trPr/>
        <w:tc>
          <w:tcPr>
            <w:tcW w:w="5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earnings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per share - basic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per share - diluted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 basic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 diluted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282A32"/>
          <w:sz w:val="18"/>
        </w:rPr>
      </w:pPr>
      <w:r>
        <w:rPr>
          <w:rFonts w:ascii="Times New Roman" w:hAnsi="Times New Roman"/>
          <w:color w:val="282A32"/>
          <w:sz w:val="18"/>
        </w:rPr>
        <w:t>The accompanying Notes to Consolidated Financial Statements are an integral part of these statements.</w:t>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282A32"/>
          <w:sz w:val="20"/>
        </w:rPr>
      </w:pPr>
      <w:bookmarkStart w:id="20" w:name="consolidated_statements_comprehensive_in"/>
      <w:bookmarkEnd w:id="20"/>
      <w:r>
        <w:rPr>
          <w:rFonts w:ascii="Times New Roman" w:hAnsi="Times New Roman"/>
          <w:b/>
          <w:color w:val="282A32"/>
          <w:sz w:val="20"/>
        </w:rPr>
        <w:t>CONSOLIDATED STATEMENTS OF COMPREHENSIVE INCOME</w:t>
      </w:r>
    </w:p>
    <w:p>
      <w:pPr>
        <w:pStyle w:val="TextBody"/>
        <w:bidi w:val="0"/>
        <w:spacing w:before="120" w:after="283"/>
        <w:jc w:val="center"/>
        <w:rPr>
          <w:rFonts w:ascii="Times New Roman" w:hAnsi="Times New Roman"/>
          <w:b/>
          <w:i/>
          <w:color w:val="282A32"/>
          <w:sz w:val="20"/>
        </w:rPr>
      </w:pPr>
      <w:r>
        <w:rPr>
          <w:rFonts w:ascii="Times New Roman" w:hAnsi="Times New Roman"/>
          <w:b/>
          <w:i/>
          <w:color w:val="282A32"/>
          <w:sz w:val="20"/>
        </w:rPr>
        <w:t>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58"/>
        <w:gridCol w:w="146"/>
        <w:gridCol w:w="211"/>
        <w:gridCol w:w="571"/>
        <w:gridCol w:w="166"/>
        <w:gridCol w:w="146"/>
        <w:gridCol w:w="211"/>
        <w:gridCol w:w="631"/>
        <w:gridCol w:w="166"/>
        <w:gridCol w:w="146"/>
        <w:gridCol w:w="211"/>
        <w:gridCol w:w="631"/>
        <w:gridCol w:w="411"/>
      </w:tblGrid>
      <w:tr>
        <w:trPr/>
        <w:tc>
          <w:tcPr>
            <w:tcW w:w="6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55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411" w:type="dxa"/>
            <w:tcBorders/>
            <w:shd w:fill="CFF0FC" w:val="clear"/>
            <w:vAlign w:val="center"/>
          </w:tcPr>
          <w:p>
            <w:pPr>
              <w:pStyle w:val="TableContents"/>
              <w:bidi w:val="0"/>
              <w:spacing w:before="0" w:after="283"/>
              <w:jc w:val="left"/>
              <w:rPr/>
            </w:pPr>
            <w:r>
              <w:rPr/>
              <w:t> </w:t>
            </w:r>
          </w:p>
        </w:tc>
      </w:tr>
      <w:tr>
        <w:trPr/>
        <w:tc>
          <w:tcPr>
            <w:tcW w:w="655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55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5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Translation adjustments on long-term intercompany loans, net of income taxes of $0.0, $(0.8) and $0.3,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5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on derivative instruments, net of income taxes of $(17.4), $11.1 and $18.5,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55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adjustments on interest rate swap, net of income taxes of $(0.1) and $0.4,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55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Defined benefit pension plans and retiree health care plan, net of income taxes of $(3.7), $2.2 and $15.2,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5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Pension settlements, net of income taxes of $1.2, $0.5 and $0.0, respectively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282A32"/>
          <w:sz w:val="18"/>
        </w:rPr>
      </w:pPr>
      <w:r>
        <w:rPr>
          <w:rFonts w:ascii="Times New Roman" w:hAnsi="Times New Roman"/>
          <w:color w:val="282A32"/>
          <w:sz w:val="18"/>
        </w:rPr>
        <w:t>The accompanying Notes to Consolidated Financial Statements are an integral part of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82A32"/>
          <w:sz w:val="20"/>
        </w:rPr>
      </w:pPr>
      <w:bookmarkStart w:id="21" w:name="consolidated_balance_sheets"/>
      <w:bookmarkEnd w:id="21"/>
      <w:r>
        <w:rPr>
          <w:rFonts w:ascii="Times New Roman" w:hAnsi="Times New Roman"/>
          <w:b/>
          <w:color w:val="282A32"/>
          <w:sz w:val="20"/>
        </w:rPr>
        <w:t>CONSOLIDATED BALANCE SHEETS</w:t>
      </w:r>
    </w:p>
    <w:p>
      <w:pPr>
        <w:pStyle w:val="TextBody"/>
        <w:bidi w:val="0"/>
        <w:spacing w:before="120" w:after="283"/>
        <w:jc w:val="center"/>
        <w:rPr>
          <w:rFonts w:ascii="Times New Roman" w:hAnsi="Times New Roman"/>
          <w:b/>
          <w:i/>
          <w:color w:val="282A32"/>
          <w:sz w:val="20"/>
        </w:rPr>
      </w:pPr>
      <w:r>
        <w:rPr>
          <w:rFonts w:ascii="Times New Roman" w:hAnsi="Times New Roman"/>
          <w:b/>
          <w:i/>
          <w:color w:val="282A32"/>
          <w:sz w:val="20"/>
        </w:rPr>
        <w:t>in millions,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72"/>
        <w:gridCol w:w="146"/>
        <w:gridCol w:w="211"/>
        <w:gridCol w:w="781"/>
        <w:gridCol w:w="166"/>
        <w:gridCol w:w="146"/>
        <w:gridCol w:w="211"/>
        <w:gridCol w:w="781"/>
        <w:gridCol w:w="491"/>
      </w:tblGrid>
      <w:tr>
        <w:trPr/>
        <w:tc>
          <w:tcPr>
            <w:tcW w:w="7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7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br/>
            </w:r>
            <w:r>
              <w:rPr>
                <w:rFonts w:ascii="Times New Roman" w:hAnsi="Times New Roman"/>
                <w:color w:val="000000"/>
                <w:sz w:val="20"/>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7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jc w:val="right"/>
              <w:rPr/>
            </w:pPr>
            <w:r>
              <w:rPr/>
              <w:t> </w:t>
            </w:r>
          </w:p>
        </w:tc>
      </w:tr>
      <w:tr>
        <w:trPr/>
        <w:tc>
          <w:tcPr>
            <w:tcW w:w="72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100"/>
              <w:jc w:val="right"/>
              <w:rPr/>
            </w:pPr>
            <w:r>
              <w:rPr/>
              <w:t> </w:t>
            </w:r>
          </w:p>
        </w:tc>
      </w:tr>
      <w:tr>
        <w:trPr/>
        <w:tc>
          <w:tcPr>
            <w:tcW w:w="72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72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Accounts receivable, less allowance for doubtful accounts of $99.2 and $109.3,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5,137.4</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72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5,934.4</w:t>
            </w:r>
          </w:p>
        </w:tc>
        <w:tc>
          <w:tcPr>
            <w:tcW w:w="491" w:type="dxa"/>
            <w:tcBorders/>
            <w:shd w:fill="FFFFFF" w:val="clear"/>
            <w:vAlign w:val="center"/>
          </w:tcPr>
          <w:p>
            <w:pPr>
              <w:pStyle w:val="TableContents"/>
              <w:bidi w:val="0"/>
              <w:spacing w:before="0" w:after="283"/>
              <w:jc w:val="left"/>
              <w:rPr/>
            </w:pPr>
            <w:r>
              <w:rPr/>
              <w:t> </w:t>
            </w:r>
          </w:p>
        </w:tc>
      </w:tr>
      <w:tr>
        <w:trPr/>
        <w:tc>
          <w:tcPr>
            <w:tcW w:w="7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100"/>
              <w:jc w:val="right"/>
              <w:rPr/>
            </w:pPr>
            <w:r>
              <w:rPr/>
              <w:t> </w:t>
            </w:r>
          </w:p>
        </w:tc>
      </w:tr>
      <w:tr>
        <w:trPr/>
        <w:tc>
          <w:tcPr>
            <w:tcW w:w="72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1,628.1</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72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Intangible assets, less accumulated amortization of $507.2 and $468.3,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549.5</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72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72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3,083.8</w:t>
            </w:r>
          </w:p>
        </w:tc>
        <w:tc>
          <w:tcPr>
            <w:tcW w:w="491" w:type="dxa"/>
            <w:tcBorders/>
            <w:shd w:fill="FFFFFF" w:val="clear"/>
            <w:vAlign w:val="center"/>
          </w:tcPr>
          <w:p>
            <w:pPr>
              <w:pStyle w:val="TableContents"/>
              <w:bidi w:val="0"/>
              <w:spacing w:before="0" w:after="283"/>
              <w:jc w:val="left"/>
              <w:rPr/>
            </w:pPr>
            <w:r>
              <w:rPr/>
              <w:t> </w:t>
            </w:r>
          </w:p>
        </w:tc>
      </w:tr>
      <w:tr>
        <w:trPr/>
        <w:tc>
          <w:tcPr>
            <w:tcW w:w="7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100"/>
              <w:jc w:val="right"/>
              <w:rPr/>
            </w:pPr>
            <w:r>
              <w:rPr/>
              <w:t> </w:t>
            </w:r>
          </w:p>
        </w:tc>
      </w:tr>
      <w:tr>
        <w:trPr/>
        <w:tc>
          <w:tcPr>
            <w:tcW w:w="72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Land, buildings, leasehold improvements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72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property and equipment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9,130.4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7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jc w:val="right"/>
              <w:rPr/>
            </w:pPr>
            <w:r>
              <w:rPr/>
              <w:t> </w:t>
            </w:r>
          </w:p>
        </w:tc>
      </w:tr>
      <w:tr>
        <w:trPr/>
        <w:tc>
          <w:tcPr>
            <w:tcW w:w="7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100"/>
              <w:jc w:val="right"/>
              <w:rPr/>
            </w:pPr>
            <w:r>
              <w:rPr/>
              <w:t> </w:t>
            </w:r>
          </w:p>
        </w:tc>
      </w:tr>
      <w:tr>
        <w:trPr/>
        <w:tc>
          <w:tcPr>
            <w:tcW w:w="72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2,831.4</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72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Employee compensation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72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572.6</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72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Accrued payroll taxes and insurance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72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Value added taxes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72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Short-term borrowings and current maturities of long-term debt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7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4,911.7</w:t>
            </w:r>
          </w:p>
        </w:tc>
        <w:tc>
          <w:tcPr>
            <w:tcW w:w="491" w:type="dxa"/>
            <w:tcBorders/>
            <w:shd w:fill="FFFFFF" w:val="clear"/>
            <w:vAlign w:val="center"/>
          </w:tcPr>
          <w:p>
            <w:pPr>
              <w:pStyle w:val="TableContents"/>
              <w:bidi w:val="0"/>
              <w:spacing w:before="0" w:after="283"/>
              <w:jc w:val="left"/>
              <w:rPr/>
            </w:pPr>
            <w:r>
              <w:rPr/>
              <w:t> </w:t>
            </w:r>
          </w:p>
        </w:tc>
      </w:tr>
      <w:tr>
        <w:trPr/>
        <w:tc>
          <w:tcPr>
            <w:tcW w:w="7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100"/>
              <w:jc w:val="right"/>
              <w:rPr/>
            </w:pPr>
            <w:r>
              <w:rPr/>
              <w:t> </w:t>
            </w:r>
          </w:p>
        </w:tc>
      </w:tr>
      <w:tr>
        <w:trPr/>
        <w:tc>
          <w:tcPr>
            <w:tcW w:w="72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959.9</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72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Long-term operating lease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72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7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1,760.6</w:t>
            </w:r>
          </w:p>
        </w:tc>
        <w:tc>
          <w:tcPr>
            <w:tcW w:w="491" w:type="dxa"/>
            <w:tcBorders/>
            <w:shd w:fill="CFF0FC" w:val="clear"/>
            <w:vAlign w:val="center"/>
          </w:tcPr>
          <w:p>
            <w:pPr>
              <w:pStyle w:val="TableContents"/>
              <w:bidi w:val="0"/>
              <w:spacing w:before="0" w:after="283"/>
              <w:jc w:val="left"/>
              <w:rPr/>
            </w:pPr>
            <w:r>
              <w:rPr/>
              <w:t> </w:t>
            </w:r>
          </w:p>
        </w:tc>
      </w:tr>
      <w:tr>
        <w:trPr/>
        <w:tc>
          <w:tcPr>
            <w:tcW w:w="727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15)</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jc w:val="right"/>
              <w:rPr/>
            </w:pPr>
            <w:r>
              <w:rPr/>
              <w:t> </w:t>
            </w:r>
          </w:p>
        </w:tc>
      </w:tr>
      <w:tr>
        <w:trPr/>
        <w:tc>
          <w:tcPr>
            <w:tcW w:w="7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100"/>
              <w:jc w:val="right"/>
              <w:rPr/>
            </w:pPr>
            <w:r>
              <w:rPr/>
              <w:t> </w:t>
            </w:r>
          </w:p>
        </w:tc>
      </w:tr>
      <w:tr>
        <w:trPr/>
        <w:tc>
          <w:tcPr>
            <w:tcW w:w="72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Preferred stock, $.01 par value, authorized 25,000,000 shares, none issued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72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Common stock, $.01 par value, authorized 125,000,000 shares, issued 118,387,641 and 118,028,009 shares,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72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Capital in excess of par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3,484.2</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7272"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3,868.5</w:t>
            </w:r>
          </w:p>
        </w:tc>
        <w:tc>
          <w:tcPr>
            <w:tcW w:w="491" w:type="dxa"/>
            <w:tcBorders/>
            <w:shd w:fill="CFF0FC" w:val="clear"/>
            <w:vAlign w:val="center"/>
          </w:tcPr>
          <w:p>
            <w:pPr>
              <w:pStyle w:val="TableContents"/>
              <w:bidi w:val="0"/>
              <w:spacing w:before="0" w:after="283"/>
              <w:ind w:left="0" w:right="0" w:firstLine="100"/>
              <w:jc w:val="left"/>
              <w:rPr/>
            </w:pPr>
            <w:r>
              <w:rPr/>
              <w:t> </w:t>
            </w:r>
          </w:p>
        </w:tc>
      </w:tr>
      <w:tr>
        <w:trPr/>
        <w:tc>
          <w:tcPr>
            <w:tcW w:w="7272"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(458.7</w:t>
            </w:r>
          </w:p>
        </w:tc>
        <w:tc>
          <w:tcPr>
            <w:tcW w:w="49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2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Treasury stock at cost, 69,963,649 and 67,468,433 shares, respectively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(4,447.9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ManpowerGroup shareholders'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9,130.4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282A32"/>
          <w:sz w:val="18"/>
        </w:rPr>
      </w:pPr>
      <w:r>
        <w:rPr>
          <w:rFonts w:ascii="Times New Roman" w:hAnsi="Times New Roman"/>
          <w:color w:val="282A32"/>
          <w:sz w:val="18"/>
        </w:rPr>
        <w:t>The accompanying Notes to Consolidated Financial Statements are an integral part of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consolidated_statements_cash_flows"/>
      <w:bookmarkEnd w:id="22"/>
      <w:r>
        <w:rPr>
          <w:rFonts w:ascii="Times New Roman" w:hAnsi="Times New Roman"/>
          <w:b/>
          <w:color w:val="000000"/>
          <w:sz w:val="20"/>
        </w:rPr>
        <w:t>CONSOLIDATED STATEMENTS OF CASH FLOWS</w:t>
      </w:r>
    </w:p>
    <w:p>
      <w:pPr>
        <w:pStyle w:val="TextBody"/>
        <w:bidi w:val="0"/>
        <w:spacing w:before="120" w:after="283"/>
        <w:jc w:val="center"/>
        <w:rPr>
          <w:rFonts w:ascii="Times New Roman" w:hAnsi="Times New Roman"/>
          <w:b/>
          <w:i/>
          <w:color w:val="000000"/>
          <w:sz w:val="20"/>
        </w:rPr>
      </w:pPr>
      <w:r>
        <w:rPr>
          <w:rFonts w:ascii="Times New Roman" w:hAnsi="Times New Roman"/>
          <w:b/>
          <w:i/>
          <w:color w:val="000000"/>
          <w:sz w:val="20"/>
        </w:rPr>
        <w:t>in millions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308"/>
        <w:gridCol w:w="146"/>
        <w:gridCol w:w="211"/>
        <w:gridCol w:w="631"/>
        <w:gridCol w:w="166"/>
        <w:gridCol w:w="146"/>
        <w:gridCol w:w="211"/>
        <w:gridCol w:w="631"/>
        <w:gridCol w:w="166"/>
        <w:gridCol w:w="146"/>
        <w:gridCol w:w="211"/>
        <w:gridCol w:w="721"/>
        <w:gridCol w:w="511"/>
      </w:tblGrid>
      <w:tr>
        <w:trPr/>
        <w:tc>
          <w:tcPr>
            <w:tcW w:w="63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0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jc w:val="right"/>
              <w:rPr/>
            </w:pPr>
            <w:r>
              <w:rPr/>
              <w:t> </w:t>
            </w:r>
          </w:p>
        </w:tc>
      </w:tr>
      <w:tr>
        <w:trPr/>
        <w:tc>
          <w:tcPr>
            <w:tcW w:w="63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511" w:type="dxa"/>
            <w:tcBorders/>
            <w:shd w:fill="FFFFFF" w:val="clear"/>
            <w:vAlign w:val="center"/>
          </w:tcPr>
          <w:p>
            <w:pPr>
              <w:pStyle w:val="TableContents"/>
              <w:bidi w:val="0"/>
              <w:spacing w:before="0" w:after="283"/>
              <w:jc w:val="left"/>
              <w:rPr/>
            </w:pPr>
            <w:r>
              <w:rPr/>
              <w:t> </w:t>
            </w:r>
          </w:p>
        </w:tc>
      </w:tr>
      <w:tr>
        <w:trPr/>
        <w:tc>
          <w:tcPr>
            <w:tcW w:w="6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earnings to 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ind w:left="0" w:right="0" w:firstLine="100"/>
              <w:jc w:val="right"/>
              <w:rPr/>
            </w:pPr>
            <w:r>
              <w:rPr/>
              <w:t> </w:t>
            </w:r>
          </w:p>
        </w:tc>
      </w:tr>
      <w:tr>
        <w:trPr/>
        <w:tc>
          <w:tcPr>
            <w:tcW w:w="630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511" w:type="dxa"/>
            <w:tcBorders/>
            <w:shd w:fill="FFFFFF" w:val="clear"/>
            <w:vAlign w:val="center"/>
          </w:tcPr>
          <w:p>
            <w:pPr>
              <w:pStyle w:val="TableContents"/>
              <w:bidi w:val="0"/>
              <w:spacing w:before="0" w:after="283"/>
              <w:ind w:left="0" w:right="0" w:firstLine="100"/>
              <w:jc w:val="left"/>
              <w:rPr/>
            </w:pPr>
            <w:r>
              <w:rPr/>
              <w:t> </w:t>
            </w:r>
          </w:p>
        </w:tc>
      </w:tr>
      <w:tr>
        <w:trPr/>
        <w:tc>
          <w:tcPr>
            <w:tcW w:w="630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Loss on sales of subsidiaries,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511" w:type="dxa"/>
            <w:tcBorders/>
            <w:shd w:fill="CFF0FC" w:val="clear"/>
            <w:vAlign w:val="center"/>
          </w:tcPr>
          <w:p>
            <w:pPr>
              <w:pStyle w:val="TableContents"/>
              <w:bidi w:val="0"/>
              <w:spacing w:before="0" w:after="283"/>
              <w:ind w:left="0" w:right="0" w:firstLine="100"/>
              <w:jc w:val="left"/>
              <w:rPr/>
            </w:pPr>
            <w:r>
              <w:rPr/>
              <w:t> </w:t>
            </w:r>
          </w:p>
        </w:tc>
      </w:tr>
      <w:tr>
        <w:trPr/>
        <w:tc>
          <w:tcPr>
            <w:tcW w:w="630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Non-cash goodwill and other impairment charges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511" w:type="dxa"/>
            <w:tcBorders/>
            <w:shd w:fill="FFFFFF" w:val="clear"/>
            <w:vAlign w:val="center"/>
          </w:tcPr>
          <w:p>
            <w:pPr>
              <w:pStyle w:val="TableContents"/>
              <w:bidi w:val="0"/>
              <w:spacing w:before="0" w:after="283"/>
              <w:ind w:left="0" w:right="0" w:firstLine="100"/>
              <w:jc w:val="left"/>
              <w:rPr/>
            </w:pPr>
            <w:r>
              <w:rPr/>
              <w:t> </w:t>
            </w:r>
          </w:p>
        </w:tc>
      </w:tr>
      <w:tr>
        <w:trPr/>
        <w:tc>
          <w:tcPr>
            <w:tcW w:w="630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Provision for doubtful accounts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511" w:type="dxa"/>
            <w:tcBorders/>
            <w:shd w:fill="FFFFFF" w:val="clear"/>
            <w:vAlign w:val="center"/>
          </w:tcPr>
          <w:p>
            <w:pPr>
              <w:pStyle w:val="TableContents"/>
              <w:bidi w:val="0"/>
              <w:spacing w:before="0" w:after="283"/>
              <w:ind w:left="0" w:right="0" w:firstLine="100"/>
              <w:jc w:val="left"/>
              <w:rPr/>
            </w:pPr>
            <w:r>
              <w:rPr/>
              <w:t> </w:t>
            </w:r>
          </w:p>
        </w:tc>
      </w:tr>
      <w:tr>
        <w:trPr/>
        <w:tc>
          <w:tcPr>
            <w:tcW w:w="630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511" w:type="dxa"/>
            <w:tcBorders/>
            <w:shd w:fill="CFF0FC" w:val="clear"/>
            <w:vAlign w:val="center"/>
          </w:tcPr>
          <w:p>
            <w:pPr>
              <w:pStyle w:val="TableContents"/>
              <w:bidi w:val="0"/>
              <w:spacing w:before="0" w:after="283"/>
              <w:ind w:left="0" w:right="0" w:firstLine="100"/>
              <w:jc w:val="left"/>
              <w:rPr/>
            </w:pPr>
            <w:r>
              <w:rPr/>
              <w:t> </w:t>
            </w:r>
          </w:p>
        </w:tc>
      </w:tr>
      <w:tr>
        <w:trPr/>
        <w:tc>
          <w:tcPr>
            <w:tcW w:w="630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ind w:left="0" w:right="0" w:firstLine="200"/>
              <w:jc w:val="right"/>
              <w:rPr/>
            </w:pPr>
            <w:r>
              <w:rPr/>
              <w:t> </w:t>
            </w:r>
          </w:p>
        </w:tc>
      </w:tr>
      <w:tr>
        <w:trPr/>
        <w:tc>
          <w:tcPr>
            <w:tcW w:w="630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(640.9</w:t>
            </w:r>
          </w:p>
        </w:tc>
        <w:tc>
          <w:tcPr>
            <w:tcW w:w="5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511" w:type="dxa"/>
            <w:tcBorders/>
            <w:shd w:fill="FFFFFF" w:val="clear"/>
            <w:vAlign w:val="center"/>
          </w:tcPr>
          <w:p>
            <w:pPr>
              <w:pStyle w:val="TableContents"/>
              <w:bidi w:val="0"/>
              <w:spacing w:before="0" w:after="283"/>
              <w:ind w:left="0" w:right="0" w:firstLine="200"/>
              <w:jc w:val="left"/>
              <w:rPr/>
            </w:pPr>
            <w:r>
              <w:rPr/>
              <w:t> </w:t>
            </w:r>
          </w:p>
        </w:tc>
      </w:tr>
      <w:tr>
        <w:trPr/>
        <w:tc>
          <w:tcPr>
            <w:tcW w:w="630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30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Cash provided by operating activities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0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jc w:val="right"/>
              <w:rPr/>
            </w:pPr>
            <w:r>
              <w:rPr/>
              <w:t> </w:t>
            </w:r>
          </w:p>
        </w:tc>
      </w:tr>
      <w:tr>
        <w:trPr/>
        <w:tc>
          <w:tcPr>
            <w:tcW w:w="63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Acquisitions of businesses, net of cash acquired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(924.4</w:t>
            </w:r>
          </w:p>
        </w:tc>
        <w:tc>
          <w:tcPr>
            <w:tcW w:w="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sale of subsidiaries and property and equipment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30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Cash used in investing activities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jc w:val="right"/>
              <w:rPr/>
            </w:pPr>
            <w:r>
              <w:rPr/>
              <w:t> </w:t>
            </w:r>
          </w:p>
        </w:tc>
      </w:tr>
      <w:tr>
        <w:trPr/>
        <w:tc>
          <w:tcPr>
            <w:tcW w:w="6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short-term borrowings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(repayments) proceeds of revolving debt facility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511" w:type="dxa"/>
            <w:tcBorders/>
            <w:shd w:fill="FFFFFF" w:val="clear"/>
            <w:vAlign w:val="center"/>
          </w:tcPr>
          <w:p>
            <w:pPr>
              <w:pStyle w:val="TableContents"/>
              <w:bidi w:val="0"/>
              <w:spacing w:before="0" w:after="283"/>
              <w:jc w:val="left"/>
              <w:rPr/>
            </w:pPr>
            <w:r>
              <w:rPr/>
              <w:t> </w:t>
            </w:r>
          </w:p>
        </w:tc>
      </w:tr>
      <w:tr>
        <w:trPr/>
        <w:tc>
          <w:tcPr>
            <w:tcW w:w="6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511" w:type="dxa"/>
            <w:tcBorders/>
            <w:shd w:fill="CFF0FC" w:val="clear"/>
            <w:vAlign w:val="center"/>
          </w:tcPr>
          <w:p>
            <w:pPr>
              <w:pStyle w:val="TableContents"/>
              <w:bidi w:val="0"/>
              <w:spacing w:before="0" w:after="283"/>
              <w:jc w:val="left"/>
              <w:rPr/>
            </w:pPr>
            <w:r>
              <w:rPr/>
              <w:t> </w:t>
            </w:r>
          </w:p>
        </w:tc>
      </w:tr>
      <w:tr>
        <w:trPr/>
        <w:tc>
          <w:tcPr>
            <w:tcW w:w="63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of long-term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debt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511" w:type="dxa"/>
            <w:tcBorders/>
            <w:shd w:fill="CFF0FC" w:val="clear"/>
            <w:vAlign w:val="center"/>
          </w:tcPr>
          <w:p>
            <w:pPr>
              <w:pStyle w:val="TableContents"/>
              <w:bidi w:val="0"/>
              <w:spacing w:before="0" w:after="283"/>
              <w:jc w:val="left"/>
              <w:rPr/>
            </w:pPr>
            <w:r>
              <w:rPr/>
              <w:t> </w:t>
            </w:r>
          </w:p>
        </w:tc>
      </w:tr>
      <w:tr>
        <w:trPr/>
        <w:tc>
          <w:tcPr>
            <w:tcW w:w="63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derivative settlement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511" w:type="dxa"/>
            <w:tcBorders/>
            <w:shd w:fill="FFFFFF" w:val="clear"/>
            <w:vAlign w:val="center"/>
          </w:tcPr>
          <w:p>
            <w:pPr>
              <w:pStyle w:val="TableContents"/>
              <w:bidi w:val="0"/>
              <w:spacing w:before="0" w:after="283"/>
              <w:jc w:val="left"/>
              <w:rPr/>
            </w:pPr>
            <w:r>
              <w:rPr/>
              <w:t> </w:t>
            </w:r>
          </w:p>
        </w:tc>
      </w:tr>
      <w:tr>
        <w:trPr/>
        <w:tc>
          <w:tcPr>
            <w:tcW w:w="6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contingent consideration for acquisitions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share-based awards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11" w:type="dxa"/>
            <w:tcBorders/>
            <w:shd w:fill="FFFFFF" w:val="clear"/>
            <w:vAlign w:val="center"/>
          </w:tcPr>
          <w:p>
            <w:pPr>
              <w:pStyle w:val="TableContents"/>
              <w:bidi w:val="0"/>
              <w:spacing w:before="0" w:after="283"/>
              <w:jc w:val="left"/>
              <w:rPr/>
            </w:pPr>
            <w:r>
              <w:rPr/>
              <w:t> </w:t>
            </w:r>
          </w:p>
        </w:tc>
      </w:tr>
      <w:tr>
        <w:trPr/>
        <w:tc>
          <w:tcPr>
            <w:tcW w:w="6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to noncontrolling interests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share-based award transactions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paid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Cash used in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w:t>
            </w:r>
          </w:p>
        </w:tc>
        <w:tc>
          <w:tcPr>
            <w:tcW w:w="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(719.3</w:t>
            </w:r>
          </w:p>
        </w:tc>
        <w:tc>
          <w:tcPr>
            <w:tcW w:w="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year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0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jc w:val="right"/>
              <w:rPr/>
            </w:pPr>
            <w:r>
              <w:rPr/>
              <w:t> </w:t>
            </w:r>
          </w:p>
        </w:tc>
      </w:tr>
      <w:tr>
        <w:trPr/>
        <w:tc>
          <w:tcPr>
            <w:tcW w:w="6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during the period for:</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ind w:left="0" w:right="0" w:firstLine="200"/>
              <w:jc w:val="right"/>
              <w:rPr/>
            </w:pPr>
            <w:r>
              <w:rPr/>
              <w:t> </w:t>
            </w:r>
          </w:p>
        </w:tc>
      </w:tr>
      <w:tr>
        <w:trPr/>
        <w:tc>
          <w:tcPr>
            <w:tcW w:w="630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0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taxes,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0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operating activity:</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ind w:left="0" w:right="0" w:firstLine="200"/>
              <w:jc w:val="right"/>
              <w:rPr/>
            </w:pPr>
            <w:r>
              <w:rPr/>
              <w:t> </w:t>
            </w:r>
          </w:p>
        </w:tc>
      </w:tr>
      <w:tr>
        <w:trPr/>
        <w:tc>
          <w:tcPr>
            <w:tcW w:w="630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18"/>
        </w:rPr>
      </w:pPr>
      <w:r>
        <w:rPr>
          <w:rFonts w:ascii="Times New Roman" w:hAnsi="Times New Roman"/>
          <w:color w:val="000000"/>
          <w:sz w:val="18"/>
        </w:rPr>
        <w:t>The accompanying Notes to Consolidated Financial Statements are an integral part of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consolidated_statements_shareholders_equ"/>
      <w:bookmarkEnd w:id="23"/>
      <w:r>
        <w:rPr>
          <w:rFonts w:ascii="Times New Roman" w:hAnsi="Times New Roman"/>
          <w:b/>
          <w:color w:val="000000"/>
          <w:sz w:val="20"/>
        </w:rPr>
        <w:t>CONSOLIDATED STATEMENTS OF SHAREHOLDERS’ EQUITY</w:t>
      </w:r>
    </w:p>
    <w:p>
      <w:pPr>
        <w:pStyle w:val="TextBody"/>
        <w:bidi w:val="0"/>
        <w:spacing w:before="120" w:after="283"/>
        <w:jc w:val="center"/>
        <w:rPr>
          <w:rFonts w:ascii="Times New Roman" w:hAnsi="Times New Roman"/>
          <w:b/>
          <w:i/>
          <w:color w:val="000000"/>
          <w:sz w:val="20"/>
        </w:rPr>
      </w:pPr>
      <w:r>
        <w:rPr>
          <w:rFonts w:ascii="Times New Roman" w:hAnsi="Times New Roman"/>
          <w:b/>
          <w:i/>
          <w:color w:val="000000"/>
          <w:sz w:val="20"/>
        </w:rPr>
        <w:t>in millions, except share and per share data</w:t>
      </w:r>
    </w:p>
    <w:p>
      <w:pPr>
        <w:pStyle w:val="TextBody"/>
        <w:bidi w:val="0"/>
        <w:jc w:val="left"/>
        <w:rPr/>
      </w:pPr>
      <w:r>
        <w:rPr/>
        <w:t> </w:t>
      </w:r>
    </w:p>
    <w:tbl>
      <w:tblPr>
        <w:tblW w:w="11466" w:type="dxa"/>
        <w:jc w:val="left"/>
        <w:tblInd w:w="0" w:type="dxa"/>
        <w:tblLayout w:type="fixed"/>
        <w:tblCellMar>
          <w:top w:w="28" w:type="dxa"/>
          <w:left w:w="28" w:type="dxa"/>
          <w:bottom w:w="28" w:type="dxa"/>
          <w:right w:w="28" w:type="dxa"/>
        </w:tblCellMar>
      </w:tblPr>
      <w:tblGrid>
        <w:gridCol w:w="1301"/>
        <w:gridCol w:w="146"/>
        <w:gridCol w:w="146"/>
        <w:gridCol w:w="1006"/>
        <w:gridCol w:w="146"/>
        <w:gridCol w:w="146"/>
        <w:gridCol w:w="196"/>
        <w:gridCol w:w="331"/>
        <w:gridCol w:w="146"/>
        <w:gridCol w:w="146"/>
        <w:gridCol w:w="196"/>
        <w:gridCol w:w="646"/>
        <w:gridCol w:w="146"/>
        <w:gridCol w:w="146"/>
        <w:gridCol w:w="196"/>
        <w:gridCol w:w="646"/>
        <w:gridCol w:w="166"/>
        <w:gridCol w:w="146"/>
        <w:gridCol w:w="310"/>
        <w:gridCol w:w="906"/>
        <w:gridCol w:w="166"/>
        <w:gridCol w:w="146"/>
        <w:gridCol w:w="196"/>
        <w:gridCol w:w="706"/>
        <w:gridCol w:w="166"/>
        <w:gridCol w:w="146"/>
        <w:gridCol w:w="400"/>
        <w:gridCol w:w="861"/>
        <w:gridCol w:w="166"/>
        <w:gridCol w:w="146"/>
        <w:gridCol w:w="196"/>
        <w:gridCol w:w="646"/>
        <w:gridCol w:w="311"/>
      </w:tblGrid>
      <w:tr>
        <w:trPr/>
        <w:tc>
          <w:tcPr>
            <w:tcW w:w="1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3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8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ManpowerGroup Shareholders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13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1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 in Excess of</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b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December 31, 2020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117,555,991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(3,954.2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400"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2,453.6</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3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Net earnings</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382.4</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3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3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Issuances under equity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206,074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3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2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301"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8"/>
              </w:rPr>
              <w:t>Dividends ($2.52</w:t>
            </w:r>
            <w:r>
              <w:rPr>
                <w:rFonts w:ascii="Times New Roman" w:hAnsi="Times New Roman"/>
                <w:color w:val="000000"/>
                <w:sz w:val="20"/>
              </w:rPr>
              <w:t> </w:t>
            </w:r>
            <w:r>
              <w:rPr>
                <w:rFonts w:ascii="Times New Roman" w:hAnsi="Times New Roman"/>
                <w:color w:val="000000"/>
                <w:sz w:val="18"/>
              </w:rPr>
              <w:t>per share)</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(136.6</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3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Repurchases of common stock</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(210.0</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3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Noncontrolling interest transactions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117,762,065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(4,169.4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400" w:type="dxa"/>
            <w:tcBorders/>
            <w:shd w:fill="CFF0FC" w:val="clear"/>
            <w:vAlign w:val="center"/>
          </w:tcPr>
          <w:p>
            <w:pPr>
              <w:pStyle w:val="TableContents"/>
              <w:bidi w:val="0"/>
              <w:spacing w:before="0" w:after="283"/>
              <w:jc w:val="left"/>
              <w:rPr/>
            </w:pPr>
            <w:r>
              <w:rPr/>
              <w:t> </w:t>
            </w:r>
          </w:p>
        </w:tc>
        <w:tc>
          <w:tcPr>
            <w:tcW w:w="8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2,531.7</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3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Net earnings</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373.8</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3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3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Issuances under equity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265,944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3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2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301"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8"/>
              </w:rPr>
              <w:t>Dividends ($2.72</w:t>
            </w:r>
            <w:r>
              <w:rPr>
                <w:rFonts w:ascii="Times New Roman" w:hAnsi="Times New Roman"/>
                <w:color w:val="000000"/>
                <w:sz w:val="20"/>
              </w:rPr>
              <w:t> </w:t>
            </w:r>
            <w:r>
              <w:rPr>
                <w:rFonts w:ascii="Times New Roman" w:hAnsi="Times New Roman"/>
                <w:color w:val="000000"/>
                <w:sz w:val="18"/>
              </w:rPr>
              <w:t>per share)</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(139.9</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3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Repurchases of common stock</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(270.0</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3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Noncontrolling interest transactions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December 31, 2022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118,028,009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2,458.1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Net earnings</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3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3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Issuances under equity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359,632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3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CFF0FC" w:val="clear"/>
            <w:vAlign w:val="center"/>
          </w:tcPr>
          <w:p>
            <w:pPr>
              <w:pStyle w:val="TableContents"/>
              <w:bidi w:val="0"/>
              <w:spacing w:before="0" w:after="283"/>
              <w:jc w:val="left"/>
              <w:rPr/>
            </w:pPr>
            <w:r>
              <w:rPr/>
              <w:t> </w:t>
            </w:r>
          </w:p>
        </w:tc>
        <w:tc>
          <w:tcPr>
            <w:tcW w:w="115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52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6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301"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8"/>
              </w:rPr>
              <w:t>Dividends ($2.94</w:t>
            </w:r>
            <w:r>
              <w:rPr>
                <w:rFonts w:ascii="Times New Roman" w:hAnsi="Times New Roman"/>
                <w:color w:val="000000"/>
                <w:sz w:val="20"/>
              </w:rPr>
              <w:t> </w:t>
            </w:r>
            <w:r>
              <w:rPr>
                <w:rFonts w:ascii="Times New Roman" w:hAnsi="Times New Roman"/>
                <w:color w:val="000000"/>
                <w:sz w:val="18"/>
              </w:rPr>
              <w:t>per share)</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2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3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Repurchases of common stock, including excise tax</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118,387,641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2,234.1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18"/>
        </w:rPr>
      </w:pPr>
      <w:r>
        <w:rPr>
          <w:rFonts w:ascii="Times New Roman" w:hAnsi="Times New Roman"/>
          <w:color w:val="000000"/>
          <w:sz w:val="18"/>
        </w:rPr>
        <w:t>The accompanying Notes to Consolidated Financial Statements are an integral part of these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4" w:name="notes_consolidated_financial_statements"/>
      <w:bookmarkEnd w:id="24"/>
      <w:r>
        <w:rPr>
          <w:rFonts w:ascii="Times New Roman" w:hAnsi="Times New Roman"/>
          <w:b/>
          <w:color w:val="000000"/>
          <w:sz w:val="20"/>
        </w:rPr>
        <w:t>NOTES TO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millions, except share and per share data</w:t>
      </w:r>
    </w:p>
    <w:p>
      <w:pPr>
        <w:pStyle w:val="TextBody"/>
        <w:bidi w:val="0"/>
        <w:jc w:val="center"/>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Summary of Significant Accounting Policies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Nature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ManpowerGroup Inc. is a world leader in the innovative workforce solutions and services industry. Our global network of over 2,100 offices in approximately 75 countries and territories allows us to meet the needs of our global, multinational and local clients across all major industry segments. Our largest operations, based on revenues, are located in France, the United States, Italy, and the United Kingdom. We specialize in permanent, temporary and contract recruitment and assessment; training and development; outsourcing; career management and workforce consulting services. We provide services to a wide variety of clients, none of which individually comprise a significant portion of revenues for us as a whole.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for the reporting period. Estimates are used for, but not limited to, the accounting for the allowance for doubtful accounts and credit losses, defined benefit plans, workers’ compensation, share-based compensation, annual performance-related incentives, leases, goodwill and long-lived asset impairment, valuation of acquired intangibles and income taxes. Actual results could differ from these estimates.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Basis of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Consolidated Financial Statements include our operating results and the operating results of all of our majority-owned subsidiaries and entities in which we have a controlling financial interest. We have a controlling financial interest if we own a majority of the outstanding voting common stock and the noncontrolling shareholders do not have substantive participating rights, or we have significant control over an entity through contractual or economic interests in which we are the primary beneficiary. We account for equity investments in companies over which we have the ability to exercise significant influence, but not control, using the equity method of accounting. We recognize our ownership share of earnings of these equity method investments, amortization of basis differences, and related gains or losses in the Consolidated Financial Statements. These investments, as well as certain other relationships, are also evaluated for consolidation under the accounting guidance on consolidation of variable interest entities. These investments were $102.2 and $95.8 as of December 31, 2023 and 2022, respectively, and are included in other assets in the Consolidated Balance Sheets. Included in shareholders’ equity as of December 31, 2023 and 2022 are $11.5 and $4.3, respectively, of accumulated unremitted earnings from investments accounted for using the equity method. The amounts relate to accounting for our remaining interest in ManpowerGroup Greater China under the equity method subsequent to deconsolidation in 2019.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Revenues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recognize revenues when control of the promised services is transferred to our clients, in an amount that reflects the consideration we expect to be entitled to receive in exchange for those services. Our revenues are recorded net of any sales, value added or other taxes collected from our clients.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performance obligation is a promise in a contract to transfer a distinct service to the client, and it is the unit of account in the accounting guidance for revenue recognition. The majority of our contracts have a single performance obligation as the promise to transfer the individual services is not separately identifiable from other promises in our contracts and, therefore, is not distinct. However, we have multiple performance obligations within our Recruitment Process Outsourcing (RPO) contracts as discussed below. For performance obligations that we satisfy over time, revenues are recognized by consistently applying a method of measuring progress toward satisfaction of that performance obligation. We generally utilize an input measure of time (e.g., hours, weeks, months) of service provided, which most accurately depicts the progress toward completion of each performance obligation.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generally determine standalone selling prices based on the prices included in the client contracts, using expected costs plus margin or other observable prices. The price as specified in our client contracts is generally considered the standalone selling price as it is an observable input that depicts the price as if sold to a similar client in similar circumstances. Certain client contracts have variable consideration, including credits, sales allowances, rebates or other similar items that generally reduce the transaction price. We estimate variable consideration using whichever method, either the expected value method or most likely amount method, better predicts the amount of consideration to which we will become entitled based on the terms of the client contract and historical evidence. These amounts may be constrained and are only included in revenues to the extent we do not expect a significant reversal when the uncertainty associated with the variable consideration is resolved. Our variable consideration amounts are not material, and we do not believe that there will be significant changes to our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client contracts generally include standard payment terms acceptable in each of the countries and territories in which we operate. The payment terms vary by the type and location of our clients and services offered. Client payments are typically due approximately 60 days after invoicing but may be a shorter or longer term depending on the contract. Our client contracts are generally short-term in nature with a term of one year or less. The timing between satisfaction of the performance obligation, invoicing and payment is not significant. For certain services and client types, we may require payment prior to delivery of services to the client, for which deferred revenue is recorded.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certain scenarios where a third-party vendor is involved in our revenue transactions with our clients, we evaluate whether we are the principal or the agent in the transaction. In situations where we act as principal in the transaction, we control the performance obligation prior to transfer to the client, and we report the related amounts as gross revenues and cost of services. When we act as agent in the transaction, we do not control the performance obligation prior to transfer to the client, and we report the related amounts as revenues on a net basis.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majority of these agent transactions occur within our TAPFIN - Managed Service Provider (MSP) programs where our performance obligation is to manage our client’s contingent workforce, and we earn a commission based on the amount of staffing services that are managed through the program. We are the agent in these transactions as we do not control the third-party providers' staffing services provided to the client through our MSP program prior to those services being transferred to the client.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certain client contracts where we recognize revenues over time, we recognize the amount that we have the right to invoice, which corresponds directly to the value provided to the client of our performance to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allowed under the guidance, 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December 31, 2023 related to remaining performance obligations, which are not material.</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Accounts Receivable, Contract Assets and Contract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deferred revenue was $31.9 and $35.6 as of December 31, 2023 and 2022, respectively. We recognized the entire amount of the deferred revenue balance as of December 31, 2022 as revenue during the year ended December 31, 2023. We expect to recognize the entire amount of deferred revenue balance as of December 31, 2023 as revenue in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Allowance for Doubtful Accounts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an allowance for doubtful accounts recorded as an estimate of the accounts receivable balance that may not be collected. This allowance is calculated on an entity-by-entity basis with consideration for historical write-off experience, the current aging of receivables, market conditions and a specific review for potential bad debts. Items that affect this balance mainly include bad debt expense and the write-off of accounts receivable balances.</w:t>
      </w:r>
    </w:p>
    <w:p>
      <w:pPr>
        <w:pStyle w:val="TextBody"/>
        <w:bidi w:val="0"/>
        <w:jc w:val="both"/>
        <w:rPr/>
      </w:pPr>
      <w:r>
        <w:rPr/>
        <w:t> </w:t>
      </w:r>
    </w:p>
    <w:tbl>
      <w:tblPr>
        <w:tblW w:w="8178" w:type="dxa"/>
        <w:jc w:val="left"/>
        <w:tblInd w:w="0" w:type="dxa"/>
        <w:tblLayout w:type="fixed"/>
        <w:tblCellMar>
          <w:top w:w="28" w:type="dxa"/>
          <w:left w:w="28" w:type="dxa"/>
          <w:bottom w:w="28" w:type="dxa"/>
          <w:right w:w="28" w:type="dxa"/>
        </w:tblCellMar>
      </w:tblPr>
      <w:tblGrid>
        <w:gridCol w:w="541"/>
        <w:gridCol w:w="146"/>
        <w:gridCol w:w="234"/>
        <w:gridCol w:w="636"/>
        <w:gridCol w:w="146"/>
        <w:gridCol w:w="146"/>
        <w:gridCol w:w="289"/>
        <w:gridCol w:w="641"/>
        <w:gridCol w:w="146"/>
        <w:gridCol w:w="146"/>
        <w:gridCol w:w="257"/>
        <w:gridCol w:w="644"/>
        <w:gridCol w:w="166"/>
        <w:gridCol w:w="146"/>
        <w:gridCol w:w="335"/>
        <w:gridCol w:w="671"/>
        <w:gridCol w:w="166"/>
        <w:gridCol w:w="146"/>
        <w:gridCol w:w="431"/>
        <w:gridCol w:w="860"/>
        <w:gridCol w:w="166"/>
        <w:gridCol w:w="146"/>
        <w:gridCol w:w="211"/>
        <w:gridCol w:w="571"/>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w:t>
              <w:br/>
              <w:t>of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Provisions</w:t>
              <w:br/>
              <w:t>Charged to</w:t>
              <w:b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Write-Offs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Reclassifications</w:t>
              <w:br/>
              <w:t>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br/>
              <w:t>at End</w:t>
              <w:br/>
              <w:t>of Year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91" w:type="dxa"/>
            <w:tcBorders/>
            <w:shd w:fill="CFF0FC" w:val="clear"/>
            <w:vAlign w:val="center"/>
          </w:tcPr>
          <w:p>
            <w:pPr>
              <w:pStyle w:val="TableContents"/>
              <w:bidi w:val="0"/>
              <w:spacing w:before="0" w:after="283"/>
              <w:jc w:val="left"/>
              <w:rPr/>
            </w:pPr>
            <w:r>
              <w:rPr/>
              <w:t> </w:t>
            </w:r>
          </w:p>
        </w:tc>
      </w:tr>
      <w:tr>
        <w:trPr/>
        <w:tc>
          <w:tcPr>
            <w:tcW w:w="5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91" w:type="dxa"/>
            <w:tcBorders/>
            <w:shd w:fill="FFFFFF" w:val="clear"/>
            <w:vAlign w:val="center"/>
          </w:tcPr>
          <w:p>
            <w:pPr>
              <w:pStyle w:val="TableContents"/>
              <w:bidi w:val="0"/>
              <w:spacing w:before="0" w:after="283"/>
              <w:jc w:val="left"/>
              <w:rPr/>
            </w:pPr>
            <w:r>
              <w:rPr/>
              <w:t> </w:t>
            </w:r>
          </w:p>
        </w:tc>
      </w:tr>
      <w:tr>
        <w:trPr/>
        <w:tc>
          <w:tcPr>
            <w:tcW w:w="5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Bad debt expense is recorded as selling and administrative expenses in our Consolidated Statements of Operations. Factors that would cause this provision to increase primarily relate to increased bankruptcies by our clients and other difficulties collecting amounts billed. On the other hand, an improved write-off experience and aging of receivables would result in a decrease to the provision.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Advertising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expense production costs of advertising as they are incurred. Advertising expenses were $28.9, $29.6 and $28.1 in 2023, 2022 and 2021, respectively.</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Restructuring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recorded net restructuring costs of $149.2, $3.6 and $15.2 in 2023, 2022 and 2021, respectively, in selling and administrative expenses, primarily related to severance, office closures and consolidations, and professional and other fees related to restructuring in multiple countries and territories. The costs paid out of our restructuring reserve were $72.4 and $13.7 in 2023 and 2022, respectively. We expect a majority of the remaining $90.0 reserve will be paid by the end of 2024.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Changes in the restructuring reserve by reportable segment and Corporate are shown below:</w:t>
      </w:r>
    </w:p>
    <w:tbl>
      <w:tblPr>
        <w:tblW w:w="9803" w:type="dxa"/>
        <w:jc w:val="left"/>
        <w:tblInd w:w="0" w:type="dxa"/>
        <w:tblLayout w:type="fixed"/>
        <w:tblCellMar>
          <w:top w:w="28" w:type="dxa"/>
          <w:left w:w="28" w:type="dxa"/>
          <w:bottom w:w="28" w:type="dxa"/>
          <w:right w:w="28" w:type="dxa"/>
        </w:tblCellMar>
      </w:tblPr>
      <w:tblGrid>
        <w:gridCol w:w="2446"/>
        <w:gridCol w:w="146"/>
        <w:gridCol w:w="336"/>
        <w:gridCol w:w="744"/>
        <w:gridCol w:w="166"/>
        <w:gridCol w:w="146"/>
        <w:gridCol w:w="294"/>
        <w:gridCol w:w="651"/>
        <w:gridCol w:w="166"/>
        <w:gridCol w:w="146"/>
        <w:gridCol w:w="253"/>
        <w:gridCol w:w="633"/>
        <w:gridCol w:w="166"/>
        <w:gridCol w:w="146"/>
        <w:gridCol w:w="225"/>
        <w:gridCol w:w="451"/>
        <w:gridCol w:w="166"/>
        <w:gridCol w:w="146"/>
        <w:gridCol w:w="330"/>
        <w:gridCol w:w="661"/>
        <w:gridCol w:w="166"/>
        <w:gridCol w:w="146"/>
        <w:gridCol w:w="211"/>
        <w:gridCol w:w="571"/>
        <w:gridCol w:w="2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Americas</w:t>
            </w:r>
            <w:r>
              <w:rPr>
                <w:rFonts w:ascii="Times New Roman" w:hAnsi="Times New Roman"/>
                <w:b/>
                <w:color w:val="000000"/>
                <w:sz w:val="13"/>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Southern</w:t>
              <w:br/>
              <w:t> Europe</w:t>
            </w:r>
            <w:r>
              <w:rPr>
                <w:rFonts w:ascii="Times New Roman" w:hAnsi="Times New Roman"/>
                <w:b/>
                <w:color w:val="000000"/>
                <w:sz w:val="13"/>
              </w:rPr>
              <w:t>(b)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Northern</w:t>
              <w:br/>
              <w:t> Europe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2021</w:t>
            </w:r>
          </w:p>
        </w:tc>
        <w:tc>
          <w:tcPr>
            <w:tcW w:w="146" w:type="dxa"/>
            <w:tcBorders/>
            <w:shd w:fill="CFF0FC" w:val="clear"/>
            <w:vAlign w:val="center"/>
          </w:tcPr>
          <w:p>
            <w:pPr>
              <w:pStyle w:val="TableContents"/>
              <w:bidi w:val="0"/>
              <w:spacing w:before="0" w:after="283"/>
              <w:jc w:val="right"/>
              <w:rPr/>
            </w:pPr>
            <w:r>
              <w:rPr/>
              <w:t> </w:t>
            </w:r>
          </w:p>
        </w:tc>
        <w:tc>
          <w:tcPr>
            <w:tcW w:w="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4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Severance costs</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44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63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9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Costs paid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4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Severance costs</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4"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5"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0"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44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costs</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4"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6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5"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0"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Costs paid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w:t>
      </w:r>
    </w:p>
    <w:p>
      <w:pPr>
        <w:pStyle w:val="TextBody"/>
        <w:bidi w:val="0"/>
        <w:spacing w:before="0" w:after="0"/>
        <w:jc w:val="both"/>
        <w:rPr>
          <w:rFonts w:ascii="Times New Roman" w:hAnsi="Times New Roman"/>
          <w:sz w:val="20"/>
        </w:rPr>
      </w:pPr>
      <w:r>
        <w:rPr>
          <w:rFonts w:ascii="Times New Roman" w:hAnsi="Times New Roman"/>
          <w:color w:val="000000"/>
          <w:sz w:val="18"/>
        </w:rPr>
        <w:t>Balance related to United States was $0.2</w:t>
      </w:r>
      <w:r>
        <w:rPr>
          <w:rFonts w:ascii="Times New Roman" w:hAnsi="Times New Roman"/>
          <w:color w:val="000000"/>
          <w:sz w:val="20"/>
        </w:rPr>
        <w:t xml:space="preserve"> </w:t>
      </w:r>
      <w:r>
        <w:rPr>
          <w:rFonts w:ascii="Times New Roman" w:hAnsi="Times New Roman"/>
          <w:color w:val="000000"/>
          <w:sz w:val="18"/>
        </w:rPr>
        <w:t>as of December 31, 2021. In 2022, United States incurred $0.8</w:t>
      </w:r>
      <w:r>
        <w:rPr>
          <w:rFonts w:ascii="Times New Roman" w:hAnsi="Times New Roman"/>
          <w:color w:val="000000"/>
          <w:sz w:val="20"/>
        </w:rPr>
        <w:t xml:space="preserve"> </w:t>
      </w:r>
      <w:r>
        <w:rPr>
          <w:rFonts w:ascii="Times New Roman" w:hAnsi="Times New Roman"/>
          <w:color w:val="000000"/>
          <w:sz w:val="18"/>
        </w:rPr>
        <w:t>for severance costs and paid $0.4, leaving a $0.6</w:t>
      </w:r>
      <w:r>
        <w:rPr>
          <w:rFonts w:ascii="Times New Roman" w:hAnsi="Times New Roman"/>
          <w:color w:val="000000"/>
          <w:sz w:val="20"/>
        </w:rPr>
        <w:t xml:space="preserve"> </w:t>
      </w:r>
      <w:r>
        <w:rPr>
          <w:rFonts w:ascii="Times New Roman" w:hAnsi="Times New Roman"/>
          <w:color w:val="000000"/>
          <w:sz w:val="18"/>
        </w:rPr>
        <w:t>liability as of December 31, 2022. In 2023, United States incurred $7.7</w:t>
      </w:r>
      <w:r>
        <w:rPr>
          <w:rFonts w:ascii="Times New Roman" w:hAnsi="Times New Roman"/>
          <w:color w:val="000000"/>
          <w:sz w:val="20"/>
        </w:rPr>
        <w:t xml:space="preserve"> </w:t>
      </w:r>
      <w:r>
        <w:rPr>
          <w:rFonts w:ascii="Times New Roman" w:hAnsi="Times New Roman"/>
          <w:color w:val="000000"/>
          <w:sz w:val="18"/>
        </w:rPr>
        <w:t>for severance costs and paid $4.6, leaving a $3.7</w:t>
      </w:r>
      <w:r>
        <w:rPr>
          <w:rFonts w:ascii="Times New Roman" w:hAnsi="Times New Roman"/>
          <w:color w:val="000000"/>
          <w:sz w:val="20"/>
        </w:rPr>
        <w:t xml:space="preserve"> </w:t>
      </w:r>
      <w:r>
        <w:rPr>
          <w:rFonts w:ascii="Times New Roman" w:hAnsi="Times New Roman"/>
          <w:color w:val="000000"/>
          <w:sz w:val="18"/>
        </w:rPr>
        <w:t xml:space="preserve">liability as of December 31, 2023.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(b)</w:t>
      </w:r>
    </w:p>
    <w:p>
      <w:pPr>
        <w:pStyle w:val="TextBody"/>
        <w:bidi w:val="0"/>
        <w:spacing w:before="40" w:after="283"/>
        <w:jc w:val="both"/>
        <w:rPr>
          <w:rFonts w:ascii="Times New Roman" w:hAnsi="Times New Roman"/>
          <w:sz w:val="20"/>
        </w:rPr>
      </w:pPr>
      <w:r>
        <w:rPr>
          <w:rFonts w:ascii="Times New Roman" w:hAnsi="Times New Roman"/>
          <w:color w:val="000000"/>
          <w:sz w:val="18"/>
        </w:rPr>
        <w:t>France had a $0.6</w:t>
      </w:r>
      <w:r>
        <w:rPr>
          <w:rFonts w:ascii="Times New Roman" w:hAnsi="Times New Roman"/>
          <w:color w:val="000000"/>
          <w:sz w:val="20"/>
        </w:rPr>
        <w:t xml:space="preserve"> </w:t>
      </w:r>
      <w:r>
        <w:rPr>
          <w:rFonts w:ascii="Times New Roman" w:hAnsi="Times New Roman"/>
          <w:color w:val="000000"/>
          <w:sz w:val="18"/>
        </w:rPr>
        <w:t>liability as of December 31, 2021. In 2022, France incurred $0.9</w:t>
      </w:r>
      <w:r>
        <w:rPr>
          <w:rFonts w:ascii="Times New Roman" w:hAnsi="Times New Roman"/>
          <w:color w:val="000000"/>
          <w:sz w:val="20"/>
        </w:rPr>
        <w:t xml:space="preserve"> </w:t>
      </w:r>
      <w:r>
        <w:rPr>
          <w:rFonts w:ascii="Times New Roman" w:hAnsi="Times New Roman"/>
          <w:color w:val="000000"/>
          <w:sz w:val="18"/>
        </w:rPr>
        <w:t>for other costs and paid $0.6, leaving a $0.9</w:t>
      </w:r>
      <w:r>
        <w:rPr>
          <w:rFonts w:ascii="Times New Roman" w:hAnsi="Times New Roman"/>
          <w:color w:val="000000"/>
          <w:sz w:val="20"/>
        </w:rPr>
        <w:t xml:space="preserve"> </w:t>
      </w:r>
      <w:r>
        <w:rPr>
          <w:rFonts w:ascii="Times New Roman" w:hAnsi="Times New Roman"/>
          <w:color w:val="000000"/>
          <w:sz w:val="18"/>
        </w:rPr>
        <w:t>liability as of December 31, 2022. In 2023, France incurred $2.1</w:t>
      </w:r>
      <w:r>
        <w:rPr>
          <w:rFonts w:ascii="Times New Roman" w:hAnsi="Times New Roman"/>
          <w:color w:val="000000"/>
          <w:sz w:val="20"/>
        </w:rPr>
        <w:t xml:space="preserve"> </w:t>
      </w:r>
      <w:r>
        <w:rPr>
          <w:rFonts w:ascii="Times New Roman" w:hAnsi="Times New Roman"/>
          <w:color w:val="000000"/>
          <w:sz w:val="18"/>
        </w:rPr>
        <w:t>for severance costs, $0.4</w:t>
      </w:r>
      <w:r>
        <w:rPr>
          <w:rFonts w:ascii="Times New Roman" w:hAnsi="Times New Roman"/>
          <w:color w:val="000000"/>
          <w:sz w:val="20"/>
        </w:rPr>
        <w:t xml:space="preserve"> </w:t>
      </w:r>
      <w:r>
        <w:rPr>
          <w:rFonts w:ascii="Times New Roman" w:hAnsi="Times New Roman"/>
          <w:color w:val="000000"/>
          <w:sz w:val="18"/>
        </w:rPr>
        <w:t>for other costs and paid $0.9, leaving a $2.5</w:t>
      </w:r>
      <w:r>
        <w:rPr>
          <w:rFonts w:ascii="Times New Roman" w:hAnsi="Times New Roman"/>
          <w:color w:val="000000"/>
          <w:sz w:val="20"/>
        </w:rPr>
        <w:t xml:space="preserve"> </w:t>
      </w:r>
      <w:r>
        <w:rPr>
          <w:rFonts w:ascii="Times New Roman" w:hAnsi="Times New Roman"/>
          <w:color w:val="000000"/>
          <w:sz w:val="18"/>
        </w:rPr>
        <w:t>liability as of December 31, 2023. Balance related to Italy was $$0.3</w:t>
      </w:r>
      <w:r>
        <w:rPr>
          <w:rFonts w:ascii="Times New Roman" w:hAnsi="Times New Roman"/>
          <w:color w:val="000000"/>
          <w:sz w:val="20"/>
        </w:rPr>
        <w:t xml:space="preserve"> </w:t>
      </w:r>
      <w:r>
        <w:rPr>
          <w:rFonts w:ascii="Times New Roman" w:hAnsi="Times New Roman"/>
          <w:color w:val="000000"/>
          <w:sz w:val="18"/>
        </w:rPr>
        <w:t>as of December 31, 2021. In 2022, Italy paid $0.3, leaving no</w:t>
      </w:r>
      <w:r>
        <w:rPr>
          <w:rFonts w:ascii="Times New Roman" w:hAnsi="Times New Roman"/>
          <w:color w:val="000000"/>
          <w:sz w:val="20"/>
        </w:rPr>
        <w:t xml:space="preserve"> </w:t>
      </w:r>
      <w:r>
        <w:rPr>
          <w:rFonts w:ascii="Times New Roman" w:hAnsi="Times New Roman"/>
          <w:color w:val="000000"/>
          <w:sz w:val="18"/>
        </w:rPr>
        <w:t>liability as of December 31, 2022. In 2023, Italy incurred $1.6</w:t>
      </w:r>
      <w:r>
        <w:rPr>
          <w:rFonts w:ascii="Times New Roman" w:hAnsi="Times New Roman"/>
          <w:color w:val="000000"/>
          <w:sz w:val="20"/>
        </w:rPr>
        <w:t xml:space="preserve"> </w:t>
      </w:r>
      <w:r>
        <w:rPr>
          <w:rFonts w:ascii="Times New Roman" w:hAnsi="Times New Roman"/>
          <w:color w:val="000000"/>
          <w:sz w:val="18"/>
        </w:rPr>
        <w:t>for severance costs and paid $0.6, leaving a $1.0</w:t>
      </w:r>
      <w:r>
        <w:rPr>
          <w:rFonts w:ascii="Times New Roman" w:hAnsi="Times New Roman"/>
          <w:color w:val="000000"/>
          <w:sz w:val="20"/>
        </w:rPr>
        <w:t xml:space="preserve"> </w:t>
      </w:r>
      <w:r>
        <w:rPr>
          <w:rFonts w:ascii="Times New Roman" w:hAnsi="Times New Roman"/>
          <w:color w:val="000000"/>
          <w:sz w:val="18"/>
        </w:rPr>
        <w:t>liability as of December 31, 2023.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July 2023, we announced our decision to wind down our Proservia managed services business in Germany. We recorded restructuring expense of $82.5 in 2023 related to this wind down. A significant portion of the restructuring costs represented estimated payments to impacted employees, customers and other parties, as well as consulting and professional fees related to the wind down. Key components of these charges are severance and employee related costs amounting to $53.3 agreed with the applicable work councils in October and December 2023 and estimated one-time settlements with customers and other impacted parties.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to reduce the assets to the amounts more likely than not to be realized.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Fair Value Measurements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assets and liabilities measured and recorded at fair value on a recurring basis were as follows:</w:t>
      </w:r>
    </w:p>
    <w:tbl>
      <w:tblPr>
        <w:tblW w:w="11195" w:type="dxa"/>
        <w:jc w:val="left"/>
        <w:tblInd w:w="0" w:type="dxa"/>
        <w:tblLayout w:type="fixed"/>
        <w:tblCellMar>
          <w:top w:w="28" w:type="dxa"/>
          <w:left w:w="28" w:type="dxa"/>
          <w:bottom w:w="28" w:type="dxa"/>
          <w:right w:w="28" w:type="dxa"/>
        </w:tblCellMar>
      </w:tblPr>
      <w:tblGrid>
        <w:gridCol w:w="1216"/>
        <w:gridCol w:w="146"/>
        <w:gridCol w:w="241"/>
        <w:gridCol w:w="630"/>
        <w:gridCol w:w="146"/>
        <w:gridCol w:w="146"/>
        <w:gridCol w:w="216"/>
        <w:gridCol w:w="565"/>
        <w:gridCol w:w="146"/>
        <w:gridCol w:w="146"/>
        <w:gridCol w:w="310"/>
        <w:gridCol w:w="666"/>
        <w:gridCol w:w="146"/>
        <w:gridCol w:w="146"/>
        <w:gridCol w:w="423"/>
        <w:gridCol w:w="748"/>
        <w:gridCol w:w="146"/>
        <w:gridCol w:w="146"/>
        <w:gridCol w:w="241"/>
        <w:gridCol w:w="630"/>
        <w:gridCol w:w="146"/>
        <w:gridCol w:w="146"/>
        <w:gridCol w:w="216"/>
        <w:gridCol w:w="565"/>
        <w:gridCol w:w="146"/>
        <w:gridCol w:w="146"/>
        <w:gridCol w:w="310"/>
        <w:gridCol w:w="666"/>
        <w:gridCol w:w="146"/>
        <w:gridCol w:w="146"/>
        <w:gridCol w:w="423"/>
        <w:gridCol w:w="748"/>
        <w:gridCol w:w="191"/>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67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Measurements Using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Measurements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Quoted Prices</w:t>
              <w:br/>
              <w:t>in Active</w:t>
              <w:br/>
              <w:t>Markets for</w:t>
              <w:br/>
              <w:t>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w:t>
              <w:br/>
              <w:t>Unobservable</w:t>
              <w:br/>
              <w:t>Inputs</w:t>
              <w:b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Quoted Prices</w:t>
              <w:br/>
              <w:t>in Active</w:t>
              <w:br/>
              <w:t>Markets for</w:t>
              <w:br/>
              <w:t>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Significant</w:t>
              <w:br/>
              <w:t>Unobservable</w:t>
              <w:br/>
              <w:t>Inputs</w:t>
              <w:b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7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171"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12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compensation plan assets</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Cross-currency swaps</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5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63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5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forward contracts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12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Cross-currency swaps</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forward contracts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We determine the fair value of our deferred compensation plan assets, comprised of publicly traded securities, by using market quotes as of the last day of the period. The fair value of the cross-currency swaps and foreign currency forward contracts are measured at the value based on a third party valuation model that performs a discounted cash flow analysis based on the terms of the contracts and market observable inputs such as current and forward interest rates and current and forward foreign exchange rates.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carrying values of cash and cash equivalents, accounts receivable, accounts payable and other current assets and liabilities approximate their fair values because of the short-term nature of these instruments. The carrying value of our variable-rate long-term debt and revolving debt facility approximates fair value. The fair value of the Euro-denominated notes, as observable at commonly quoted intervals (Level 2 inputs), was $977.6 and $921.7 as of December 31, 2023 and 2022, respectively, compared to a carrying value of $988.2 and $956.6,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Goodwill and Other Intangible Assets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We had goodwill, finite-lived intangible assets and indefinite-lived intangible assets as follows:</w:t>
      </w:r>
    </w:p>
    <w:tbl>
      <w:tblPr>
        <w:tblW w:w="10205" w:type="dxa"/>
        <w:jc w:val="left"/>
        <w:tblInd w:w="0" w:type="dxa"/>
        <w:tblLayout w:type="fixed"/>
        <w:tblCellMar>
          <w:top w:w="28" w:type="dxa"/>
          <w:left w:w="28" w:type="dxa"/>
          <w:bottom w:w="28" w:type="dxa"/>
          <w:right w:w="28" w:type="dxa"/>
        </w:tblCellMar>
      </w:tblPr>
      <w:tblGrid>
        <w:gridCol w:w="2218"/>
        <w:gridCol w:w="146"/>
        <w:gridCol w:w="211"/>
        <w:gridCol w:w="721"/>
        <w:gridCol w:w="146"/>
        <w:gridCol w:w="146"/>
        <w:gridCol w:w="291"/>
        <w:gridCol w:w="790"/>
        <w:gridCol w:w="146"/>
        <w:gridCol w:w="146"/>
        <w:gridCol w:w="211"/>
        <w:gridCol w:w="721"/>
        <w:gridCol w:w="146"/>
        <w:gridCol w:w="146"/>
        <w:gridCol w:w="211"/>
        <w:gridCol w:w="721"/>
        <w:gridCol w:w="146"/>
        <w:gridCol w:w="146"/>
        <w:gridCol w:w="291"/>
        <w:gridCol w:w="790"/>
        <w:gridCol w:w="146"/>
        <w:gridCol w:w="146"/>
        <w:gridCol w:w="211"/>
        <w:gridCol w:w="721"/>
        <w:gridCol w:w="491"/>
      </w:tblGrid>
      <w:tr>
        <w:trPr/>
        <w:tc>
          <w:tcPr>
            <w:tcW w:w="22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21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35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Goodwill</w:t>
            </w:r>
            <w:r>
              <w:rPr>
                <w:rFonts w:ascii="Times New Roman" w:hAnsi="Times New Roman"/>
                <w:color w:val="000000"/>
                <w:sz w:val="13"/>
              </w:rPr>
              <w:t>(a)</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100"/>
              <w:jc w:val="right"/>
              <w:rPr/>
            </w:pPr>
            <w:r>
              <w:rPr/>
              <w:t> </w:t>
            </w:r>
          </w:p>
        </w:tc>
      </w:tr>
      <w:tr>
        <w:trPr/>
        <w:tc>
          <w:tcPr>
            <w:tcW w:w="221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Finite-lived:</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300"/>
              <w:jc w:val="right"/>
              <w:rPr/>
            </w:pPr>
            <w:r>
              <w:rPr/>
              <w:t> </w:t>
            </w:r>
          </w:p>
        </w:tc>
      </w:tr>
      <w:tr>
        <w:trPr/>
        <w:tc>
          <w:tcPr>
            <w:tcW w:w="2218"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w:t>
            </w:r>
          </w:p>
        </w:tc>
        <w:tc>
          <w:tcPr>
            <w:tcW w:w="491" w:type="dxa"/>
            <w:tcBorders/>
            <w:shd w:fill="FFFFFF" w:val="clear"/>
            <w:vAlign w:val="center"/>
          </w:tcPr>
          <w:p>
            <w:pPr>
              <w:pStyle w:val="TableContents"/>
              <w:bidi w:val="0"/>
              <w:spacing w:before="0" w:after="283"/>
              <w:ind w:left="0" w:right="0" w:firstLine="300"/>
              <w:jc w:val="left"/>
              <w:rPr/>
            </w:pPr>
            <w:r>
              <w:rPr/>
              <w:t> </w:t>
            </w:r>
          </w:p>
        </w:tc>
      </w:tr>
      <w:tr>
        <w:trPr/>
        <w:tc>
          <w:tcPr>
            <w:tcW w:w="22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1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Indefinite-lived:</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300"/>
              <w:jc w:val="right"/>
              <w:rPr/>
            </w:pPr>
            <w:r>
              <w:rPr/>
              <w:t> </w:t>
            </w:r>
          </w:p>
        </w:tc>
      </w:tr>
      <w:tr>
        <w:trPr/>
        <w:tc>
          <w:tcPr>
            <w:tcW w:w="2218" w:type="dxa"/>
            <w:tcBorders/>
            <w:shd w:fill="FFFFFF" w:val="clear"/>
            <w:vAlign w:val="center"/>
          </w:tcPr>
          <w:p>
            <w:pPr>
              <w:pStyle w:val="TableContents"/>
              <w:bidi w:val="0"/>
              <w:spacing w:before="0" w:after="283"/>
              <w:ind w:left="300" w:right="0" w:firstLine="300"/>
              <w:jc w:val="left"/>
              <w:rPr>
                <w:rFonts w:ascii="Times New Roman" w:hAnsi="Times New Roman"/>
                <w:sz w:val="20"/>
              </w:rPr>
            </w:pPr>
            <w:r>
              <w:rPr>
                <w:rFonts w:ascii="Times New Roman" w:hAnsi="Times New Roman"/>
                <w:color w:val="000000"/>
                <w:sz w:val="20"/>
              </w:rPr>
              <w:t>Tradenames</w:t>
            </w:r>
            <w:r>
              <w:rPr>
                <w:rFonts w:ascii="Times New Roman" w:hAnsi="Times New Roman"/>
                <w:color w:val="000000"/>
                <w:sz w:val="13"/>
              </w:rPr>
              <w:t>(b)</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491" w:type="dxa"/>
            <w:tcBorders/>
            <w:shd w:fill="FFFFFF" w:val="clear"/>
            <w:vAlign w:val="center"/>
          </w:tcPr>
          <w:p>
            <w:pPr>
              <w:pStyle w:val="TableContents"/>
              <w:bidi w:val="0"/>
              <w:spacing w:before="0" w:after="283"/>
              <w:ind w:left="0" w:right="0" w:firstLine="300"/>
              <w:jc w:val="left"/>
              <w:rPr/>
            </w:pPr>
            <w:r>
              <w:rPr/>
              <w:t> </w:t>
            </w:r>
          </w:p>
        </w:tc>
      </w:tr>
      <w:tr>
        <w:trPr/>
        <w:tc>
          <w:tcPr>
            <w:tcW w:w="22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Reacquired franchise rights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12"/>
        </w:rPr>
        <w:t xml:space="preserve">(a) </w:t>
      </w:r>
      <w:r>
        <w:rPr>
          <w:rFonts w:ascii="Times New Roman" w:hAnsi="Times New Roman"/>
          <w:color w:val="000000"/>
          <w:sz w:val="18"/>
        </w:rPr>
        <w:t>Balances were net of accumulated impairment loss of $749.3</w:t>
      </w:r>
      <w:r>
        <w:rPr>
          <w:rFonts w:ascii="Times New Roman" w:hAnsi="Times New Roman"/>
          <w:color w:val="000000"/>
          <w:sz w:val="20"/>
        </w:rPr>
        <w:t xml:space="preserve"> </w:t>
      </w:r>
      <w:r>
        <w:rPr>
          <w:rFonts w:ascii="Times New Roman" w:hAnsi="Times New Roman"/>
          <w:color w:val="000000"/>
          <w:sz w:val="18"/>
        </w:rPr>
        <w:t>and $694.2</w:t>
      </w:r>
      <w:r>
        <w:rPr>
          <w:rFonts w:ascii="Times New Roman" w:hAnsi="Times New Roman"/>
          <w:color w:val="000000"/>
          <w:sz w:val="20"/>
        </w:rPr>
        <w:t xml:space="preserve"> </w:t>
      </w:r>
      <w:r>
        <w:rPr>
          <w:rFonts w:ascii="Times New Roman" w:hAnsi="Times New Roman"/>
          <w:color w:val="000000"/>
          <w:sz w:val="18"/>
        </w:rPr>
        <w:t>as of December 31, 2023 and 2022, respectively.</w:t>
      </w:r>
    </w:p>
    <w:p>
      <w:pPr>
        <w:pStyle w:val="TextBody"/>
        <w:bidi w:val="0"/>
        <w:spacing w:before="40" w:after="283"/>
        <w:jc w:val="both"/>
        <w:rPr>
          <w:rFonts w:ascii="Times New Roman" w:hAnsi="Times New Roman"/>
          <w:sz w:val="20"/>
        </w:rPr>
      </w:pPr>
      <w:r>
        <w:rPr>
          <w:rFonts w:ascii="Times New Roman" w:hAnsi="Times New Roman"/>
          <w:color w:val="000000"/>
          <w:sz w:val="12"/>
        </w:rPr>
        <w:t xml:space="preserve">(b) </w:t>
      </w:r>
      <w:r>
        <w:rPr>
          <w:rFonts w:ascii="Times New Roman" w:hAnsi="Times New Roman"/>
          <w:color w:val="000000"/>
          <w:sz w:val="18"/>
        </w:rPr>
        <w:t>Balances were net of accumulated impairment loss of $139.5</w:t>
      </w:r>
      <w:r>
        <w:rPr>
          <w:rFonts w:ascii="Times New Roman" w:hAnsi="Times New Roman"/>
          <w:color w:val="000000"/>
          <w:sz w:val="20"/>
        </w:rPr>
        <w:t xml:space="preserve"> </w:t>
      </w:r>
      <w:r>
        <w:rPr>
          <w:rFonts w:ascii="Times New Roman" w:hAnsi="Times New Roman"/>
          <w:color w:val="000000"/>
          <w:sz w:val="18"/>
        </w:rPr>
        <w:t>as of both December 31, 2023 and 2022.</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consolidated amortization expense related to intangibles was $34.6, $37.1 and $24.2 in 2023, 2022 and 2021, respectively. Amortization expense expected in each of the next five years related to acquisitions completed as of December 31, 2023 is as follows: 2024 - $32.4, 2025 - $30.6, 2026 - $26.9, 2027 - $26.3 and 2028 - $26.3. The weighted-average useful lives of the customer relationships and other are approximately 14 and 4 years, respectively. The tradenames have been assigned an indefinite life based on our expectation of renewing the tradenames, as required, without material modifications and at a minimal cost, and our expectation of positive cash flows beyond the foreseeable future. Indefinite-lived reacquired franchise rights resulted from our franchise acquisitions in the United States, Switzerland and Canada. These rights entitled the franchisees with unilateral control to operate perpetually in particular territories and have therefore been assigned an indefinite life.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 In the event the fair value of a reporting unit is less than the carrying value, including goodwill, we would record an impairment charge based on the excess of a reporting units’ carrying amount over its fair value. We performed our annual impairment test of our goodwill and indefinite-lived intangible assets during the third quarter of 2023, and determined that there was no impairment of our goodwill or indefinite-lived intangible assets as a result of our annual test.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each reporting unit at the time of our 2023 annual impairment test was at least 20% in excess of the respective reporting unit’s carrying value with the exception of the Netherlands reporting unit. The Netherlands reporting unit, which is part of the Northern Europe segment, had a fair value that approximated its carrying value. Key assumptions included in the Netherlands discounted cash flow valuation performed at our 2023 annual impairment test included a discount rate of 12.5%, working capital of 0.5% of revenue, revenue growth for the next 10 years ranging from -1.2% to 6.4%, a terminal value revenue growth rate of 2.0%, and a terminal value OUP margin of 3.2%.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evaluate the recoverability of goodwill utilizing an income approach that estimates the fair value of the future discounted cash flows to which the goodwill relates. This approach reflects management’s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margins, working capital levels and discount rates. The expected future revenue growth rates and operating unit profit margins are determined after taking into consideration our historical revenue growth rates and operating unit profit margins, our assessment of future market potential and our expectations of future business performance.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believe that the future discounted cash flow valuation model provides the most reasonable and meaningful fair value estimate based on the reporting units’ projections of future operating results and cash flows and is consistent with our view of how market participants would value the company’s reporting units in an orderly transaction.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fourth quarter of 2023, in connection with the preparation of our annual financial statements, we assessed the changes in circumstances that occurred during the quarter to determine if it was more likely than not that the fair value of any reporting unit was below its carrying amount. We identified several factors related to our Netherlands reporting unit that led us to conclude that it was more likely than not that the fair value of the reporting unit was below its carrying amount which triggered us to perform an interim impairment assessment. These factors included further deterioration of the macroeconomic and local market conditions subsequent to July 1, 2023, financial performance that came in significantly below management's planned revenue and OUP expectations for the fourth quarter of 2023, and revisions downward for full year 2024 planned revenue and OUP projections. As a result of the interim test, we recognized a non-cash impairment loss of $55.1 to bring the carrying value of the Netherlands reporting unit down to its estimated fair value, which led to full impairment of the remaining goodwill in the Netherlands reporting unit.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Key assumptions included in the Netherlands discounted cash flow valuation performed during the fourth quarter of 2023 included a discount rate of 13.2%, working capital of 0.5% of revenue, revenue growth for the next 10 years ranging from -6.3% to 3.0%, a terminal value revenue growth rate of 2.0%, and a terminal value OUP margin of 3.0%.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closely monitors the results of all the reporting units and comparisons to the key assumptions used in our fair value estimate at the time of our annual impairment test, in addition to operational initiatives and macroeconomic conditions, which may impact the results of the reporting units. While our other reporting units' fair values exceeded their respective carrying values by 20% or more, there could be significant further decreases in the operating results of our reporting units for a sustained period, which may result in a recognition of goodwill impairment that could be material to the Consolidated Financial Statements.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Capitalized Software for Internal Use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capitalize purchased software as well as internally developed software. Internal software development costs are capitalized from the time when the internal-use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which ranges from 3 to 10 years. The net capitalized software balance of $44.7 and $47.7 as of December 31, 2023 and 2022, respectively, is included in other assets in the Consolidated Balance Sheets. Amortization expense related to the capitalized software costs was $13.8, $9.8 and $5.5 for 2023, 2022 and 2021, respectively. In 2023, we also recorded software impairment charges of $2.2.</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Cloud Computing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utilize cloud computing arrangements such as hosting arrangements that are service contracts, whereby we gain remote access to use software hosted by the vendor or another third party on an as-needed basis for a period of time in exchange for a subscription fee. Subscription fees are usually prepaid and recorded in selling and administrative expenses over the related subscription period. Certain implementation costs for cloud computing arrangements are capitalized in prepaid expenses or other noncurrent assets if they consist of internal and external costs directly attributable to developing and configuring cloud computing software for its intended use. Amortization of capitalized implementation costs is recorded in selling and administrative expenses on a straight-line basis over the term of the cloud computing arrangement, which is the non-cancellable period of agreement, together with periods covered by renewal options that we are reasonably certain to exercise. The unamortized implementation costs related to our cloud computing arrangements were $54.6 and $19.9 as of December 31, 2023 and 2022,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Property and Equipment</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A summary of property and equipment as of December 31 is as follows:</w:t>
      </w:r>
    </w:p>
    <w:tbl>
      <w:tblPr>
        <w:tblW w:w="4639" w:type="dxa"/>
        <w:jc w:val="left"/>
        <w:tblInd w:w="0" w:type="dxa"/>
        <w:tblLayout w:type="fixed"/>
        <w:tblCellMar>
          <w:top w:w="28" w:type="dxa"/>
          <w:left w:w="28" w:type="dxa"/>
          <w:bottom w:w="28" w:type="dxa"/>
          <w:right w:w="28" w:type="dxa"/>
        </w:tblCellMar>
      </w:tblPr>
      <w:tblGrid>
        <w:gridCol w:w="2446"/>
        <w:gridCol w:w="146"/>
        <w:gridCol w:w="211"/>
        <w:gridCol w:w="571"/>
        <w:gridCol w:w="146"/>
        <w:gridCol w:w="146"/>
        <w:gridCol w:w="211"/>
        <w:gridCol w:w="571"/>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autos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w:t>
            </w:r>
          </w:p>
        </w:tc>
        <w:tc>
          <w:tcPr>
            <w:tcW w:w="1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w:t>
            </w:r>
          </w:p>
        </w:tc>
        <w:tc>
          <w:tcPr>
            <w:tcW w:w="191" w:type="dxa"/>
            <w:tcBorders/>
            <w:shd w:fill="FFFFFF" w:val="clear"/>
            <w:vAlign w:val="center"/>
          </w:tcPr>
          <w:p>
            <w:pPr>
              <w:pStyle w:val="TableContents"/>
              <w:bidi w:val="0"/>
              <w:spacing w:before="0" w:after="283"/>
              <w:jc w:val="left"/>
              <w:rPr/>
            </w:pPr>
            <w:r>
              <w:rPr/>
              <w:t> </w:t>
            </w:r>
          </w:p>
        </w:tc>
      </w:tr>
      <w:tr>
        <w:trPr/>
        <w:tc>
          <w:tcPr>
            <w:tcW w:w="2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Property and equipment are stated at cost and are depreciated using primarily the straight-line method over the following estimated useful lives: buildings - up to 40 years; furniture, fixtures, autos and computer equipment - 3 to 16 years; leasehold improvements - lesser of life of asset or expected lease term. Expenditures for renewals and betterments are capitalized whereas expenditures for repairs and maintenance are charged to income as incurred. Upon sale or disposition of property and equipment, the difference between the unamortized cost and the proceeds is recorded as either a gain or a loss and is included in our Consolidated Statements of Operations. Long-lived assets are evaluated for impairment in accordance with the provisions of the accounting guidance on the impairment or disposal of long-lived assets.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Leases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recognize right-of-use assets (“ROU”) and lease liabilities on the balance sheet for leases with lease terms longer than 12 months and we classify the lease as a finance or operating lease which affects the recognition, measurement, and presentation of lease expenses and cash flows.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operating leases for real estate, vehicles, and equipment. Our leases have remaining lease terms of 1 month to 15 years. Our lease agreements may include renewal or termination options for varying periods that are generally at our discretion. In our lease term, we only include those periods related to renewal options we are reasonably certain to exercise. However, we generally do not include these renewal options as we are not reasonably certain to renew at the lease commencement date. This determination is based on our consideration of certain economic, strategic and other factors that we evaluate at lease commencement date and reevaluate throughout the lease term. Some leases also include options to terminate the contracts, and we only include those periods beyond the termination date if we are reasonably certain not to exercise the termination option.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Some leasing arrangements require variable payments that are dependent on usage or may vary for other reasons, such as payments for insurance and tax payments. The variable portion of lease payments is not included in our ROU assets or lease liabilities. Rather, variable payments, other than those dependent upon an index or rate, are expensed when the obligation for those payments is incurred and are included in lease expenses recorded in selling and administrative expenses on the Consolidated Statements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lease agreements with both lease and non-lease components that are treated as a single lease component for all underlying asset classes. Accordingly, all expenses associated with a lease contract are accounted for as lease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Leases with a term of 12 months or less are not recognized on the balance sheet, but rather expensed on a straight-line basis over the lease term. We do not include significant restrictions or covenants in our lease agreements, and residual value guarantees are generally not included within our operating leases. As of December 31, 2023, we did not have any material additional operating leases that have not yet commenced.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Derivative Financial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loss and recognized in the Consolidated Statements of Operations when the hedged item affects earnings. The ineffective portions of the changes in the fair value of cash flow hedges are recognized in earnings.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Foreign Currency Translation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Asset and liability accounts are translated at the current exchange rates and income statement items are translated at the average exchange rates each month. The resulting translation adjustments are recorded as a component of accumulated other comprehensive loss, which is included in shareholders’ equity.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July 1, 2018, the Argentina economy was designated as highly-inflationary and was treated as such for accounting purposes for all periods presented.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portion of our Euro-denominated notes is accounted for as a hedge of our net investment in our subsidiaries with a Euro-functional currency. For this portion of the Euro-denominated notes, since our net investment in these subsidiaries exceeds the amount of the related borrowings, net of tax, the related translation gains or losses are included as a component of accumulated other comprehensive loss.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Shareholders’ Equity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Board of Directors authorized the repurchase of 5.0 million, 4.0 million and 6.0 million shares of our common stock in August 2023, August 2021 and August 2019. Share repurchases may be made from time to time through a variety of methods, including open market purchases, block transactions, privately negotiated transactions or similar facilities. In 2023, we repurchased a total of 2.4 million shares comprised of 2.0 million shares under the 2021 authorization and 0.4 million shares under the 2023 authorization, at a total cost of $179.8 excluding excise tax on share repurchases of $1.7. In 2022, we repurchased a total of 3.2 million shares comprised of 1.2 million shares under the 2019 authorization and 2.0 million shares under the 2021 authorization, at a total cost of $270.0. In 2021, we repurchased 2.1 million shares under the 2019 authorization at a total cost of $210.0. As of December 31, 2023, there were 4.6 million shares remaining authorized for repurchase under the 2023 authorization and no shares remaining authorized for repurchase under the 2021 or 2019 authorization.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2023, 2022 and 2021, the Board of Directors declared total cash dividends of $2.94, $2.72 and $2.52 per share, respectively, resulting in total dividend payments of $144.3, $139.9 and $136.6,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Noncontrolling interests, included in total shareholders' equity in our Consolidated Balance Sheets, represent amounts related to majority-owned subsidiaries in which we have a controlling financial interest. Net earnings attributable to these noncontrolling interests are recorded in interest and other expenses in our Consolidated Statements of Operations. We recorded income of $0.4, $0.8 and $0.7 for 2023, 2022 and 2021, respectively.</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Cash and Cash Equivalents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and cash equivalents comprise cash on hand, term deposits with banks and short-term highly-liquid financial investments that are readily convertible to known amounts of cash which are subject to insignificant risk of changes in value; and have a maturity of three months or less from the date of acquisition.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Accounting Standards Effective as of January 1, 2023</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March 2020, the FASB issued new guidance on accounting for contract modifications, including hedging relationships, due to the transition from LIBOR and other interbank offerings related to alternative reference interest rates. The guidance was effective upon issuance and can be applied to applicable contract modifications through December 31, 2024. The adoption of this guidance has not had any impact on our Consolidated Financial Statements, and we do not expect it to have a material impact going forward.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2021, the FASB issued new guidance on business combinations. The guidance added the contract assets and contract liabilities to the list of exceptions to the recognition and measurement principles that apply to business combinations and requires that an acquirer recognize and measure contract assets and contract liabilities acquired in a business combination in accordance with the revenue recognition standard. The new guidance was effective for us as of January 1, 2023. The adoption of this guidance had no impact on our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Recently Issued Accounting Standards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November 2023, the FASB issued new guidance on segment reporting. The guidance requires an annual and interim disclosure of significant segment expenses that are (1) regularly provided to the chief operating decision maker and (2) included in the reported measure of segment profit or loss. The guidance also allows companies to disclose multiple measures of segment profit or loss if those measures are used to assess performance and allocate resources. The new guidance is effective for our 2024 annual disclosures and should be adopted retrospectively. We are currently assessing the impact of the adoption of this guidance on our financial statement disclosures.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2023, the FASB issued a final standard on improvements to income tax disclosures. The guidance requires that public entities on an annual basis disclose disaggregated information about the rate reconciliation as well as income taxes paid. The new standard is effective for our 2025 annual disclosures and will be adopted prospectively. We are currently assessing the impact of the adoption of this guidance on our financial statement disclosures.</w:t>
      </w:r>
    </w:p>
    <w:p>
      <w:pPr>
        <w:pStyle w:val="TextBody"/>
        <w:bidi w:val="0"/>
        <w:jc w:val="both"/>
        <w:rPr>
          <w:rFonts w:ascii="Times New Roman" w:hAnsi="Times New Roman"/>
          <w:color w:val="000000"/>
          <w:sz w:val="20"/>
        </w:rPr>
      </w:pPr>
      <w:r>
        <w:rPr>
          <w:rFonts w:ascii="Times New Roman" w:hAnsi="Times New Roman"/>
          <w:color w:val="000000"/>
          <w:sz w:val="20"/>
        </w:rPr>
        <w:br/>
        <w:t> </w:t>
      </w:r>
    </w:p>
    <w:p>
      <w:pPr>
        <w:pStyle w:val="TextBody"/>
        <w:bidi w:val="0"/>
        <w:jc w:val="both"/>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Revenue Recognition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Revenue Service Types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is a description of our revenue service types, including Staffing and Interim, Outcome-Based Solutions and Consulting, Permanent Recruitment and Other services.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Staffing and Interim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Staffing and Interim services include the augmentation of clients’ workforce with our contingent employees performing services under the client’s supervision, which provides our clients with a source of flexible labor. Staffing and Interim client contracts are generally short-term in nature, and we generally enter into contracts that include only a single performance obligation. We recognize revenues over time based on a fixed amount for each hour of Staffing and Interim service provided as our clients benefit from our services as we provide them.</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Outcome-Based Solutions and Consulting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Outcome-Based Solutions and Consulting services include utilizing consultants and contingent employees who are generally experts in a specific field advising the client to help find strategic solutions to specific matters or achieve a particular outcome. Our services may also include managing certain processes and functions within the client’s organization. We recognize revenues over time based on (i) our clients benefiting from our services as we are providing them, (ii) our clients controlling an asset as it is created or enhanced, or (iii) our performance not creating an asset with an alternative use and having an enforceable right to payment for the services we have provided to date. We generally utilize an input measure of time for the service provided, which most accurately depicts the progress toward completion of these performance obligations. The price as specified in our client contracts is generally considered the standalone selling price as it is an observable input that depicts the price as if sold to a similar client in similar circumstances.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Permanent Recruitment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Permanent Recruitment services include providing qualified candidates to our clients to hire on a permanent basis. We recognize revenues for our Permanent Recruitment services at a point in time when we place the qualified candidate, because we have determined that control of the performance obligation has transferred to the client (i.e., service performed) as we have the right to payment for our service and the client has accepted our service of providing a qualified candidate to fill a permanent position. Revenues recognized from our Permanent Recruitment services are based upon either a fixed fee per placement or as a percentage of the candidate’s salary.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RPO services are also included in our Permanent Recruitment revenues. RPO services include the various activities of managing a client's permanent workforce, which can include candidate assessments, screening, conducting candidate interviews, providing sourcing technology, and providing our marketing and recruiting expertise. We perform these activities to fulfill the overall obligation to provide permanent workforce management services, so they are not individually distinct, and therefore, we account for them as a single performance obligation. We generally utilize an input measure of time in months, but we do have a few contracts for which we use labor hours of management services provided as this more accurately depicts the progress toward completion of the performance obligation. We recognize revenues over time for each month of management services provided, as each month of management services is distinct, and the client benefits from each month of management services as we provide them. For those contracts for which we use labor hours as the input measure, we recognize revenues over time based on a fixed amount for each labor hour of management services provided as our clients benefit from our services as we provide them.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consider the RPO management services and placement services to be distinct, and therefore separate performance obligations within our RPO contracts as (i) our clients can benefit from each service on its own, and (ii) each service is separately identifiable within the client contract. The prices as specified in our contracts will generally be broken out between management fees and placement fees, which we consider the standalone selling price of each service as they are the observable inputs which depict the prices as if they were sold to a similar client in similar circumstances. The consideration from our client contracts is allocated to each performance obligation based on the relative standalone selling price.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Other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services include revenues from outplacement services, MSP services, training services and franchise fees.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Outplacement services include assisting our clients in managing their workforce transitions and their employees in managing career changes by developing additional skills and finding new employment. We recognize revenues over time as we provide the service (i.e., transfer control of the performance obligation) using the input measure of hours of service to measure progress toward completion of the performance obligation.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MSP services include overall program management of our clients’ contingent workforce and generally include various activities such as reporting and tracking, supplier selection and management and order distribution, depending on each client contract. We provide these services to fulfill the overall obligation of contingent workforce management services so the individual activities are not distinct and therefore we account for them as a single performance obligation. We recognize revenues over time for each month of MSP services provided as each month of MSP services is distinct, and the client benefits from each month of MSP services as we provide them.</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Training services include teaching skills that relate to specific competencies in order for our client’s workforce to acquire knowledge and develop skills proficiencies. We recognize revenues over time for each hour of training service provided as our clients benefit from our services as we provide them.</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Our franchise fees include the performance obligation of providing the right to use our intellectual property in a specifically defined exclusive territory as defined in a franchise agreement. Our franchise agreements generally state that franchise fees are calculated based on a percentage of revenues earned by the franchise operations and are payable on a monthly basis. As such, we record franchise fee revenues monthly over time calculated based on the specific fee percentage and the monthly revenues of the franchise operations. Franchise fees were $14.8, $15.7 and $15.3 for the years ended December 31, 2023, 2022 and 2021,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Disaggregation of Revenues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In the following table, revenue is disaggregated by service types and timing of revenue recognition and includes a reconciliation of the disaggregated revenues by reportable segment.</w:t>
      </w:r>
    </w:p>
    <w:tbl>
      <w:tblPr>
        <w:tblW w:w="13207" w:type="dxa"/>
        <w:jc w:val="left"/>
        <w:tblInd w:w="0" w:type="dxa"/>
        <w:tblLayout w:type="fixed"/>
        <w:tblCellMar>
          <w:top w:w="28" w:type="dxa"/>
          <w:left w:w="28" w:type="dxa"/>
          <w:bottom w:w="28" w:type="dxa"/>
          <w:right w:w="28" w:type="dxa"/>
        </w:tblCellMar>
      </w:tblPr>
      <w:tblGrid>
        <w:gridCol w:w="1096"/>
        <w:gridCol w:w="146"/>
        <w:gridCol w:w="196"/>
        <w:gridCol w:w="736"/>
        <w:gridCol w:w="146"/>
        <w:gridCol w:w="146"/>
        <w:gridCol w:w="206"/>
        <w:gridCol w:w="680"/>
        <w:gridCol w:w="146"/>
        <w:gridCol w:w="146"/>
        <w:gridCol w:w="278"/>
        <w:gridCol w:w="728"/>
        <w:gridCol w:w="146"/>
        <w:gridCol w:w="146"/>
        <w:gridCol w:w="196"/>
        <w:gridCol w:w="511"/>
        <w:gridCol w:w="146"/>
        <w:gridCol w:w="146"/>
        <w:gridCol w:w="196"/>
        <w:gridCol w:w="736"/>
        <w:gridCol w:w="166"/>
        <w:gridCol w:w="146"/>
        <w:gridCol w:w="196"/>
        <w:gridCol w:w="736"/>
        <w:gridCol w:w="146"/>
        <w:gridCol w:w="146"/>
        <w:gridCol w:w="206"/>
        <w:gridCol w:w="680"/>
        <w:gridCol w:w="146"/>
        <w:gridCol w:w="146"/>
        <w:gridCol w:w="278"/>
        <w:gridCol w:w="728"/>
        <w:gridCol w:w="146"/>
        <w:gridCol w:w="146"/>
        <w:gridCol w:w="196"/>
        <w:gridCol w:w="511"/>
        <w:gridCol w:w="146"/>
        <w:gridCol w:w="146"/>
        <w:gridCol w:w="196"/>
        <w:gridCol w:w="736"/>
        <w:gridCol w:w="39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74" w:type="dxa"/>
            <w:gridSpan w:val="3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63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2022</w:t>
            </w:r>
            <w:r>
              <w:rPr>
                <w:rFonts w:ascii="Times New Roman" w:hAnsi="Times New Roman"/>
                <w:b/>
                <w:color w:val="000000"/>
                <w:sz w:val="11"/>
              </w:rPr>
              <w:t>(a)</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Staffing</w:t>
              <w:br/>
              <w:t>and</w:t>
              <w:br/>
              <w:t>Interim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Outcome-</w:t>
              <w:br/>
              <w:t>Based</w:t>
              <w:br/>
              <w:t>Solutions</w:t>
              <w:br/>
              <w:t>and</w:t>
              <w:br/>
              <w:t>Consulting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Permanent</w:t>
              <w:br/>
              <w:t>Recruitment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Staffing</w:t>
              <w:br/>
              <w:t>and</w:t>
              <w:br/>
              <w:t>Interim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Outcome-</w:t>
              <w:br/>
              <w:t>Based</w:t>
              <w:br/>
              <w:t>Solutions</w:t>
              <w:br/>
              <w:t>and</w:t>
              <w:br/>
              <w:t>Consulting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Permanent</w:t>
              <w:br/>
              <w:t>Recruitment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Americas:</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1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United States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3,499.3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Americas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Southern Europe:</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1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France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4,785.0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0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Italy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8"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06" w:type="dxa"/>
            <w:tcBorders/>
            <w:shd w:fill="CFF0FC" w:val="clear"/>
            <w:vAlign w:val="center"/>
          </w:tcPr>
          <w:p>
            <w:pPr>
              <w:pStyle w:val="TableContents"/>
              <w:bidi w:val="0"/>
              <w:spacing w:before="0" w:after="283"/>
              <w:jc w:val="left"/>
              <w:rPr/>
            </w:pPr>
            <w:r>
              <w:rPr/>
              <w:t> </w:t>
            </w:r>
          </w:p>
        </w:tc>
        <w:tc>
          <w:tcPr>
            <w:tcW w:w="68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8"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1,706.9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Southern Europe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Northern Europe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06"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4,048.3</w:t>
            </w:r>
          </w:p>
        </w:tc>
        <w:tc>
          <w:tcPr>
            <w:tcW w:w="391" w:type="dxa"/>
            <w:tcBorders/>
            <w:shd w:fill="FFFFFF" w:val="clear"/>
            <w:vAlign w:val="center"/>
          </w:tcPr>
          <w:p>
            <w:pPr>
              <w:pStyle w:val="TableContents"/>
              <w:bidi w:val="0"/>
              <w:spacing w:before="0" w:after="283"/>
              <w:jc w:val="left"/>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APME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16,529.1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17,358.4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19,907.6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Intercompany Eliminations</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19,827.5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left"/>
        <w:rPr>
          <w:rFonts w:ascii="Times New Roman" w:hAnsi="Times New Roman"/>
          <w:color w:val="000000"/>
          <w:sz w:val="18"/>
        </w:rPr>
      </w:pPr>
      <w:r>
        <w:rPr>
          <w:rFonts w:ascii="Times New Roman" w:hAnsi="Times New Roman"/>
          <w:color w:val="000000"/>
          <w:sz w:val="18"/>
        </w:rPr>
        <w:t>(a)</w:t>
      </w:r>
    </w:p>
    <w:p>
      <w:pPr>
        <w:pStyle w:val="TextBody"/>
        <w:bidi w:val="0"/>
        <w:spacing w:before="0" w:after="120"/>
        <w:jc w:val="left"/>
        <w:rPr>
          <w:rFonts w:ascii="Times New Roman" w:hAnsi="Times New Roman"/>
          <w:sz w:val="20"/>
        </w:rPr>
      </w:pPr>
      <w:r>
        <w:rPr>
          <w:rFonts w:ascii="Times New Roman" w:hAnsi="Times New Roman"/>
          <w:color w:val="000000"/>
          <w:sz w:val="18"/>
        </w:rPr>
        <w:t>Certain service line revenues for the United States and Northern Europe were reclassified for the 2022 comparative period to align with the current period presentation. In the United States, $252.6</w:t>
      </w:r>
      <w:r>
        <w:rPr>
          <w:rFonts w:ascii="Times New Roman" w:hAnsi="Times New Roman"/>
          <w:color w:val="000000"/>
          <w:sz w:val="20"/>
        </w:rPr>
        <w:t xml:space="preserve"> </w:t>
      </w:r>
      <w:r>
        <w:rPr>
          <w:rFonts w:ascii="Times New Roman" w:hAnsi="Times New Roman"/>
          <w:color w:val="000000"/>
          <w:sz w:val="18"/>
        </w:rPr>
        <w:t>was reclassified from Outcome-Based Solutions and Consulting to Staffing and Interim. In Northern Europe, $120.5</w:t>
      </w:r>
      <w:r>
        <w:rPr>
          <w:rFonts w:ascii="Times New Roman" w:hAnsi="Times New Roman"/>
          <w:color w:val="000000"/>
          <w:sz w:val="20"/>
        </w:rPr>
        <w:t xml:space="preserve"> </w:t>
      </w:r>
      <w:r>
        <w:rPr>
          <w:rFonts w:ascii="Times New Roman" w:hAnsi="Times New Roman"/>
          <w:color w:val="000000"/>
          <w:sz w:val="18"/>
        </w:rPr>
        <w:t>was reclassified from Staffing and Interim to Outcome-Based Solutions and Consulting.</w:t>
      </w:r>
    </w:p>
    <w:tbl>
      <w:tblPr>
        <w:tblW w:w="9618" w:type="dxa"/>
        <w:jc w:val="left"/>
        <w:tblInd w:w="0" w:type="dxa"/>
        <w:tblLayout w:type="fixed"/>
        <w:tblCellMar>
          <w:top w:w="28" w:type="dxa"/>
          <w:left w:w="28" w:type="dxa"/>
          <w:bottom w:w="28" w:type="dxa"/>
          <w:right w:w="28" w:type="dxa"/>
        </w:tblCellMar>
      </w:tblPr>
      <w:tblGrid>
        <w:gridCol w:w="2011"/>
        <w:gridCol w:w="146"/>
        <w:gridCol w:w="196"/>
        <w:gridCol w:w="736"/>
        <w:gridCol w:w="146"/>
        <w:gridCol w:w="146"/>
        <w:gridCol w:w="258"/>
        <w:gridCol w:w="673"/>
        <w:gridCol w:w="146"/>
        <w:gridCol w:w="146"/>
        <w:gridCol w:w="196"/>
        <w:gridCol w:w="736"/>
        <w:gridCol w:w="166"/>
        <w:gridCol w:w="146"/>
        <w:gridCol w:w="196"/>
        <w:gridCol w:w="736"/>
        <w:gridCol w:w="146"/>
        <w:gridCol w:w="146"/>
        <w:gridCol w:w="258"/>
        <w:gridCol w:w="673"/>
        <w:gridCol w:w="146"/>
        <w:gridCol w:w="146"/>
        <w:gridCol w:w="196"/>
        <w:gridCol w:w="736"/>
        <w:gridCol w:w="3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3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br/>
              <w:t>transferred</w:t>
              <w:br/>
              <w:t>over 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br/>
              <w:t>transferred</w:t>
              <w:br/>
              <w:t>at a point</w:t>
              <w:br/>
              <w:t>in 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br/>
              <w:t>transferred</w:t>
              <w:br/>
              <w:t>over 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br/>
              <w:t>transferred</w:t>
              <w:br/>
              <w:t>at a point</w:t>
              <w:br/>
              <w:t>in 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Americas:</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United States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3,499.3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Americas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1,436.4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Southern Europe:</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France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4,814.5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4,785.0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Italy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1,706.9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Southern Europe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Northern Europe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4,048.3</w:t>
            </w:r>
          </w:p>
        </w:tc>
        <w:tc>
          <w:tcPr>
            <w:tcW w:w="391" w:type="dxa"/>
            <w:tcBorders/>
            <w:shd w:fill="FFFFFF" w:val="cle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APME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18,554.7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19,907.6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Intercompany Eliminations</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19,827.5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Share-Based Compensation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2023, 2022 and 2021, we recognized $28.7, $37.6 and $36.8, respectively, in share-based compensation expense related to stock options, deferred stock, restricted stock and performance share units, all of which is recorded in selling and administrative expenses. Consideration received from share-based awards for 2023, 2022 and 2021 was $1.8, $0.3 and $5.1, respectively. The income tax benefit recognized during 2023, 2022 and 2021 was $1.0, $2.6 and $1.6, respectively, for the United States share-based compensation and $1.6, $1.3 and $1.6, respectively, for non-United States share-based compensation. We recognize compensation expense on grants of share-based compensation awards on a straight-line basis over the vesting period of each award.</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share-based compensation is granted under the 2011 Equity Incentive Plan of ManpowerGroup Inc. (“2011 Plan”). Options and stock appreciation rights are granted at a price not less than 100% of the fair market value of the common stock at the date of grant. Generally, options are granted with a ratable vesting period of up to four years and expire ten years from date of grant. No stock options were granted subsequent to 2021. No stock appreciation rights had been granted or outstanding as of December 31, 2023, 2022 or 2021. A summary of stock option activity is as follows:</w:t>
      </w:r>
    </w:p>
    <w:tbl>
      <w:tblPr>
        <w:tblW w:w="9194" w:type="dxa"/>
        <w:jc w:val="left"/>
        <w:tblInd w:w="0" w:type="dxa"/>
        <w:tblLayout w:type="fixed"/>
        <w:tblCellMar>
          <w:top w:w="28" w:type="dxa"/>
          <w:left w:w="28" w:type="dxa"/>
          <w:bottom w:w="28" w:type="dxa"/>
          <w:right w:w="28" w:type="dxa"/>
        </w:tblCellMar>
      </w:tblPr>
      <w:tblGrid>
        <w:gridCol w:w="2791"/>
        <w:gridCol w:w="146"/>
        <w:gridCol w:w="297"/>
        <w:gridCol w:w="858"/>
        <w:gridCol w:w="166"/>
        <w:gridCol w:w="146"/>
        <w:gridCol w:w="444"/>
        <w:gridCol w:w="891"/>
        <w:gridCol w:w="146"/>
        <w:gridCol w:w="146"/>
        <w:gridCol w:w="349"/>
        <w:gridCol w:w="866"/>
        <w:gridCol w:w="146"/>
        <w:gridCol w:w="146"/>
        <w:gridCol w:w="516"/>
        <w:gridCol w:w="849"/>
        <w:gridCol w:w="2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Shares (000)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Wtd. Avg.</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Wtd. Avg.</w:t>
              <w:br/>
              <w:t> Remaining</w:t>
              <w:br/>
              <w:t> 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Aggregate</w:t>
              <w:br/>
              <w:t>Intrinsic Value</w:t>
              <w:br/>
              <w:t>(in millions)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7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Outstanding, January 1, 2021</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7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4"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7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44" w:type="dxa"/>
            <w:tcBorders/>
            <w:shd w:fill="CFF0FC" w:val="clear"/>
            <w:vAlign w:val="center"/>
          </w:tcPr>
          <w:p>
            <w:pPr>
              <w:pStyle w:val="TableContents"/>
              <w:bidi w:val="0"/>
              <w:spacing w:before="0" w:after="283"/>
              <w:jc w:val="left"/>
              <w:rPr/>
            </w:pPr>
            <w:r>
              <w:rPr/>
              <w:t> </w:t>
            </w:r>
          </w:p>
        </w:tc>
        <w:tc>
          <w:tcPr>
            <w:tcW w:w="8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Expired or cancelled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December 31, 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January 1, 2022</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7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7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3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Expired or cancelled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January 1, 2023</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4" w:type="dxa"/>
            <w:tcBorders/>
            <w:shd w:fill="CFF0FC" w:val="clear"/>
            <w:vAlign w:val="center"/>
          </w:tcPr>
          <w:p>
            <w:pPr>
              <w:pStyle w:val="TableContents"/>
              <w:bidi w:val="0"/>
              <w:spacing w:before="0" w:after="283"/>
              <w:jc w:val="left"/>
              <w:rPr/>
            </w:pPr>
            <w:r>
              <w:rPr/>
              <w:t> </w:t>
            </w:r>
          </w:p>
        </w:tc>
        <w:tc>
          <w:tcPr>
            <w:tcW w:w="8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7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7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44" w:type="dxa"/>
            <w:tcBorders/>
            <w:shd w:fill="CFF0FC" w:val="clear"/>
            <w:vAlign w:val="center"/>
          </w:tcPr>
          <w:p>
            <w:pPr>
              <w:pStyle w:val="TableContents"/>
              <w:bidi w:val="0"/>
              <w:spacing w:before="0" w:after="283"/>
              <w:jc w:val="left"/>
              <w:rPr/>
            </w:pPr>
            <w:r>
              <w:rPr/>
              <w:t> </w:t>
            </w:r>
          </w:p>
        </w:tc>
        <w:tc>
          <w:tcPr>
            <w:tcW w:w="8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Expired or cancelled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Options outstanding and exercisable as of December 31, 2023 were as follows:</w:t>
      </w:r>
    </w:p>
    <w:tbl>
      <w:tblPr>
        <w:tblW w:w="8351" w:type="dxa"/>
        <w:jc w:val="left"/>
        <w:tblInd w:w="0" w:type="dxa"/>
        <w:tblLayout w:type="fixed"/>
        <w:tblCellMar>
          <w:top w:w="28" w:type="dxa"/>
          <w:left w:w="28" w:type="dxa"/>
          <w:bottom w:w="28" w:type="dxa"/>
          <w:right w:w="28" w:type="dxa"/>
        </w:tblCellMar>
      </w:tblPr>
      <w:tblGrid>
        <w:gridCol w:w="1351"/>
        <w:gridCol w:w="146"/>
        <w:gridCol w:w="297"/>
        <w:gridCol w:w="858"/>
        <w:gridCol w:w="146"/>
        <w:gridCol w:w="146"/>
        <w:gridCol w:w="337"/>
        <w:gridCol w:w="834"/>
        <w:gridCol w:w="146"/>
        <w:gridCol w:w="146"/>
        <w:gridCol w:w="325"/>
        <w:gridCol w:w="651"/>
        <w:gridCol w:w="146"/>
        <w:gridCol w:w="146"/>
        <w:gridCol w:w="296"/>
        <w:gridCol w:w="859"/>
        <w:gridCol w:w="177"/>
        <w:gridCol w:w="177"/>
        <w:gridCol w:w="325"/>
        <w:gridCol w:w="651"/>
        <w:gridCol w:w="19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88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Options Exercisable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Shares (000)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Weighted-</w:t>
              <w:br/>
              <w:t>Average</w:t>
              <w:br/>
              <w:t> Remaining</w:t>
              <w:br/>
              <w:t> 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Shares (000)</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$75-$80</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77"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91" w:type="dxa"/>
            <w:tcBorders/>
            <w:shd w:fill="CFF0FC" w:val="clear"/>
            <w:vAlign w:val="center"/>
          </w:tcPr>
          <w:p>
            <w:pPr>
              <w:pStyle w:val="TableContents"/>
              <w:bidi w:val="0"/>
              <w:spacing w:before="0" w:after="283"/>
              <w:jc w:val="left"/>
              <w:rPr/>
            </w:pPr>
            <w:r>
              <w:rPr/>
              <w:t> </w:t>
            </w:r>
          </w:p>
        </w:tc>
      </w:tr>
      <w:tr>
        <w:trPr/>
        <w:tc>
          <w:tcPr>
            <w:tcW w:w="1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$81-$89</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77"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91" w:type="dxa"/>
            <w:tcBorders/>
            <w:shd w:fill="FFFFFF" w:val="clear"/>
            <w:vAlign w:val="center"/>
          </w:tcPr>
          <w:p>
            <w:pPr>
              <w:pStyle w:val="TableContents"/>
              <w:bidi w:val="0"/>
              <w:spacing w:before="0" w:after="283"/>
              <w:jc w:val="left"/>
              <w:rPr/>
            </w:pPr>
            <w:r>
              <w:rPr/>
              <w:t> </w:t>
            </w:r>
          </w:p>
        </w:tc>
      </w:tr>
      <w:tr>
        <w:trPr/>
        <w:tc>
          <w:tcPr>
            <w:tcW w:w="1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$90-$95</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77"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91" w:type="dxa"/>
            <w:tcBorders/>
            <w:shd w:fill="CFF0FC" w:val="clear"/>
            <w:vAlign w:val="center"/>
          </w:tcPr>
          <w:p>
            <w:pPr>
              <w:pStyle w:val="TableContents"/>
              <w:bidi w:val="0"/>
              <w:spacing w:before="0" w:after="283"/>
              <w:jc w:val="left"/>
              <w:rPr/>
            </w:pPr>
            <w:r>
              <w:rPr/>
              <w:t> </w:t>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$96-$123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recognized expense of $0.5, $0.8 and $2.9 related to stock options for the years ended December 31, 2023, 2022 and 2021, respectively. The total fair value of options vested during the same periods was $2.2, $2.8 and $2.6, respectively. As of December 31, 2023, total unrecognized compensation cost was $0.2, net of estimated forfeitures, which we expect to recognize over a weighted-average period of approximately 1.0 year.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estimated the fair value of stock options on the 2021 grant date using the Black-Scholes option pricing model and the following assumptions:</w:t>
      </w:r>
    </w:p>
    <w:tbl>
      <w:tblPr>
        <w:tblW w:w="3565" w:type="dxa"/>
        <w:jc w:val="left"/>
        <w:tblInd w:w="0" w:type="dxa"/>
        <w:tblLayout w:type="fixed"/>
        <w:tblCellMar>
          <w:top w:w="28" w:type="dxa"/>
          <w:left w:w="28" w:type="dxa"/>
          <w:bottom w:w="28" w:type="dxa"/>
          <w:right w:w="28" w:type="dxa"/>
        </w:tblCellMar>
      </w:tblPr>
      <w:tblGrid>
        <w:gridCol w:w="2491"/>
        <w:gridCol w:w="146"/>
        <w:gridCol w:w="146"/>
        <w:gridCol w:w="466"/>
        <w:gridCol w:w="316"/>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risk-free interest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average risk-free interest rate was based on United States Treasury security rates corresponding to the expected term in effect as of the grant date. The expected dividend yield was based on the expected annual dividend as a percentage of the market value of our common stock as of the grant date. We determined expected volatility using a weighted average of daily historical volatility (weighted 75%) of our stock price over the past five years and implied volatility (weighted 25%) based upon exchange traded options for our common stock. We believe that a blend of historical volatility and implied volatility better reflects future market conditions and better indicates expected volatility than considering purely historical volatility. We determined the expected term of the stock options using historical data. The weighted-average grant-date fair value per option granted during 2021 was $22.83.</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non-employee directors may elect to receive deferred stock in lieu of part or all of their annual cash retainer otherwise payable to them. The number of shares of deferred stock is determined pursuant to a formula set forth in the terms and conditions adopted under the 2011 Plan; the deferred stock is settled in shares of common stock according to these terms and conditions. During December 31, 2023, 2022 and 2021, there were 4,463, 4,775 and 1,086, respectively, shares of deferred stock awarded under this arrangement, all of which are vested.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Non-employee directors also receive an annual grant of deferred stock (or restricted stock, if they so elect) as additional compensation for board service. The award vests in equal quarterly installments over one year and the vested portion of the deferred stock is settled in shares of common stock either three years after the date of grant (which may in most cases be extended at the directors’ election) or upon a director’s termination of service in accordance with the terms and conditions under the 2011 Plan. During 2023, 2022 and 2021, there were 14,721, 12,698 and 15,528, respectively, shares of deferred stock awarded under this arrangement, all of which are vested. We recognized expense of $1.9, $1.8 and $1.7 related to deferred stock in 2023, 2022 and 2021,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Restricted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grant restricted stock and restricted stock unit awards to certain employees and to non-employee directors who may elect to receive restricted stock rather than deferred stock as described above. Restrictions lapse over periods ranging up to five years, and in some cases upon retirement. We value restricted stock awards at the closing market value of our common stock on the date of grant.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summary of restricted stock activity is as follows:</w:t>
      </w:r>
    </w:p>
    <w:tbl>
      <w:tblPr>
        <w:tblW w:w="9059" w:type="dxa"/>
        <w:jc w:val="left"/>
        <w:tblInd w:w="0" w:type="dxa"/>
        <w:tblLayout w:type="fixed"/>
        <w:tblCellMar>
          <w:top w:w="28" w:type="dxa"/>
          <w:left w:w="28" w:type="dxa"/>
          <w:bottom w:w="28" w:type="dxa"/>
          <w:right w:w="28" w:type="dxa"/>
        </w:tblCellMar>
      </w:tblPr>
      <w:tblGrid>
        <w:gridCol w:w="2551"/>
        <w:gridCol w:w="146"/>
        <w:gridCol w:w="268"/>
        <w:gridCol w:w="887"/>
        <w:gridCol w:w="166"/>
        <w:gridCol w:w="146"/>
        <w:gridCol w:w="481"/>
        <w:gridCol w:w="959"/>
        <w:gridCol w:w="146"/>
        <w:gridCol w:w="146"/>
        <w:gridCol w:w="349"/>
        <w:gridCol w:w="866"/>
        <w:gridCol w:w="146"/>
        <w:gridCol w:w="146"/>
        <w:gridCol w:w="545"/>
        <w:gridCol w:w="820"/>
        <w:gridCol w:w="2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Shares (000)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Wtd. Avg.</w:t>
              <w:br/>
              <w:t>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Wtd. Avg.</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Aggregate</w:t>
              <w:br/>
              <w:t>Intrinsic Value</w:t>
              <w:br/>
              <w:t>(in millions)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January 1, 2021</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5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5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left"/>
              <w:rPr/>
            </w:pPr>
            <w:r>
              <w:rPr/>
              <w:t> </w:t>
            </w:r>
          </w:p>
        </w:tc>
        <w:tc>
          <w:tcPr>
            <w:tcW w:w="9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5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December 31, 2021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5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5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left"/>
              <w:rPr/>
            </w:pPr>
            <w:r>
              <w:rPr/>
              <w:t> </w:t>
            </w:r>
          </w:p>
        </w:tc>
        <w:tc>
          <w:tcPr>
            <w:tcW w:w="9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5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December 31, 2022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5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8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9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5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8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left"/>
              <w:rPr/>
            </w:pPr>
            <w:r>
              <w:rPr/>
              <w:t> </w:t>
            </w:r>
          </w:p>
        </w:tc>
        <w:tc>
          <w:tcPr>
            <w:tcW w:w="9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5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December 31, 2023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2023, 2022 and 2021, there were 8,412, 7,192 and 7,764, respectively, shares of restricted stock granted to our non-employee directors, all of which are vested except for 1,258 shares granted in 2021 that were cancelled. During 2023, 2022 and 2021, we recognized $18.9, $19.1 and $15.6, respectively, of expense related to restricted stock awards. As of December 31, 2023, there was $15.3 of total unrecognized compensation cost related to unvested restricted stock, which we expect to recognize over a weighted-average period of approximately 2.0 years.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Performance Share Units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2011 Plan allows us to grant performance share units. We grant performance share units with a performance period ranging from one to three years. Vesting of units occurs at the end of the performance period or after a subsequent holding period, except in the case of termination of employment where the units are forfeited immediately. Upon retirement, a prorated number of units vest depending on the period worked from the grant date to retirement date or in certain cases all of the units vest. In the case of death or disability, the units immediately vest at the Target Award level if the death or disability date is during the performance period, or at the level determined by the performance criteria met during the performance period if the death or disability occurs during the subsequent holding period. The units are settled in shares of our common stock. A payout multiple may be applied to the units awarded based on the performance criteria determined by the People, Culture and Compensation Committee of the Board of Directors at the time of grant. Final determination of the payout is at the discretion of the People, Culture and Compensation Committee ("the Committee").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event the performance criteria exceeds the Target Award level, an additional number of shares, up to the Outstanding Award level, may be granted. In the event the performance criteria falls below the Target Award level, a reduced number of shares, as low as the Threshold Award level, may be granted. If the performance criteria falls below the Threshold Award level, no shares will be granted.</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summary of the performance share units detail by grant year is as follows:</w:t>
      </w:r>
    </w:p>
    <w:tbl>
      <w:tblPr>
        <w:tblW w:w="10205" w:type="dxa"/>
        <w:jc w:val="left"/>
        <w:tblInd w:w="0" w:type="dxa"/>
        <w:tblLayout w:type="fixed"/>
        <w:tblCellMar>
          <w:top w:w="28" w:type="dxa"/>
          <w:left w:w="28" w:type="dxa"/>
          <w:bottom w:w="28" w:type="dxa"/>
          <w:right w:w="28" w:type="dxa"/>
        </w:tblCellMar>
      </w:tblPr>
      <w:tblGrid>
        <w:gridCol w:w="1687"/>
        <w:gridCol w:w="346"/>
        <w:gridCol w:w="162"/>
        <w:gridCol w:w="870"/>
        <w:gridCol w:w="146"/>
        <w:gridCol w:w="233"/>
        <w:gridCol w:w="162"/>
        <w:gridCol w:w="870"/>
        <w:gridCol w:w="146"/>
        <w:gridCol w:w="146"/>
        <w:gridCol w:w="180"/>
        <w:gridCol w:w="970"/>
        <w:gridCol w:w="146"/>
        <w:gridCol w:w="146"/>
        <w:gridCol w:w="162"/>
        <w:gridCol w:w="870"/>
        <w:gridCol w:w="146"/>
        <w:gridCol w:w="146"/>
        <w:gridCol w:w="167"/>
        <w:gridCol w:w="781"/>
        <w:gridCol w:w="146"/>
        <w:gridCol w:w="146"/>
        <w:gridCol w:w="162"/>
        <w:gridCol w:w="870"/>
        <w:gridCol w:w="399"/>
      </w:tblGrid>
      <w:tr>
        <w:trPr/>
        <w:tc>
          <w:tcPr>
            <w:tcW w:w="168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2021 (Regular)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2021 (Additional)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 (Regular)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 (Experis)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399"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right"/>
              <w:rPr/>
            </w:pPr>
            <w:r>
              <w:rPr/>
              <w:t> </w:t>
            </w:r>
          </w:p>
        </w:tc>
      </w:tr>
      <w:tr>
        <w:trPr/>
        <w:tc>
          <w:tcPr>
            <w:tcW w:w="16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Date(s)</w:t>
            </w:r>
          </w:p>
        </w:tc>
        <w:tc>
          <w:tcPr>
            <w:tcW w:w="346" w:type="dxa"/>
            <w:tcBorders/>
            <w:shd w:fill="CFF0FC" w:val="clear"/>
            <w:vAlign w:val="center"/>
          </w:tcPr>
          <w:p>
            <w:pPr>
              <w:pStyle w:val="TableContents"/>
              <w:bidi w:val="0"/>
              <w:spacing w:before="0" w:after="283"/>
              <w:jc w:val="left"/>
              <w:rPr/>
            </w:pPr>
            <w:r>
              <w:rPr/>
              <w:t> </w:t>
            </w:r>
          </w:p>
        </w:tc>
        <w:tc>
          <w:tcPr>
            <w:tcW w:w="103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14, 2020</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right"/>
              <w:rPr/>
            </w:pPr>
            <w:r>
              <w:rPr/>
              <w:t> </w:t>
            </w:r>
          </w:p>
        </w:tc>
        <w:tc>
          <w:tcPr>
            <w:tcW w:w="103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12, 2021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5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12, 2021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3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11, 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8"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11, 2022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3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17, 2023</w:t>
            </w:r>
          </w:p>
        </w:tc>
        <w:tc>
          <w:tcPr>
            <w:tcW w:w="399"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r>
      <w:tr>
        <w:trPr/>
        <w:tc>
          <w:tcPr>
            <w:tcW w:w="16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Period (years)</w:t>
            </w:r>
          </w:p>
        </w:tc>
        <w:tc>
          <w:tcPr>
            <w:tcW w:w="346" w:type="dxa"/>
            <w:tcBorders/>
            <w:shd w:fill="FFFFFF" w:val="clear"/>
            <w:vAlign w:val="center"/>
          </w:tcPr>
          <w:p>
            <w:pPr>
              <w:pStyle w:val="TableContents"/>
              <w:bidi w:val="0"/>
              <w:spacing w:before="0" w:after="283"/>
              <w:jc w:val="left"/>
              <w:rPr/>
            </w:pPr>
            <w:r>
              <w:rPr/>
              <w:t> </w:t>
            </w:r>
          </w:p>
        </w:tc>
        <w:tc>
          <w:tcPr>
            <w:tcW w:w="103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2020-2022</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right"/>
              <w:rPr/>
            </w:pPr>
            <w:r>
              <w:rPr/>
              <w:t> </w:t>
            </w:r>
          </w:p>
        </w:tc>
        <w:tc>
          <w:tcPr>
            <w:tcW w:w="103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50"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2021-2022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3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2022-2024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8"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2022-2024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3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2023-2025</w:t>
            </w:r>
          </w:p>
        </w:tc>
        <w:tc>
          <w:tcPr>
            <w:tcW w:w="399"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168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Vesting Date</w:t>
            </w:r>
            <w:r>
              <w:rPr>
                <w:rFonts w:ascii="Times New Roman" w:hAnsi="Times New Roman"/>
                <w:color w:val="000000"/>
                <w:sz w:val="13"/>
              </w:rPr>
              <w:t>(1)</w:t>
            </w:r>
          </w:p>
        </w:tc>
        <w:tc>
          <w:tcPr>
            <w:tcW w:w="346" w:type="dxa"/>
            <w:tcBorders/>
            <w:shd w:fill="CFF0FC" w:val="clear"/>
            <w:vAlign w:val="center"/>
          </w:tcPr>
          <w:p>
            <w:pPr>
              <w:pStyle w:val="TableContents"/>
              <w:bidi w:val="0"/>
              <w:spacing w:before="0" w:after="283"/>
              <w:jc w:val="left"/>
              <w:rPr/>
            </w:pPr>
            <w:r>
              <w:rPr/>
              <w:t> </w:t>
            </w:r>
          </w:p>
        </w:tc>
        <w:tc>
          <w:tcPr>
            <w:tcW w:w="103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2023</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right"/>
              <w:rPr/>
            </w:pPr>
            <w:r>
              <w:rPr/>
              <w:t> </w:t>
            </w:r>
          </w:p>
        </w:tc>
        <w:tc>
          <w:tcPr>
            <w:tcW w:w="103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2024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5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2023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3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2025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8"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2025</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3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2026</w:t>
            </w:r>
          </w:p>
        </w:tc>
        <w:tc>
          <w:tcPr>
            <w:tcW w:w="399"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r>
      <w:tr>
        <w:trPr/>
        <w:tc>
          <w:tcPr>
            <w:tcW w:w="16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Payout Levels (in units):</w:t>
            </w:r>
          </w:p>
        </w:tc>
        <w:tc>
          <w:tcPr>
            <w:tcW w:w="346" w:type="dxa"/>
            <w:tcBorders/>
            <w:shd w:fill="FFFFFF" w:val="clear"/>
            <w:vAlign w:val="center"/>
          </w:tcPr>
          <w:p>
            <w:pPr>
              <w:pStyle w:val="TableContents"/>
              <w:bidi w:val="0"/>
              <w:spacing w:before="0" w:after="283"/>
              <w:jc w:val="left"/>
              <w:rPr/>
            </w:pPr>
            <w:r>
              <w:rPr/>
              <w:t> </w:t>
            </w:r>
          </w:p>
        </w:tc>
        <w:tc>
          <w:tcPr>
            <w:tcW w:w="10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right"/>
              <w:rPr/>
            </w:pPr>
            <w:r>
              <w:rPr/>
              <w:t> </w:t>
            </w:r>
          </w:p>
        </w:tc>
        <w:tc>
          <w:tcPr>
            <w:tcW w:w="10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32" w:type="dxa"/>
            <w:gridSpan w:val="2"/>
            <w:tcBorders/>
            <w:shd w:fill="FFFFFF" w:val="clear"/>
            <w:vAlign w:val="center"/>
          </w:tcPr>
          <w:p>
            <w:pPr>
              <w:pStyle w:val="TableContents"/>
              <w:bidi w:val="0"/>
              <w:spacing w:before="0" w:after="283"/>
              <w:jc w:val="right"/>
              <w:rPr/>
            </w:pPr>
            <w:r>
              <w:rPr/>
              <w:t> </w:t>
            </w:r>
          </w:p>
        </w:tc>
        <w:tc>
          <w:tcPr>
            <w:tcW w:w="399" w:type="dxa"/>
            <w:tcBorders>
              <w:right w:val="single" w:sz="18" w:space="0" w:color="000000"/>
            </w:tcBorders>
            <w:shd w:fill="FFFFFF" w:val="clear"/>
            <w:tcMar>
              <w:top w:w="0" w:type="dxa"/>
              <w:left w:w="0" w:type="dxa"/>
              <w:bottom w:w="0" w:type="dxa"/>
            </w:tcMar>
            <w:vAlign w:val="center"/>
          </w:tcPr>
          <w:p>
            <w:pPr>
              <w:pStyle w:val="TableContents"/>
              <w:bidi w:val="0"/>
              <w:spacing w:before="0" w:after="283"/>
              <w:ind w:left="0" w:right="0" w:firstLine="200"/>
              <w:jc w:val="right"/>
              <w:rPr/>
            </w:pPr>
            <w:r>
              <w:rPr/>
              <w:t> </w:t>
            </w:r>
          </w:p>
        </w:tc>
      </w:tr>
      <w:tr>
        <w:trPr/>
        <w:tc>
          <w:tcPr>
            <w:tcW w:w="1687"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Threshold Award</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162"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59,698</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0"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2" w:type="dxa"/>
            <w:tcBorders/>
            <w:shd w:fill="CFF0FC" w:val="clear"/>
            <w:vAlign w:val="center"/>
          </w:tcPr>
          <w:p>
            <w:pPr>
              <w:pStyle w:val="TableContents"/>
              <w:bidi w:val="0"/>
              <w:spacing w:before="0" w:after="283"/>
              <w:jc w:val="left"/>
              <w:rPr/>
            </w:pPr>
            <w:r>
              <w:rPr/>
              <w:t> </w:t>
            </w:r>
          </w:p>
        </w:tc>
        <w:tc>
          <w:tcPr>
            <w:tcW w:w="870" w:type="dxa"/>
            <w:tcBorders/>
            <w:shd w:fill="CFF0FC" w:val="clear"/>
            <w:vAlign w:val="center"/>
          </w:tcPr>
          <w:p>
            <w:pPr>
              <w:pStyle w:val="TableContents"/>
              <w:bidi w:val="0"/>
              <w:spacing w:before="0" w:after="283"/>
              <w:jc w:val="right"/>
              <w:rPr>
                <w:color w:val="000000"/>
              </w:rPr>
            </w:pPr>
            <w:r>
              <w:rPr>
                <w:color w:val="000000"/>
              </w:rPr>
              <w:t>—</w:t>
            </w:r>
          </w:p>
        </w:tc>
        <w:tc>
          <w:tcPr>
            <w:tcW w:w="399" w:type="dxa"/>
            <w:tcBorders>
              <w:right w:val="single" w:sz="18" w:space="0" w:color="000000"/>
            </w:tcBorders>
            <w:shd w:fill="CFF0FC" w:val="clear"/>
            <w:tcMar>
              <w:top w:w="0" w:type="dxa"/>
              <w:left w:w="0" w:type="dxa"/>
              <w:bottom w:w="0" w:type="dxa"/>
            </w:tcMar>
            <w:vAlign w:val="center"/>
          </w:tcPr>
          <w:p>
            <w:pPr>
              <w:pStyle w:val="TableContents"/>
              <w:bidi w:val="0"/>
              <w:spacing w:before="0" w:after="283"/>
              <w:ind w:left="0" w:right="0" w:firstLine="200"/>
              <w:jc w:val="left"/>
              <w:rPr/>
            </w:pPr>
            <w:r>
              <w:rPr/>
              <w:t> </w:t>
            </w:r>
          </w:p>
        </w:tc>
      </w:tr>
      <w:tr>
        <w:trPr/>
        <w:tc>
          <w:tcPr>
            <w:tcW w:w="168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Target Award</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119,395</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2"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132,537</w:t>
            </w:r>
          </w:p>
        </w:tc>
        <w:tc>
          <w:tcPr>
            <w:tcW w:w="399" w:type="dxa"/>
            <w:tcBorders>
              <w:right w:val="single" w:sz="18" w:space="0" w:color="000000"/>
            </w:tcBorders>
            <w:shd w:fill="FFFFFF" w:val="clear"/>
            <w:tcMar>
              <w:top w:w="0" w:type="dxa"/>
              <w:left w:w="0" w:type="dxa"/>
              <w:bottom w:w="0" w:type="dxa"/>
            </w:tcMar>
            <w:vAlign w:val="center"/>
          </w:tcPr>
          <w:p>
            <w:pPr>
              <w:pStyle w:val="TableContents"/>
              <w:bidi w:val="0"/>
              <w:spacing w:before="0" w:after="283"/>
              <w:ind w:left="0" w:right="0" w:firstLine="200"/>
              <w:jc w:val="left"/>
              <w:rPr/>
            </w:pPr>
            <w:r>
              <w:rPr/>
              <w:t> </w:t>
            </w:r>
          </w:p>
        </w:tc>
      </w:tr>
      <w:tr>
        <w:trPr/>
        <w:tc>
          <w:tcPr>
            <w:tcW w:w="168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Outstanding Award</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265,074</w:t>
            </w:r>
          </w:p>
        </w:tc>
        <w:tc>
          <w:tcPr>
            <w:tcW w:w="399"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16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in 2023</w:t>
            </w:r>
          </w:p>
        </w:tc>
        <w:tc>
          <w:tcPr>
            <w:tcW w:w="346" w:type="dxa"/>
            <w:tcBorders/>
            <w:shd w:fill="FFFFFF" w:val="clear"/>
            <w:vAlign w:val="center"/>
          </w:tcPr>
          <w:p>
            <w:pPr>
              <w:pStyle w:val="TableContents"/>
              <w:bidi w:val="0"/>
              <w:spacing w:before="0" w:after="283"/>
              <w:jc w:val="left"/>
              <w:rPr/>
            </w:pPr>
            <w:r>
              <w:rPr/>
              <w:t> </w:t>
            </w:r>
          </w:p>
        </w:tc>
        <w:tc>
          <w:tcPr>
            <w:tcW w:w="103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103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3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8"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3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99"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1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Payout Achieved Over Performance Period</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4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99"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right"/>
              <w:rPr/>
            </w:pPr>
            <w:r>
              <w:rPr/>
              <w:t> </w:t>
            </w:r>
          </w:p>
        </w:tc>
      </w:tr>
    </w:tbl>
    <w:p>
      <w:pPr>
        <w:pStyle w:val="TextBody"/>
        <w:bidi w:val="0"/>
        <w:jc w:val="both"/>
        <w:rPr>
          <w:rFonts w:ascii="Times New Roman" w:hAnsi="Times New Roman"/>
          <w:color w:val="000000"/>
          <w:sz w:val="18"/>
        </w:rPr>
      </w:pPr>
      <w:r>
        <w:rPr>
          <w:rFonts w:ascii="Times New Roman" w:hAnsi="Times New Roman"/>
          <w:color w:val="000000"/>
          <w:sz w:val="18"/>
        </w:rPr>
        <w:t>(1) Awards are scheduled to vest after the Committee determines the achievement of the performance criteria.</w:t>
      </w:r>
    </w:p>
    <w:p>
      <w:pPr>
        <w:pStyle w:val="TextBody"/>
        <w:bidi w:val="0"/>
        <w:jc w:val="both"/>
        <w:rPr>
          <w:rFonts w:ascii="Times New Roman" w:hAnsi="Times New Roman"/>
          <w:color w:val="000000"/>
          <w:sz w:val="18"/>
        </w:rPr>
      </w:pPr>
      <w:r>
        <w:rPr>
          <w:rFonts w:ascii="Times New Roman" w:hAnsi="Times New Roman"/>
          <w:color w:val="000000"/>
          <w:sz w:val="18"/>
        </w:rPr>
        <w:t>(2) In the fourth quarter of 2022, the Committee exercised its discretion in respect of the payout of the 2020 grant. On the basis that an additional special one-time grant had been awarded in 2021 to supplement the 2020 grant, the Committee determined that the 2020 grant would have a zero payout.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recognize and adjust compensation expense based on the likelihood of the performance criteria specified in the award being achieved. The compensation expense is recognized over the performance and holding periods and is recorded in selling and administrative expenses. We recognized total compensation expense of $7.2, $15.6 and $16.3 in 2023, 2022 and 2021, respectively, related to the performance share units. The lower expense in 2023 compared to 2022 resulted from lower estimated payout levels for all the grants. For 2022, additional expense from the Experis award at the outstanding payout level was offset by the reversal of cumulative expense related to the 2020 grant upon the Board of Directors' exercise of its discretion to reduce the payout to zero. </w:t>
      </w:r>
    </w:p>
    <w:p>
      <w:pPr>
        <w:pStyle w:val="TextBody"/>
        <w:bidi w:val="0"/>
        <w:spacing w:before="200" w:after="283"/>
        <w:jc w:val="both"/>
        <w:rPr/>
      </w:pPr>
      <w:r>
        <w:rPr/>
        <w:t> </w:t>
      </w:r>
    </w:p>
    <w:p>
      <w:pPr>
        <w:pStyle w:val="TextBody"/>
        <w:bidi w:val="0"/>
        <w:spacing w:before="200" w:after="283"/>
        <w:jc w:val="both"/>
        <w:rPr>
          <w:rFonts w:ascii="Times New Roman" w:hAnsi="Times New Roman"/>
          <w:sz w:val="20"/>
        </w:rPr>
      </w:pPr>
      <w:r>
        <w:rPr>
          <w:rFonts w:ascii="Times New Roman" w:hAnsi="Times New Roman"/>
          <w:color w:val="282A32"/>
          <w:sz w:val="20"/>
        </w:rPr>
        <w:t xml:space="preserve">(4) </w:t>
      </w:r>
      <w:r>
        <w:rPr>
          <w:rFonts w:ascii="Times New Roman" w:hAnsi="Times New Roman"/>
          <w:color w:val="282A32"/>
          <w:sz w:val="20"/>
          <w:u w:val="single"/>
        </w:rPr>
        <w:t>Acquisitions and Dispositions</w:t>
      </w:r>
    </w:p>
    <w:p>
      <w:pPr>
        <w:pStyle w:val="TextBody"/>
        <w:bidi w:val="0"/>
        <w:jc w:val="both"/>
        <w:rPr/>
      </w:pPr>
      <w:r>
        <w:rPr/>
        <w:t> </w:t>
      </w:r>
    </w:p>
    <w:p>
      <w:pPr>
        <w:pStyle w:val="TextBody"/>
        <w:bidi w:val="0"/>
        <w:jc w:val="both"/>
        <w:rPr>
          <w:rFonts w:ascii="Times New Roman" w:hAnsi="Times New Roman"/>
          <w:i/>
          <w:color w:val="282A32"/>
          <w:sz w:val="20"/>
        </w:rPr>
      </w:pPr>
      <w:r>
        <w:rPr>
          <w:rFonts w:ascii="Times New Roman" w:hAnsi="Times New Roman"/>
          <w:i/>
          <w:color w:val="282A32"/>
          <w:sz w:val="20"/>
        </w:rPr>
        <w:t>ettain group Acquisition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 2021, we acquired ettain group, one of the largest privately held IT resourcing and services providers in North America. Effective that date, ettain group became part of our Experis business in the Americas segment. The acquisition is intended to accelerate our strategy of diversifying our business mix into higher growth and higher value services. The aggregate cash consideration paid was $930.9. Of the total consideration paid, $925.0 was for the acquired interests and the remaining $5.9 was for excess working capital and cash. The transaction was funded through cash on hand and a $150.0 draw on our revolving credit facility on October 1, 2021. We finalized the purchase accounting during the third quarter of 2022 and recognized post-closing working capital adjustments of $3.4 and income tax adjustments of $3.1 with a corresponding offset to goodwill.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December 31, 2021, ettain group contributed revenues from services of $182.7 since the acquisition. Our consolidated unaudited proforma historical revenues from services and net earnings, as if ettain group had been acquired at the beginning of 2020, are estimated as follows:</w:t>
      </w:r>
    </w:p>
    <w:p>
      <w:pPr>
        <w:pStyle w:val="TextBody"/>
        <w:bidi w:val="0"/>
        <w:jc w:val="both"/>
        <w:rPr/>
      </w:pPr>
      <w:r>
        <w:rPr/>
        <w:t> </w:t>
      </w:r>
    </w:p>
    <w:tbl>
      <w:tblPr>
        <w:tblW w:w="4673" w:type="dxa"/>
        <w:jc w:val="left"/>
        <w:tblInd w:w="0" w:type="dxa"/>
        <w:tblLayout w:type="fixed"/>
        <w:tblCellMar>
          <w:top w:w="28" w:type="dxa"/>
          <w:left w:w="28" w:type="dxa"/>
          <w:bottom w:w="28" w:type="dxa"/>
          <w:right w:w="28" w:type="dxa"/>
        </w:tblCellMar>
      </w:tblPr>
      <w:tblGrid>
        <w:gridCol w:w="2026"/>
        <w:gridCol w:w="146"/>
        <w:gridCol w:w="470"/>
        <w:gridCol w:w="1840"/>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from services</w:t>
            </w:r>
          </w:p>
        </w:tc>
        <w:tc>
          <w:tcPr>
            <w:tcW w:w="146" w:type="dxa"/>
            <w:tcBorders/>
            <w:shd w:fill="CFF0FC" w:val="clear"/>
            <w:vAlign w:val="center"/>
          </w:tcPr>
          <w:p>
            <w:pPr>
              <w:pStyle w:val="TableContents"/>
              <w:bidi w:val="0"/>
              <w:spacing w:before="0" w:after="283"/>
              <w:jc w:val="left"/>
              <w:rPr/>
            </w:pPr>
            <w:r>
              <w:rPr/>
              <w:t> </w:t>
            </w:r>
          </w:p>
        </w:tc>
        <w:tc>
          <w:tcPr>
            <w:tcW w:w="4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21,269.1</w:t>
            </w:r>
          </w:p>
        </w:tc>
        <w:tc>
          <w:tcPr>
            <w:tcW w:w="191" w:type="dxa"/>
            <w:tcBorders/>
            <w:shd w:fill="CFF0FC" w:val="clear"/>
            <w:vAlign w:val="center"/>
          </w:tcPr>
          <w:p>
            <w:pPr>
              <w:pStyle w:val="TableContents"/>
              <w:bidi w:val="0"/>
              <w:spacing w:before="0" w:after="283"/>
              <w:jc w:val="left"/>
              <w:rPr/>
            </w:pPr>
            <w:r>
              <w:rPr/>
              <w:t> </w:t>
            </w:r>
          </w:p>
        </w:tc>
      </w:tr>
      <w:tr>
        <w:trPr/>
        <w:tc>
          <w:tcPr>
            <w:tcW w:w="2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w:t>
            </w:r>
          </w:p>
        </w:tc>
        <w:tc>
          <w:tcPr>
            <w:tcW w:w="146"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p>
        </w:tc>
        <w:tc>
          <w:tcPr>
            <w:tcW w:w="18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proforma amounts are calculated after applying our accounting policies and adjusting the results of ettain group to reflect the additional amortization that would have been charged assuming a fair value adjustment to intangible assets had been applied from January 1, 2020, with the consequential tax effects.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2021, we incurred $18.8 of acquisition and integration costs. These expenses are included in selling and administrative expenses on the Consolidated Statements of Operations for the year ended December 31, 2021.</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Other Acquisitions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From time to time, we acquire and invest in companies throughout the world, including franchises. The total cash consideration paid for acquisitions excluding ettain group, net of cash acquired, for the years ended December 31, 2023, 2022, and 2021 was $0.0, $20.2 and $8.1, respectively. The 2022 payments primarily represent a consideration payment for the acquisition of Tingari, a talent solutions company in France. The 2022 and 2021 balances include consideration payments for franchises in the United States and contingent consideration payments related to previous acquisitions, of which $3.8 and $6.3, respectively, had been recognized as a liability at the acquisition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2022, goodwill and intangible assets resulting from the 2022 acquisitions were $8.8 and $5.3, respectively. We did not make any acquisitions in 2023.</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Dispositions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Occasionally, we dispose of parts of our operations based on risk considerations and to optimize our global strategic and geographic footprint and overall efficiency. On September 29, 2023, we disposed of our Philippines business in our APME segment for total consideration of $6.5. In connection with the disposition, we recognized a one-time net loss on disposition of $1.3, which was included in interest and other expenses in the Consolidated Statements of Operations in the year ended December 31, 2023.</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17, 2022, we disposed of our Russia business in our Northern Europe segment for cash proceeds of $3.2. In connection with the disposition, we recognized a one-time net loss on disposition of $8.0, of which $9.7 was included in selling and administrative expenses and a gain of $1.7 was included in interest and other expenses in the Consolidated Statements of Operations in the year ended December 31, 2022. On September 30, 2022, our Belgium business disposed of its Service Voucher Division and recognized a one-time gain of $4.1, which was included in selling and administrative expenses in the Consolidated Statements of Operations in the year ended December 31, 2022. On December 15, 2022, we disposed of our Hungary business in our Southern Europe segment and recognized a one-time loss of $2.1, of which $0.9 was included in selling and administrative expenses and $1.2 was included in interest and other expenses in the Consolidated Statements of Operations in the year ended December 31, 2022.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November 2021, we disposed of our Tunisia business in our Southern Europe segment and recognized a one-time loss of $1.2, which was included in selling and administrative expenses in the Consolidated Statements of Operations in the year ended December 31, 2021.</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(5) </w:t>
      </w:r>
      <w:r>
        <w:rPr>
          <w:rFonts w:ascii="Times New Roman" w:hAnsi="Times New Roman"/>
          <w:color w:val="000000"/>
          <w:sz w:val="20"/>
          <w:u w:val="single"/>
        </w:rPr>
        <w:t>Income Taxes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provision for income taxes was as follows:</w:t>
      </w:r>
    </w:p>
    <w:tbl>
      <w:tblPr>
        <w:tblW w:w="5788" w:type="dxa"/>
        <w:jc w:val="left"/>
        <w:tblInd w:w="0" w:type="dxa"/>
        <w:tblLayout w:type="fixed"/>
        <w:tblCellMar>
          <w:top w:w="28" w:type="dxa"/>
          <w:left w:w="28" w:type="dxa"/>
          <w:bottom w:w="28" w:type="dxa"/>
          <w:right w:w="28" w:type="dxa"/>
        </w:tblCellMar>
      </w:tblPr>
      <w:tblGrid>
        <w:gridCol w:w="2281"/>
        <w:gridCol w:w="146"/>
        <w:gridCol w:w="211"/>
        <w:gridCol w:w="571"/>
        <w:gridCol w:w="166"/>
        <w:gridCol w:w="146"/>
        <w:gridCol w:w="211"/>
        <w:gridCol w:w="571"/>
        <w:gridCol w:w="166"/>
        <w:gridCol w:w="146"/>
        <w:gridCol w:w="211"/>
        <w:gridCol w:w="571"/>
        <w:gridCol w:w="3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91" w:type="dxa"/>
            <w:tcBorders/>
            <w:shd w:fill="FFFFFF" w:val="clear"/>
            <w:vAlign w:val="center"/>
          </w:tcPr>
          <w:p>
            <w:pPr>
              <w:pStyle w:val="TableContents"/>
              <w:bidi w:val="0"/>
              <w:spacing w:before="0" w:after="283"/>
              <w:jc w:val="left"/>
              <w:rPr/>
            </w:pPr>
            <w:r>
              <w:rPr/>
              <w:t> </w:t>
            </w:r>
          </w:p>
        </w:tc>
      </w:tr>
      <w:tr>
        <w:trPr/>
        <w:tc>
          <w:tcPr>
            <w:tcW w:w="2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Non-United States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1" w:type="dxa"/>
            <w:tcBorders/>
            <w:shd w:fill="FFFFFF" w:val="clear"/>
            <w:vAlign w:val="center"/>
          </w:tcPr>
          <w:p>
            <w:pPr>
              <w:pStyle w:val="TableContents"/>
              <w:bidi w:val="0"/>
              <w:spacing w:before="0" w:after="283"/>
              <w:jc w:val="left"/>
              <w:rPr/>
            </w:pPr>
            <w:r>
              <w:rPr/>
              <w:t> </w:t>
            </w:r>
          </w:p>
        </w:tc>
      </w:tr>
      <w:tr>
        <w:trPr/>
        <w:tc>
          <w:tcPr>
            <w:tcW w:w="2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Non-United States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provision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tax reconciliation between taxes computed at the United States federal statutory rate of 21% and the consolidated effective tax rate is as follows:</w:t>
      </w:r>
    </w:p>
    <w:tbl>
      <w:tblPr>
        <w:tblW w:w="7763" w:type="dxa"/>
        <w:jc w:val="left"/>
        <w:tblInd w:w="0" w:type="dxa"/>
        <w:tblLayout w:type="fixed"/>
        <w:tblCellMar>
          <w:top w:w="28" w:type="dxa"/>
          <w:left w:w="28" w:type="dxa"/>
          <w:bottom w:w="28" w:type="dxa"/>
          <w:right w:w="28" w:type="dxa"/>
        </w:tblCellMar>
      </w:tblPr>
      <w:tblGrid>
        <w:gridCol w:w="4056"/>
        <w:gridCol w:w="146"/>
        <w:gridCol w:w="211"/>
        <w:gridCol w:w="571"/>
        <w:gridCol w:w="166"/>
        <w:gridCol w:w="146"/>
        <w:gridCol w:w="211"/>
        <w:gridCol w:w="571"/>
        <w:gridCol w:w="166"/>
        <w:gridCol w:w="146"/>
        <w:gridCol w:w="211"/>
        <w:gridCol w:w="571"/>
        <w:gridCol w:w="591"/>
      </w:tblGrid>
      <w:tr>
        <w:trPr/>
        <w:tc>
          <w:tcPr>
            <w:tcW w:w="4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based on statutory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591" w:type="dxa"/>
            <w:tcBorders/>
            <w:shd w:fill="CFF0FC" w:val="clear"/>
            <w:vAlign w:val="center"/>
          </w:tcPr>
          <w:p>
            <w:pPr>
              <w:pStyle w:val="TableContents"/>
              <w:bidi w:val="0"/>
              <w:spacing w:before="0" w:after="283"/>
              <w:jc w:val="left"/>
              <w:rPr/>
            </w:pPr>
            <w:r>
              <w:rPr/>
              <w:t> </w:t>
            </w:r>
          </w:p>
        </w:tc>
      </w:tr>
      <w:tr>
        <w:trPr/>
        <w:tc>
          <w:tcPr>
            <w:tcW w:w="4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resulting from:</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Non-United States tax rate difference:</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4056" w:type="dxa"/>
            <w:tcBorders/>
            <w:shd w:fill="FFFFFF" w:val="cle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color w:val="000000"/>
                <w:sz w:val="20"/>
              </w:rPr>
              <w:t>French business tax</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4056" w:type="dxa"/>
            <w:tcBorders/>
            <w:shd w:fill="CFF0FC" w:val="clear"/>
            <w:vAlign w:val="center"/>
          </w:tcPr>
          <w:p>
            <w:pPr>
              <w:pStyle w:val="TableContents"/>
              <w:bidi w:val="0"/>
              <w:spacing w:before="0" w:after="283"/>
              <w:ind w:left="400" w:right="0" w:firstLine="400"/>
              <w:jc w:val="left"/>
              <w:rPr>
                <w:rFonts w:ascii="Times New Roman" w:hAnsi="Times New Roman"/>
                <w:sz w:val="20"/>
              </w:rPr>
            </w:pPr>
            <w:r>
              <w:rPr>
                <w:rFonts w:ascii="Times New Roman" w:hAnsi="Times New Roman"/>
                <w:color w:val="000000"/>
                <w:sz w:val="20"/>
              </w:rPr>
              <w:t>Other</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Repatriation of non-United States earnings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05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 income taxes, net of federal benefit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05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Change in valuation allowance</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05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Work Opportunity Tax Credit</w:t>
            </w:r>
            <w:r>
              <w:rPr>
                <w:rFonts w:ascii="Times New Roman" w:hAnsi="Times New Roman"/>
                <w:color w:val="000000"/>
                <w:sz w:val="13"/>
              </w:rPr>
              <w:t>(4)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Foreign-Derived Intangible Income deduction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5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Goodwill impairment</w:t>
            </w:r>
            <w:r>
              <w:rPr>
                <w:rFonts w:ascii="Times New Roman" w:hAnsi="Times New Roman"/>
                <w:color w:val="000000"/>
                <w:sz w:val="13"/>
              </w:rPr>
              <w:t>(5)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05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Change in unrecognized tax benefits</w:t>
            </w:r>
            <w:r>
              <w:rPr>
                <w:rFonts w:ascii="Times New Roman" w:hAnsi="Times New Roman"/>
                <w:color w:val="000000"/>
                <w:sz w:val="13"/>
              </w:rPr>
              <w:t>(6)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0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provision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rFonts w:ascii="Times New Roman" w:hAnsi="Times New Roman"/>
          <w:sz w:val="20"/>
        </w:rPr>
      </w:pPr>
      <w:r>
        <w:rPr>
          <w:rFonts w:ascii="Times New Roman" w:hAnsi="Times New Roman"/>
          <w:color w:val="000000"/>
          <w:sz w:val="18"/>
        </w:rPr>
        <w:t>The French business tax is allowed as a deduction for French income tax purposes. The gross amount of the French business tax was $16.4, $31.2</w:t>
      </w:r>
      <w:r>
        <w:rPr>
          <w:rFonts w:ascii="Times New Roman" w:hAnsi="Times New Roman"/>
          <w:color w:val="000000"/>
          <w:sz w:val="20"/>
        </w:rPr>
        <w:t xml:space="preserve"> </w:t>
      </w:r>
      <w:r>
        <w:rPr>
          <w:rFonts w:ascii="Times New Roman" w:hAnsi="Times New Roman"/>
          <w:color w:val="000000"/>
          <w:sz w:val="18"/>
        </w:rPr>
        <w:t>and $33.7</w:t>
      </w:r>
      <w:r>
        <w:rPr>
          <w:rFonts w:ascii="Times New Roman" w:hAnsi="Times New Roman"/>
          <w:color w:val="000000"/>
          <w:sz w:val="20"/>
        </w:rPr>
        <w:t xml:space="preserve"> </w:t>
      </w:r>
      <w:r>
        <w:rPr>
          <w:rFonts w:ascii="Times New Roman" w:hAnsi="Times New Roman"/>
          <w:color w:val="000000"/>
          <w:sz w:val="18"/>
        </w:rPr>
        <w:t>for 2023, 2022, and 2021 respectively. The amounts in the table above of $13.0, $24.6</w:t>
      </w:r>
      <w:r>
        <w:rPr>
          <w:rFonts w:ascii="Times New Roman" w:hAnsi="Times New Roman"/>
          <w:color w:val="000000"/>
          <w:sz w:val="20"/>
        </w:rPr>
        <w:t xml:space="preserve"> </w:t>
      </w:r>
      <w:r>
        <w:rPr>
          <w:rFonts w:ascii="Times New Roman" w:hAnsi="Times New Roman"/>
          <w:color w:val="000000"/>
          <w:sz w:val="18"/>
        </w:rPr>
        <w:t>and $26.7</w:t>
      </w:r>
      <w:r>
        <w:rPr>
          <w:rFonts w:ascii="Times New Roman" w:hAnsi="Times New Roman"/>
          <w:color w:val="000000"/>
          <w:sz w:val="20"/>
        </w:rPr>
        <w:t xml:space="preserve"> </w:t>
      </w:r>
      <w:r>
        <w:rPr>
          <w:rFonts w:ascii="Times New Roman" w:hAnsi="Times New Roman"/>
          <w:color w:val="000000"/>
          <w:sz w:val="18"/>
        </w:rPr>
        <w:t>for 2023, 2022, and 2021, respectively, represent the French business tax expense net of the French tax benefit using the United States federal rate of 21%.</w:t>
      </w:r>
      <w:r>
        <w:rPr>
          <w:rFonts w:ascii="Times New Roman" w:hAnsi="Times New Roman"/>
          <w:color w:val="000000"/>
          <w:sz w:val="20"/>
        </w:rPr>
        <w:t xml:space="preserve"> </w:t>
      </w:r>
      <w:r>
        <w:rPr>
          <w:rFonts w:ascii="Times New Roman" w:hAnsi="Times New Roman"/>
          <w:color w:val="000000"/>
          <w:sz w:val="18"/>
        </w:rPr>
        <w:t>In December 2023, the French Parliament approved the Finance Bill for 2024 which reversed the scheduled elimination of the business tax in 2024 and replaced it with a gradual reduction of the tax rate (i.e., 0.28% in 2024, 0.19% in 2025, 0.09% in 2026) before eliminating altogether in 2027.</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spacing w:before="0" w:after="0"/>
        <w:jc w:val="both"/>
        <w:rPr>
          <w:rFonts w:ascii="Times New Roman" w:hAnsi="Times New Roman"/>
          <w:sz w:val="20"/>
        </w:rPr>
      </w:pPr>
      <w:r>
        <w:rPr>
          <w:rFonts w:ascii="Times New Roman" w:hAnsi="Times New Roman"/>
          <w:color w:val="000000"/>
          <w:sz w:val="18"/>
        </w:rPr>
        <w:t>Included in Other Non-United States tax rate differences is the impact of all Non-United States pre-tax earnings and permanent tax differences at the local statutory tax rate versus the United States federal rate of 21%. This includes benefits of $0.8, $1.5</w:t>
      </w:r>
      <w:r>
        <w:rPr>
          <w:rFonts w:ascii="Times New Roman" w:hAnsi="Times New Roman"/>
          <w:color w:val="000000"/>
          <w:sz w:val="20"/>
        </w:rPr>
        <w:t xml:space="preserve"> </w:t>
      </w:r>
      <w:r>
        <w:rPr>
          <w:rFonts w:ascii="Times New Roman" w:hAnsi="Times New Roman"/>
          <w:color w:val="000000"/>
          <w:sz w:val="18"/>
        </w:rPr>
        <w:t>and $2.5</w:t>
      </w:r>
      <w:r>
        <w:rPr>
          <w:rFonts w:ascii="Times New Roman" w:hAnsi="Times New Roman"/>
          <w:color w:val="000000"/>
          <w:sz w:val="20"/>
        </w:rPr>
        <w:t xml:space="preserve"> </w:t>
      </w:r>
      <w:r>
        <w:rPr>
          <w:rFonts w:ascii="Times New Roman" w:hAnsi="Times New Roman"/>
          <w:color w:val="000000"/>
          <w:sz w:val="18"/>
        </w:rPr>
        <w:t xml:space="preserve">for 2023, 2022 and 2021, respectively, related to the difference between the United States federal rate and the French tax rate applied to the respective gross amounts of the French business tax deduction previously mentioned.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(3)</w:t>
      </w:r>
    </w:p>
    <w:p>
      <w:pPr>
        <w:pStyle w:val="TextBody"/>
        <w:bidi w:val="0"/>
        <w:spacing w:before="40" w:after="283"/>
        <w:jc w:val="both"/>
        <w:rPr>
          <w:rFonts w:ascii="Times New Roman" w:hAnsi="Times New Roman"/>
          <w:sz w:val="20"/>
        </w:rPr>
      </w:pPr>
      <w:r>
        <w:rPr>
          <w:rFonts w:ascii="Times New Roman" w:hAnsi="Times New Roman"/>
          <w:color w:val="000000"/>
          <w:sz w:val="18"/>
        </w:rPr>
        <w:t>Losses incurred in 2023, 2022 and 2021 in Germany resulted in an increase in valuation allowance of $46.3, $13.5</w:t>
      </w:r>
      <w:r>
        <w:rPr>
          <w:rFonts w:ascii="Times New Roman" w:hAnsi="Times New Roman"/>
          <w:color w:val="000000"/>
          <w:sz w:val="20"/>
        </w:rPr>
        <w:t xml:space="preserve"> </w:t>
      </w:r>
      <w:r>
        <w:rPr>
          <w:rFonts w:ascii="Times New Roman" w:hAnsi="Times New Roman"/>
          <w:color w:val="000000"/>
          <w:sz w:val="18"/>
        </w:rPr>
        <w:t>and $20.1, respectively.</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(4)</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The Work Opportunity Tax Credit is currently authorized until December 31, 2025.</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(5)</w:t>
      </w:r>
    </w:p>
    <w:p>
      <w:pPr>
        <w:pStyle w:val="TextBody"/>
        <w:bidi w:val="0"/>
        <w:spacing w:before="40" w:after="283"/>
        <w:jc w:val="both"/>
        <w:rPr>
          <w:rFonts w:ascii="Times New Roman" w:hAnsi="Times New Roman"/>
          <w:sz w:val="20"/>
        </w:rPr>
      </w:pPr>
      <w:r>
        <w:rPr>
          <w:rFonts w:ascii="Times New Roman" w:hAnsi="Times New Roman"/>
          <w:color w:val="000000"/>
          <w:sz w:val="18"/>
        </w:rPr>
        <w:t>Non-deductible portion of the goodwill impairment charges recorded in the</w:t>
      </w:r>
      <w:r>
        <w:rPr>
          <w:rFonts w:ascii="Times New Roman" w:hAnsi="Times New Roman"/>
          <w:color w:val="000000"/>
          <w:sz w:val="20"/>
        </w:rPr>
        <w:t xml:space="preserve"> </w:t>
      </w:r>
      <w:r>
        <w:rPr>
          <w:rFonts w:ascii="Times New Roman" w:hAnsi="Times New Roman"/>
          <w:color w:val="000000"/>
          <w:sz w:val="18"/>
        </w:rPr>
        <w:t>Netherlands in 2023 and 2022.</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(6)</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Effective settlement of an audit during the third quarter of 2023 resulted in the recognition of a tax benefit of $10.8. For 2022 and 2021, the Work Opportunity Tax Credit and Other, net categories were updated to separately reflect the Change in unrecognized tax benefits.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Deferred income taxes are recorded based on temporary differences at the tax rate expected to be in effect when the temporary differences reverse. Temporary differences, which give rise to the deferred taxes, are as follows:</w:t>
      </w:r>
    </w:p>
    <w:tbl>
      <w:tblPr>
        <w:tblW w:w="5939" w:type="dxa"/>
        <w:jc w:val="left"/>
        <w:tblInd w:w="0" w:type="dxa"/>
        <w:tblLayout w:type="fixed"/>
        <w:tblCellMar>
          <w:top w:w="28" w:type="dxa"/>
          <w:left w:w="28" w:type="dxa"/>
          <w:bottom w:w="28" w:type="dxa"/>
          <w:right w:w="28" w:type="dxa"/>
        </w:tblCellMar>
      </w:tblPr>
      <w:tblGrid>
        <w:gridCol w:w="3586"/>
        <w:gridCol w:w="146"/>
        <w:gridCol w:w="211"/>
        <w:gridCol w:w="631"/>
        <w:gridCol w:w="166"/>
        <w:gridCol w:w="146"/>
        <w:gridCol w:w="211"/>
        <w:gridCol w:w="631"/>
        <w:gridCol w:w="21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Future Income Tax Benefits (Expense)</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taxes and insurance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11" w:type="dxa"/>
            <w:tcBorders/>
            <w:shd w:fill="FFFFFF" w:val="cle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21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and postretirement benefits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11" w:type="dxa"/>
            <w:tcBorders/>
            <w:shd w:fill="FFFFFF" w:val="cle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Repatriation of non-United States earnings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denominated in foreign currencies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ROU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21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211" w:type="dxa"/>
            <w:tcBorders/>
            <w:shd w:fill="FFFFFF" w:val="cle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211" w:type="dxa"/>
            <w:tcBorders/>
            <w:shd w:fill="CFF0FC" w:val="clear"/>
            <w:vAlign w:val="center"/>
          </w:tcPr>
          <w:p>
            <w:pPr>
              <w:pStyle w:val="TableContents"/>
              <w:bidi w:val="0"/>
              <w:spacing w:before="0" w:after="283"/>
              <w:jc w:val="left"/>
              <w:rPr/>
            </w:pPr>
            <w:r>
              <w:rPr/>
              <w:t> </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tax benefits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211" w:type="dxa"/>
            <w:tcBorders/>
            <w:shd w:fill="FFFFFF" w:val="clear"/>
            <w:vAlign w:val="center"/>
          </w:tcPr>
          <w:p>
            <w:pPr>
              <w:pStyle w:val="TableContents"/>
              <w:bidi w:val="0"/>
              <w:spacing w:before="0" w:after="283"/>
              <w:jc w:val="left"/>
              <w:rPr/>
            </w:pPr>
            <w:r>
              <w:rPr/>
              <w:t> </w:t>
            </w:r>
          </w:p>
        </w:tc>
      </w:tr>
      <w:tr>
        <w:trPr/>
        <w:tc>
          <w:tcPr>
            <w:tcW w:w="3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tax benefits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Pre-tax earnings of non-United States operations were $165.2, $380.9 and $433.6 in 2023, 2022, and 2021, respectively. We have not provided deferred taxes on $391.5 of accumulated unremitted earnings of non-United States subsidiaries that are considered indefinitely reinvested. We have not estimated the deferred tax liability on these earnings as such estimation is not practicable to determine or immaterial to the financial statements. As of December 31, 2023, deferred taxes for non-United States withholding and other taxes were provided on $1,519.8 of accumulated unremitted earnings of non-United States subsidiaries that may be remitted to the United States. As of December 31, 2023 and 2022, we have recorded a deferred tax liability of $23.1 and $18.4, respectively, related to these non-United States earnings that may be remitted.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had United States federal and non-United States net operating loss carryforwards and United States state net operating loss carryforwards totaling $1,010.3 and $124.2, respectively, as of December 31, 2023. The net operating loss carryforwards expire as follows:</w:t>
      </w:r>
    </w:p>
    <w:tbl>
      <w:tblPr>
        <w:tblW w:w="6675" w:type="dxa"/>
        <w:jc w:val="left"/>
        <w:tblInd w:w="0" w:type="dxa"/>
        <w:tblLayout w:type="fixed"/>
        <w:tblCellMar>
          <w:top w:w="28" w:type="dxa"/>
          <w:left w:w="28" w:type="dxa"/>
          <w:bottom w:w="28" w:type="dxa"/>
          <w:right w:w="28" w:type="dxa"/>
        </w:tblCellMar>
      </w:tblPr>
      <w:tblGrid>
        <w:gridCol w:w="3181"/>
        <w:gridCol w:w="146"/>
        <w:gridCol w:w="271"/>
        <w:gridCol w:w="929"/>
        <w:gridCol w:w="146"/>
        <w:gridCol w:w="146"/>
        <w:gridCol w:w="449"/>
        <w:gridCol w:w="1216"/>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United States</w:t>
              <w:br/>
              <w:t>Federal and</w:t>
              <w:br/>
              <w:t>Non-United</w:t>
              <w:br/>
              <w:t>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United States State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left"/>
              <w:rPr/>
            </w:pPr>
            <w:r>
              <w:rPr/>
              <w:t> </w:t>
            </w:r>
          </w:p>
        </w:tc>
        <w:tc>
          <w:tcPr>
            <w:tcW w:w="12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9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91" w:type="dxa"/>
            <w:tcBorders/>
            <w:shd w:fill="FFFFFF" w:val="cle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49" w:type="dxa"/>
            <w:tcBorders/>
            <w:shd w:fill="CFF0FC" w:val="clear"/>
            <w:vAlign w:val="center"/>
          </w:tcPr>
          <w:p>
            <w:pPr>
              <w:pStyle w:val="TableContents"/>
              <w:bidi w:val="0"/>
              <w:spacing w:before="0" w:after="283"/>
              <w:jc w:val="left"/>
              <w:rPr/>
            </w:pPr>
            <w:r>
              <w:rPr/>
              <w:t> </w:t>
            </w:r>
          </w:p>
        </w:tc>
        <w:tc>
          <w:tcPr>
            <w:tcW w:w="12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91" w:type="dxa"/>
            <w:tcBorders/>
            <w:shd w:fill="FFFFFF" w:val="cle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1200"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65"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91" w:type="dxa"/>
            <w:tcBorders/>
            <w:shd w:fill="CFF0FC" w:val="clear"/>
            <w:vAlign w:val="center"/>
          </w:tcPr>
          <w:p>
            <w:pPr>
              <w:pStyle w:val="TableContents"/>
              <w:bidi w:val="0"/>
              <w:spacing w:before="0" w:after="283"/>
              <w:jc w:val="righ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91" w:type="dxa"/>
            <w:tcBorders/>
            <w:shd w:fill="FFFFFF" w:val="clear"/>
            <w:vAlign w:val="center"/>
          </w:tcPr>
          <w:p>
            <w:pPr>
              <w:pStyle w:val="TableContents"/>
              <w:bidi w:val="0"/>
              <w:spacing w:before="0" w:after="283"/>
              <w:jc w:val="left"/>
              <w:rPr/>
            </w:pPr>
            <w:r>
              <w:rPr/>
              <w:t> </w:t>
            </w:r>
          </w:p>
        </w:tc>
      </w:tr>
      <w:tr>
        <w:trPr/>
        <w:tc>
          <w:tcPr>
            <w:tcW w:w="3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expirations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operating loss carryforwards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recorded a deferred tax asset of $187.7 as of December 31, 2023, for the benefit of these net operating losses. Realization of this asset is dependent on generating sufficient taxable income prior to the expiration of the loss carryforwards. A related valuation allowance of $165.4 was recorded as of December 31, 2023, as management believes that realization of certain net operating loss carryforwards is unlikely.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had gross unrecognized tax benefits related to various tax jurisdictions, including interest and penalties, of $32.8, $81.6 and $71.8 in 2023, 2022 and 2021, respectively. If recognized, the entire amount would favorably affect the effective tax rate except for $6.0. Our unrecognized tax benefits decreased by $48.8 during 2023 primarily due to the effective settlement of an audit during the third quarter, which resulted in the recognition of a tax benefit of $10.8. We do not expect our unrecognized tax benefits to change significantly over the next 12 months.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recognize accrued interest and penalties related to unrecognized tax benefits in income tax expense. We accrued net interest and penalties of $0.6, $0.8 and $0.9 in 2023, 2022 and 2021, respectively. We reduced our accrued interest and penalties related to unrecognized tax benefits by $4.2 primarily due to the effectively settled income tax audit in the third quarter of 2023.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activity related to our unrecognized tax benefits during 2023, 2022, and 2021:</w:t>
      </w:r>
    </w:p>
    <w:tbl>
      <w:tblPr>
        <w:tblW w:w="8168" w:type="dxa"/>
        <w:jc w:val="left"/>
        <w:tblInd w:w="0" w:type="dxa"/>
        <w:tblLayout w:type="fixed"/>
        <w:tblCellMar>
          <w:top w:w="28" w:type="dxa"/>
          <w:left w:w="28" w:type="dxa"/>
          <w:bottom w:w="28" w:type="dxa"/>
          <w:right w:w="28" w:type="dxa"/>
        </w:tblCellMar>
      </w:tblPr>
      <w:tblGrid>
        <w:gridCol w:w="4896"/>
        <w:gridCol w:w="146"/>
        <w:gridCol w:w="211"/>
        <w:gridCol w:w="526"/>
        <w:gridCol w:w="166"/>
        <w:gridCol w:w="146"/>
        <w:gridCol w:w="211"/>
        <w:gridCol w:w="466"/>
        <w:gridCol w:w="166"/>
        <w:gridCol w:w="146"/>
        <w:gridCol w:w="211"/>
        <w:gridCol w:w="466"/>
        <w:gridCol w:w="411"/>
      </w:tblGrid>
      <w:tr>
        <w:trPr/>
        <w:tc>
          <w:tcPr>
            <w:tcW w:w="4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unrecognized tax benefits, beginning of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8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Increases in prior year tax positions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8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Decreases in prior year tax positions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Increases for current year tax positions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8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Expiration of statute of limitations and audit settlements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unrecognized tax benefits, end of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Potential interest and penalties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conduct business globally in various countries and territories. We are routinely audited by the tax authorities of the various tax jurisdictions in which we operate. Generally, the tax years that could be subject to examination are 2016 through 2023 for our major operations in France, Italy, the United Kingdom and the United States. As of December 31, 2023, we were subject to tax audits in Australia, Austria, Germany, India, Israel, Spain and the United States. We believe that the resolution of these audits will not have a material adverse impact on earnings.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(6) </w:t>
      </w:r>
      <w:r>
        <w:rPr>
          <w:rFonts w:ascii="Times New Roman" w:hAnsi="Times New Roman"/>
          <w:color w:val="000000"/>
          <w:sz w:val="20"/>
          <w:u w:val="single"/>
        </w:rPr>
        <w:t>Net Earnings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calculation of net earnings per share - basic and net earnings per share - diluted were as follows:</w:t>
      </w:r>
    </w:p>
    <w:p>
      <w:pPr>
        <w:pStyle w:val="TextBody"/>
        <w:bidi w:val="0"/>
        <w:jc w:val="both"/>
        <w:rPr/>
      </w:pPr>
      <w:r>
        <w:rPr/>
        <w:t> </w:t>
      </w:r>
    </w:p>
    <w:tbl>
      <w:tblPr>
        <w:tblW w:w="8388" w:type="dxa"/>
        <w:jc w:val="left"/>
        <w:tblInd w:w="0" w:type="dxa"/>
        <w:tblLayout w:type="fixed"/>
        <w:tblCellMar>
          <w:top w:w="28" w:type="dxa"/>
          <w:left w:w="28" w:type="dxa"/>
          <w:bottom w:w="28" w:type="dxa"/>
          <w:right w:w="28" w:type="dxa"/>
        </w:tblCellMar>
      </w:tblPr>
      <w:tblGrid>
        <w:gridCol w:w="5026"/>
        <w:gridCol w:w="146"/>
        <w:gridCol w:w="211"/>
        <w:gridCol w:w="466"/>
        <w:gridCol w:w="146"/>
        <w:gridCol w:w="146"/>
        <w:gridCol w:w="211"/>
        <w:gridCol w:w="571"/>
        <w:gridCol w:w="146"/>
        <w:gridCol w:w="146"/>
        <w:gridCol w:w="211"/>
        <w:gridCol w:w="571"/>
        <w:gridCol w:w="39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available to common shareholders: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(in millions):</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5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0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 of dilutive securities - stock options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0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Effect of other share-based awards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per share - basic</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per share - diluted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0.6 million, 0.5 million and 0.1 million share-based awards excluded from the calculation of net earnings per share - diluted for the years ended December 31, 2023, 2022 and 2021, respectively, because their impact was anti-dilutive.</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(7) </w:t>
      </w:r>
      <w:r>
        <w:rPr>
          <w:rFonts w:ascii="Times New Roman" w:hAnsi="Times New Roman"/>
          <w:color w:val="000000"/>
          <w:sz w:val="20"/>
          <w:u w:val="single"/>
        </w:rPr>
        <w:t>Goodwill</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Changes in the carrying value of goodwill by reportable segment and Corporate were as follows:</w:t>
      </w:r>
    </w:p>
    <w:tbl>
      <w:tblPr>
        <w:tblW w:w="10173" w:type="dxa"/>
        <w:jc w:val="left"/>
        <w:tblInd w:w="0" w:type="dxa"/>
        <w:tblLayout w:type="fixed"/>
        <w:tblCellMar>
          <w:top w:w="28" w:type="dxa"/>
          <w:left w:w="28" w:type="dxa"/>
          <w:bottom w:w="28" w:type="dxa"/>
          <w:right w:w="28" w:type="dxa"/>
        </w:tblCellMar>
      </w:tblPr>
      <w:tblGrid>
        <w:gridCol w:w="2446"/>
        <w:gridCol w:w="246"/>
        <w:gridCol w:w="244"/>
        <w:gridCol w:w="836"/>
        <w:gridCol w:w="166"/>
        <w:gridCol w:w="146"/>
        <w:gridCol w:w="243"/>
        <w:gridCol w:w="657"/>
        <w:gridCol w:w="166"/>
        <w:gridCol w:w="146"/>
        <w:gridCol w:w="239"/>
        <w:gridCol w:w="647"/>
        <w:gridCol w:w="166"/>
        <w:gridCol w:w="146"/>
        <w:gridCol w:w="211"/>
        <w:gridCol w:w="466"/>
        <w:gridCol w:w="166"/>
        <w:gridCol w:w="146"/>
        <w:gridCol w:w="311"/>
        <w:gridCol w:w="844"/>
        <w:gridCol w:w="146"/>
        <w:gridCol w:w="146"/>
        <w:gridCol w:w="211"/>
        <w:gridCol w:w="721"/>
        <w:gridCol w:w="311"/>
      </w:tblGrid>
      <w:tr>
        <w:trPr/>
        <w:tc>
          <w:tcPr>
            <w:tcW w:w="24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Americas</w:t>
            </w:r>
            <w:r>
              <w:rPr>
                <w:rFonts w:ascii="Times New Roman" w:hAnsi="Times New Roman"/>
                <w:b/>
                <w:color w:val="000000"/>
                <w:sz w:val="13"/>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Southern</w:t>
              <w:br/>
              <w:t>Europe</w:t>
            </w:r>
            <w:r>
              <w:rPr>
                <w:rFonts w:ascii="Times New Roman" w:hAnsi="Times New Roman"/>
                <w:b/>
                <w:color w:val="000000"/>
                <w:sz w:val="13"/>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Northern</w:t>
              <w:br/>
              <w:t>Europe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APME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Corporate</w:t>
            </w:r>
            <w:r>
              <w:rPr>
                <w:rFonts w:ascii="Times New Roman" w:hAnsi="Times New Roman"/>
                <w:b/>
                <w:color w:val="000000"/>
                <w:sz w:val="13"/>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b/>
                <w:color w:val="000000"/>
                <w:sz w:val="20"/>
              </w:rPr>
              <w:t>Total</w:t>
            </w:r>
            <w:r>
              <w:rPr>
                <w:rFonts w:ascii="Times New Roman" w:hAnsi="Times New Roman"/>
                <w:b/>
                <w:color w:val="000000"/>
                <w:sz w:val="13"/>
              </w:rPr>
              <w:t>(4)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January 1, 2022</w:t>
            </w:r>
          </w:p>
        </w:tc>
        <w:tc>
          <w:tcPr>
            <w:tcW w:w="2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1,722.2</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44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Acquisitions</w:t>
            </w:r>
          </w:p>
        </w:tc>
        <w:tc>
          <w:tcPr>
            <w:tcW w:w="2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20"/>
              </w:rPr>
              <w:t>Impairment Charge</w:t>
            </w:r>
            <w:r>
              <w:rPr>
                <w:rFonts w:ascii="Times New Roman" w:hAnsi="Times New Roman"/>
                <w:color w:val="000000"/>
                <w:sz w:val="13"/>
              </w:rPr>
              <w:t>(5)</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Currency impact and other</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2022</w:t>
            </w:r>
          </w:p>
        </w:tc>
        <w:tc>
          <w:tcPr>
            <w:tcW w:w="2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1,628.1</w:t>
            </w:r>
          </w:p>
        </w:tc>
        <w:tc>
          <w:tcPr>
            <w:tcW w:w="31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20"/>
              </w:rPr>
              <w:t>Impairment Charge</w:t>
            </w:r>
            <w:r>
              <w:rPr>
                <w:rFonts w:ascii="Times New Roman" w:hAnsi="Times New Roman"/>
                <w:color w:val="000000"/>
                <w:sz w:val="13"/>
              </w:rPr>
              <w:t>(5)</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44" w:type="dxa"/>
            <w:tcBorders/>
            <w:shd w:fill="CFF0FC" w:val="clear"/>
            <w:vAlign w:val="center"/>
          </w:tcPr>
          <w:p>
            <w:pPr>
              <w:pStyle w:val="TableContents"/>
              <w:bidi w:val="0"/>
              <w:spacing w:before="0" w:after="283"/>
              <w:jc w:val="left"/>
              <w:rPr/>
            </w:pPr>
            <w:r>
              <w:rPr/>
              <w:t> </w:t>
            </w:r>
          </w:p>
        </w:tc>
        <w:tc>
          <w:tcPr>
            <w:tcW w:w="8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Currency impact and other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rFonts w:ascii="Times New Roman" w:hAnsi="Times New Roman"/>
          <w:sz w:val="20"/>
        </w:rPr>
      </w:pPr>
      <w:r>
        <w:rPr>
          <w:rFonts w:ascii="Times New Roman" w:hAnsi="Times New Roman"/>
          <w:color w:val="000000"/>
          <w:sz w:val="18"/>
        </w:rPr>
        <w:t>Balances related to United States were $1,013.0, $1,006.5</w:t>
      </w:r>
      <w:r>
        <w:rPr>
          <w:rFonts w:ascii="Times New Roman" w:hAnsi="Times New Roman"/>
          <w:color w:val="000000"/>
          <w:sz w:val="20"/>
        </w:rPr>
        <w:t xml:space="preserve"> </w:t>
      </w:r>
      <w:r>
        <w:rPr>
          <w:rFonts w:ascii="Times New Roman" w:hAnsi="Times New Roman"/>
          <w:color w:val="000000"/>
          <w:sz w:val="18"/>
        </w:rPr>
        <w:t>and $1,006.5</w:t>
      </w:r>
      <w:r>
        <w:rPr>
          <w:rFonts w:ascii="Times New Roman" w:hAnsi="Times New Roman"/>
          <w:color w:val="000000"/>
          <w:sz w:val="20"/>
        </w:rPr>
        <w:t xml:space="preserve"> </w:t>
      </w:r>
      <w:r>
        <w:rPr>
          <w:rFonts w:ascii="Times New Roman" w:hAnsi="Times New Roman"/>
          <w:color w:val="000000"/>
          <w:sz w:val="18"/>
        </w:rPr>
        <w:t>as of January 1, 2022, December 31, 2022 and December 31, 2023, respectively. The 2022 reduction for acquisitions represents post-closing opening balance adjustments related to the Experis acquisition.</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40" w:after="283"/>
        <w:jc w:val="both"/>
        <w:rPr>
          <w:rFonts w:ascii="Times New Roman" w:hAnsi="Times New Roman"/>
          <w:sz w:val="20"/>
        </w:rPr>
      </w:pPr>
      <w:r>
        <w:rPr>
          <w:rFonts w:ascii="Times New Roman" w:hAnsi="Times New Roman"/>
          <w:color w:val="000000"/>
          <w:sz w:val="18"/>
        </w:rPr>
        <w:t>Balances related to France were $68.2, $73.3</w:t>
      </w:r>
      <w:r>
        <w:rPr>
          <w:rFonts w:ascii="Times New Roman" w:hAnsi="Times New Roman"/>
          <w:color w:val="000000"/>
          <w:sz w:val="20"/>
        </w:rPr>
        <w:t xml:space="preserve"> </w:t>
      </w:r>
      <w:r>
        <w:rPr>
          <w:rFonts w:ascii="Times New Roman" w:hAnsi="Times New Roman"/>
          <w:color w:val="000000"/>
          <w:sz w:val="18"/>
        </w:rPr>
        <w:t>and $75.6</w:t>
      </w:r>
      <w:r>
        <w:rPr>
          <w:rFonts w:ascii="Times New Roman" w:hAnsi="Times New Roman"/>
          <w:color w:val="000000"/>
          <w:sz w:val="20"/>
        </w:rPr>
        <w:t xml:space="preserve"> </w:t>
      </w:r>
      <w:r>
        <w:rPr>
          <w:rFonts w:ascii="Times New Roman" w:hAnsi="Times New Roman"/>
          <w:color w:val="000000"/>
          <w:sz w:val="18"/>
        </w:rPr>
        <w:t>as of January 1, 2022, December 31, 2022 and December 31, 2023, respectively. Balances related to Italy were $3.9, $3.7</w:t>
      </w:r>
      <w:r>
        <w:rPr>
          <w:rFonts w:ascii="Times New Roman" w:hAnsi="Times New Roman"/>
          <w:color w:val="000000"/>
          <w:sz w:val="20"/>
        </w:rPr>
        <w:t xml:space="preserve"> </w:t>
      </w:r>
      <w:r>
        <w:rPr>
          <w:rFonts w:ascii="Times New Roman" w:hAnsi="Times New Roman"/>
          <w:color w:val="000000"/>
          <w:sz w:val="18"/>
        </w:rPr>
        <w:t>and $3.8</w:t>
      </w:r>
      <w:r>
        <w:rPr>
          <w:rFonts w:ascii="Times New Roman" w:hAnsi="Times New Roman"/>
          <w:color w:val="000000"/>
          <w:sz w:val="20"/>
        </w:rPr>
        <w:t xml:space="preserve"> </w:t>
      </w:r>
      <w:r>
        <w:rPr>
          <w:rFonts w:ascii="Times New Roman" w:hAnsi="Times New Roman"/>
          <w:color w:val="000000"/>
          <w:sz w:val="18"/>
        </w:rPr>
        <w:t>as of January 1, 2022, December 31, 2022 and December 31, 2023, respectively.</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(3)</w:t>
      </w:r>
    </w:p>
    <w:p>
      <w:pPr>
        <w:pStyle w:val="TextBody"/>
        <w:bidi w:val="0"/>
        <w:spacing w:before="40" w:after="283"/>
        <w:jc w:val="both"/>
        <w:rPr>
          <w:rFonts w:ascii="Times New Roman" w:hAnsi="Times New Roman"/>
          <w:sz w:val="20"/>
        </w:rPr>
      </w:pPr>
      <w:r>
        <w:rPr>
          <w:rFonts w:ascii="Times New Roman" w:hAnsi="Times New Roman"/>
          <w:color w:val="000000"/>
          <w:sz w:val="18"/>
        </w:rPr>
        <w:t>The majority of the Corporate balance as of December 31, 2022 and 2023</w:t>
      </w:r>
      <w:r>
        <w:rPr>
          <w:rFonts w:ascii="Times New Roman" w:hAnsi="Times New Roman"/>
          <w:color w:val="000000"/>
          <w:sz w:val="20"/>
        </w:rPr>
        <w:t xml:space="preserve"> </w:t>
      </w:r>
      <w:r>
        <w:rPr>
          <w:rFonts w:ascii="Times New Roman" w:hAnsi="Times New Roman"/>
          <w:color w:val="000000"/>
          <w:sz w:val="18"/>
        </w:rPr>
        <w:t>relates to goodwill attributable to our acquisitions of Right Management ($62.1) and Jefferson Wells ($55.5). Jefferson Wells is part of the United States reporting unit. Right Management is allocated to the reporting units of the countries in which Right Management operates.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(4)</w:t>
      </w:r>
    </w:p>
    <w:p>
      <w:pPr>
        <w:pStyle w:val="TextBody"/>
        <w:bidi w:val="0"/>
        <w:spacing w:before="40" w:after="283"/>
        <w:jc w:val="both"/>
        <w:rPr>
          <w:rFonts w:ascii="Times New Roman" w:hAnsi="Times New Roman"/>
          <w:sz w:val="20"/>
        </w:rPr>
      </w:pPr>
      <w:r>
        <w:rPr>
          <w:rFonts w:ascii="Times New Roman" w:hAnsi="Times New Roman"/>
          <w:color w:val="000000"/>
          <w:sz w:val="18"/>
        </w:rPr>
        <w:t>Balances were net of accumulated impairment loss of $694.2</w:t>
      </w:r>
      <w:r>
        <w:rPr>
          <w:rFonts w:ascii="Times New Roman" w:hAnsi="Times New Roman"/>
          <w:color w:val="000000"/>
          <w:sz w:val="20"/>
        </w:rPr>
        <w:t xml:space="preserve"> </w:t>
      </w:r>
      <w:r>
        <w:rPr>
          <w:rFonts w:ascii="Times New Roman" w:hAnsi="Times New Roman"/>
          <w:color w:val="000000"/>
          <w:sz w:val="18"/>
        </w:rPr>
        <w:t>($177.0</w:t>
      </w:r>
      <w:r>
        <w:rPr>
          <w:rFonts w:ascii="Times New Roman" w:hAnsi="Times New Roman"/>
          <w:color w:val="000000"/>
          <w:sz w:val="20"/>
        </w:rPr>
        <w:t xml:space="preserve"> </w:t>
      </w:r>
      <w:r>
        <w:rPr>
          <w:rFonts w:ascii="Times New Roman" w:hAnsi="Times New Roman"/>
          <w:color w:val="000000"/>
          <w:sz w:val="18"/>
        </w:rPr>
        <w:t>related to Northern Europe, $3.8</w:t>
      </w:r>
      <w:r>
        <w:rPr>
          <w:rFonts w:ascii="Times New Roman" w:hAnsi="Times New Roman"/>
          <w:color w:val="000000"/>
          <w:sz w:val="20"/>
        </w:rPr>
        <w:t xml:space="preserve"> </w:t>
      </w:r>
      <w:r>
        <w:rPr>
          <w:rFonts w:ascii="Times New Roman" w:hAnsi="Times New Roman"/>
          <w:color w:val="000000"/>
          <w:sz w:val="18"/>
        </w:rPr>
        <w:t>related to APME, $235.2</w:t>
      </w:r>
      <w:r>
        <w:rPr>
          <w:rFonts w:ascii="Times New Roman" w:hAnsi="Times New Roman"/>
          <w:color w:val="000000"/>
          <w:sz w:val="20"/>
        </w:rPr>
        <w:t xml:space="preserve"> </w:t>
      </w:r>
      <w:r>
        <w:rPr>
          <w:rFonts w:ascii="Times New Roman" w:hAnsi="Times New Roman"/>
          <w:color w:val="000000"/>
          <w:sz w:val="18"/>
        </w:rPr>
        <w:t>related to Right Management and $278.2</w:t>
      </w:r>
      <w:r>
        <w:rPr>
          <w:rFonts w:ascii="Times New Roman" w:hAnsi="Times New Roman"/>
          <w:color w:val="000000"/>
          <w:sz w:val="20"/>
        </w:rPr>
        <w:t xml:space="preserve"> </w:t>
      </w:r>
      <w:r>
        <w:rPr>
          <w:rFonts w:ascii="Times New Roman" w:hAnsi="Times New Roman"/>
          <w:color w:val="000000"/>
          <w:sz w:val="18"/>
        </w:rPr>
        <w:t>related to Corporate) as of December 31, 2022; and $749.3</w:t>
      </w:r>
      <w:r>
        <w:rPr>
          <w:rFonts w:ascii="Times New Roman" w:hAnsi="Times New Roman"/>
          <w:color w:val="000000"/>
          <w:sz w:val="20"/>
        </w:rPr>
        <w:t xml:space="preserve"> </w:t>
      </w:r>
      <w:r>
        <w:rPr>
          <w:rFonts w:ascii="Times New Roman" w:hAnsi="Times New Roman"/>
          <w:color w:val="000000"/>
          <w:sz w:val="18"/>
        </w:rPr>
        <w:t>($232.1</w:t>
      </w:r>
      <w:r>
        <w:rPr>
          <w:rFonts w:ascii="Times New Roman" w:hAnsi="Times New Roman"/>
          <w:color w:val="000000"/>
          <w:sz w:val="20"/>
        </w:rPr>
        <w:t xml:space="preserve"> </w:t>
      </w:r>
      <w:r>
        <w:rPr>
          <w:rFonts w:ascii="Times New Roman" w:hAnsi="Times New Roman"/>
          <w:color w:val="000000"/>
          <w:sz w:val="18"/>
        </w:rPr>
        <w:t>related to Northern Europe, $3.8</w:t>
      </w:r>
      <w:r>
        <w:rPr>
          <w:rFonts w:ascii="Times New Roman" w:hAnsi="Times New Roman"/>
          <w:color w:val="000000"/>
          <w:sz w:val="20"/>
        </w:rPr>
        <w:t xml:space="preserve"> </w:t>
      </w:r>
      <w:r>
        <w:rPr>
          <w:rFonts w:ascii="Times New Roman" w:hAnsi="Times New Roman"/>
          <w:color w:val="000000"/>
          <w:sz w:val="18"/>
        </w:rPr>
        <w:t>related to APME, $235.2</w:t>
      </w:r>
      <w:r>
        <w:rPr>
          <w:rFonts w:ascii="Times New Roman" w:hAnsi="Times New Roman"/>
          <w:color w:val="000000"/>
          <w:sz w:val="20"/>
        </w:rPr>
        <w:t xml:space="preserve"> </w:t>
      </w:r>
      <w:r>
        <w:rPr>
          <w:rFonts w:ascii="Times New Roman" w:hAnsi="Times New Roman"/>
          <w:color w:val="000000"/>
          <w:sz w:val="18"/>
        </w:rPr>
        <w:t>related to Right Management and $278.2</w:t>
      </w:r>
      <w:r>
        <w:rPr>
          <w:rFonts w:ascii="Times New Roman" w:hAnsi="Times New Roman"/>
          <w:color w:val="000000"/>
          <w:sz w:val="20"/>
        </w:rPr>
        <w:t xml:space="preserve"> </w:t>
      </w:r>
      <w:r>
        <w:rPr>
          <w:rFonts w:ascii="Times New Roman" w:hAnsi="Times New Roman"/>
          <w:color w:val="000000"/>
          <w:sz w:val="18"/>
        </w:rPr>
        <w:t>related to Corporate) as of December 31, 2023.</w:t>
      </w:r>
      <w:r>
        <w:rPr>
          <w:rFonts w:ascii="Times New Roman" w:hAnsi="Times New Roman"/>
          <w:color w:val="000000"/>
          <w:sz w:val="20"/>
        </w:rPr>
        <w:t xml:space="preserve">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(5)</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The impairment charges relate to our Netherlands reporting unit, which was recorded during the fourth quarter of 2022 and 2023, respectively. See Note 1 to the Consolidated Financial Statements for further information.</w:t>
      </w:r>
    </w:p>
    <w:p>
      <w:pPr>
        <w:pStyle w:val="TextBody"/>
        <w:bidi w:val="0"/>
        <w:spacing w:before="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Goodwill balances by reporting unit were as follows:</w:t>
      </w:r>
    </w:p>
    <w:p>
      <w:pPr>
        <w:pStyle w:val="TextBody"/>
        <w:bidi w:val="0"/>
        <w:jc w:val="both"/>
        <w:rPr/>
      </w:pPr>
      <w:r>
        <w:rPr/>
        <w:t> </w:t>
      </w:r>
    </w:p>
    <w:tbl>
      <w:tblPr>
        <w:tblW w:w="4309" w:type="dxa"/>
        <w:jc w:val="left"/>
        <w:tblInd w:w="0" w:type="dxa"/>
        <w:tblLayout w:type="fixed"/>
        <w:tblCellMar>
          <w:top w:w="28" w:type="dxa"/>
          <w:left w:w="28" w:type="dxa"/>
          <w:bottom w:w="28" w:type="dxa"/>
          <w:right w:w="28" w:type="dxa"/>
        </w:tblCellMar>
      </w:tblPr>
      <w:tblGrid>
        <w:gridCol w:w="1816"/>
        <w:gridCol w:w="146"/>
        <w:gridCol w:w="211"/>
        <w:gridCol w:w="721"/>
        <w:gridCol w:w="146"/>
        <w:gridCol w:w="146"/>
        <w:gridCol w:w="211"/>
        <w:gridCol w:w="721"/>
        <w:gridCol w:w="19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1,085.3</w:t>
            </w:r>
          </w:p>
        </w:tc>
        <w:tc>
          <w:tcPr>
            <w:tcW w:w="191" w:type="dxa"/>
            <w:tcBorders/>
            <w:shd w:fill="CFF0FC" w:val="clear"/>
            <w:vAlign w:val="center"/>
          </w:tcPr>
          <w:p>
            <w:pPr>
              <w:pStyle w:val="TableContents"/>
              <w:bidi w:val="0"/>
              <w:spacing w:before="0" w:after="283"/>
              <w:jc w:val="left"/>
              <w:rPr/>
            </w:pPr>
            <w:r>
              <w:rPr/>
              <w:t> </w:t>
            </w:r>
          </w:p>
        </w:tc>
      </w:tr>
      <w:tr>
        <w:trPr/>
        <w:tc>
          <w:tcPr>
            <w:tcW w:w="1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91" w:type="dxa"/>
            <w:tcBorders/>
            <w:shd w:fill="FFFFFF" w:val="clear"/>
            <w:vAlign w:val="center"/>
          </w:tcPr>
          <w:p>
            <w:pPr>
              <w:pStyle w:val="TableContents"/>
              <w:bidi w:val="0"/>
              <w:spacing w:before="0" w:after="283"/>
              <w:jc w:val="left"/>
              <w:rPr/>
            </w:pPr>
            <w:r>
              <w:rPr/>
              <w:t> </w:t>
            </w:r>
          </w:p>
        </w:tc>
      </w:tr>
      <w:tr>
        <w:trPr/>
        <w:tc>
          <w:tcPr>
            <w:tcW w:w="1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91" w:type="dxa"/>
            <w:tcBorders/>
            <w:shd w:fill="CFF0FC" w:val="clear"/>
            <w:vAlign w:val="center"/>
          </w:tcPr>
          <w:p>
            <w:pPr>
              <w:pStyle w:val="TableContents"/>
              <w:bidi w:val="0"/>
              <w:spacing w:before="0" w:after="283"/>
              <w:jc w:val="left"/>
              <w:rPr/>
            </w:pPr>
            <w:r>
              <w:rPr/>
              <w:t> </w:t>
            </w:r>
          </w:p>
        </w:tc>
      </w:tr>
      <w:tr>
        <w:trPr/>
        <w:tc>
          <w:tcPr>
            <w:tcW w:w="18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91" w:type="dxa"/>
            <w:tcBorders/>
            <w:shd w:fill="FFFFFF" w:val="clear"/>
            <w:vAlign w:val="center"/>
          </w:tcPr>
          <w:p>
            <w:pPr>
              <w:pStyle w:val="TableContents"/>
              <w:bidi w:val="0"/>
              <w:spacing w:before="0" w:after="283"/>
              <w:jc w:val="left"/>
              <w:rPr/>
            </w:pPr>
            <w:r>
              <w:rPr/>
              <w:t> </w:t>
            </w:r>
          </w:p>
        </w:tc>
      </w:tr>
      <w:tr>
        <w:trPr/>
        <w:tc>
          <w:tcPr>
            <w:tcW w:w="18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91" w:type="dxa"/>
            <w:tcBorders/>
            <w:shd w:fill="CFF0FC" w:val="clear"/>
            <w:vAlign w:val="center"/>
          </w:tcPr>
          <w:p>
            <w:pPr>
              <w:pStyle w:val="TableContents"/>
              <w:bidi w:val="0"/>
              <w:spacing w:before="0" w:after="283"/>
              <w:jc w:val="left"/>
              <w:rPr/>
            </w:pPr>
            <w:r>
              <w:rPr/>
              <w:t> </w:t>
            </w:r>
          </w:p>
        </w:tc>
      </w:tr>
      <w:tr>
        <w:trPr/>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reporting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goodwill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(8) </w:t>
      </w:r>
      <w:r>
        <w:rPr>
          <w:rFonts w:ascii="Times New Roman" w:hAnsi="Times New Roman"/>
          <w:color w:val="000000"/>
          <w:sz w:val="20"/>
          <w:u w:val="single"/>
        </w:rPr>
        <w:t>Debt</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Information concerning short-term borrowings is as follows:</w:t>
      </w:r>
    </w:p>
    <w:tbl>
      <w:tblPr>
        <w:tblW w:w="4964" w:type="dxa"/>
        <w:jc w:val="left"/>
        <w:tblInd w:w="0" w:type="dxa"/>
        <w:tblLayout w:type="fixed"/>
        <w:tblCellMar>
          <w:top w:w="28" w:type="dxa"/>
          <w:left w:w="28" w:type="dxa"/>
          <w:bottom w:w="28" w:type="dxa"/>
          <w:right w:w="28" w:type="dxa"/>
        </w:tblCellMar>
      </w:tblPr>
      <w:tblGrid>
        <w:gridCol w:w="2671"/>
        <w:gridCol w:w="146"/>
        <w:gridCol w:w="211"/>
        <w:gridCol w:w="526"/>
        <w:gridCol w:w="271"/>
        <w:gridCol w:w="146"/>
        <w:gridCol w:w="211"/>
        <w:gridCol w:w="466"/>
        <w:gridCol w:w="31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borrowings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16" w:type="dxa"/>
            <w:tcBorders/>
            <w:shd w:fill="CFF0FC" w:val="clear"/>
            <w:vAlign w:val="center"/>
          </w:tcPr>
          <w:p>
            <w:pPr>
              <w:pStyle w:val="TableContents"/>
              <w:bidi w:val="0"/>
              <w:spacing w:before="0" w:after="283"/>
              <w:jc w:val="left"/>
              <w:rPr/>
            </w:pPr>
            <w:r>
              <w:rPr/>
              <w:t> </w:t>
            </w:r>
          </w:p>
        </w:tc>
      </w:tr>
      <w:tr>
        <w:trPr/>
        <w:tc>
          <w:tcPr>
            <w:tcW w:w="2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interest rates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maintain separate bank credit lines with financial institutions to meet working capital needs of our subsidiary operations. As of December 31, 2023, such uncommitted credit lines totaled $308.6, of which $294.2 was unused. Under our revolving credit agreement, total subsidiary borrowings cannot exceed $300.0 in the first, second and fourth quarters, and $600.0 in the third quarter of each year. Due to these limitations, additional borrowings of $285.6 could have been made under these lines as of December 31, 2023.</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A summary of long-term debt is as follows:</w:t>
      </w:r>
    </w:p>
    <w:tbl>
      <w:tblPr>
        <w:tblW w:w="4569" w:type="dxa"/>
        <w:jc w:val="left"/>
        <w:tblInd w:w="0" w:type="dxa"/>
        <w:tblLayout w:type="fixed"/>
        <w:tblCellMar>
          <w:top w:w="28" w:type="dxa"/>
          <w:left w:w="28" w:type="dxa"/>
          <w:bottom w:w="28" w:type="dxa"/>
          <w:right w:w="28" w:type="dxa"/>
        </w:tblCellMar>
      </w:tblPr>
      <w:tblGrid>
        <w:gridCol w:w="2176"/>
        <w:gridCol w:w="146"/>
        <w:gridCol w:w="211"/>
        <w:gridCol w:w="571"/>
        <w:gridCol w:w="146"/>
        <w:gridCol w:w="146"/>
        <w:gridCol w:w="211"/>
        <w:gridCol w:w="571"/>
        <w:gridCol w:w="3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Euro-denominated notes: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176" w:type="dxa"/>
            <w:tcBorders/>
            <w:shd w:fill="FFFFFF" w:val="clear"/>
            <w:vAlign w:val="center"/>
          </w:tcPr>
          <w:p>
            <w:pPr>
              <w:pStyle w:val="TableContents"/>
              <w:bidi w:val="0"/>
              <w:spacing w:before="0" w:after="283"/>
              <w:ind w:left="200" w:right="0" w:firstLine="200"/>
              <w:jc w:val="left"/>
              <w:rPr/>
            </w:pPr>
            <w:r>
              <w:rPr>
                <w:color w:val="000000"/>
              </w:rPr>
              <w:t>€</w:t>
            </w:r>
            <w:r>
              <w:rPr>
                <w:rFonts w:ascii="Times New Roman" w:hAnsi="Times New Roman"/>
                <w:color w:val="000000"/>
                <w:sz w:val="20"/>
              </w:rPr>
              <w:t>500.0 due June 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176" w:type="dxa"/>
            <w:tcBorders/>
            <w:shd w:fill="CFF0FC" w:val="clear"/>
            <w:vAlign w:val="center"/>
          </w:tcPr>
          <w:p>
            <w:pPr>
              <w:pStyle w:val="TableContents"/>
              <w:bidi w:val="0"/>
              <w:spacing w:before="0" w:after="283"/>
              <w:ind w:left="200" w:right="0" w:firstLine="200"/>
              <w:jc w:val="left"/>
              <w:rPr/>
            </w:pPr>
            <w:r>
              <w:rPr>
                <w:color w:val="000000"/>
              </w:rPr>
              <w:t>€</w:t>
            </w:r>
            <w:r>
              <w:rPr>
                <w:rFonts w:ascii="Times New Roman" w:hAnsi="Times New Roman"/>
                <w:color w:val="000000"/>
                <w:sz w:val="20"/>
              </w:rPr>
              <w:t>400.0 due June 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w:t>
            </w:r>
          </w:p>
        </w:tc>
        <w:tc>
          <w:tcPr>
            <w:tcW w:w="391" w:type="dxa"/>
            <w:tcBorders/>
            <w:shd w:fill="CFF0FC" w:val="clear"/>
            <w:vAlign w:val="center"/>
          </w:tcPr>
          <w:p>
            <w:pPr>
              <w:pStyle w:val="TableContents"/>
              <w:bidi w:val="0"/>
              <w:spacing w:before="0" w:after="283"/>
              <w:jc w:val="left"/>
              <w:rPr/>
            </w:pPr>
            <w:r>
              <w:rPr/>
              <w:t> </w:t>
            </w:r>
          </w:p>
        </w:tc>
      </w:tr>
      <w:tr>
        <w:trPr/>
        <w:tc>
          <w:tcPr>
            <w:tcW w:w="2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Euro Notes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30, 2022, we offered and sold €400.0 aggregate principal amount of the Company’s 3.50% notes due June 30, 2027 (the “€400.0 notes”). The proceeds from the €400.0 notes were used in July 2022 to repay our €400.0 1.875% notes due September 11, 2022. The €400.0 notes were issued at a price of 99.465% to yield an effective interest rate of 3.514%, net of a favorable impact of a forward starting interest rate swap. Interest on the Notes is payable in arrears on June 30 of each year. The Notes are unsecured senior obligations and rank equally with all of the Company’s existing and future senior unsecured debt and other liabilities.</w:t>
      </w:r>
    </w:p>
    <w:p>
      <w:pPr>
        <w:pStyle w:val="TextBody"/>
        <w:bidi w:val="0"/>
        <w:jc w:val="left"/>
        <w:rPr>
          <w:rFonts w:ascii="Times New Roman" w:hAnsi="Times New Roman"/>
          <w:color w:val="000000"/>
          <w:sz w:val="20"/>
        </w:rPr>
      </w:pPr>
      <w:r>
        <w:rPr>
          <w:rFonts w:ascii="Times New Roman" w:hAnsi="Times New Roman"/>
          <w:color w:val="000000"/>
          <w:sz w:val="20"/>
        </w:rPr>
        <w:t>On June 22, 2018, we offered and sold €500.0 aggregate principal amount of the Company’s 1.750% notes due June 2026 (the “€500.0 notes”). The net proceeds from the €500.0 notes of €495.7 were used to repay our €350.0 notes due June 22, 2018, with the remaining balance used for general corporate purposes, which included share repurchases. The €500.0 notes were issued at a price of 99.564% to yield an effective interest rate of 1.809%. Interest on the €500.0 notes is payable in arrears on June 22 of each year. The €500.0 notes are unsecured senior obligations and rank equally with all of the Company’s existing and future senior unsecured debt and other liabilities.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Both the €500.0 notes and €400.0 notes contain certain customary non-financial restrictive covenants and events of default and are unsecured senior obligations and rank equally with all of our existing and future senior unsecured debt and other liabilities. These notes have been designated as a hedge of our net investment in subsidiaries with a Euro-functional currency as of December 31, 2023. Since our net investment in these subsidiaries exceeds the respective amount of the designated borrowings, the related translation gains or losses are included as a component of accumulated other comprehensive loss. (See Note 12 to the Consolidated Financial Statements for further information.)</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Revolving Credit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May 27, 2022, we entered into a new Credit Agreement (the “Credit Agreement”) with a syndicate of commercial banks with a termination date of May 27, 2027 to replace our previous $600.0 revolving credit facility. The Credit Agreement includes terms generally consistent with our previous 5-year credit facility, except the Credit Agreement uses Secured Overnight Financing Rate (SOFR) as the base rate index instead of London Interbank Offered Rate (LIBOR). The Credit Agreement allows for borrowing of $600.0 in various currencies, and up to $150.0 may be used for the issuance of stand-by letters of credit. We had no borrowings under this facility as of December 31, 2023 and 2022. Outstanding letters of credit issued totaled $0.4, hence additional borrowings of $599.6 were available to us under the facility as of both December 31, 2023 and 2022.</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Credit Agreement, a credit ratings-based pricing grid determines the facility fee and the credit spread that we add to the applicable interbank borrowing rate on all borrowings. At our current credit rating, the annual facility fee is 10 basis points paid on the entire facility and the credit spread is 102.5 basis points on any borrowings. </w:t>
      </w:r>
    </w:p>
    <w:p>
      <w:pPr>
        <w:pStyle w:val="TextBody"/>
        <w:bidi w:val="0"/>
        <w:jc w:val="left"/>
        <w:rPr>
          <w:rFonts w:ascii="Times New Roman" w:hAnsi="Times New Roman"/>
          <w:color w:val="000000"/>
          <w:sz w:val="20"/>
        </w:rPr>
      </w:pPr>
      <w:r>
        <w:rPr>
          <w:rFonts w:ascii="Times New Roman" w:hAnsi="Times New Roman"/>
          <w:color w:val="000000"/>
          <w:sz w:val="20"/>
        </w:rPr>
        <w:t>The Credit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The Credit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Debt Maturities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maturities of long-term debt payable within each of the four years subsequent to December 31, 2024 are as follows: 2025 - $0.0, 2026 - $552.4, 2027 - $438.1, 2028 -$0.0.</w:t>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(9) </w:t>
      </w:r>
      <w:r>
        <w:rPr>
          <w:rFonts w:ascii="Times New Roman" w:hAnsi="Times New Roman"/>
          <w:color w:val="000000"/>
          <w:sz w:val="20"/>
          <w:u w:val="single"/>
        </w:rPr>
        <w:t>Retirement and Deferred Compensation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all of our United States defined benefit and retiree health care plans, we adopted the Society of Actuaries’ Pri-2012 Mortality Table with MP-2021 Mortality Improvement Scale in determining the plans’ benefit obligations as of December 31, 2023.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Defined Benefit Pension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sponsor qualified and nonqualified pension plans covering permanent employees in several countries. In our Switzerland pension plan, we recognized a partial settlement as a result of local regulations and turnover common to our industry and reclassified pension losses of $5.8, $2.7, and $1.0 in 2023, 2022, and 2021, respectively, net of tax, recorded in accumulated other comprehensive loss to the Consolidated Statements of Comprehensive Income.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reconciliation of the changes in the plans’ benefit obligations, the fair value of plan assets and the funded status of the plans are as follows:</w:t>
      </w:r>
    </w:p>
    <w:tbl>
      <w:tblPr>
        <w:tblW w:w="7859" w:type="dxa"/>
        <w:jc w:val="left"/>
        <w:tblInd w:w="0" w:type="dxa"/>
        <w:tblLayout w:type="fixed"/>
        <w:tblCellMar>
          <w:top w:w="28" w:type="dxa"/>
          <w:left w:w="28" w:type="dxa"/>
          <w:bottom w:w="28" w:type="dxa"/>
          <w:right w:w="28" w:type="dxa"/>
        </w:tblCellMar>
      </w:tblPr>
      <w:tblGrid>
        <w:gridCol w:w="3151"/>
        <w:gridCol w:w="146"/>
        <w:gridCol w:w="211"/>
        <w:gridCol w:w="526"/>
        <w:gridCol w:w="166"/>
        <w:gridCol w:w="146"/>
        <w:gridCol w:w="211"/>
        <w:gridCol w:w="466"/>
        <w:gridCol w:w="166"/>
        <w:gridCol w:w="146"/>
        <w:gridCol w:w="230"/>
        <w:gridCol w:w="624"/>
        <w:gridCol w:w="181"/>
        <w:gridCol w:w="159"/>
        <w:gridCol w:w="230"/>
        <w:gridCol w:w="689"/>
        <w:gridCol w:w="41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United States 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Non-United States Plans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Benefit Obligation</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4" w:type="dxa"/>
            <w:gridSpan w:val="2"/>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right"/>
              <w:rPr/>
            </w:pPr>
            <w:r>
              <w:rPr/>
              <w:t> </w:t>
            </w:r>
          </w:p>
        </w:tc>
        <w:tc>
          <w:tcPr>
            <w:tcW w:w="159" w:type="dxa"/>
            <w:tcBorders/>
            <w:shd w:fill="CFF0FC" w:val="clear"/>
            <w:vAlign w:val="center"/>
          </w:tcPr>
          <w:p>
            <w:pPr>
              <w:pStyle w:val="TableContents"/>
              <w:bidi w:val="0"/>
              <w:spacing w:before="0" w:after="283"/>
              <w:jc w:val="left"/>
              <w:rPr/>
            </w:pPr>
            <w:r>
              <w:rPr/>
              <w:t> </w:t>
            </w:r>
          </w:p>
        </w:tc>
        <w:tc>
          <w:tcPr>
            <w:tcW w:w="919"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3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obligation, beginning of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632.3</w:t>
            </w:r>
          </w:p>
        </w:tc>
        <w:tc>
          <w:tcPr>
            <w:tcW w:w="18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1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8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1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8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1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Transfers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8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1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Actuarial (gain)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81" w:type="dxa"/>
            <w:tcBorders/>
            <w:shd w:fill="CFF0FC" w:val="clear"/>
            <w:vAlign w:val="center"/>
          </w:tcPr>
          <w:p>
            <w:pPr>
              <w:pStyle w:val="TableContents"/>
              <w:bidi w:val="0"/>
              <w:spacing w:before="0" w:after="283"/>
              <w:jc w:val="left"/>
              <w:rPr/>
            </w:pPr>
            <w:r>
              <w:rPr/>
              <w:t> </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Plan participant contributions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81"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1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Benefits paid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Currency exchange rate changes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obligation, end of year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352" w:type="dxa"/>
        <w:jc w:val="left"/>
        <w:tblInd w:w="0" w:type="dxa"/>
        <w:tblLayout w:type="fixed"/>
        <w:tblCellMar>
          <w:top w:w="28" w:type="dxa"/>
          <w:left w:w="28" w:type="dxa"/>
          <w:bottom w:w="28" w:type="dxa"/>
          <w:right w:w="28" w:type="dxa"/>
        </w:tblCellMar>
      </w:tblPr>
      <w:tblGrid>
        <w:gridCol w:w="3586"/>
        <w:gridCol w:w="146"/>
        <w:gridCol w:w="211"/>
        <w:gridCol w:w="526"/>
        <w:gridCol w:w="166"/>
        <w:gridCol w:w="146"/>
        <w:gridCol w:w="211"/>
        <w:gridCol w:w="526"/>
        <w:gridCol w:w="166"/>
        <w:gridCol w:w="146"/>
        <w:gridCol w:w="223"/>
        <w:gridCol w:w="668"/>
        <w:gridCol w:w="175"/>
        <w:gridCol w:w="154"/>
        <w:gridCol w:w="223"/>
        <w:gridCol w:w="668"/>
        <w:gridCol w:w="41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United States 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Non-United States Plans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Plan Assets</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1" w:type="dxa"/>
            <w:gridSpan w:val="2"/>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891"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plan assets, beginning of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547.8</w:t>
            </w:r>
          </w:p>
        </w:tc>
        <w:tc>
          <w:tcPr>
            <w:tcW w:w="17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Actual return on plan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75"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Transfers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75"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Plan participant contributions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7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Company contributions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75"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Benefits paid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Currency exchange rate changes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plan assets, end of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596.3</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Funded Status at End of Year</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1" w:type="dxa"/>
            <w:gridSpan w:val="2"/>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891"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Funded status, end of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Amounts Recognized</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91" w:type="dxa"/>
            <w:gridSpan w:val="2"/>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891"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7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411" w:type="dxa"/>
            <w:tcBorders/>
            <w:shd w:fill="FFFFFF" w:val="cle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amount recognized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both 2023 and 2022, the actuarial gain related to the non-United States plans' benefit obligation was primarily related to changes in discount rates. The settlements and transfers of the non-United States plans primarily represent transfers in and out of temporary associates within our Switzerland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Amounts recognized in accumulated other comprehensive loss, net of tax, consisted of:</w:t>
      </w:r>
    </w:p>
    <w:p>
      <w:pPr>
        <w:pStyle w:val="TextBody"/>
        <w:bidi w:val="0"/>
        <w:jc w:val="both"/>
        <w:rPr/>
      </w:pPr>
      <w:r>
        <w:rPr/>
        <w:t> </w:t>
      </w:r>
    </w:p>
    <w:tbl>
      <w:tblPr>
        <w:tblW w:w="6731" w:type="dxa"/>
        <w:jc w:val="left"/>
        <w:tblInd w:w="0" w:type="dxa"/>
        <w:tblLayout w:type="fixed"/>
        <w:tblCellMar>
          <w:top w:w="28" w:type="dxa"/>
          <w:left w:w="28" w:type="dxa"/>
          <w:bottom w:w="28" w:type="dxa"/>
          <w:right w:w="28" w:type="dxa"/>
        </w:tblCellMar>
      </w:tblPr>
      <w:tblGrid>
        <w:gridCol w:w="2281"/>
        <w:gridCol w:w="146"/>
        <w:gridCol w:w="225"/>
        <w:gridCol w:w="562"/>
        <w:gridCol w:w="156"/>
        <w:gridCol w:w="156"/>
        <w:gridCol w:w="225"/>
        <w:gridCol w:w="385"/>
        <w:gridCol w:w="146"/>
        <w:gridCol w:w="146"/>
        <w:gridCol w:w="278"/>
        <w:gridCol w:w="695"/>
        <w:gridCol w:w="192"/>
        <w:gridCol w:w="192"/>
        <w:gridCol w:w="278"/>
        <w:gridCol w:w="477"/>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9" w:type="dxa"/>
            <w:gridSpan w:val="6"/>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United States Plans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2" w:type="dxa"/>
            <w:gridSpan w:val="6"/>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Non-United States Plans</w:t>
            </w:r>
          </w:p>
        </w:tc>
        <w:tc>
          <w:tcPr>
            <w:tcW w:w="191" w:type="dxa"/>
            <w:tcBorders/>
            <w:shd w:fill="FFFFFF" w:val="clear"/>
            <w:vAlign w:val="center"/>
          </w:tcPr>
          <w:p>
            <w:pPr>
              <w:pStyle w:val="TableContents"/>
              <w:bidi w:val="0"/>
              <w:spacing w:before="0" w:after="283"/>
              <w:jc w:val="right"/>
              <w:rPr/>
            </w:pPr>
            <w:r>
              <w:rPr/>
              <w:t> </w:t>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92" w:type="dxa"/>
            <w:tcBorders/>
            <w:shd w:fill="CFF0FC" w:val="clear"/>
            <w:vAlign w:val="center"/>
          </w:tcPr>
          <w:p>
            <w:pPr>
              <w:pStyle w:val="TableContents"/>
              <w:bidi w:val="0"/>
              <w:spacing w:before="0" w:after="283"/>
              <w:jc w:val="left"/>
              <w:rPr/>
            </w:pPr>
            <w:r>
              <w:rPr/>
              <w:t> </w:t>
            </w:r>
          </w:p>
        </w:tc>
        <w:tc>
          <w:tcPr>
            <w:tcW w:w="192"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91" w:type="dxa"/>
            <w:tcBorders/>
            <w:shd w:fill="CFF0FC" w:val="clear"/>
            <w:vAlign w:val="center"/>
          </w:tcPr>
          <w:p>
            <w:pPr>
              <w:pStyle w:val="TableContents"/>
              <w:bidi w:val="0"/>
              <w:spacing w:before="0" w:after="283"/>
              <w:jc w:val="left"/>
              <w:rPr/>
            </w:pPr>
            <w:r>
              <w:rPr/>
              <w:t> </w:t>
            </w:r>
          </w:p>
        </w:tc>
      </w:tr>
      <w:tr>
        <w:trPr/>
        <w:tc>
          <w:tcPr>
            <w:tcW w:w="2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service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accumulated benefit obligation (ABO) for all qualified defined benefit pension plans was $706.0 and $629.0 as of December 31, 2023 and 2022, respectively. The ABO for plans that have plan assets was $625.1 and $554.1 as of December 31, 2023 and 2022, respectively. The accumulated benefit obligation for some of our plans exceeded the fair value of plan assets as follows:</w:t>
      </w:r>
    </w:p>
    <w:p>
      <w:pPr>
        <w:pStyle w:val="TextBody"/>
        <w:bidi w:val="0"/>
        <w:jc w:val="both"/>
        <w:rPr/>
      </w:pPr>
      <w:r>
        <w:rPr/>
        <w:t> </w:t>
      </w:r>
    </w:p>
    <w:tbl>
      <w:tblPr>
        <w:tblW w:w="4909" w:type="dxa"/>
        <w:jc w:val="left"/>
        <w:tblInd w:w="0" w:type="dxa"/>
        <w:tblLayout w:type="fixed"/>
        <w:tblCellMar>
          <w:top w:w="28" w:type="dxa"/>
          <w:left w:w="28" w:type="dxa"/>
          <w:bottom w:w="28" w:type="dxa"/>
          <w:right w:w="28" w:type="dxa"/>
        </w:tblCellMar>
      </w:tblPr>
      <w:tblGrid>
        <w:gridCol w:w="2716"/>
        <w:gridCol w:w="146"/>
        <w:gridCol w:w="211"/>
        <w:gridCol w:w="571"/>
        <w:gridCol w:w="146"/>
        <w:gridCol w:w="146"/>
        <w:gridCol w:w="211"/>
        <w:gridCol w:w="571"/>
        <w:gridCol w:w="1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benefit obligation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91" w:type="dxa"/>
            <w:tcBorders/>
            <w:shd w:fill="CFF0FC" w:val="clear"/>
            <w:vAlign w:val="center"/>
          </w:tcPr>
          <w:p>
            <w:pPr>
              <w:pStyle w:val="TableContents"/>
              <w:bidi w:val="0"/>
              <w:spacing w:before="0" w:after="283"/>
              <w:jc w:val="left"/>
              <w:rPr/>
            </w:pPr>
            <w:r>
              <w:rPr/>
              <w:t> </w:t>
            </w:r>
          </w:p>
        </w:tc>
      </w:tr>
      <w:tr>
        <w:trPr/>
        <w:tc>
          <w:tcPr>
            <w:tcW w:w="2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projected benefit obligation (PBO) for all qualified defined benefit pension plans was $732.4 and $652.8 as of December 31, 2023 and 2022, respectively. The PBO for some of our plans exceeded the fair value of plan assets as follows:</w:t>
      </w:r>
    </w:p>
    <w:p>
      <w:pPr>
        <w:pStyle w:val="TextBody"/>
        <w:bidi w:val="0"/>
        <w:jc w:val="both"/>
        <w:rPr/>
      </w:pPr>
      <w:r>
        <w:rPr/>
        <w:t> </w:t>
      </w:r>
    </w:p>
    <w:tbl>
      <w:tblPr>
        <w:tblW w:w="4594" w:type="dxa"/>
        <w:jc w:val="left"/>
        <w:tblInd w:w="0" w:type="dxa"/>
        <w:tblLayout w:type="fixed"/>
        <w:tblCellMar>
          <w:top w:w="28" w:type="dxa"/>
          <w:left w:w="28" w:type="dxa"/>
          <w:bottom w:w="28" w:type="dxa"/>
          <w:right w:w="28" w:type="dxa"/>
        </w:tblCellMar>
      </w:tblPr>
      <w:tblGrid>
        <w:gridCol w:w="2401"/>
        <w:gridCol w:w="146"/>
        <w:gridCol w:w="211"/>
        <w:gridCol w:w="571"/>
        <w:gridCol w:w="146"/>
        <w:gridCol w:w="146"/>
        <w:gridCol w:w="211"/>
        <w:gridCol w:w="571"/>
        <w:gridCol w:w="1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4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Projected benefit obligation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91" w:type="dxa"/>
            <w:tcBorders/>
            <w:shd w:fill="CFF0FC" w:val="clear"/>
            <w:vAlign w:val="center"/>
          </w:tcPr>
          <w:p>
            <w:pPr>
              <w:pStyle w:val="TableContents"/>
              <w:bidi w:val="0"/>
              <w:spacing w:before="0" w:after="283"/>
              <w:jc w:val="left"/>
              <w:rPr/>
            </w:pPr>
            <w:r>
              <w:rPr/>
              <w:t> </w:t>
            </w:r>
          </w:p>
        </w:tc>
      </w:tr>
      <w:tr>
        <w:trPr/>
        <w:tc>
          <w:tcPr>
            <w:tcW w:w="2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By their nature, certain of our plans do not have plan assets. The accumulated benefit obligation for these plans was $80.9 and $74.9 as of December 31, 2023 and 2022,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components of the net periodic benefit cost and other amounts recognized in other comprehensive income (loss) for all plans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013"/>
        <w:gridCol w:w="146"/>
        <w:gridCol w:w="211"/>
        <w:gridCol w:w="526"/>
        <w:gridCol w:w="166"/>
        <w:gridCol w:w="146"/>
        <w:gridCol w:w="211"/>
        <w:gridCol w:w="526"/>
        <w:gridCol w:w="166"/>
        <w:gridCol w:w="146"/>
        <w:gridCol w:w="211"/>
        <w:gridCol w:w="526"/>
        <w:gridCol w:w="211"/>
      </w:tblGrid>
      <w:tr>
        <w:trPr/>
        <w:tc>
          <w:tcPr>
            <w:tcW w:w="7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01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Periodic Benefit Cost</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70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cost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211" w:type="dxa"/>
            <w:tcBorders/>
            <w:shd w:fill="FFFFFF" w:val="clear"/>
            <w:vAlign w:val="center"/>
          </w:tcPr>
          <w:p>
            <w:pPr>
              <w:pStyle w:val="TableContents"/>
              <w:bidi w:val="0"/>
              <w:spacing w:before="0" w:after="283"/>
              <w:jc w:val="left"/>
              <w:rPr/>
            </w:pPr>
            <w:r>
              <w:rPr/>
              <w:t> </w:t>
            </w:r>
          </w:p>
        </w:tc>
      </w:tr>
      <w:tr>
        <w:trPr/>
        <w:tc>
          <w:tcPr>
            <w:tcW w:w="70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1" w:type="dxa"/>
            <w:tcBorders/>
            <w:shd w:fill="CFF0FC" w:val="clear"/>
            <w:vAlign w:val="center"/>
          </w:tcPr>
          <w:p>
            <w:pPr>
              <w:pStyle w:val="TableContents"/>
              <w:bidi w:val="0"/>
              <w:spacing w:before="0" w:after="283"/>
              <w:jc w:val="left"/>
              <w:rPr/>
            </w:pPr>
            <w:r>
              <w:rPr/>
              <w:t> </w:t>
            </w:r>
          </w:p>
        </w:tc>
      </w:tr>
      <w:tr>
        <w:trPr/>
        <w:tc>
          <w:tcPr>
            <w:tcW w:w="70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return on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CFF0FC" w:val="clear"/>
            <w:vAlign w:val="center"/>
          </w:tcPr>
          <w:p>
            <w:pPr>
              <w:pStyle w:val="TableContents"/>
              <w:bidi w:val="0"/>
              <w:spacing w:before="0" w:after="283"/>
              <w:jc w:val="left"/>
              <w:rPr/>
            </w:pPr>
            <w:r>
              <w:rPr/>
              <w:t> </w:t>
            </w:r>
          </w:p>
        </w:tc>
      </w:tr>
      <w:tr>
        <w:trPr/>
        <w:tc>
          <w:tcPr>
            <w:tcW w:w="70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(gain)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11" w:type="dxa"/>
            <w:tcBorders/>
            <w:shd w:fill="FFFFFF" w:val="clear"/>
            <w:vAlign w:val="center"/>
          </w:tcPr>
          <w:p>
            <w:pPr>
              <w:pStyle w:val="TableContents"/>
              <w:bidi w:val="0"/>
              <w:spacing w:before="0" w:after="283"/>
              <w:jc w:val="left"/>
              <w:rPr/>
            </w:pPr>
            <w:r>
              <w:rPr/>
              <w:t> </w:t>
            </w:r>
          </w:p>
        </w:tc>
      </w:tr>
      <w:tr>
        <w:trPr/>
        <w:tc>
          <w:tcPr>
            <w:tcW w:w="7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service cost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benefit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Changes in Plan Assets and Benefit Obligation Recognized in Other Comprehensive Income/Loss</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70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(gain)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service credit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70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prior service cost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recognized in other comprehensive income/loss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recognized in net periodic benefit cost and other comprehensive income/loss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estimated net gain and prior service cost for the defined benefit pension plans that will be amortized from accumulated other comprehensive income/loss into net periodic benefit cost during 2024 are $1.5 and $0.7, respectively.</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weighted-average assumptions used in the measurement of the benefit obligation were as follows:</w:t>
      </w:r>
    </w:p>
    <w:p>
      <w:pPr>
        <w:pStyle w:val="TextBody"/>
        <w:bidi w:val="0"/>
        <w:jc w:val="both"/>
        <w:rPr/>
      </w:pPr>
      <w:r>
        <w:rPr/>
        <w:t> </w:t>
      </w:r>
    </w:p>
    <w:tbl>
      <w:tblPr>
        <w:tblW w:w="7296" w:type="dxa"/>
        <w:jc w:val="left"/>
        <w:tblInd w:w="0" w:type="dxa"/>
        <w:tblLayout w:type="fixed"/>
        <w:tblCellMar>
          <w:top w:w="28" w:type="dxa"/>
          <w:left w:w="28" w:type="dxa"/>
          <w:bottom w:w="28" w:type="dxa"/>
          <w:right w:w="28" w:type="dxa"/>
        </w:tblCellMar>
      </w:tblPr>
      <w:tblGrid>
        <w:gridCol w:w="2596"/>
        <w:gridCol w:w="146"/>
        <w:gridCol w:w="156"/>
        <w:gridCol w:w="563"/>
        <w:gridCol w:w="290"/>
        <w:gridCol w:w="156"/>
        <w:gridCol w:w="156"/>
        <w:gridCol w:w="387"/>
        <w:gridCol w:w="271"/>
        <w:gridCol w:w="146"/>
        <w:gridCol w:w="193"/>
        <w:gridCol w:w="697"/>
        <w:gridCol w:w="359"/>
        <w:gridCol w:w="193"/>
        <w:gridCol w:w="193"/>
        <w:gridCol w:w="478"/>
        <w:gridCol w:w="31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United States Plans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Non-United States Plans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left"/>
              <w:rPr/>
            </w:pPr>
            <w:r>
              <w:rPr/>
              <w:t> </w:t>
            </w:r>
          </w:p>
        </w:tc>
        <w:tc>
          <w:tcPr>
            <w:tcW w:w="3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4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Rate of compensation 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weighted-average assumptions used in the measurement of the net periodic benefit cost were as follows:</w:t>
      </w:r>
    </w:p>
    <w:p>
      <w:pPr>
        <w:pStyle w:val="TextBody"/>
        <w:bidi w:val="0"/>
        <w:jc w:val="both"/>
        <w:rPr/>
      </w:pPr>
      <w:r>
        <w:rPr/>
        <w:t> </w:t>
      </w:r>
    </w:p>
    <w:tbl>
      <w:tblPr>
        <w:tblW w:w="9746" w:type="dxa"/>
        <w:jc w:val="left"/>
        <w:tblInd w:w="0" w:type="dxa"/>
        <w:tblLayout w:type="fixed"/>
        <w:tblCellMar>
          <w:top w:w="28" w:type="dxa"/>
          <w:left w:w="28" w:type="dxa"/>
          <w:bottom w:w="28" w:type="dxa"/>
          <w:right w:w="28" w:type="dxa"/>
        </w:tblCellMar>
      </w:tblPr>
      <w:tblGrid>
        <w:gridCol w:w="3751"/>
        <w:gridCol w:w="146"/>
        <w:gridCol w:w="146"/>
        <w:gridCol w:w="526"/>
        <w:gridCol w:w="271"/>
        <w:gridCol w:w="146"/>
        <w:gridCol w:w="151"/>
        <w:gridCol w:w="375"/>
        <w:gridCol w:w="271"/>
        <w:gridCol w:w="146"/>
        <w:gridCol w:w="151"/>
        <w:gridCol w:w="375"/>
        <w:gridCol w:w="271"/>
        <w:gridCol w:w="146"/>
        <w:gridCol w:w="146"/>
        <w:gridCol w:w="526"/>
        <w:gridCol w:w="271"/>
        <w:gridCol w:w="146"/>
        <w:gridCol w:w="151"/>
        <w:gridCol w:w="375"/>
        <w:gridCol w:w="271"/>
        <w:gridCol w:w="146"/>
        <w:gridCol w:w="151"/>
        <w:gridCol w:w="375"/>
        <w:gridCol w:w="316"/>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5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United States Plans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Non-United States Plans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long-term return on plan assets</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Rate of compensation increase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crediting rates for cash balance plans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determine our assumption for the discount rate based on an index of high-quality corporate bond yields and matched-funding yield curve analysis as of the end of each fiscal year.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overall expected long-term rate of return used in the measurement of the 2023 net periodic benefit cost on non-United States plans varied by country and ranged from 2.5% to 5.0%. For a majority of our plans, a building block approach has been employed to establish this return. Historical markets are studied and long-term historical relationships between equity securities and fixed income instruments are preserved consistent with the widely accepted capital market principle that assets with higher volatility generate a greater return over time. Current market factors such as inflation and interest rates are evaluated before long-term capital market assumptions are determined. The long-term portfolio return is established with proper consideration of diversification and rebalancing. We also use guaranteed insurance contracts for four of our foreign plans. Peer data and historical returns are reviewed to check for reasonableness and appropriateness of our expected rate of return. None of our United States plans has plan assets due to the settlement of the Qualified Retirement Plan liability during the first quarter of 2020.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Projected salary levels utilized in the determination of the projected benefit obligation for the pension plans are based upon historical experience and the future expectations for each respective country.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plans’ investment policies are to optimize the long-term return on plan assets at an acceptable level of risk and to maintain careful control of the risk level within each asset class. Our long-term objective is to minimize plan expenses and contributions by outperforming plan liabilities. We have historically used a balanced portfolio strategy based primarily on a target allocation of equity securities and fixed-income instruments, which vary by location. These target allocations, which are similar to the 2023 allocations, are determined based on the favorable risk tolerance characteristics of the plan and, at times, may be adjusted within a specified range to advance our overall objective.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fair values of our Level 1 and Level 2 pension plan assets are primarily determined by using market quotes and other relevant information that is generated by market transactions involving identical or comparable assets. Insurance contracts and annuity contracts are measured at the present value of expected future benefit payments primarily using associated interest curves. Hedge funds consist of a number of diversified funds including those investing in international securities, equity and private partnership interests valued using market available data and various models and assumptions.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fair value of our pension plan assets by asset category was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145"/>
        <w:gridCol w:w="346"/>
        <w:gridCol w:w="376"/>
        <w:gridCol w:w="984"/>
        <w:gridCol w:w="146"/>
        <w:gridCol w:w="146"/>
        <w:gridCol w:w="408"/>
        <w:gridCol w:w="1069"/>
        <w:gridCol w:w="146"/>
        <w:gridCol w:w="146"/>
        <w:gridCol w:w="384"/>
        <w:gridCol w:w="1005"/>
        <w:gridCol w:w="146"/>
        <w:gridCol w:w="146"/>
        <w:gridCol w:w="613"/>
        <w:gridCol w:w="1603"/>
        <w:gridCol w:w="396"/>
      </w:tblGrid>
      <w:tr>
        <w:trPr/>
        <w:tc>
          <w:tcPr>
            <w:tcW w:w="21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145" w:type="dxa"/>
            <w:tcBorders/>
            <w:shd w:fill="FFFFFF" w:val="clear"/>
            <w:vAlign w:val="center"/>
          </w:tcPr>
          <w:p>
            <w:pPr>
              <w:pStyle w:val="TableContents"/>
              <w:bidi w:val="0"/>
              <w:spacing w:before="0" w:after="283"/>
              <w:jc w:val="right"/>
              <w:rPr/>
            </w:pPr>
            <w:r>
              <w:rPr/>
              <w:t> </w:t>
            </w:r>
          </w:p>
        </w:tc>
        <w:tc>
          <w:tcPr>
            <w:tcW w:w="346" w:type="dxa"/>
            <w:tcBorders/>
            <w:shd w:fill="FFFFFF" w:val="clear"/>
            <w:vAlign w:val="center"/>
          </w:tcPr>
          <w:p>
            <w:pPr>
              <w:pStyle w:val="TableContents"/>
              <w:bidi w:val="0"/>
              <w:spacing w:before="0" w:after="283"/>
              <w:jc w:val="right"/>
              <w:rPr/>
            </w:pPr>
            <w:r>
              <w:rPr/>
              <w:t> </w:t>
            </w:r>
          </w:p>
        </w:tc>
        <w:tc>
          <w:tcPr>
            <w:tcW w:w="731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Fair Value Measurements Using</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Quoted Prices</w:t>
              <w:br/>
              <w:t>in Active Markets for</w:t>
              <w:br/>
              <w:t>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Significant Other</w:t>
              <w:br/>
              <w:t>Observable 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Significant Unobservable Inputs</w:t>
              <w:br/>
              <w:t>(Level 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45"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 Category</w:t>
            </w:r>
          </w:p>
        </w:tc>
        <w:tc>
          <w:tcPr>
            <w:tcW w:w="346" w:type="dxa"/>
            <w:tcBorders/>
            <w:shd w:fill="CFF0FC" w:val="clear"/>
            <w:vAlign w:val="center"/>
          </w:tcPr>
          <w:p>
            <w:pPr>
              <w:pStyle w:val="TableContents"/>
              <w:bidi w:val="0"/>
              <w:spacing w:before="0" w:after="283"/>
              <w:jc w:val="left"/>
              <w:rPr/>
            </w:pPr>
            <w:r>
              <w:rPr/>
              <w:t> </w:t>
            </w:r>
          </w:p>
        </w:tc>
        <w:tc>
          <w:tcPr>
            <w:tcW w:w="136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16"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jc w:val="righ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3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3" w:type="dxa"/>
            <w:tcBorders/>
            <w:shd w:fill="FFFFFF" w:val="clear"/>
            <w:vAlign w:val="center"/>
          </w:tcPr>
          <w:p>
            <w:pPr>
              <w:pStyle w:val="TableContents"/>
              <w:bidi w:val="0"/>
              <w:spacing w:before="0" w:after="283"/>
              <w:jc w:val="right"/>
              <w:rPr>
                <w:color w:val="000000"/>
              </w:rPr>
            </w:pPr>
            <w:r>
              <w:rPr>
                <w:color w:val="000000"/>
              </w:rPr>
              <w:t>—</w:t>
            </w:r>
          </w:p>
        </w:tc>
        <w:tc>
          <w:tcPr>
            <w:tcW w:w="396" w:type="dxa"/>
            <w:tcBorders/>
            <w:shd w:fill="FFFFFF" w:val="clear"/>
            <w:vAlign w:val="center"/>
          </w:tcPr>
          <w:p>
            <w:pPr>
              <w:pStyle w:val="TableContents"/>
              <w:bidi w:val="0"/>
              <w:spacing w:before="0" w:after="283"/>
              <w:jc w:val="left"/>
              <w:rPr/>
            </w:pPr>
            <w:r>
              <w:rPr/>
              <w:t> </w:t>
            </w:r>
          </w:p>
        </w:tc>
      </w:tr>
      <w:tr>
        <w:trPr/>
        <w:tc>
          <w:tcPr>
            <w:tcW w:w="214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securities:</w:t>
            </w:r>
          </w:p>
        </w:tc>
        <w:tc>
          <w:tcPr>
            <w:tcW w:w="346" w:type="dxa"/>
            <w:tcBorders/>
            <w:shd w:fill="CFF0FC" w:val="clear"/>
            <w:vAlign w:val="center"/>
          </w:tcPr>
          <w:p>
            <w:pPr>
              <w:pStyle w:val="TableContents"/>
              <w:bidi w:val="0"/>
              <w:spacing w:before="0" w:after="283"/>
              <w:jc w:val="left"/>
              <w:rPr/>
            </w:pPr>
            <w:r>
              <w:rPr/>
              <w:t> </w:t>
            </w:r>
          </w:p>
        </w:tc>
        <w:tc>
          <w:tcPr>
            <w:tcW w:w="136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7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16" w:type="dxa"/>
            <w:gridSpan w:val="2"/>
            <w:tcBorders/>
            <w:shd w:fill="CFF0FC" w:val="clear"/>
            <w:vAlign w:val="center"/>
          </w:tcPr>
          <w:p>
            <w:pPr>
              <w:pStyle w:val="TableContents"/>
              <w:bidi w:val="0"/>
              <w:spacing w:before="0" w:after="283"/>
              <w:jc w:val="right"/>
              <w:rPr/>
            </w:pPr>
            <w:r>
              <w:rPr/>
              <w:t> </w:t>
            </w:r>
          </w:p>
        </w:tc>
        <w:tc>
          <w:tcPr>
            <w:tcW w:w="396" w:type="dxa"/>
            <w:tcBorders/>
            <w:shd w:fill="CFF0FC" w:val="clear"/>
            <w:vAlign w:val="center"/>
          </w:tcPr>
          <w:p>
            <w:pPr>
              <w:pStyle w:val="TableContents"/>
              <w:bidi w:val="0"/>
              <w:spacing w:before="0" w:after="283"/>
              <w:ind w:left="0" w:right="0" w:firstLine="200"/>
              <w:jc w:val="right"/>
              <w:rPr/>
            </w:pPr>
            <w:r>
              <w:rPr/>
              <w:t> </w:t>
            </w:r>
          </w:p>
        </w:tc>
      </w:tr>
      <w:tr>
        <w:trPr/>
        <w:tc>
          <w:tcPr>
            <w:tcW w:w="2145"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Mutual funds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7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color w:val="000000"/>
              </w:rPr>
            </w:pPr>
            <w:r>
              <w:rPr>
                <w:color w:val="000000"/>
              </w:rPr>
              <w:t>—</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145"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Common stock</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76"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06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pPr>
            <w:r>
              <w:rPr/>
              <w:t> </w:t>
            </w:r>
          </w:p>
        </w:tc>
        <w:tc>
          <w:tcPr>
            <w:tcW w:w="100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left"/>
              <w:rPr/>
            </w:pPr>
            <w:r>
              <w:rPr/>
              <w:t> </w:t>
            </w:r>
          </w:p>
        </w:tc>
        <w:tc>
          <w:tcPr>
            <w:tcW w:w="1603" w:type="dxa"/>
            <w:tcBorders/>
            <w:shd w:fill="CFF0FC" w:val="clear"/>
            <w:vAlign w:val="center"/>
          </w:tcPr>
          <w:p>
            <w:pPr>
              <w:pStyle w:val="TableContents"/>
              <w:bidi w:val="0"/>
              <w:spacing w:before="0" w:after="283"/>
              <w:jc w:val="right"/>
              <w:rPr>
                <w:color w:val="000000"/>
              </w:rPr>
            </w:pPr>
            <w:r>
              <w:rPr>
                <w:color w:val="000000"/>
              </w:rPr>
              <w:t>—</w:t>
            </w:r>
          </w:p>
        </w:tc>
        <w:tc>
          <w:tcPr>
            <w:tcW w:w="396" w:type="dxa"/>
            <w:tcBorders/>
            <w:shd w:fill="CFF0FC"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Fixed income instruments:</w:t>
            </w:r>
          </w:p>
        </w:tc>
        <w:tc>
          <w:tcPr>
            <w:tcW w:w="346" w:type="dxa"/>
            <w:tcBorders/>
            <w:shd w:fill="FFFFFF" w:val="clear"/>
            <w:vAlign w:val="center"/>
          </w:tcPr>
          <w:p>
            <w:pPr>
              <w:pStyle w:val="TableContents"/>
              <w:bidi w:val="0"/>
              <w:spacing w:before="0" w:after="283"/>
              <w:jc w:val="left"/>
              <w:rPr/>
            </w:pPr>
            <w:r>
              <w:rPr/>
              <w:t> </w:t>
            </w:r>
          </w:p>
        </w:tc>
        <w:tc>
          <w:tcPr>
            <w:tcW w:w="136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16" w:type="dxa"/>
            <w:gridSpan w:val="2"/>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ind w:left="0" w:right="0" w:firstLine="200"/>
              <w:jc w:val="right"/>
              <w:rPr/>
            </w:pPr>
            <w:r>
              <w:rPr/>
              <w:t> </w:t>
            </w:r>
          </w:p>
        </w:tc>
      </w:tr>
      <w:tr>
        <w:trPr/>
        <w:tc>
          <w:tcPr>
            <w:tcW w:w="2145"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Fixed income funds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76"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06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pPr>
            <w:r>
              <w:rPr/>
              <w:t> </w:t>
            </w:r>
          </w:p>
        </w:tc>
        <w:tc>
          <w:tcPr>
            <w:tcW w:w="10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left"/>
              <w:rPr/>
            </w:pPr>
            <w:r>
              <w:rPr/>
              <w:t> </w:t>
            </w:r>
          </w:p>
        </w:tc>
        <w:tc>
          <w:tcPr>
            <w:tcW w:w="1603" w:type="dxa"/>
            <w:tcBorders/>
            <w:shd w:fill="CFF0FC" w:val="clear"/>
            <w:vAlign w:val="center"/>
          </w:tcPr>
          <w:p>
            <w:pPr>
              <w:pStyle w:val="TableContents"/>
              <w:bidi w:val="0"/>
              <w:spacing w:before="0" w:after="283"/>
              <w:jc w:val="right"/>
              <w:rPr>
                <w:color w:val="000000"/>
              </w:rPr>
            </w:pPr>
            <w:r>
              <w:rPr>
                <w:color w:val="000000"/>
              </w:rPr>
              <w:t>—</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145"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Annuity contract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7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145"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Guaranteed insurance contracts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76"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06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pPr>
            <w:r>
              <w:rPr/>
              <w:t> </w:t>
            </w:r>
          </w:p>
        </w:tc>
        <w:tc>
          <w:tcPr>
            <w:tcW w:w="10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left"/>
              <w:rPr/>
            </w:pPr>
            <w:r>
              <w:rPr/>
              <w:t> </w:t>
            </w:r>
          </w:p>
        </w:tc>
        <w:tc>
          <w:tcPr>
            <w:tcW w:w="1603" w:type="dxa"/>
            <w:tcBorders/>
            <w:shd w:fill="CFF0FC" w:val="clear"/>
            <w:vAlign w:val="center"/>
          </w:tcPr>
          <w:p>
            <w:pPr>
              <w:pStyle w:val="TableContents"/>
              <w:bidi w:val="0"/>
              <w:spacing w:before="0" w:after="283"/>
              <w:jc w:val="right"/>
              <w:rPr>
                <w:color w:val="000000"/>
              </w:rPr>
            </w:pPr>
            <w:r>
              <w:rPr>
                <w:color w:val="000000"/>
              </w:rPr>
              <w:t>—</w:t>
            </w:r>
          </w:p>
        </w:tc>
        <w:tc>
          <w:tcPr>
            <w:tcW w:w="396" w:type="dxa"/>
            <w:tcBorders/>
            <w:shd w:fill="CFF0FC" w:val="clear"/>
            <w:vAlign w:val="center"/>
          </w:tcPr>
          <w:p>
            <w:pPr>
              <w:pStyle w:val="TableContents"/>
              <w:bidi w:val="0"/>
              <w:spacing w:before="0" w:after="283"/>
              <w:jc w:val="left"/>
              <w:rPr/>
            </w:pPr>
            <w:r>
              <w:rPr/>
              <w:t> </w:t>
            </w:r>
          </w:p>
        </w:tc>
      </w:tr>
      <w:tr>
        <w:trPr/>
        <w:tc>
          <w:tcPr>
            <w:tcW w:w="214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types of investments:</w:t>
            </w:r>
          </w:p>
        </w:tc>
        <w:tc>
          <w:tcPr>
            <w:tcW w:w="346" w:type="dxa"/>
            <w:tcBorders/>
            <w:shd w:fill="FFFFFF" w:val="clear"/>
            <w:vAlign w:val="center"/>
          </w:tcPr>
          <w:p>
            <w:pPr>
              <w:pStyle w:val="TableContents"/>
              <w:bidi w:val="0"/>
              <w:spacing w:before="0" w:after="283"/>
              <w:jc w:val="left"/>
              <w:rPr/>
            </w:pPr>
            <w:r>
              <w:rPr/>
              <w:t> </w:t>
            </w:r>
          </w:p>
        </w:tc>
        <w:tc>
          <w:tcPr>
            <w:tcW w:w="136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16" w:type="dxa"/>
            <w:gridSpan w:val="2"/>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ind w:left="0" w:right="0" w:firstLine="200"/>
              <w:jc w:val="right"/>
              <w:rPr/>
            </w:pPr>
            <w:r>
              <w:rPr/>
              <w:t> </w:t>
            </w:r>
          </w:p>
        </w:tc>
      </w:tr>
      <w:tr>
        <w:trPr/>
        <w:tc>
          <w:tcPr>
            <w:tcW w:w="2145"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Real estate funds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76"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06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pPr>
            <w:r>
              <w:rPr/>
              <w:t> </w:t>
            </w:r>
          </w:p>
        </w:tc>
        <w:tc>
          <w:tcPr>
            <w:tcW w:w="10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left"/>
              <w:rPr/>
            </w:pPr>
            <w:r>
              <w:rPr/>
              <w:t> </w:t>
            </w:r>
          </w:p>
        </w:tc>
        <w:tc>
          <w:tcPr>
            <w:tcW w:w="16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145"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Insurance contracts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376"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2145"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Hedge funds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76" w:type="dxa"/>
            <w:tcBorders/>
            <w:shd w:fill="CFF0FC" w:val="clear"/>
            <w:vAlign w:val="center"/>
          </w:tcPr>
          <w:p>
            <w:pPr>
              <w:pStyle w:val="TableContents"/>
              <w:bidi w:val="0"/>
              <w:spacing w:before="0" w:after="283"/>
              <w:jc w:val="left"/>
              <w:rPr/>
            </w:pPr>
            <w:r>
              <w:rPr/>
              <w:t> </w:t>
            </w:r>
          </w:p>
        </w:tc>
        <w:tc>
          <w:tcPr>
            <w:tcW w:w="98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pPr>
            <w:r>
              <w:rPr/>
              <w:t> </w:t>
            </w:r>
          </w:p>
        </w:tc>
        <w:tc>
          <w:tcPr>
            <w:tcW w:w="106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4" w:type="dxa"/>
            <w:tcBorders/>
            <w:shd w:fill="CFF0FC" w:val="clear"/>
            <w:vAlign w:val="center"/>
          </w:tcPr>
          <w:p>
            <w:pPr>
              <w:pStyle w:val="TableContents"/>
              <w:bidi w:val="0"/>
              <w:spacing w:before="0" w:after="283"/>
              <w:jc w:val="left"/>
              <w:rPr/>
            </w:pPr>
            <w:r>
              <w:rPr/>
              <w:t> </w:t>
            </w:r>
          </w:p>
        </w:tc>
        <w:tc>
          <w:tcPr>
            <w:tcW w:w="100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left"/>
              <w:rPr/>
            </w:pPr>
            <w:r>
              <w:rPr/>
              <w:t> </w:t>
            </w:r>
          </w:p>
        </w:tc>
        <w:tc>
          <w:tcPr>
            <w:tcW w:w="16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21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154.3</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96"/>
        <w:gridCol w:w="146"/>
        <w:gridCol w:w="356"/>
        <w:gridCol w:w="932"/>
        <w:gridCol w:w="146"/>
        <w:gridCol w:w="146"/>
        <w:gridCol w:w="596"/>
        <w:gridCol w:w="1561"/>
        <w:gridCol w:w="146"/>
        <w:gridCol w:w="146"/>
        <w:gridCol w:w="602"/>
        <w:gridCol w:w="1574"/>
        <w:gridCol w:w="146"/>
        <w:gridCol w:w="146"/>
        <w:gridCol w:w="324"/>
        <w:gridCol w:w="847"/>
        <w:gridCol w:w="395"/>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6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Fair Value Measurements Using</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December 31,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 xml:space="preserve">Quoted Prices </w:t>
              <w:br/>
              <w:t>in Active Markets for 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Significant Other Observable 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Significant</w:t>
              <w:br/>
              <w:t>Unobservable</w:t>
              <w:br/>
              <w:t>Inputs</w:t>
              <w:br/>
              <w:t>(Level 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 Category</w:t>
            </w:r>
          </w:p>
        </w:tc>
        <w:tc>
          <w:tcPr>
            <w:tcW w:w="146" w:type="dxa"/>
            <w:tcBorders/>
            <w:shd w:fill="CFF0FC" w:val="clear"/>
            <w:vAlign w:val="center"/>
          </w:tcPr>
          <w:p>
            <w:pPr>
              <w:pStyle w:val="TableContents"/>
              <w:bidi w:val="0"/>
              <w:spacing w:before="0" w:after="283"/>
              <w:jc w:val="left"/>
              <w:rPr/>
            </w:pPr>
            <w:r>
              <w:rPr/>
              <w:t> </w:t>
            </w:r>
          </w:p>
        </w:tc>
        <w:tc>
          <w:tcPr>
            <w:tcW w:w="128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7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1" w:type="dxa"/>
            <w:gridSpan w:val="2"/>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jc w:val="righ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7" w:type="dxa"/>
            <w:tcBorders/>
            <w:shd w:fill="FFFFFF" w:val="clear"/>
            <w:vAlign w:val="center"/>
          </w:tcPr>
          <w:p>
            <w:pPr>
              <w:pStyle w:val="TableContents"/>
              <w:bidi w:val="0"/>
              <w:spacing w:before="0" w:after="283"/>
              <w:jc w:val="right"/>
              <w:rPr>
                <w:color w:val="000000"/>
              </w:rPr>
            </w:pPr>
            <w:r>
              <w:rPr>
                <w:color w:val="000000"/>
              </w:rPr>
              <w:t>—</w:t>
            </w:r>
          </w:p>
        </w:tc>
        <w:tc>
          <w:tcPr>
            <w:tcW w:w="395"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securities:</w:t>
            </w:r>
          </w:p>
        </w:tc>
        <w:tc>
          <w:tcPr>
            <w:tcW w:w="146" w:type="dxa"/>
            <w:tcBorders/>
            <w:shd w:fill="CFF0FC" w:val="clear"/>
            <w:vAlign w:val="center"/>
          </w:tcPr>
          <w:p>
            <w:pPr>
              <w:pStyle w:val="TableContents"/>
              <w:bidi w:val="0"/>
              <w:spacing w:before="0" w:after="283"/>
              <w:jc w:val="left"/>
              <w:rPr/>
            </w:pPr>
            <w:r>
              <w:rPr/>
              <w:t> </w:t>
            </w:r>
          </w:p>
        </w:tc>
        <w:tc>
          <w:tcPr>
            <w:tcW w:w="128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7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1" w:type="dxa"/>
            <w:gridSpan w:val="2"/>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ind w:left="0" w:right="0" w:firstLine="200"/>
              <w:jc w:val="right"/>
              <w:rPr/>
            </w:pPr>
            <w:r>
              <w:rPr/>
              <w:t> </w:t>
            </w:r>
          </w:p>
        </w:tc>
      </w:tr>
      <w:tr>
        <w:trPr/>
        <w:tc>
          <w:tcPr>
            <w:tcW w:w="19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Mutual funds</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left"/>
              <w:rPr/>
            </w:pPr>
            <w:r>
              <w:rPr/>
              <w:t> </w:t>
            </w:r>
          </w:p>
        </w:tc>
        <w:tc>
          <w:tcPr>
            <w:tcW w:w="157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color w:val="000000"/>
              </w:rPr>
            </w:pPr>
            <w:r>
              <w:rPr>
                <w:color w:val="000000"/>
              </w:rPr>
              <w:t>—</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19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Common stock</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left"/>
              <w:rPr/>
            </w:pPr>
            <w:r>
              <w:rPr/>
              <w:t> </w:t>
            </w:r>
          </w:p>
        </w:tc>
        <w:tc>
          <w:tcPr>
            <w:tcW w:w="15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left"/>
              <w:rPr/>
            </w:pPr>
            <w:r>
              <w:rPr/>
              <w:t> </w:t>
            </w:r>
          </w:p>
        </w:tc>
        <w:tc>
          <w:tcPr>
            <w:tcW w:w="157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color w:val="000000"/>
              </w:rPr>
            </w:pPr>
            <w:r>
              <w:rPr>
                <w:color w:val="000000"/>
              </w:rPr>
              <w:t>—</w:t>
            </w:r>
          </w:p>
        </w:tc>
        <w:tc>
          <w:tcPr>
            <w:tcW w:w="395"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Fixed income instruments:</w:t>
            </w:r>
          </w:p>
        </w:tc>
        <w:tc>
          <w:tcPr>
            <w:tcW w:w="146" w:type="dxa"/>
            <w:tcBorders/>
            <w:shd w:fill="FFFFFF" w:val="clear"/>
            <w:vAlign w:val="center"/>
          </w:tcPr>
          <w:p>
            <w:pPr>
              <w:pStyle w:val="TableContents"/>
              <w:bidi w:val="0"/>
              <w:spacing w:before="0" w:after="283"/>
              <w:jc w:val="left"/>
              <w:rPr/>
            </w:pPr>
            <w:r>
              <w:rPr/>
              <w:t> </w:t>
            </w:r>
          </w:p>
        </w:tc>
        <w:tc>
          <w:tcPr>
            <w:tcW w:w="1288"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5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7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ind w:left="0" w:right="0" w:firstLine="200"/>
              <w:jc w:val="right"/>
              <w:rPr/>
            </w:pPr>
            <w:r>
              <w:rPr/>
              <w:t> </w:t>
            </w:r>
          </w:p>
        </w:tc>
      </w:tr>
      <w:tr>
        <w:trPr/>
        <w:tc>
          <w:tcPr>
            <w:tcW w:w="19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Fixed income funds</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left"/>
              <w:rPr/>
            </w:pPr>
            <w:r>
              <w:rPr/>
              <w:t> </w:t>
            </w:r>
          </w:p>
        </w:tc>
        <w:tc>
          <w:tcPr>
            <w:tcW w:w="15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left"/>
              <w:rPr/>
            </w:pPr>
            <w:r>
              <w:rPr/>
              <w:t> </w:t>
            </w:r>
          </w:p>
        </w:tc>
        <w:tc>
          <w:tcPr>
            <w:tcW w:w="15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color w:val="000000"/>
              </w:rPr>
            </w:pPr>
            <w:r>
              <w:rPr>
                <w:color w:val="000000"/>
              </w:rPr>
              <w:t>—</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19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Bonds</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left"/>
              <w:rPr/>
            </w:pPr>
            <w:r>
              <w:rPr/>
              <w:t> </w:t>
            </w:r>
          </w:p>
        </w:tc>
        <w:tc>
          <w:tcPr>
            <w:tcW w:w="15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color w:val="000000"/>
              </w:rPr>
            </w:pPr>
            <w:r>
              <w:rPr>
                <w:color w:val="000000"/>
              </w:rPr>
              <w:t>—</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19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Annuity contract</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left"/>
              <w:rPr/>
            </w:pPr>
            <w:r>
              <w:rPr/>
              <w:t> </w:t>
            </w:r>
          </w:p>
        </w:tc>
        <w:tc>
          <w:tcPr>
            <w:tcW w:w="15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left"/>
              <w:rPr/>
            </w:pPr>
            <w:r>
              <w:rPr/>
              <w:t> </w:t>
            </w:r>
          </w:p>
        </w:tc>
        <w:tc>
          <w:tcPr>
            <w:tcW w:w="157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19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Guaranteed insurance contracts</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left"/>
              <w:rPr/>
            </w:pPr>
            <w:r>
              <w:rPr/>
              <w:t> </w:t>
            </w:r>
          </w:p>
        </w:tc>
        <w:tc>
          <w:tcPr>
            <w:tcW w:w="15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color w:val="000000"/>
              </w:rPr>
            </w:pPr>
            <w:r>
              <w:rPr>
                <w:color w:val="000000"/>
              </w:rPr>
              <w:t>—</w:t>
            </w:r>
          </w:p>
        </w:tc>
        <w:tc>
          <w:tcPr>
            <w:tcW w:w="395"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types of investments:</w:t>
            </w:r>
          </w:p>
        </w:tc>
        <w:tc>
          <w:tcPr>
            <w:tcW w:w="146" w:type="dxa"/>
            <w:tcBorders/>
            <w:shd w:fill="CFF0FC" w:val="clear"/>
            <w:vAlign w:val="center"/>
          </w:tcPr>
          <w:p>
            <w:pPr>
              <w:pStyle w:val="TableContents"/>
              <w:bidi w:val="0"/>
              <w:spacing w:before="0" w:after="283"/>
              <w:jc w:val="left"/>
              <w:rPr/>
            </w:pPr>
            <w:r>
              <w:rPr/>
              <w:t> </w:t>
            </w:r>
          </w:p>
        </w:tc>
        <w:tc>
          <w:tcPr>
            <w:tcW w:w="128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5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7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1" w:type="dxa"/>
            <w:gridSpan w:val="2"/>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ind w:left="0" w:right="0" w:firstLine="200"/>
              <w:jc w:val="right"/>
              <w:rPr/>
            </w:pPr>
            <w:r>
              <w:rPr/>
              <w:t> </w:t>
            </w:r>
          </w:p>
        </w:tc>
      </w:tr>
      <w:tr>
        <w:trPr/>
        <w:tc>
          <w:tcPr>
            <w:tcW w:w="19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Real estate funds</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left"/>
              <w:rPr/>
            </w:pPr>
            <w:r>
              <w:rPr/>
              <w:t> </w:t>
            </w:r>
          </w:p>
        </w:tc>
        <w:tc>
          <w:tcPr>
            <w:tcW w:w="15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19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Insurance contracts</w:t>
            </w:r>
          </w:p>
        </w:tc>
        <w:tc>
          <w:tcPr>
            <w:tcW w:w="146" w:type="dxa"/>
            <w:tcBorders/>
            <w:shd w:fill="CFF0FC" w:val="clear"/>
            <w:vAlign w:val="center"/>
          </w:tcPr>
          <w:p>
            <w:pPr>
              <w:pStyle w:val="TableContents"/>
              <w:bidi w:val="0"/>
              <w:spacing w:before="0" w:after="283"/>
              <w:jc w:val="left"/>
              <w:rPr/>
            </w:pPr>
            <w:r>
              <w:rPr/>
              <w:t> </w:t>
            </w:r>
          </w:p>
        </w:tc>
        <w:tc>
          <w:tcPr>
            <w:tcW w:w="356" w:type="dxa"/>
            <w:tcBorders/>
            <w:shd w:fill="CFF0FC" w:val="clear"/>
            <w:vAlign w:val="center"/>
          </w:tcPr>
          <w:p>
            <w:pPr>
              <w:pStyle w:val="TableContents"/>
              <w:bidi w:val="0"/>
              <w:spacing w:before="0" w:after="283"/>
              <w:jc w:val="left"/>
              <w:rPr/>
            </w:pPr>
            <w:r>
              <w:rPr/>
              <w:t> </w:t>
            </w:r>
          </w:p>
        </w:tc>
        <w:tc>
          <w:tcPr>
            <w:tcW w:w="93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left"/>
              <w:rPr/>
            </w:pPr>
            <w:r>
              <w:rPr/>
              <w:t> </w:t>
            </w:r>
          </w:p>
        </w:tc>
        <w:tc>
          <w:tcPr>
            <w:tcW w:w="15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left"/>
              <w:rPr/>
            </w:pPr>
            <w:r>
              <w:rPr/>
              <w:t> </w:t>
            </w:r>
          </w:p>
        </w:tc>
        <w:tc>
          <w:tcPr>
            <w:tcW w:w="157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pPr>
            <w:r>
              <w:rPr/>
              <w:t> </w:t>
            </w:r>
          </w:p>
        </w:tc>
        <w:tc>
          <w:tcPr>
            <w:tcW w:w="84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19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Hedge funds</w:t>
            </w:r>
          </w:p>
        </w:tc>
        <w:tc>
          <w:tcPr>
            <w:tcW w:w="146"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left"/>
              <w:rPr/>
            </w:pPr>
            <w:r>
              <w:rPr/>
              <w:t> </w:t>
            </w:r>
          </w:p>
        </w:tc>
        <w:tc>
          <w:tcPr>
            <w:tcW w:w="15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1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changes in fair value of the pension assets that are measured using Level 3 inputs. We determined that transfers between fair-value-measurement levels occurred on the date of the event that caused the transfer.</w:t>
      </w:r>
    </w:p>
    <w:p>
      <w:pPr>
        <w:pStyle w:val="TextBody"/>
        <w:bidi w:val="0"/>
        <w:jc w:val="both"/>
        <w:rPr/>
      </w:pPr>
      <w:r>
        <w:rPr/>
        <w:t> </w:t>
      </w:r>
    </w:p>
    <w:tbl>
      <w:tblPr>
        <w:tblW w:w="5679" w:type="dxa"/>
        <w:jc w:val="left"/>
        <w:tblInd w:w="0" w:type="dxa"/>
        <w:tblLayout w:type="fixed"/>
        <w:tblCellMar>
          <w:top w:w="28" w:type="dxa"/>
          <w:left w:w="28" w:type="dxa"/>
          <w:bottom w:w="28" w:type="dxa"/>
          <w:right w:w="28" w:type="dxa"/>
        </w:tblCellMar>
      </w:tblPr>
      <w:tblGrid>
        <w:gridCol w:w="3246"/>
        <w:gridCol w:w="146"/>
        <w:gridCol w:w="211"/>
        <w:gridCol w:w="571"/>
        <w:gridCol w:w="166"/>
        <w:gridCol w:w="146"/>
        <w:gridCol w:w="211"/>
        <w:gridCol w:w="571"/>
        <w:gridCol w:w="411"/>
      </w:tblGrid>
      <w:tr>
        <w:trPr/>
        <w:tc>
          <w:tcPr>
            <w:tcW w:w="3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2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Actual return on plan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sales and settlements,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Currency exchange rate changes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year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Retiree</w:t>
      </w:r>
      <w:r>
        <w:rPr>
          <w:rFonts w:ascii="Times New Roman" w:hAnsi="Times New Roman"/>
          <w:color w:val="282A32"/>
          <w:sz w:val="20"/>
        </w:rPr>
        <w:t xml:space="preserve"> </w:t>
      </w:r>
      <w:r>
        <w:rPr>
          <w:rFonts w:ascii="Times New Roman" w:hAnsi="Times New Roman"/>
          <w:i/>
          <w:color w:val="282A32"/>
          <w:sz w:val="20"/>
        </w:rPr>
        <w:t>Health Care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provide medical and dental benefits to certain eligible retired employees in the United States. Due to the nature of the plan, there are no plan assets. The reconciliation of the changes in the plan’s benefit obligation and the statement of the funded status of the plan were as follows:</w:t>
      </w:r>
    </w:p>
    <w:p>
      <w:pPr>
        <w:pStyle w:val="TextBody"/>
        <w:bidi w:val="0"/>
        <w:jc w:val="both"/>
        <w:rPr/>
      </w:pPr>
      <w:r>
        <w:rPr/>
        <w:t> </w:t>
      </w:r>
    </w:p>
    <w:tbl>
      <w:tblPr>
        <w:tblW w:w="5494" w:type="dxa"/>
        <w:jc w:val="left"/>
        <w:tblInd w:w="0" w:type="dxa"/>
        <w:tblLayout w:type="fixed"/>
        <w:tblCellMar>
          <w:top w:w="28" w:type="dxa"/>
          <w:left w:w="28" w:type="dxa"/>
          <w:bottom w:w="28" w:type="dxa"/>
          <w:right w:w="28" w:type="dxa"/>
        </w:tblCellMar>
      </w:tblPr>
      <w:tblGrid>
        <w:gridCol w:w="3151"/>
        <w:gridCol w:w="146"/>
        <w:gridCol w:w="211"/>
        <w:gridCol w:w="526"/>
        <w:gridCol w:w="166"/>
        <w:gridCol w:w="146"/>
        <w:gridCol w:w="211"/>
        <w:gridCol w:w="526"/>
        <w:gridCol w:w="41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 in Benefit Obligation</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3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obligation, beginning of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1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1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Actuarial gain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Benefits paid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obligation, end of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Funded Status at End of Year</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3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Funded status, end of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Amounts Recognized</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3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amount recognized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amount recognized in accumulated other comprehensive loss, net of tax, consists of a net gain of $0.3 and a net loss of $0.5 as of December 31, 2023 and 2022, respectively, and a prior service credit of $1.0 and $1.7 as of December 31, 2023 and 2022,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discount rate used in the measurement of the benefit obligation was 4.9% and 5.1% in 2023 and 2022, respectively. The discount rate used in the measurement of net periodic benefit cost was 5.1%, 2.6% and 2.2% in 2023, 2022, and 2021,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components of net periodic benefit cost and other amounts recognized in other comprehensive loss for this plan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328"/>
        <w:gridCol w:w="146"/>
        <w:gridCol w:w="211"/>
        <w:gridCol w:w="421"/>
        <w:gridCol w:w="166"/>
        <w:gridCol w:w="146"/>
        <w:gridCol w:w="211"/>
        <w:gridCol w:w="421"/>
        <w:gridCol w:w="166"/>
        <w:gridCol w:w="146"/>
        <w:gridCol w:w="211"/>
        <w:gridCol w:w="421"/>
        <w:gridCol w:w="211"/>
      </w:tblGrid>
      <w:tr>
        <w:trPr/>
        <w:tc>
          <w:tcPr>
            <w:tcW w:w="73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32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Periodic Benefit Credit</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73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1" w:type="dxa"/>
            <w:tcBorders/>
            <w:shd w:fill="FFFFFF" w:val="clear"/>
            <w:vAlign w:val="center"/>
          </w:tcPr>
          <w:p>
            <w:pPr>
              <w:pStyle w:val="TableContents"/>
              <w:bidi w:val="0"/>
              <w:spacing w:before="0" w:after="283"/>
              <w:jc w:val="left"/>
              <w:rPr/>
            </w:pPr>
            <w:r>
              <w:rPr/>
              <w:t> </w:t>
            </w:r>
          </w:p>
        </w:tc>
      </w:tr>
      <w:tr>
        <w:trPr/>
        <w:tc>
          <w:tcPr>
            <w:tcW w:w="73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1" w:type="dxa"/>
            <w:tcBorders/>
            <w:shd w:fill="CFF0FC" w:val="clear"/>
            <w:vAlign w:val="center"/>
          </w:tcPr>
          <w:p>
            <w:pPr>
              <w:pStyle w:val="TableContents"/>
              <w:bidi w:val="0"/>
              <w:spacing w:before="0" w:after="283"/>
              <w:jc w:val="left"/>
              <w:rPr/>
            </w:pPr>
            <w:r>
              <w:rPr/>
              <w:t> </w:t>
            </w:r>
          </w:p>
        </w:tc>
      </w:tr>
      <w:tr>
        <w:trPr/>
        <w:tc>
          <w:tcPr>
            <w:tcW w:w="7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service credit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benefit credit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2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Changes in Plan Assets and Benefit Obligations Recognized in Other Comprehensive Income/Loss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73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(gain)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1" w:type="dxa"/>
            <w:tcBorders/>
            <w:shd w:fill="CFF0FC" w:val="clear"/>
            <w:vAlign w:val="center"/>
          </w:tcPr>
          <w:p>
            <w:pPr>
              <w:pStyle w:val="TableContents"/>
              <w:bidi w:val="0"/>
              <w:spacing w:before="0" w:after="283"/>
              <w:jc w:val="left"/>
              <w:rPr/>
            </w:pPr>
            <w:r>
              <w:rPr/>
              <w:t> </w:t>
            </w:r>
          </w:p>
        </w:tc>
      </w:tr>
      <w:tr>
        <w:trPr/>
        <w:tc>
          <w:tcPr>
            <w:tcW w:w="73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prior service credit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recognized in other comprehensive income/loss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recognized in net periodic benefit cost and other comprehensive income/loss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estimated prior service credit for the retiree health care plan that will be amortized from accumulated other comprehensive income/loss into net periodic benefit cost during 2024 is $0.8. No net gain/loss is estimated to be amortized in 2024.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health care cost trend rate is assumed to be 7.4% in 2024, decreasing gradually to an ultimate rate of 4.4% in 2033. Assumed health care cost trend rates are not expected to have a material effect on the amounts reported.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Future Contributions and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2024, we plan to contribute approximately $16.4 to our pension plans and to fund our retiree health care payments as incurred. Projected benefit payments from the plans as of December 31, 2023 were estimated as follows:</w:t>
      </w:r>
    </w:p>
    <w:p>
      <w:pPr>
        <w:pStyle w:val="TextBody"/>
        <w:bidi w:val="0"/>
        <w:jc w:val="both"/>
        <w:rPr/>
      </w:pPr>
      <w:r>
        <w:rPr/>
        <w:t> </w:t>
      </w:r>
    </w:p>
    <w:tbl>
      <w:tblPr>
        <w:tblW w:w="6045" w:type="dxa"/>
        <w:jc w:val="left"/>
        <w:tblInd w:w="0" w:type="dxa"/>
        <w:tblLayout w:type="fixed"/>
        <w:tblCellMar>
          <w:top w:w="28" w:type="dxa"/>
          <w:left w:w="28" w:type="dxa"/>
          <w:bottom w:w="28" w:type="dxa"/>
          <w:right w:w="28" w:type="dxa"/>
        </w:tblCellMar>
      </w:tblPr>
      <w:tblGrid>
        <w:gridCol w:w="2806"/>
        <w:gridCol w:w="146"/>
        <w:gridCol w:w="344"/>
        <w:gridCol w:w="931"/>
        <w:gridCol w:w="146"/>
        <w:gridCol w:w="146"/>
        <w:gridCol w:w="491"/>
        <w:gridCol w:w="844"/>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Pension Plans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Retiree Health</w:t>
              <w:br/>
              <w:t>Care Plan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shd w:fill="CFF0FC" w:val="cle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1" w:type="dxa"/>
            <w:tcBorders/>
            <w:shd w:fill="FFFFFF" w:val="clear"/>
            <w:vAlign w:val="center"/>
          </w:tcPr>
          <w:p>
            <w:pPr>
              <w:pStyle w:val="TableContents"/>
              <w:bidi w:val="0"/>
              <w:spacing w:before="0" w:after="283"/>
              <w:jc w:val="left"/>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CFF0FC" w:val="cle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vAlign w:val="center"/>
          </w:tcPr>
          <w:p>
            <w:pPr>
              <w:pStyle w:val="TableContents"/>
              <w:bidi w:val="0"/>
              <w:spacing w:before="0" w:after="283"/>
              <w:jc w:val="left"/>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91" w:type="dxa"/>
            <w:tcBorders/>
            <w:shd w:fill="CFF0FC" w:val="clear"/>
            <w:vAlign w:val="center"/>
          </w:tcPr>
          <w:p>
            <w:pPr>
              <w:pStyle w:val="TableContents"/>
              <w:bidi w:val="0"/>
              <w:spacing w:before="0" w:after="283"/>
              <w:jc w:val="left"/>
              <w:rPr/>
            </w:pPr>
            <w:r>
              <w:rPr/>
              <w:t> </w:t>
            </w:r>
          </w:p>
        </w:tc>
      </w:tr>
      <w:tr>
        <w:trPr/>
        <w:tc>
          <w:tcPr>
            <w:tcW w:w="2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2029–2033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projected benefit payments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Defined Contribution Plans and Deferred Compensation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defined contribution plans covering substantially all permanent United States employees and various other employees throughout the world. With our company-sponsored plans, employees may elect to contribute a portion of their salary to the plans and we match a portion of their contributions up to a maximum percentage of the employee’s salary. In addition, profit sharing contributions are made if a targeted earnings level is reached at management’s discretion. The total expense for our match and any profit sharing contributions was $19.2, $18.4 and $17.3 for the years ended December 31, 2023, 2022 and 2021, respectively. In certain countries with statutory defined contribution plans, we pay a percentage of the employees' salary in pension premiums. The total expense for the statutory defined contribution plans was $29.5, $31.4 and $32.2 for the years ended December 31, 2023, 2022 and 2021,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also have deferred compensation plans in the United States. One of the plans had an asset and liability of $144.2 and $114.4 as of December 31, 2023 and 2022, respectively, with the remaining plans holding immaterial amounts of assets and liabilities.</w:t>
      </w:r>
    </w:p>
    <w:p>
      <w:pPr>
        <w:pStyle w:val="TextBody"/>
        <w:bidi w:val="0"/>
        <w:spacing w:before="360" w:after="283"/>
        <w:jc w:val="both"/>
        <w:rPr>
          <w:rFonts w:ascii="Times New Roman" w:hAnsi="Times New Roman"/>
          <w:sz w:val="20"/>
        </w:rPr>
      </w:pPr>
      <w:r>
        <w:rPr>
          <w:rFonts w:ascii="Times New Roman" w:hAnsi="Times New Roman"/>
          <w:color w:val="000000"/>
          <w:sz w:val="20"/>
        </w:rPr>
        <w:t xml:space="preserve">(10) </w:t>
      </w:r>
      <w:r>
        <w:rPr>
          <w:rFonts w:ascii="Times New Roman" w:hAnsi="Times New Roman"/>
          <w:color w:val="000000"/>
          <w:sz w:val="20"/>
          <w:u w:val="single"/>
        </w:rPr>
        <w:t>Accumulated Other Comprehensive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components of accumulated other comprehensive loss, net of tax,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852"/>
        <w:gridCol w:w="146"/>
        <w:gridCol w:w="211"/>
        <w:gridCol w:w="631"/>
        <w:gridCol w:w="166"/>
        <w:gridCol w:w="146"/>
        <w:gridCol w:w="211"/>
        <w:gridCol w:w="631"/>
        <w:gridCol w:w="211"/>
      </w:tblGrid>
      <w:tr>
        <w:trPr/>
        <w:tc>
          <w:tcPr>
            <w:tcW w:w="7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8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(369.7</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8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loss on long-term intercompany loans, net of income taxes of $19.1 on both dates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8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gain on derivative instruments, net of income tax benefit of $(22.7) and $(5.3),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211" w:type="dxa"/>
            <w:tcBorders/>
            <w:shd w:fill="CFF0FC" w:val="clear"/>
            <w:vAlign w:val="center"/>
          </w:tcPr>
          <w:p>
            <w:pPr>
              <w:pStyle w:val="TableContents"/>
              <w:bidi w:val="0"/>
              <w:spacing w:before="0" w:after="283"/>
              <w:jc w:val="left"/>
              <w:rPr/>
            </w:pPr>
            <w:r>
              <w:rPr/>
              <w:t> </w:t>
            </w:r>
          </w:p>
        </w:tc>
      </w:tr>
      <w:tr>
        <w:trPr/>
        <w:tc>
          <w:tcPr>
            <w:tcW w:w="78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interest rate swap, net of income taxes of $0.3 and $0.4,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shd w:fill="FFFFFF" w:val="clear"/>
            <w:vAlign w:val="center"/>
          </w:tcPr>
          <w:p>
            <w:pPr>
              <w:pStyle w:val="TableContents"/>
              <w:bidi w:val="0"/>
              <w:spacing w:before="0" w:after="283"/>
              <w:jc w:val="left"/>
              <w:rPr/>
            </w:pPr>
            <w:r>
              <w:rPr/>
              <w:t> </w:t>
            </w:r>
          </w:p>
        </w:tc>
      </w:tr>
      <w:tr>
        <w:trPr/>
        <w:tc>
          <w:tcPr>
            <w:tcW w:w="78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Defined benefit pension plans, net of income tax benefit of $(23.0) and $(20.4),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Retiree health care plan, net of income taxes of $2.0 and $1.9, respectively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left"/>
        <w:rPr/>
      </w:pPr>
      <w:r>
        <w:rPr/>
        <w:t> </w:t>
      </w:r>
    </w:p>
    <w:p>
      <w:pPr>
        <w:pStyle w:val="TextBody"/>
        <w:bidi w:val="0"/>
        <w:spacing w:before="160" w:after="283"/>
        <w:jc w:val="both"/>
        <w:rPr/>
      </w:pPr>
      <w:r>
        <w:rPr/>
        <w:t> </w:t>
      </w:r>
    </w:p>
    <w:p>
      <w:pPr>
        <w:pStyle w:val="TextBody"/>
        <w:bidi w:val="0"/>
        <w:spacing w:before="160" w:after="283"/>
        <w:jc w:val="both"/>
        <w:rPr/>
      </w:pPr>
      <w:r>
        <w:rPr/>
        <w:t> </w:t>
      </w:r>
    </w:p>
    <w:p>
      <w:pPr>
        <w:pStyle w:val="TextBody"/>
        <w:bidi w:val="0"/>
        <w:spacing w:before="160" w:after="283"/>
        <w:jc w:val="both"/>
        <w:rPr/>
      </w:pPr>
      <w:r>
        <w:rPr/>
        <w:t> </w:t>
      </w:r>
    </w:p>
    <w:p>
      <w:pPr>
        <w:pStyle w:val="TextBody"/>
        <w:bidi w:val="0"/>
        <w:spacing w:before="16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sz w:val="20"/>
        </w:rPr>
      </w:pPr>
      <w:r>
        <w:rPr>
          <w:rFonts w:ascii="Times New Roman" w:hAnsi="Times New Roman"/>
          <w:color w:val="000000"/>
          <w:sz w:val="20"/>
        </w:rPr>
        <w:t xml:space="preserve">(11) </w:t>
      </w:r>
      <w:r>
        <w:rPr>
          <w:rFonts w:ascii="Times New Roman" w:hAnsi="Times New Roman"/>
          <w:color w:val="000000"/>
          <w:sz w:val="20"/>
          <w:u w:val="single"/>
        </w:rPr>
        <w:t>Interest and Other Expenses,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and other expenses, net consisted of the following:</w:t>
      </w:r>
    </w:p>
    <w:p>
      <w:pPr>
        <w:pStyle w:val="TextBody"/>
        <w:bidi w:val="0"/>
        <w:jc w:val="both"/>
        <w:rPr/>
      </w:pPr>
      <w:r>
        <w:rPr/>
        <w:t> </w:t>
      </w:r>
    </w:p>
    <w:tbl>
      <w:tblPr>
        <w:tblW w:w="5848" w:type="dxa"/>
        <w:jc w:val="left"/>
        <w:tblInd w:w="0" w:type="dxa"/>
        <w:tblLayout w:type="fixed"/>
        <w:tblCellMar>
          <w:top w:w="28" w:type="dxa"/>
          <w:left w:w="28" w:type="dxa"/>
          <w:bottom w:w="28" w:type="dxa"/>
          <w:right w:w="28" w:type="dxa"/>
        </w:tblCellMar>
      </w:tblPr>
      <w:tblGrid>
        <w:gridCol w:w="2656"/>
        <w:gridCol w:w="146"/>
        <w:gridCol w:w="211"/>
        <w:gridCol w:w="526"/>
        <w:gridCol w:w="166"/>
        <w:gridCol w:w="146"/>
        <w:gridCol w:w="211"/>
        <w:gridCol w:w="526"/>
        <w:gridCol w:w="166"/>
        <w:gridCol w:w="146"/>
        <w:gridCol w:w="211"/>
        <w:gridCol w:w="526"/>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211" w:type="dxa"/>
            <w:tcBorders/>
            <w:shd w:fill="CFF0FC" w:val="clear"/>
            <w:vAlign w:val="center"/>
          </w:tcPr>
          <w:p>
            <w:pPr>
              <w:pStyle w:val="TableContents"/>
              <w:bidi w:val="0"/>
              <w:spacing w:before="0" w:after="283"/>
              <w:jc w:val="left"/>
              <w:rPr/>
            </w:pPr>
            <w:r>
              <w:rPr/>
              <w:t> </w:t>
            </w:r>
          </w:p>
        </w:tc>
      </w:tr>
      <w:tr>
        <w:trPr/>
        <w:tc>
          <w:tcPr>
            <w:tcW w:w="26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11" w:type="dxa"/>
            <w:tcBorders/>
            <w:shd w:fill="CFF0FC" w:val="clear"/>
            <w:vAlign w:val="center"/>
          </w:tcPr>
          <w:p>
            <w:pPr>
              <w:pStyle w:val="TableContents"/>
              <w:bidi w:val="0"/>
              <w:spacing w:before="0" w:after="283"/>
              <w:jc w:val="left"/>
              <w:rPr/>
            </w:pPr>
            <w:r>
              <w:rPr/>
              <w:t> </w:t>
            </w:r>
          </w:p>
        </w:tc>
      </w:tr>
      <w:tr>
        <w:trPr/>
        <w:tc>
          <w:tcPr>
            <w:tcW w:w="2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Miscellaneous income,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expenses,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(12) </w:t>
      </w:r>
      <w:r>
        <w:rPr>
          <w:rFonts w:ascii="Times New Roman" w:hAnsi="Times New Roman"/>
          <w:color w:val="000000"/>
          <w:sz w:val="20"/>
          <w:u w:val="single"/>
        </w:rPr>
        <w:t>Derivative Financial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are exposed to various market risks relating to our ongoing business operations. The primary market risks, which are managed using derivative instruments, are foreign currency exchange rate risk and interest rate risk. In certain circumstances, we enter into cross-currency swaps and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Net Investment Hedges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use cross-currency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adjustments, a component of accumulated other comprehensive loss (“AOCL”),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recorded in foreign currency translation adjustments.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€400.0 ($438.2) notes due June 2027 and the €500.0 ($550.0) notes due June 2026 were designated as a hedge of our net investment in our foreign subsidiaries with a Euro-functional currency as of December 31, 2023.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September 2019, we entered into a cross-currency swap agreement that net converts fixed-rate Swiss franc (“CHF”) payments to fixed-rate United States dollar payments which matured in September 2022. In September 2022, we entered into a new cross-currency swap agreement that converts fixed-rate Swiss franc ("CHF") payments to fixed-rate United States dollar payments. This swap was designated as a net investment hedge of our foreign subsidiaries with CHF functional currency.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effect of our net investment hedges on AOCI for the year ended December 31, 2023, and 2022 was as follows:</w:t>
      </w:r>
    </w:p>
    <w:p>
      <w:pPr>
        <w:pStyle w:val="TextBody"/>
        <w:bidi w:val="0"/>
        <w:jc w:val="both"/>
        <w:rPr/>
      </w:pPr>
      <w:r>
        <w:rPr/>
        <w:t> </w:t>
      </w:r>
    </w:p>
    <w:tbl>
      <w:tblPr>
        <w:tblW w:w="6938" w:type="dxa"/>
        <w:jc w:val="left"/>
        <w:tblInd w:w="0" w:type="dxa"/>
        <w:tblLayout w:type="fixed"/>
        <w:tblCellMar>
          <w:top w:w="28" w:type="dxa"/>
          <w:left w:w="28" w:type="dxa"/>
          <w:bottom w:w="28" w:type="dxa"/>
          <w:right w:w="28" w:type="dxa"/>
        </w:tblCellMar>
      </w:tblPr>
      <w:tblGrid>
        <w:gridCol w:w="1861"/>
        <w:gridCol w:w="146"/>
        <w:gridCol w:w="499"/>
        <w:gridCol w:w="1246"/>
        <w:gridCol w:w="393"/>
        <w:gridCol w:w="345"/>
        <w:gridCol w:w="499"/>
        <w:gridCol w:w="1104"/>
        <w:gridCol w:w="393"/>
        <w:gridCol w:w="452"/>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93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Gain (Loss) Recognized in Other Comprehensive Income</w:t>
            </w:r>
          </w:p>
        </w:tc>
      </w:tr>
      <w:tr>
        <w:trPr/>
        <w:tc>
          <w:tcPr>
            <w:tcW w:w="18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 Notes</w:t>
            </w:r>
          </w:p>
        </w:tc>
        <w:tc>
          <w:tcPr>
            <w:tcW w:w="14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3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shd w:fill="CFF0FC" w:val="clear"/>
            <w:vAlign w:val="center"/>
          </w:tcPr>
          <w:p>
            <w:pPr>
              <w:pStyle w:val="TableContents"/>
              <w:bidi w:val="0"/>
              <w:spacing w:before="0" w:after="283"/>
              <w:jc w:val="right"/>
              <w:rPr/>
            </w:pPr>
            <w:r>
              <w:rPr/>
              <w:t> </w:t>
            </w:r>
          </w:p>
        </w:tc>
        <w:tc>
          <w:tcPr>
            <w:tcW w:w="4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393" w:type="dxa"/>
            <w:tcBorders/>
            <w:shd w:fill="CFF0FC"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pPr>
            <w:r>
              <w:rPr/>
              <w:t> </w:t>
            </w:r>
          </w:p>
        </w:tc>
      </w:tr>
      <w:tr>
        <w:trPr/>
        <w:tc>
          <w:tcPr>
            <w:tcW w:w="18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Cross-currency swaps</w:t>
            </w:r>
          </w:p>
        </w:tc>
        <w:tc>
          <w:tcPr>
            <w:tcW w:w="14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3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2"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Cash Flow Hedges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use cross-currency swaps to hedge the changes in cash flows of certain of our foreign currency denominated debt due to changes in foreign currency exchange rates. For our cross-currency swaps, we record the change in carrying value of the foreign currency denominated debt due to changes in exchange rates into earnings each period. The changes in fair value of the cross-currency swap derivatives are recorded in other comprehensive income (“OCI”) with an immediate reclassification into earnings for the change in fair value attributable to fluctuations in foreign currency exchange rates.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April 2019, we entered into a cross-currency swap agreement to convert our intercompany fixed-rate, CHF denominated note, including the annual interest payment and the payment of remaining principal at maturity, to a fixed-rate Euro denominated note. The economic effect of the swap agreement is to eliminate the uncertainty of cash flows in CHF associated with the note by fixing the principal at €202.3 with a fixed annual interest rate of 1.256%. This hedging arrangement has been designated as a cash flow hedge. The swap had an original maturity of April 2022, which aligned to the term of the intercompany note. On March 17, 2022, we settled the swap ahead of its maturity date, resulting in a net cash inflow of $19.2. We simultaneously entered into new cross-currency swaps, which we account for as fair value hedges, with maturity dates of April 2024. In September 2019, we entered into a cross-currency swap agreement to convert an additional intercompany fixed-rate CHF note, including the annual interest payment and the payment of remaining principal at maturity, to a fixed-rate Euro denominated note. The economic effect of the swap is identical to the original April 2019 swap, and fixes the principal of €55.4 with a fixed interest rate of 1.143%. The swap matured in September 2022 and we simultaneously entered into new cross-currency swaps, which we account for as fair value hedges, with maturity dates of September 2024. Refer to the "Fair Value Hedge" section below for additional detail.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use forward currency exchange contracts to hedge the changes in cash flows of certain operational expenses denominated in foreign currency due to changes in foreign currency exchange rates. The changes in fair value of the forward currency exchange contracts derivatives are recorded in AOCI and reclassified into earnings when the underlying operating expense is recognized in earnings.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September 2021, we entered into a series of forward currency exchange contracts denominated in GBP. The economic effect of the forward is to eliminate the uncertainty in cash flows in GBP associated with a portion of our forecasted IT contract spend in 2022 by fixing the amount at £6.0. Gains and losses from the hedge offset the foreign currency exchange impact of the contracts.</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9, 2022, we entered into a forward starting interest rate swap agreement with a notional amount of €300.0 and a fixed rate of 1.936%, which was accounted for as a cash flow hedge, to hedge the interest rate exposure related to our anticipated issuance of €400.0 notes to repay our existing €400.0 notes maturing in September 2022. Upon the issuance of the notes on June 30, 2022, we settled this forward starting interest rate swap, resulting in a gain of $2.0, which was recorded in accumulated other comprehensive income and is amortized over the term of the notes as an offset to interest expense. </w:t>
      </w:r>
    </w:p>
    <w:p>
      <w:pPr>
        <w:pStyle w:val="TextBody"/>
        <w:bidi w:val="0"/>
        <w:jc w:val="left"/>
        <w:rPr>
          <w:rFonts w:ascii="Times New Roman" w:hAnsi="Times New Roman"/>
          <w:color w:val="000000"/>
          <w:sz w:val="20"/>
        </w:rPr>
      </w:pPr>
      <w:r>
        <w:rPr>
          <w:rFonts w:ascii="Times New Roman" w:hAnsi="Times New Roman"/>
          <w:color w:val="000000"/>
          <w:sz w:val="20"/>
        </w:rPr>
        <w:t>We assessed the hedging relationship at the inception of the hedges in order to determine whether the derivatives that are used in the transaction are highly effective in offsetting the cash flows of the hedged item and will continue to assess the relationship on an ongoing basis. We use the hypothetical derivative method in conjunction with regression analysis using a third-party valuation to measure effectiveness of our cross-currency swap agreements and our forward currency exchange contracts.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tables present the impact that changes in the fair values of derivatives designated as cash flow hedges had on OCI, AOCL and earnings for the year ended December 31, 2023, and 2022:</w:t>
      </w:r>
    </w:p>
    <w:tbl>
      <w:tblPr>
        <w:tblW w:w="10205" w:type="dxa"/>
        <w:jc w:val="left"/>
        <w:tblInd w:w="0" w:type="dxa"/>
        <w:tblLayout w:type="fixed"/>
        <w:tblCellMar>
          <w:top w:w="28" w:type="dxa"/>
          <w:left w:w="28" w:type="dxa"/>
          <w:bottom w:w="28" w:type="dxa"/>
          <w:right w:w="28" w:type="dxa"/>
        </w:tblCellMar>
      </w:tblPr>
      <w:tblGrid>
        <w:gridCol w:w="2476"/>
        <w:gridCol w:w="146"/>
        <w:gridCol w:w="347"/>
        <w:gridCol w:w="569"/>
        <w:gridCol w:w="240"/>
        <w:gridCol w:w="240"/>
        <w:gridCol w:w="347"/>
        <w:gridCol w:w="593"/>
        <w:gridCol w:w="146"/>
        <w:gridCol w:w="146"/>
        <w:gridCol w:w="2522"/>
        <w:gridCol w:w="146"/>
        <w:gridCol w:w="291"/>
        <w:gridCol w:w="500"/>
        <w:gridCol w:w="201"/>
        <w:gridCol w:w="201"/>
        <w:gridCol w:w="291"/>
        <w:gridCol w:w="584"/>
        <w:gridCol w:w="219"/>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36"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8"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Gain (Loss) Reclassified</w:t>
            </w:r>
          </w:p>
        </w:tc>
        <w:tc>
          <w:tcPr>
            <w:tcW w:w="219" w:type="dxa"/>
            <w:tcBorders/>
            <w:shd w:fill="FFFFFF" w:val="clear"/>
            <w:vAlign w:val="center"/>
          </w:tcPr>
          <w:p>
            <w:pPr>
              <w:pStyle w:val="TableContents"/>
              <w:bidi w:val="0"/>
              <w:spacing w:before="0" w:after="283"/>
              <w:jc w:val="center"/>
              <w:rPr/>
            </w:pPr>
            <w:r>
              <w:rPr/>
              <w:t> </w:t>
            </w:r>
          </w:p>
        </w:tc>
      </w:tr>
      <w:tr>
        <w:trPr/>
        <w:tc>
          <w:tcPr>
            <w:tcW w:w="24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Gain (Loss) Recognized in OCI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from AOCL into Income</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2"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 of Gain Reclassified</w:t>
            </w:r>
          </w:p>
        </w:tc>
        <w:tc>
          <w:tcPr>
            <w:tcW w:w="146" w:type="dxa"/>
            <w:tcBorders/>
            <w:shd w:fill="FFFFFF" w:val="cle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from AOCL into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Cross-currency swaps</w:t>
            </w:r>
          </w:p>
        </w:tc>
        <w:tc>
          <w:tcPr>
            <w:tcW w:w="146"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9" w:type="dxa"/>
            <w:tcBorders/>
            <w:shd w:fill="CFF0FC" w:val="clear"/>
            <w:vAlign w:val="center"/>
          </w:tcPr>
          <w:p>
            <w:pPr>
              <w:pStyle w:val="TableContents"/>
              <w:bidi w:val="0"/>
              <w:spacing w:before="0" w:after="283"/>
              <w:jc w:val="right"/>
              <w:rPr>
                <w:color w:val="000000"/>
              </w:rPr>
            </w:pPr>
            <w:r>
              <w:rPr>
                <w:color w:val="000000"/>
              </w:rPr>
              <w:t>—</w:t>
            </w:r>
          </w:p>
        </w:tc>
        <w:tc>
          <w:tcPr>
            <w:tcW w:w="240"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right"/>
              <w:rPr/>
            </w:pPr>
            <w:r>
              <w:rPr/>
              <w:t> </w:t>
            </w:r>
          </w:p>
        </w:tc>
        <w:tc>
          <w:tcPr>
            <w:tcW w:w="3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expenses, net</w:t>
            </w:r>
          </w:p>
        </w:tc>
        <w:tc>
          <w:tcPr>
            <w:tcW w:w="146" w:type="dxa"/>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0" w:type="dxa"/>
            <w:tcBorders/>
            <w:shd w:fill="CFF0FC" w:val="clear"/>
            <w:vAlign w:val="center"/>
          </w:tcPr>
          <w:p>
            <w:pPr>
              <w:pStyle w:val="TableContents"/>
              <w:bidi w:val="0"/>
              <w:spacing w:before="0" w:after="283"/>
              <w:jc w:val="right"/>
              <w:rPr>
                <w:color w:val="000000"/>
              </w:rPr>
            </w:pPr>
            <w:r>
              <w:rPr>
                <w:color w:val="000000"/>
              </w:rPr>
              <w:t>—</w:t>
            </w:r>
          </w:p>
        </w:tc>
        <w:tc>
          <w:tcPr>
            <w:tcW w:w="201"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9" w:type="dxa"/>
            <w:tcBorders/>
            <w:shd w:fill="CFF0FC"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forward contracts</w:t>
            </w:r>
          </w:p>
        </w:tc>
        <w:tc>
          <w:tcPr>
            <w:tcW w:w="146"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color w:val="000000"/>
              </w:rPr>
            </w:pPr>
            <w:r>
              <w:rPr>
                <w:color w:val="000000"/>
              </w:rPr>
              <w:t>—</w:t>
            </w:r>
          </w:p>
        </w:tc>
        <w:tc>
          <w:tcPr>
            <w:tcW w:w="24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jc w:val="left"/>
              <w:rPr/>
            </w:pPr>
            <w:r>
              <w:rPr/>
              <w:t> </w:t>
            </w:r>
          </w:p>
        </w:tc>
        <w:tc>
          <w:tcPr>
            <w:tcW w:w="5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 expenses</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color w:val="000000"/>
              </w:rPr>
            </w:pPr>
            <w:r>
              <w:rPr>
                <w:color w:val="000000"/>
              </w:rPr>
              <w:t>—</w:t>
            </w:r>
          </w:p>
        </w:tc>
        <w:tc>
          <w:tcPr>
            <w:tcW w:w="201"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Forward starting interest swap</w:t>
            </w:r>
          </w:p>
        </w:tc>
        <w:tc>
          <w:tcPr>
            <w:tcW w:w="146" w:type="dxa"/>
            <w:tcBorders/>
            <w:shd w:fill="CFF0FC" w:val="clear"/>
            <w:vAlign w:val="center"/>
          </w:tcPr>
          <w:p>
            <w:pPr>
              <w:pStyle w:val="TableContents"/>
              <w:bidi w:val="0"/>
              <w:spacing w:before="0" w:after="283"/>
              <w:jc w:val="left"/>
              <w:rPr/>
            </w:pPr>
            <w:r>
              <w:rPr/>
              <w:t> </w:t>
            </w:r>
          </w:p>
        </w:tc>
        <w:tc>
          <w:tcPr>
            <w:tcW w:w="34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color w:val="000000"/>
              </w:rPr>
            </w:pPr>
            <w:r>
              <w:rPr>
                <w:color w:val="000000"/>
              </w:rPr>
              <w:t>—</w:t>
            </w:r>
          </w:p>
        </w:tc>
        <w:tc>
          <w:tcPr>
            <w:tcW w:w="240"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right"/>
              <w:rPr/>
            </w:pPr>
            <w:r>
              <w:rPr/>
              <w:t> </w:t>
            </w:r>
          </w:p>
        </w:tc>
        <w:tc>
          <w:tcPr>
            <w:tcW w:w="347" w:type="dxa"/>
            <w:tcBorders/>
            <w:shd w:fill="CFF0FC" w:val="clear"/>
            <w:vAlign w:val="center"/>
          </w:tcPr>
          <w:p>
            <w:pPr>
              <w:pStyle w:val="TableContents"/>
              <w:bidi w:val="0"/>
              <w:spacing w:before="0" w:after="283"/>
              <w:jc w:val="left"/>
              <w:rPr/>
            </w:pPr>
            <w:r>
              <w:rPr/>
              <w:t> </w:t>
            </w:r>
          </w:p>
        </w:tc>
        <w:tc>
          <w:tcPr>
            <w:tcW w:w="5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expenses, net</w:t>
            </w:r>
          </w:p>
        </w:tc>
        <w:tc>
          <w:tcPr>
            <w:tcW w:w="146" w:type="dxa"/>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left"/>
              <w:rPr/>
            </w:pPr>
            <w:r>
              <w:rPr/>
              <w:t> </w:t>
            </w:r>
          </w:p>
        </w:tc>
        <w:tc>
          <w:tcPr>
            <w:tcW w:w="50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01"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left"/>
              <w:rPr/>
            </w:pPr>
            <w:r>
              <w:rPr/>
              <w:t> </w:t>
            </w:r>
          </w:p>
        </w:tc>
        <w:tc>
          <w:tcPr>
            <w:tcW w:w="5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9"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expect the net amount of pre-tax derivative gains and losses included in AOCL on December 31, 2023 to be reclassified into earnings over the next 12 months will not be significant. The actual amount that will be reclassified to earnings will vary due to future currency exchange rates.</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Fair Value Hedges</w:t>
      </w:r>
    </w:p>
    <w:p>
      <w:pPr>
        <w:pStyle w:val="TextBody"/>
        <w:bidi w:val="0"/>
        <w:jc w:val="left"/>
        <w:rPr>
          <w:rFonts w:ascii="Times New Roman" w:hAnsi="Times New Roman"/>
          <w:color w:val="000000"/>
          <w:sz w:val="20"/>
        </w:rPr>
      </w:pPr>
      <w:r>
        <w:rPr>
          <w:rFonts w:ascii="Times New Roman" w:hAnsi="Times New Roman"/>
          <w:color w:val="000000"/>
          <w:sz w:val="20"/>
        </w:rPr>
        <w:t>We account for derivatives as fair value hedges when the hedged item is a recognized asset, liability or firm commitment. We use fair value hedges to hedge the changes in cash flows of certain of our foreign currency intercompany denominated notes due to changes in foreign currency exchange rates. We record the change in carrying value of the foreign currency denominated notes due to changes in exchange rates into earnings each period. Gains and losses on the fair value hedges are recorded in earnings, offsetting gains and losses on the hedged item.</w:t>
      </w:r>
    </w:p>
    <w:p>
      <w:pPr>
        <w:pStyle w:val="TextBody"/>
        <w:bidi w:val="0"/>
        <w:jc w:val="left"/>
        <w:rPr>
          <w:rFonts w:ascii="Times New Roman" w:hAnsi="Times New Roman"/>
          <w:color w:val="000000"/>
          <w:sz w:val="20"/>
        </w:rPr>
      </w:pPr>
      <w:r>
        <w:rPr>
          <w:rFonts w:ascii="Times New Roman" w:hAnsi="Times New Roman"/>
          <w:color w:val="000000"/>
          <w:sz w:val="20"/>
        </w:rPr>
        <w:t>In March 2022, we entered into a cross-currency swap agreement to hedge our intercompany fixed-rate, CHF denominated note. The economic effect of the swap agreement is to eliminate the uncertainty of cash flows in CHF associated with the note due to changes in foreign currency exchange rates against our Euro functional subsidiary entity. The cross-currency swap matures in April 2024, which aligns the term of the intercompany note and has a fixed interest rate of 1.05973%.</w:t>
      </w:r>
    </w:p>
    <w:p>
      <w:pPr>
        <w:pStyle w:val="TextBody"/>
        <w:bidi w:val="0"/>
        <w:jc w:val="left"/>
        <w:rPr>
          <w:rFonts w:ascii="Times New Roman" w:hAnsi="Times New Roman"/>
          <w:color w:val="000000"/>
          <w:sz w:val="20"/>
        </w:rPr>
      </w:pPr>
      <w:r>
        <w:rPr>
          <w:rFonts w:ascii="Times New Roman" w:hAnsi="Times New Roman"/>
          <w:color w:val="000000"/>
          <w:sz w:val="20"/>
        </w:rPr>
        <w:t xml:space="preserve">In September 2022, we entered into a cross-currency swap agreement to hedge our intercompany fixed-rate, CHF denominated note. The economic effect of the swap agreement is to eliminate the uncertainty of cash flows in CHF associated with the note due to changes in foreign currency exchange rates against our Euro functional subsidiary entity. The cross-currency swap matures in September 2024, which aligns the term of the intercompany note and has a fixed interest rate of 1.7975%. </w:t>
      </w:r>
    </w:p>
    <w:p>
      <w:pPr>
        <w:pStyle w:val="TextBody"/>
        <w:bidi w:val="0"/>
        <w:jc w:val="left"/>
        <w:rPr>
          <w:rFonts w:ascii="Times New Roman" w:hAnsi="Times New Roman"/>
          <w:color w:val="000000"/>
          <w:sz w:val="20"/>
        </w:rPr>
      </w:pPr>
      <w:r>
        <w:rPr>
          <w:rFonts w:ascii="Times New Roman" w:hAnsi="Times New Roman"/>
          <w:color w:val="000000"/>
          <w:sz w:val="20"/>
        </w:rPr>
        <w:t>The cross-currency swaps are accounted for as fair value hedges. Gains and losses from the hedge offset the changes in the value of principal on the note due to changes in foreign exchange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tables present the impact that the fair value hedges had on our Consolidated Statement of Income for the year ended December 31, 2023 and 2022:</w:t>
      </w:r>
    </w:p>
    <w:tbl>
      <w:tblPr>
        <w:tblW w:w="10205" w:type="dxa"/>
        <w:jc w:val="left"/>
        <w:tblInd w:w="0" w:type="dxa"/>
        <w:tblLayout w:type="fixed"/>
        <w:tblCellMar>
          <w:top w:w="28" w:type="dxa"/>
          <w:left w:w="28" w:type="dxa"/>
          <w:bottom w:w="28" w:type="dxa"/>
          <w:right w:w="28" w:type="dxa"/>
        </w:tblCellMar>
      </w:tblPr>
      <w:tblGrid>
        <w:gridCol w:w="1959"/>
        <w:gridCol w:w="146"/>
        <w:gridCol w:w="339"/>
        <w:gridCol w:w="677"/>
        <w:gridCol w:w="266"/>
        <w:gridCol w:w="234"/>
        <w:gridCol w:w="339"/>
        <w:gridCol w:w="580"/>
        <w:gridCol w:w="146"/>
        <w:gridCol w:w="146"/>
        <w:gridCol w:w="2328"/>
        <w:gridCol w:w="146"/>
        <w:gridCol w:w="336"/>
        <w:gridCol w:w="840"/>
        <w:gridCol w:w="264"/>
        <w:gridCol w:w="233"/>
        <w:gridCol w:w="336"/>
        <w:gridCol w:w="672"/>
        <w:gridCol w:w="218"/>
      </w:tblGrid>
      <w:tr>
        <w:trPr/>
        <w:tc>
          <w:tcPr>
            <w:tcW w:w="1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9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Gain (Loss) Recognized in OCI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Gain (Loss) Recognized in Income</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8"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 of Gain (Loss)</w:t>
            </w:r>
          </w:p>
        </w:tc>
        <w:tc>
          <w:tcPr>
            <w:tcW w:w="146" w:type="dxa"/>
            <w:tcBorders/>
            <w:shd w:fill="FFFFFF" w:val="clear"/>
            <w:vAlign w:val="center"/>
          </w:tcPr>
          <w:p>
            <w:pPr>
              <w:pStyle w:val="TableContents"/>
              <w:bidi w:val="0"/>
              <w:spacing w:before="0" w:after="283"/>
              <w:jc w:val="center"/>
              <w:rPr/>
            </w:pPr>
            <w:r>
              <w:rPr/>
              <w:t> </w:t>
            </w:r>
          </w:p>
        </w:tc>
        <w:tc>
          <w:tcPr>
            <w:tcW w:w="26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Recognized in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Intercompany CHF notes</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26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8"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and other expenses, net</w:t>
            </w:r>
          </w:p>
        </w:tc>
        <w:tc>
          <w:tcPr>
            <w:tcW w:w="146"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3" w:type="dxa"/>
            <w:tcBorders/>
            <w:shd w:fill="CFF0FC" w:val="clear"/>
            <w:vAlign w:val="center"/>
          </w:tcPr>
          <w:p>
            <w:pPr>
              <w:pStyle w:val="TableContents"/>
              <w:bidi w:val="0"/>
              <w:spacing w:before="0" w:after="283"/>
              <w:jc w:val="left"/>
              <w:rPr/>
            </w:pPr>
            <w:r>
              <w:rPr/>
              <w:t> </w:t>
            </w:r>
          </w:p>
        </w:tc>
        <w:tc>
          <w:tcPr>
            <w:tcW w:w="3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Cross-currency swaps</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4"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8"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and other expenses, net</w:t>
            </w:r>
          </w:p>
        </w:tc>
        <w:tc>
          <w:tcPr>
            <w:tcW w:w="146"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64"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336"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18"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Non-Designated Instruments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The effect of our forward contracts that are not designated as hedging instruments on the consolidated statements of operations for the year ended December 31, 2023 was as follows:</w:t>
      </w:r>
    </w:p>
    <w:tbl>
      <w:tblPr>
        <w:tblW w:w="9189" w:type="dxa"/>
        <w:jc w:val="left"/>
        <w:tblInd w:w="0" w:type="dxa"/>
        <w:tblLayout w:type="fixed"/>
        <w:tblCellMar>
          <w:top w:w="28" w:type="dxa"/>
          <w:left w:w="28" w:type="dxa"/>
          <w:bottom w:w="28" w:type="dxa"/>
          <w:right w:w="28" w:type="dxa"/>
        </w:tblCellMar>
      </w:tblPr>
      <w:tblGrid>
        <w:gridCol w:w="2941"/>
        <w:gridCol w:w="146"/>
        <w:gridCol w:w="2761"/>
        <w:gridCol w:w="146"/>
        <w:gridCol w:w="393"/>
        <w:gridCol w:w="673"/>
        <w:gridCol w:w="272"/>
        <w:gridCol w:w="272"/>
        <w:gridCol w:w="393"/>
        <w:gridCol w:w="981"/>
        <w:gridCol w:w="21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61"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Location of Gain</w:t>
            </w:r>
          </w:p>
        </w:tc>
        <w:tc>
          <w:tcPr>
            <w:tcW w:w="146" w:type="dxa"/>
            <w:tcBorders/>
            <w:shd w:fill="FFFFFF" w:val="clear"/>
            <w:vAlign w:val="center"/>
          </w:tcPr>
          <w:p>
            <w:pPr>
              <w:pStyle w:val="TableContents"/>
              <w:bidi w:val="0"/>
              <w:spacing w:before="0" w:after="283"/>
              <w:jc w:val="center"/>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Gain (Loss) Recognized in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Recognized in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forward contracts</w:t>
            </w:r>
          </w:p>
        </w:tc>
        <w:tc>
          <w:tcPr>
            <w:tcW w:w="146" w:type="dxa"/>
            <w:tcBorders/>
            <w:shd w:fill="CFF0FC" w:val="clear"/>
            <w:vAlign w:val="center"/>
          </w:tcPr>
          <w:p>
            <w:pPr>
              <w:pStyle w:val="TableContents"/>
              <w:bidi w:val="0"/>
              <w:spacing w:before="0" w:after="283"/>
              <w:jc w:val="left"/>
              <w:rPr/>
            </w:pPr>
            <w:r>
              <w:rPr/>
              <w:t> </w:t>
            </w:r>
          </w:p>
        </w:tc>
        <w:tc>
          <w:tcPr>
            <w:tcW w:w="276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and other expenses, net</w:t>
            </w:r>
          </w:p>
        </w:tc>
        <w:tc>
          <w:tcPr>
            <w:tcW w:w="1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2"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282A32"/>
          <w:sz w:val="20"/>
        </w:rPr>
      </w:pPr>
      <w:r>
        <w:rPr>
          <w:rFonts w:ascii="Times New Roman" w:hAnsi="Times New Roman"/>
          <w:i/>
          <w:color w:val="282A32"/>
          <w:sz w:val="20"/>
        </w:rPr>
        <w:t>Derivative and Non-Derivative Assets and Liabilities</w:t>
      </w:r>
    </w:p>
    <w:p>
      <w:pPr>
        <w:pStyle w:val="TextBody"/>
        <w:bidi w:val="0"/>
        <w:jc w:val="both"/>
        <w:rPr/>
      </w:pPr>
      <w:r>
        <w:rPr/>
        <w:t> </w:t>
      </w:r>
    </w:p>
    <w:p>
      <w:pPr>
        <w:pStyle w:val="TextBody"/>
        <w:bidi w:val="0"/>
        <w:spacing w:before="0" w:after="120"/>
        <w:jc w:val="both"/>
        <w:rPr>
          <w:rFonts w:ascii="Times New Roman" w:hAnsi="Times New Roman"/>
          <w:color w:val="282A32"/>
          <w:sz w:val="20"/>
        </w:rPr>
      </w:pPr>
      <w:r>
        <w:rPr>
          <w:rFonts w:ascii="Times New Roman" w:hAnsi="Times New Roman"/>
          <w:color w:val="282A32"/>
          <w:sz w:val="20"/>
        </w:rPr>
        <w:t>The following tables present the fair value of derivative and non-derivative assets and liabilities on the Consolidated Balance Sheets as of December 31, 2023, and 2022:</w:t>
      </w:r>
    </w:p>
    <w:tbl>
      <w:tblPr>
        <w:tblW w:w="9562" w:type="dxa"/>
        <w:jc w:val="left"/>
        <w:tblInd w:w="0" w:type="dxa"/>
        <w:tblLayout w:type="fixed"/>
        <w:tblCellMar>
          <w:top w:w="28" w:type="dxa"/>
          <w:left w:w="28" w:type="dxa"/>
          <w:bottom w:w="28" w:type="dxa"/>
          <w:right w:w="28" w:type="dxa"/>
        </w:tblCellMar>
      </w:tblPr>
      <w:tblGrid>
        <w:gridCol w:w="3691"/>
        <w:gridCol w:w="146"/>
        <w:gridCol w:w="2176"/>
        <w:gridCol w:w="146"/>
        <w:gridCol w:w="392"/>
        <w:gridCol w:w="868"/>
        <w:gridCol w:w="146"/>
        <w:gridCol w:w="146"/>
        <w:gridCol w:w="392"/>
        <w:gridCol w:w="868"/>
        <w:gridCol w:w="5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13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1" w:type="dxa"/>
            <w:tcBorders/>
            <w:shd w:fill="FFFFFF" w:val="clear"/>
            <w:vAlign w:val="center"/>
          </w:tcPr>
          <w:p>
            <w:pPr>
              <w:pStyle w:val="TableContents"/>
              <w:bidi w:val="0"/>
              <w:spacing w:before="0" w:after="283"/>
              <w:jc w:val="center"/>
              <w:rPr/>
            </w:pPr>
            <w:r>
              <w:rPr/>
              <w:t> </w:t>
            </w:r>
          </w:p>
        </w:tc>
      </w:tr>
      <w:tr>
        <w:trPr/>
        <w:tc>
          <w:tcPr>
            <w:tcW w:w="36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Instruments designated as fair value hedges:</w:t>
            </w:r>
          </w:p>
        </w:tc>
        <w:tc>
          <w:tcPr>
            <w:tcW w:w="146" w:type="dxa"/>
            <w:tcBorders/>
            <w:shd w:fill="CFF0FC" w:val="clear"/>
            <w:vAlign w:val="center"/>
          </w:tcPr>
          <w:p>
            <w:pPr>
              <w:pStyle w:val="TableContents"/>
              <w:bidi w:val="0"/>
              <w:spacing w:before="0" w:after="283"/>
              <w:jc w:val="left"/>
              <w:rPr/>
            </w:pPr>
            <w:r>
              <w:rPr/>
              <w:t> </w:t>
            </w:r>
          </w:p>
        </w:tc>
        <w:tc>
          <w:tcPr>
            <w:tcW w:w="21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Cross-currency swaps</w:t>
            </w:r>
          </w:p>
        </w:tc>
        <w:tc>
          <w:tcPr>
            <w:tcW w:w="146" w:type="dxa"/>
            <w:tcBorders/>
            <w:shd w:fill="FFFFFF" w:val="clear"/>
            <w:vAlign w:val="center"/>
          </w:tcPr>
          <w:p>
            <w:pPr>
              <w:pStyle w:val="TableContents"/>
              <w:bidi w:val="0"/>
              <w:spacing w:before="0" w:after="283"/>
              <w:jc w:val="left"/>
              <w:rPr/>
            </w:pPr>
            <w:r>
              <w:rPr/>
              <w:t> </w:t>
            </w:r>
          </w:p>
        </w:tc>
        <w:tc>
          <w:tcPr>
            <w:tcW w:w="2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591" w:type="dxa"/>
            <w:tcBorders/>
            <w:shd w:fill="FFFFFF" w:val="clear"/>
            <w:vAlign w:val="center"/>
          </w:tcPr>
          <w:p>
            <w:pPr>
              <w:pStyle w:val="TableContents"/>
              <w:bidi w:val="0"/>
              <w:spacing w:before="0" w:after="283"/>
              <w:jc w:val="left"/>
              <w:rPr/>
            </w:pPr>
            <w:r>
              <w:rPr/>
              <w:t> </w:t>
            </w:r>
          </w:p>
        </w:tc>
      </w:tr>
      <w:tr>
        <w:trPr/>
        <w:tc>
          <w:tcPr>
            <w:tcW w:w="36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Instruments not designated as hedges:</w:t>
            </w:r>
          </w:p>
        </w:tc>
        <w:tc>
          <w:tcPr>
            <w:tcW w:w="146" w:type="dxa"/>
            <w:tcBorders/>
            <w:shd w:fill="CFF0FC" w:val="clear"/>
            <w:vAlign w:val="center"/>
          </w:tcPr>
          <w:p>
            <w:pPr>
              <w:pStyle w:val="TableContents"/>
              <w:bidi w:val="0"/>
              <w:spacing w:before="0" w:after="283"/>
              <w:jc w:val="left"/>
              <w:rPr/>
            </w:pPr>
            <w:r>
              <w:rPr/>
              <w:t> </w:t>
            </w:r>
          </w:p>
        </w:tc>
        <w:tc>
          <w:tcPr>
            <w:tcW w:w="217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6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forward contracts</w:t>
            </w:r>
          </w:p>
        </w:tc>
        <w:tc>
          <w:tcPr>
            <w:tcW w:w="146" w:type="dxa"/>
            <w:tcBorders/>
            <w:shd w:fill="FFFFFF" w:val="clear"/>
            <w:vAlign w:val="center"/>
          </w:tcPr>
          <w:p>
            <w:pPr>
              <w:pStyle w:val="TableContents"/>
              <w:bidi w:val="0"/>
              <w:spacing w:before="0" w:after="283"/>
              <w:jc w:val="left"/>
              <w:rPr/>
            </w:pPr>
            <w:r>
              <w:rPr/>
              <w:t> </w:t>
            </w:r>
          </w:p>
        </w:tc>
        <w:tc>
          <w:tcPr>
            <w:tcW w:w="2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instruments</w:t>
            </w:r>
          </w:p>
        </w:tc>
        <w:tc>
          <w:tcPr>
            <w:tcW w:w="146" w:type="dxa"/>
            <w:tcBorders/>
            <w:shd w:fill="CFF0FC" w:val="clear"/>
            <w:vAlign w:val="center"/>
          </w:tcPr>
          <w:p>
            <w:pPr>
              <w:pStyle w:val="TableContents"/>
              <w:bidi w:val="0"/>
              <w:spacing w:before="0" w:after="283"/>
              <w:jc w:val="left"/>
              <w:rPr/>
            </w:pPr>
            <w:r>
              <w:rPr/>
              <w:t> </w:t>
            </w:r>
          </w:p>
        </w:tc>
        <w:tc>
          <w:tcPr>
            <w:tcW w:w="217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922" w:type="dxa"/>
        <w:jc w:val="left"/>
        <w:tblInd w:w="0" w:type="dxa"/>
        <w:tblLayout w:type="fixed"/>
        <w:tblCellMar>
          <w:top w:w="28" w:type="dxa"/>
          <w:left w:w="28" w:type="dxa"/>
          <w:bottom w:w="28" w:type="dxa"/>
          <w:right w:w="28" w:type="dxa"/>
        </w:tblCellMar>
      </w:tblPr>
      <w:tblGrid>
        <w:gridCol w:w="4126"/>
        <w:gridCol w:w="146"/>
        <w:gridCol w:w="2101"/>
        <w:gridCol w:w="146"/>
        <w:gridCol w:w="284"/>
        <w:gridCol w:w="976"/>
        <w:gridCol w:w="146"/>
        <w:gridCol w:w="146"/>
        <w:gridCol w:w="339"/>
        <w:gridCol w:w="921"/>
        <w:gridCol w:w="5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05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1" w:type="dxa"/>
            <w:tcBorders/>
            <w:shd w:fill="FFFFFF" w:val="cle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Instruments designated as net investment hedges:</w:t>
            </w:r>
          </w:p>
        </w:tc>
        <w:tc>
          <w:tcPr>
            <w:tcW w:w="146" w:type="dxa"/>
            <w:tcBorders/>
            <w:shd w:fill="CFF0FC" w:val="clear"/>
            <w:vAlign w:val="center"/>
          </w:tcPr>
          <w:p>
            <w:pPr>
              <w:pStyle w:val="TableContents"/>
              <w:bidi w:val="0"/>
              <w:spacing w:before="0" w:after="283"/>
              <w:jc w:val="left"/>
              <w:rPr/>
            </w:pPr>
            <w:r>
              <w:rPr/>
              <w:t> </w:t>
            </w:r>
          </w:p>
        </w:tc>
        <w:tc>
          <w:tcPr>
            <w:tcW w:w="210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1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Euro Notes due in 2026</w:t>
            </w:r>
          </w:p>
        </w:tc>
        <w:tc>
          <w:tcPr>
            <w:tcW w:w="146" w:type="dxa"/>
            <w:tcBorders/>
            <w:shd w:fill="FFFFFF" w:val="clear"/>
            <w:vAlign w:val="center"/>
          </w:tcPr>
          <w:p>
            <w:pPr>
              <w:pStyle w:val="TableContents"/>
              <w:bidi w:val="0"/>
              <w:spacing w:before="0" w:after="283"/>
              <w:jc w:val="left"/>
              <w:rPr/>
            </w:pPr>
            <w:r>
              <w:rPr/>
              <w:t> </w:t>
            </w:r>
          </w:p>
        </w:tc>
        <w:tc>
          <w:tcPr>
            <w:tcW w:w="2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1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Euro Notes due in 2027</w:t>
            </w:r>
          </w:p>
        </w:tc>
        <w:tc>
          <w:tcPr>
            <w:tcW w:w="146" w:type="dxa"/>
            <w:tcBorders/>
            <w:shd w:fill="CFF0FC" w:val="clear"/>
            <w:vAlign w:val="center"/>
          </w:tcPr>
          <w:p>
            <w:pPr>
              <w:pStyle w:val="TableContents"/>
              <w:bidi w:val="0"/>
              <w:spacing w:before="0" w:after="283"/>
              <w:jc w:val="left"/>
              <w:rPr/>
            </w:pPr>
            <w:r>
              <w:rPr/>
              <w:t> </w:t>
            </w:r>
          </w:p>
        </w:tc>
        <w:tc>
          <w:tcPr>
            <w:tcW w:w="2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1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Cross-currency swaps</w:t>
            </w:r>
          </w:p>
        </w:tc>
        <w:tc>
          <w:tcPr>
            <w:tcW w:w="146" w:type="dxa"/>
            <w:tcBorders/>
            <w:shd w:fill="FFFFFF" w:val="clear"/>
            <w:vAlign w:val="center"/>
          </w:tcPr>
          <w:p>
            <w:pPr>
              <w:pStyle w:val="TableContents"/>
              <w:bidi w:val="0"/>
              <w:spacing w:before="0" w:after="283"/>
              <w:jc w:val="left"/>
              <w:rPr/>
            </w:pPr>
            <w:r>
              <w:rPr/>
              <w:t> </w:t>
            </w:r>
          </w:p>
        </w:tc>
        <w:tc>
          <w:tcPr>
            <w:tcW w:w="2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59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Instruments not designated as hedges:</w:t>
            </w:r>
          </w:p>
        </w:tc>
        <w:tc>
          <w:tcPr>
            <w:tcW w:w="146" w:type="dxa"/>
            <w:tcBorders/>
            <w:shd w:fill="CFF0FC" w:val="clear"/>
            <w:vAlign w:val="center"/>
          </w:tcPr>
          <w:p>
            <w:pPr>
              <w:pStyle w:val="TableContents"/>
              <w:bidi w:val="0"/>
              <w:spacing w:before="0" w:after="283"/>
              <w:jc w:val="left"/>
              <w:rPr/>
            </w:pPr>
            <w:r>
              <w:rPr/>
              <w:t> </w:t>
            </w:r>
          </w:p>
        </w:tc>
        <w:tc>
          <w:tcPr>
            <w:tcW w:w="21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1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forward contracts</w:t>
            </w:r>
          </w:p>
        </w:tc>
        <w:tc>
          <w:tcPr>
            <w:tcW w:w="146" w:type="dxa"/>
            <w:tcBorders/>
            <w:shd w:fill="FFFFFF" w:val="clear"/>
            <w:vAlign w:val="center"/>
          </w:tcPr>
          <w:p>
            <w:pPr>
              <w:pStyle w:val="TableContents"/>
              <w:bidi w:val="0"/>
              <w:spacing w:before="0" w:after="283"/>
              <w:jc w:val="left"/>
              <w:rPr/>
            </w:pPr>
            <w:r>
              <w:rPr/>
              <w:t> </w:t>
            </w:r>
          </w:p>
        </w:tc>
        <w:tc>
          <w:tcPr>
            <w:tcW w:w="2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2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instruments</w:t>
            </w:r>
          </w:p>
        </w:tc>
        <w:tc>
          <w:tcPr>
            <w:tcW w:w="146" w:type="dxa"/>
            <w:tcBorders/>
            <w:shd w:fill="CFF0FC" w:val="clear"/>
            <w:vAlign w:val="center"/>
          </w:tcPr>
          <w:p>
            <w:pPr>
              <w:pStyle w:val="TableContents"/>
              <w:bidi w:val="0"/>
              <w:spacing w:before="0" w:after="283"/>
              <w:jc w:val="left"/>
              <w:rPr/>
            </w:pPr>
            <w:r>
              <w:rPr/>
              <w:t> </w:t>
            </w:r>
          </w:p>
        </w:tc>
        <w:tc>
          <w:tcPr>
            <w:tcW w:w="21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282A32"/>
          <w:sz w:val="20"/>
        </w:rPr>
      </w:pPr>
      <w:r>
        <w:rPr>
          <w:rFonts w:ascii="Times New Roman" w:hAnsi="Times New Roman"/>
          <w:color w:val="282A32"/>
          <w:sz w:val="20"/>
        </w:rPr>
        <w:t>The fair value measurements of these items recorded in our Consolidated Balance Sheets for the years ended December 31, 2023 and 2022 are disclosed in Note 1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(13) </w:t>
      </w:r>
      <w:r>
        <w:rPr>
          <w:rFonts w:ascii="Times New Roman" w:hAnsi="Times New Roman"/>
          <w:color w:val="000000"/>
          <w:sz w:val="20"/>
          <w:u w:val="single"/>
        </w:rPr>
        <w:t>Leases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components of lease expense were as follows: </w:t>
      </w:r>
    </w:p>
    <w:p>
      <w:pPr>
        <w:pStyle w:val="TextBody"/>
        <w:bidi w:val="0"/>
        <w:jc w:val="both"/>
        <w:rPr/>
      </w:pPr>
      <w:r>
        <w:rPr/>
        <w:t> </w:t>
      </w:r>
    </w:p>
    <w:tbl>
      <w:tblPr>
        <w:tblW w:w="5598" w:type="dxa"/>
        <w:jc w:val="left"/>
        <w:tblInd w:w="0" w:type="dxa"/>
        <w:tblLayout w:type="fixed"/>
        <w:tblCellMar>
          <w:top w:w="28" w:type="dxa"/>
          <w:left w:w="28" w:type="dxa"/>
          <w:bottom w:w="28" w:type="dxa"/>
          <w:right w:w="28" w:type="dxa"/>
        </w:tblCellMar>
      </w:tblPr>
      <w:tblGrid>
        <w:gridCol w:w="2131"/>
        <w:gridCol w:w="146"/>
        <w:gridCol w:w="211"/>
        <w:gridCol w:w="571"/>
        <w:gridCol w:w="146"/>
        <w:gridCol w:w="146"/>
        <w:gridCol w:w="211"/>
        <w:gridCol w:w="571"/>
        <w:gridCol w:w="146"/>
        <w:gridCol w:w="146"/>
        <w:gridCol w:w="211"/>
        <w:gridCol w:w="571"/>
        <w:gridCol w:w="3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w:t>
            </w:r>
          </w:p>
        </w:tc>
        <w:tc>
          <w:tcPr>
            <w:tcW w:w="391"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shd w:fill="FFFFFF" w:val="cle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lease expense</w:t>
            </w:r>
            <w:r>
              <w:rPr>
                <w:rFonts w:ascii="Times New Roman" w:hAnsi="Times New Roman"/>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282A32"/>
          <w:sz w:val="12"/>
        </w:rPr>
        <w:t>(a)</w:t>
      </w:r>
      <w:r>
        <w:rPr>
          <w:rFonts w:ascii="Times New Roman" w:hAnsi="Times New Roman"/>
          <w:color w:val="282A32"/>
          <w:sz w:val="20"/>
        </w:rPr>
        <w:t xml:space="preserve"> </w:t>
      </w:r>
      <w:r>
        <w:rPr>
          <w:rFonts w:ascii="Times New Roman" w:hAnsi="Times New Roman"/>
          <w:color w:val="282A32"/>
          <w:sz w:val="18"/>
        </w:rPr>
        <w:t>Other lease expense includes variable lease expense and sublease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information related to leases was as follows:</w:t>
      </w:r>
    </w:p>
    <w:p>
      <w:pPr>
        <w:pStyle w:val="TextBody"/>
        <w:bidi w:val="0"/>
        <w:jc w:val="both"/>
        <w:rPr/>
      </w:pPr>
      <w:r>
        <w:rPr/>
        <w:t> </w:t>
      </w:r>
    </w:p>
    <w:tbl>
      <w:tblPr>
        <w:tblW w:w="9898" w:type="dxa"/>
        <w:jc w:val="left"/>
        <w:tblInd w:w="0" w:type="dxa"/>
        <w:tblLayout w:type="fixed"/>
        <w:tblCellMar>
          <w:top w:w="28" w:type="dxa"/>
          <w:left w:w="28" w:type="dxa"/>
          <w:bottom w:w="28" w:type="dxa"/>
          <w:right w:w="28" w:type="dxa"/>
        </w:tblCellMar>
      </w:tblPr>
      <w:tblGrid>
        <w:gridCol w:w="6631"/>
        <w:gridCol w:w="146"/>
        <w:gridCol w:w="211"/>
        <w:gridCol w:w="571"/>
        <w:gridCol w:w="146"/>
        <w:gridCol w:w="146"/>
        <w:gridCol w:w="211"/>
        <w:gridCol w:w="571"/>
        <w:gridCol w:w="146"/>
        <w:gridCol w:w="146"/>
        <w:gridCol w:w="211"/>
        <w:gridCol w:w="571"/>
        <w:gridCol w:w="191"/>
      </w:tblGrid>
      <w:tr>
        <w:trPr/>
        <w:tc>
          <w:tcPr>
            <w:tcW w:w="6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191" w:type="dxa"/>
            <w:tcBorders/>
            <w:shd w:fill="CFF0FC" w:val="clear"/>
            <w:vAlign w:val="center"/>
          </w:tcPr>
          <w:p>
            <w:pPr>
              <w:pStyle w:val="TableContents"/>
              <w:bidi w:val="0"/>
              <w:spacing w:before="0" w:after="283"/>
              <w:jc w:val="left"/>
              <w:rPr/>
            </w:pPr>
            <w:r>
              <w:rPr/>
              <w:t> </w:t>
            </w:r>
          </w:p>
        </w:tc>
      </w:tr>
      <w:tr>
        <w:trPr/>
        <w:tc>
          <w:tcPr>
            <w:tcW w:w="6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ROU assets obtained in exchange for lease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tbl>
      <w:tblPr>
        <w:tblW w:w="6935" w:type="dxa"/>
        <w:jc w:val="left"/>
        <w:tblInd w:w="0" w:type="dxa"/>
        <w:tblLayout w:type="fixed"/>
        <w:tblCellMar>
          <w:top w:w="28" w:type="dxa"/>
          <w:left w:w="28" w:type="dxa"/>
          <w:bottom w:w="28" w:type="dxa"/>
          <w:right w:w="28" w:type="dxa"/>
        </w:tblCellMar>
      </w:tblPr>
      <w:tblGrid>
        <w:gridCol w:w="3586"/>
        <w:gridCol w:w="146"/>
        <w:gridCol w:w="339"/>
        <w:gridCol w:w="921"/>
        <w:gridCol w:w="146"/>
        <w:gridCol w:w="146"/>
        <w:gridCol w:w="339"/>
        <w:gridCol w:w="921"/>
        <w:gridCol w:w="3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Balance Sheet Information</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ROU assets</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 liabilities - current</w:t>
            </w:r>
            <w:r>
              <w:rPr>
                <w:rFonts w:ascii="Times New Roman" w:hAnsi="Times New Roman"/>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39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 long-term</w:t>
            </w:r>
          </w:p>
        </w:tc>
        <w:tc>
          <w:tcPr>
            <w:tcW w:w="146" w:type="dxa"/>
            <w:tcBorders/>
            <w:shd w:fill="FFFFFF" w:val="cle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2"/>
        </w:rPr>
        <w:t>(a)</w:t>
      </w:r>
      <w:r>
        <w:rPr>
          <w:rFonts w:ascii="Times New Roman" w:hAnsi="Times New Roman"/>
          <w:color w:val="000000"/>
          <w:sz w:val="20"/>
        </w:rPr>
        <w:t xml:space="preserve"> </w:t>
      </w:r>
      <w:r>
        <w:rPr>
          <w:rFonts w:ascii="Times New Roman" w:hAnsi="Times New Roman"/>
          <w:color w:val="000000"/>
          <w:sz w:val="18"/>
        </w:rPr>
        <w:t>Operating lease liabilities - current are included in accrued expenses on our Consolidated Balance Sheets.</w:t>
      </w:r>
    </w:p>
    <w:p>
      <w:pPr>
        <w:pStyle w:val="TextBody"/>
        <w:bidi w:val="0"/>
        <w:jc w:val="left"/>
        <w:rPr/>
      </w:pPr>
      <w:r>
        <w:rPr/>
        <w:t> </w:t>
      </w:r>
    </w:p>
    <w:tbl>
      <w:tblPr>
        <w:tblW w:w="7510" w:type="dxa"/>
        <w:jc w:val="left"/>
        <w:tblInd w:w="0" w:type="dxa"/>
        <w:tblLayout w:type="fixed"/>
        <w:tblCellMar>
          <w:top w:w="28" w:type="dxa"/>
          <w:left w:w="28" w:type="dxa"/>
          <w:bottom w:w="28" w:type="dxa"/>
          <w:right w:w="28" w:type="dxa"/>
        </w:tblCellMar>
      </w:tblPr>
      <w:tblGrid>
        <w:gridCol w:w="3736"/>
        <w:gridCol w:w="146"/>
        <w:gridCol w:w="237"/>
        <w:gridCol w:w="589"/>
        <w:gridCol w:w="271"/>
        <w:gridCol w:w="146"/>
        <w:gridCol w:w="237"/>
        <w:gridCol w:w="589"/>
        <w:gridCol w:w="271"/>
        <w:gridCol w:w="146"/>
        <w:gridCol w:w="237"/>
        <w:gridCol w:w="589"/>
        <w:gridCol w:w="316"/>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1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Remaining Lease Term</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 years</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 years</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 years</w:t>
            </w:r>
          </w:p>
        </w:tc>
        <w:tc>
          <w:tcPr>
            <w:tcW w:w="316" w:type="dxa"/>
            <w:tcBorders/>
            <w:shd w:fill="CFF0FC" w:val="clear"/>
            <w:vAlign w:val="center"/>
          </w:tcPr>
          <w:p>
            <w:pPr>
              <w:pStyle w:val="TableContents"/>
              <w:bidi w:val="0"/>
              <w:spacing w:before="0" w:after="283"/>
              <w:jc w:val="righ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27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6" w:type="dxa"/>
            <w:gridSpan w:val="2"/>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righ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5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pPr>
            <w:r>
              <w:rPr/>
              <w:t> </w:t>
            </w:r>
          </w:p>
        </w:tc>
        <w:tc>
          <w:tcPr>
            <w:tcW w:w="5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pPr>
            <w:r>
              <w:rPr/>
              <w:t> </w:t>
            </w:r>
          </w:p>
        </w:tc>
        <w:tc>
          <w:tcPr>
            <w:tcW w:w="5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Maturities of operating lease liabilities as of December 31, 2023 were as follows:</w:t>
      </w:r>
    </w:p>
    <w:p>
      <w:pPr>
        <w:pStyle w:val="TextBody"/>
        <w:bidi w:val="0"/>
        <w:jc w:val="both"/>
        <w:rPr/>
      </w:pPr>
      <w:r>
        <w:rPr/>
        <w:t> </w:t>
      </w:r>
    </w:p>
    <w:tbl>
      <w:tblPr>
        <w:tblW w:w="5738" w:type="dxa"/>
        <w:jc w:val="left"/>
        <w:tblInd w:w="0" w:type="dxa"/>
        <w:tblLayout w:type="fixed"/>
        <w:tblCellMar>
          <w:top w:w="28" w:type="dxa"/>
          <w:left w:w="28" w:type="dxa"/>
          <w:bottom w:w="28" w:type="dxa"/>
          <w:right w:w="28" w:type="dxa"/>
        </w:tblCellMar>
      </w:tblPr>
      <w:tblGrid>
        <w:gridCol w:w="3611"/>
        <w:gridCol w:w="146"/>
        <w:gridCol w:w="428"/>
        <w:gridCol w:w="1162"/>
        <w:gridCol w:w="391"/>
      </w:tblGrid>
      <w:tr>
        <w:trPr/>
        <w:tc>
          <w:tcPr>
            <w:tcW w:w="3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Period Ending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 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w:t>
            </w:r>
          </w:p>
        </w:tc>
        <w:tc>
          <w:tcPr>
            <w:tcW w:w="391" w:type="dxa"/>
            <w:tcBorders/>
            <w:shd w:fill="CFF0FC" w:val="clear"/>
            <w:vAlign w:val="center"/>
          </w:tcPr>
          <w:p>
            <w:pPr>
              <w:pStyle w:val="TableContents"/>
              <w:bidi w:val="0"/>
              <w:spacing w:before="0" w:after="283"/>
              <w:jc w:val="left"/>
              <w:rPr/>
            </w:pPr>
            <w:r>
              <w:rPr/>
              <w:t> </w:t>
            </w:r>
          </w:p>
        </w:tc>
      </w:tr>
      <w:tr>
        <w:trPr/>
        <w:tc>
          <w:tcPr>
            <w:tcW w:w="36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391" w:type="dxa"/>
            <w:tcBorders/>
            <w:shd w:fill="FFFFFF" w:val="clear"/>
            <w:vAlign w:val="center"/>
          </w:tcPr>
          <w:p>
            <w:pPr>
              <w:pStyle w:val="TableContents"/>
              <w:bidi w:val="0"/>
              <w:spacing w:before="0" w:after="283"/>
              <w:jc w:val="left"/>
              <w:rPr/>
            </w:pPr>
            <w:r>
              <w:rPr/>
              <w:t> </w:t>
            </w:r>
          </w:p>
        </w:tc>
      </w:tr>
      <w:tr>
        <w:trPr/>
        <w:tc>
          <w:tcPr>
            <w:tcW w:w="361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391" w:type="dxa"/>
            <w:tcBorders/>
            <w:shd w:fill="CFF0FC" w:val="clear"/>
            <w:vAlign w:val="center"/>
          </w:tcPr>
          <w:p>
            <w:pPr>
              <w:pStyle w:val="TableContents"/>
              <w:bidi w:val="0"/>
              <w:spacing w:before="0" w:after="283"/>
              <w:jc w:val="left"/>
              <w:rPr/>
            </w:pPr>
            <w:r>
              <w:rPr/>
              <w:t> </w:t>
            </w:r>
          </w:p>
        </w:tc>
      </w:tr>
      <w:tr>
        <w:trPr/>
        <w:tc>
          <w:tcPr>
            <w:tcW w:w="36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391" w:type="dxa"/>
            <w:tcBorders/>
            <w:shd w:fill="FFFFFF" w:val="clear"/>
            <w:vAlign w:val="center"/>
          </w:tcPr>
          <w:p>
            <w:pPr>
              <w:pStyle w:val="TableContents"/>
              <w:bidi w:val="0"/>
              <w:spacing w:before="0" w:after="283"/>
              <w:jc w:val="left"/>
              <w:rPr/>
            </w:pPr>
            <w:r>
              <w:rPr/>
              <w:t> </w:t>
            </w:r>
          </w:p>
        </w:tc>
      </w:tr>
      <w:tr>
        <w:trPr/>
        <w:tc>
          <w:tcPr>
            <w:tcW w:w="361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391" w:type="dxa"/>
            <w:tcBorders/>
            <w:shd w:fill="CFF0FC" w:val="clear"/>
            <w:vAlign w:val="center"/>
          </w:tcPr>
          <w:p>
            <w:pPr>
              <w:pStyle w:val="TableContents"/>
              <w:bidi w:val="0"/>
              <w:spacing w:before="0" w:after="283"/>
              <w:jc w:val="left"/>
              <w:rPr/>
            </w:pPr>
            <w:r>
              <w:rPr/>
              <w:t> </w:t>
            </w:r>
          </w:p>
        </w:tc>
      </w:tr>
      <w:tr>
        <w:trPr/>
        <w:tc>
          <w:tcPr>
            <w:tcW w:w="3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future undiscounted lease payments</w:t>
            </w:r>
          </w:p>
        </w:tc>
        <w:tc>
          <w:tcPr>
            <w:tcW w:w="146"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Less imputed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1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(14) </w:t>
      </w:r>
      <w:r>
        <w:rPr>
          <w:rFonts w:ascii="Times New Roman" w:hAnsi="Times New Roman"/>
          <w:color w:val="000000"/>
          <w:sz w:val="20"/>
          <w:u w:val="single"/>
        </w:rPr>
        <w:t>Segment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organized and managed primarily on a geographic basis.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segments derive a significant majority of their revenues from our staffing and interim services. The remaining revenues within these segments are derived from our outcome-based solutions and consulting services, permanent recruitment services, outplacement services, talent management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Total assets for the segments are reported after the elimination of investments in subsidiaries and intercompany accounts.</w:t>
      </w:r>
    </w:p>
    <w:tbl>
      <w:tblPr>
        <w:tblW w:w="7638" w:type="dxa"/>
        <w:jc w:val="left"/>
        <w:tblInd w:w="0" w:type="dxa"/>
        <w:tblLayout w:type="fixed"/>
        <w:tblCellMar>
          <w:top w:w="28" w:type="dxa"/>
          <w:left w:w="28" w:type="dxa"/>
          <w:bottom w:w="28" w:type="dxa"/>
          <w:right w:w="28" w:type="dxa"/>
        </w:tblCellMar>
      </w:tblPr>
      <w:tblGrid>
        <w:gridCol w:w="3346"/>
        <w:gridCol w:w="146"/>
        <w:gridCol w:w="211"/>
        <w:gridCol w:w="826"/>
        <w:gridCol w:w="166"/>
        <w:gridCol w:w="146"/>
        <w:gridCol w:w="211"/>
        <w:gridCol w:w="826"/>
        <w:gridCol w:w="166"/>
        <w:gridCol w:w="146"/>
        <w:gridCol w:w="211"/>
        <w:gridCol w:w="826"/>
        <w:gridCol w:w="4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 from Services</w:t>
            </w:r>
          </w:p>
        </w:tc>
        <w:tc>
          <w:tcPr>
            <w:tcW w:w="146"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34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United States</w:t>
            </w:r>
            <w:r>
              <w:rPr>
                <w:rFonts w:ascii="Times New Roman" w:hAnsi="Times New Roman"/>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3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Americas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Southern Europe:</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3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France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5,171.3</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3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Italy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3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Southern Europe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Northern Europe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4,670.5</w:t>
            </w:r>
          </w:p>
        </w:tc>
        <w:tc>
          <w:tcPr>
            <w:tcW w:w="4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Intercompany Eliminations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Consolidated</w:t>
            </w:r>
            <w:r>
              <w:rPr>
                <w:rFonts w:ascii="Times New Roman" w:hAnsi="Times New Roman"/>
                <w:color w:val="000000"/>
                <w:sz w:val="13"/>
              </w:rPr>
              <w:t>(a)</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20,724.4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Unit Profit (Loss)</w:t>
            </w:r>
          </w:p>
        </w:tc>
        <w:tc>
          <w:tcPr>
            <w:tcW w:w="146"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3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3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Americas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Southern Europe:</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3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France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33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Italy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33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Southern Europe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Northern Europe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4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 charges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Intangible asset amortization expense</w:t>
            </w:r>
            <w:r>
              <w:rPr>
                <w:rFonts w:ascii="Times New Roman" w:hAnsi="Times New Roman"/>
                <w:color w:val="000000"/>
                <w:sz w:val="13"/>
              </w:rPr>
              <w:t>(b)</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w:t>
            </w:r>
          </w:p>
        </w:tc>
        <w:tc>
          <w:tcPr>
            <w:tcW w:w="4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expenses,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Earnings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282A32"/>
          <w:sz w:val="18"/>
        </w:rPr>
        <w:t>(a) The United States revenues above represent revenues from our company-owned branches and franchise fees received from our franchise operations, which were $11.9, $12.8</w:t>
      </w:r>
      <w:r>
        <w:rPr>
          <w:rFonts w:ascii="Times New Roman" w:hAnsi="Times New Roman"/>
          <w:color w:val="282A32"/>
          <w:sz w:val="20"/>
        </w:rPr>
        <w:t xml:space="preserve"> </w:t>
      </w:r>
      <w:r>
        <w:rPr>
          <w:rFonts w:ascii="Times New Roman" w:hAnsi="Times New Roman"/>
          <w:color w:val="282A32"/>
          <w:sz w:val="18"/>
        </w:rPr>
        <w:t>and $12.8</w:t>
      </w:r>
      <w:r>
        <w:rPr>
          <w:rFonts w:ascii="Times New Roman" w:hAnsi="Times New Roman"/>
          <w:color w:val="282A32"/>
          <w:sz w:val="20"/>
        </w:rPr>
        <w:t xml:space="preserve"> </w:t>
      </w:r>
      <w:r>
        <w:rPr>
          <w:rFonts w:ascii="Times New Roman" w:hAnsi="Times New Roman"/>
          <w:color w:val="282A32"/>
          <w:sz w:val="18"/>
        </w:rPr>
        <w:t>for 2023, 2022, and 2021, respectively.</w:t>
      </w:r>
    </w:p>
    <w:p>
      <w:pPr>
        <w:pStyle w:val="TextBody"/>
        <w:bidi w:val="0"/>
        <w:spacing w:before="40" w:after="283"/>
        <w:jc w:val="both"/>
        <w:rPr>
          <w:rFonts w:ascii="Times New Roman" w:hAnsi="Times New Roman"/>
          <w:color w:val="282A32"/>
          <w:sz w:val="18"/>
        </w:rPr>
      </w:pPr>
      <w:r>
        <w:rPr>
          <w:rFonts w:ascii="Times New Roman" w:hAnsi="Times New Roman"/>
          <w:color w:val="282A32"/>
          <w:sz w:val="18"/>
        </w:rPr>
        <w:t>(b) Intangible asset amortization related to acquisitions is excluded from operating costs within the reportable segments and corporate expenses, and shown separately.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pPr>
      <w:r>
        <w:rPr/>
        <w:t> </w:t>
      </w:r>
    </w:p>
    <w:tbl>
      <w:tblPr>
        <w:tblW w:w="6663" w:type="dxa"/>
        <w:jc w:val="left"/>
        <w:tblInd w:w="0" w:type="dxa"/>
        <w:tblLayout w:type="fixed"/>
        <w:tblCellMar>
          <w:top w:w="28" w:type="dxa"/>
          <w:left w:w="28" w:type="dxa"/>
          <w:bottom w:w="28" w:type="dxa"/>
          <w:right w:w="28" w:type="dxa"/>
        </w:tblCellMar>
      </w:tblPr>
      <w:tblGrid>
        <w:gridCol w:w="3511"/>
        <w:gridCol w:w="146"/>
        <w:gridCol w:w="211"/>
        <w:gridCol w:w="466"/>
        <w:gridCol w:w="146"/>
        <w:gridCol w:w="146"/>
        <w:gridCol w:w="211"/>
        <w:gridCol w:w="466"/>
        <w:gridCol w:w="146"/>
        <w:gridCol w:w="146"/>
        <w:gridCol w:w="211"/>
        <w:gridCol w:w="466"/>
        <w:gridCol w:w="3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Depreciation and Amortization Expense</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7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5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Southern Europe:</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5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France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5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Italy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Southern Europe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Northern Europe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91" w:type="dxa"/>
            <w:tcBorders/>
            <w:shd w:fill="CFF0FC" w:val="clear"/>
            <w:vAlign w:val="center"/>
          </w:tcPr>
          <w:p>
            <w:pPr>
              <w:pStyle w:val="TableContents"/>
              <w:bidi w:val="0"/>
              <w:spacing w:before="0" w:after="283"/>
              <w:jc w:val="left"/>
              <w:rPr/>
            </w:pPr>
            <w:r>
              <w:rPr/>
              <w:t> </w:t>
            </w:r>
          </w:p>
        </w:tc>
      </w:tr>
      <w:tr>
        <w:trPr/>
        <w:tc>
          <w:tcPr>
            <w:tcW w:w="3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Intangible asset amortization expense</w:t>
            </w:r>
            <w:r>
              <w:rPr>
                <w:rFonts w:ascii="Times New Roman" w:hAnsi="Times New Roman"/>
                <w:color w:val="000000"/>
                <w:sz w:val="13"/>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282A32"/>
          <w:sz w:val="18"/>
        </w:rPr>
      </w:pPr>
      <w:r>
        <w:rPr>
          <w:rFonts w:ascii="Times New Roman" w:hAnsi="Times New Roman"/>
          <w:color w:val="282A32"/>
          <w:sz w:val="18"/>
        </w:rPr>
        <w:t>(a) Intangible asset amortization related to acquisitions is excluded from operating costs within the reportable segments and corporate expenses, and shown separately.</w:t>
      </w:r>
    </w:p>
    <w:p>
      <w:pPr>
        <w:pStyle w:val="TextBody"/>
        <w:bidi w:val="0"/>
        <w:jc w:val="left"/>
        <w:rPr/>
      </w:pPr>
      <w:r>
        <w:rPr/>
        <w:t> </w:t>
      </w:r>
    </w:p>
    <w:tbl>
      <w:tblPr>
        <w:tblW w:w="6098" w:type="dxa"/>
        <w:jc w:val="left"/>
        <w:tblInd w:w="0" w:type="dxa"/>
        <w:tblLayout w:type="fixed"/>
        <w:tblCellMar>
          <w:top w:w="28" w:type="dxa"/>
          <w:left w:w="28" w:type="dxa"/>
          <w:bottom w:w="28" w:type="dxa"/>
          <w:right w:w="28" w:type="dxa"/>
        </w:tblCellMar>
      </w:tblPr>
      <w:tblGrid>
        <w:gridCol w:w="2181"/>
        <w:gridCol w:w="146"/>
        <w:gridCol w:w="211"/>
        <w:gridCol w:w="721"/>
        <w:gridCol w:w="146"/>
        <w:gridCol w:w="146"/>
        <w:gridCol w:w="211"/>
        <w:gridCol w:w="721"/>
        <w:gridCol w:w="146"/>
        <w:gridCol w:w="146"/>
        <w:gridCol w:w="211"/>
        <w:gridCol w:w="721"/>
        <w:gridCol w:w="391"/>
      </w:tblGrid>
      <w:tr>
        <w:trPr/>
        <w:tc>
          <w:tcPr>
            <w:tcW w:w="2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1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1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1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Southern Europe:</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1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France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1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Italy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18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Southern Europe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Northern Europe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1,095.7</w:t>
            </w:r>
          </w:p>
        </w:tc>
        <w:tc>
          <w:tcPr>
            <w:tcW w:w="391" w:type="dxa"/>
            <w:tcBorders/>
            <w:shd w:fill="CFF0FC" w:val="clear"/>
            <w:vAlign w:val="center"/>
          </w:tcPr>
          <w:p>
            <w:pPr>
              <w:pStyle w:val="TableContents"/>
              <w:bidi w:val="0"/>
              <w:spacing w:before="0" w:after="283"/>
              <w:jc w:val="left"/>
              <w:rPr/>
            </w:pPr>
            <w:r>
              <w:rPr/>
              <w:t> </w:t>
            </w:r>
          </w:p>
        </w:tc>
      </w:tr>
      <w:tr>
        <w:trPr/>
        <w:tc>
          <w:tcPr>
            <w:tcW w:w="2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813.8</w:t>
            </w:r>
          </w:p>
        </w:tc>
        <w:tc>
          <w:tcPr>
            <w:tcW w:w="391" w:type="dxa"/>
            <w:tcBorders/>
            <w:shd w:fill="FFFFFF" w:val="clear"/>
            <w:vAlign w:val="center"/>
          </w:tcPr>
          <w:p>
            <w:pPr>
              <w:pStyle w:val="TableContents"/>
              <w:bidi w:val="0"/>
              <w:spacing w:before="0" w:after="283"/>
              <w:jc w:val="left"/>
              <w:rPr/>
            </w:pPr>
            <w:r>
              <w:rPr/>
              <w:t> </w:t>
            </w:r>
          </w:p>
        </w:tc>
      </w:tr>
      <w:tr>
        <w:trPr/>
        <w:tc>
          <w:tcPr>
            <w:tcW w:w="2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Corporate</w:t>
            </w:r>
            <w:r>
              <w:rPr>
                <w:rFonts w:ascii="Times New Roman" w:hAnsi="Times New Roman"/>
                <w:color w:val="000000"/>
                <w:sz w:val="13"/>
              </w:rPr>
              <w:t>(a)</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282A32"/>
          <w:sz w:val="18"/>
        </w:rPr>
      </w:pPr>
      <w:r>
        <w:rPr>
          <w:rFonts w:ascii="Times New Roman" w:hAnsi="Times New Roman"/>
          <w:color w:val="282A32"/>
          <w:sz w:val="18"/>
        </w:rPr>
        <w:t>(a) Corporate assets include assets that were not used in the operations of any segment, the most significant of which were purchased intangibles and cash.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6573" w:type="dxa"/>
        <w:jc w:val="left"/>
        <w:tblInd w:w="0" w:type="dxa"/>
        <w:tblLayout w:type="fixed"/>
        <w:tblCellMar>
          <w:top w:w="28" w:type="dxa"/>
          <w:left w:w="28" w:type="dxa"/>
          <w:bottom w:w="28" w:type="dxa"/>
          <w:right w:w="28" w:type="dxa"/>
        </w:tblCellMar>
      </w:tblPr>
      <w:tblGrid>
        <w:gridCol w:w="3106"/>
        <w:gridCol w:w="146"/>
        <w:gridCol w:w="211"/>
        <w:gridCol w:w="571"/>
        <w:gridCol w:w="146"/>
        <w:gridCol w:w="146"/>
        <w:gridCol w:w="211"/>
        <w:gridCol w:w="571"/>
        <w:gridCol w:w="146"/>
        <w:gridCol w:w="146"/>
        <w:gridCol w:w="211"/>
        <w:gridCol w:w="571"/>
        <w:gridCol w:w="3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and 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Long-lived Assets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1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1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Southern Europe:</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1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France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Italy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Southern Europe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Northern Europe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391" w:type="dxa"/>
            <w:tcBorders/>
            <w:shd w:fill="CFF0FC" w:val="clear"/>
            <w:vAlign w:val="center"/>
          </w:tcPr>
          <w:p>
            <w:pPr>
              <w:pStyle w:val="TableContents"/>
              <w:bidi w:val="0"/>
              <w:spacing w:before="0" w:after="283"/>
              <w:jc w:val="left"/>
              <w:rPr/>
            </w:pPr>
            <w:r>
              <w:rPr/>
              <w:t> </w:t>
            </w:r>
          </w:p>
        </w:tc>
      </w:tr>
      <w:tr>
        <w:trPr/>
        <w:tc>
          <w:tcPr>
            <w:tcW w:w="31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391" w:type="dxa"/>
            <w:tcBorders/>
            <w:shd w:fill="FFFFFF" w:val="clear"/>
            <w:vAlign w:val="center"/>
          </w:tcPr>
          <w:p>
            <w:pPr>
              <w:pStyle w:val="TableContents"/>
              <w:bidi w:val="0"/>
              <w:spacing w:before="0" w:after="283"/>
              <w:jc w:val="left"/>
              <w:rPr/>
            </w:pPr>
            <w:r>
              <w:rPr/>
              <w:t> </w:t>
            </w:r>
          </w:p>
        </w:tc>
      </w:tr>
      <w:tr>
        <w:trPr/>
        <w:tc>
          <w:tcPr>
            <w:tcW w:w="3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(15) </w:t>
      </w:r>
      <w:r>
        <w:rPr>
          <w:rFonts w:ascii="Times New Roman" w:hAnsi="Times New Roman"/>
          <w:color w:val="000000"/>
          <w:sz w:val="20"/>
          <w:u w:val="single"/>
        </w:rPr>
        <w:t>Commitments and Contingencies</w:t>
      </w:r>
    </w:p>
    <w:p>
      <w:pPr>
        <w:pStyle w:val="TextBody"/>
        <w:bidi w:val="0"/>
        <w:spacing w:before="0" w:after="160"/>
        <w:jc w:val="both"/>
        <w:rPr>
          <w:rFonts w:ascii="Times New Roman" w:hAnsi="Times New Roman"/>
          <w:i/>
          <w:color w:val="000000"/>
          <w:sz w:val="20"/>
        </w:rPr>
      </w:pPr>
      <w:r>
        <w:rPr>
          <w:rFonts w:ascii="Times New Roman" w:hAnsi="Times New Roman"/>
          <w:i/>
          <w:color w:val="000000"/>
          <w:sz w:val="20"/>
        </w:rPr>
        <w:t>Guarantees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We have entered into certain guarantee contracts and stand-by letters of credit that total $745.7 as of December 31, 2023 ($696.9 for guarantees and $48.8 for stand-by letters of credit).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 in cash. Due to the nature of these arrangements and our historical experience, we do not expect to make any significant payments under these arrangements. </w:t>
      </w:r>
    </w:p>
    <w:p>
      <w:pPr>
        <w:pStyle w:val="TextBody"/>
        <w:bidi w:val="0"/>
        <w:spacing w:before="0" w:after="160"/>
        <w:jc w:val="both"/>
        <w:rPr>
          <w:rFonts w:ascii="Times New Roman" w:hAnsi="Times New Roman"/>
          <w:i/>
          <w:color w:val="000000"/>
          <w:sz w:val="20"/>
        </w:rPr>
      </w:pPr>
      <w:r>
        <w:rPr>
          <w:rFonts w:ascii="Times New Roman" w:hAnsi="Times New Roman"/>
          <w:i/>
          <w:color w:val="000000"/>
          <w:sz w:val="20"/>
        </w:rPr>
        <w:t>Litigation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the normal course of business, the Company is named as a defendant in various legal proceedings in which claims are asserted against the Company. We record accruals for loss contingencies based on the circumstances of each claim, when it is probable that a loss has been incurred as of the balance sheet date and can be reasonably estimated. Although the outcome of litigation cannot be predicted with certainty, we believe the ultimate resolution of these legal proceedings will not have a material effect on our business or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25" w:name="item_9_changes_in_disagreements_with_acc"/>
      <w:bookmarkEnd w:id="25"/>
      <w:r>
        <w:rPr>
          <w:rFonts w:ascii="Times New Roman" w:hAnsi="Times New Roman"/>
          <w:b/>
          <w:color w:val="000000"/>
          <w:sz w:val="20"/>
        </w:rPr>
        <w:t>Item 9. Changes in and Disagreements with Accountants on Accounting and Financial Disclosure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sz w:val="20"/>
        </w:rPr>
      </w:pPr>
      <w:bookmarkStart w:id="26" w:name="item_9a_controls_procedures"/>
      <w:bookmarkEnd w:id="26"/>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maintain a set of disclosure controls and procedures that are designed to ensure that information required to be disclosed by the issuer in the reports that it files or submits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and principal financial officers, or persons performing similar functions, as appropriate to allow timely decisions regarding required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Management Report on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responsible for establishing and maintaining effective internal control over financial reporting as defined in Rule 13a-15(f) under the Exchange Act. Our internal control over financial reporting is a process designed to provide reasonable assurance to management and the Board of Directors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supervision and with the participation of management, including our Chief Executive Officer and our Executive Vice President and Chief Financial Officer, we conducted an evaluation of the effectiveness of our internal control over financial reporting based on the framework in Internal Control — Integrated Framework (2013)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2023.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effectiveness of our internal control over financial reporting as of December 31, 2023 has been audited by Deloitte &amp; Touche LLP, an independent registered public accounting firm, as stated in their report which appears herein.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have been no changes in our internal control over financial reporting that occurred during our last fiscal quarter that have materially affected, or are reasonably likely to materially affect, our internal control over financial reporting.</w:t>
      </w:r>
    </w:p>
    <w:p>
      <w:pPr>
        <w:pStyle w:val="TextBody"/>
        <w:bidi w:val="0"/>
        <w:spacing w:before="200" w:after="283"/>
        <w:jc w:val="both"/>
        <w:rPr>
          <w:rFonts w:ascii="Times New Roman" w:hAnsi="Times New Roman"/>
          <w:b/>
          <w:color w:val="000000"/>
          <w:sz w:val="20"/>
        </w:rPr>
      </w:pPr>
      <w:bookmarkStart w:id="27" w:name="item_9b_or_information"/>
      <w:bookmarkEnd w:id="27"/>
      <w:r>
        <w:rPr>
          <w:rFonts w:ascii="Times New Roman" w:hAnsi="Times New Roman"/>
          <w:b/>
          <w:color w:val="000000"/>
          <w:sz w:val="20"/>
        </w:rPr>
        <w:t>Item 9B. Other Information</w:t>
      </w:r>
    </w:p>
    <w:p>
      <w:pPr>
        <w:pStyle w:val="TextBody"/>
        <w:bidi w:val="0"/>
        <w:spacing w:before="200" w:after="283"/>
        <w:jc w:val="both"/>
        <w:rPr>
          <w:rFonts w:ascii="Times New Roman" w:hAnsi="Times New Roman"/>
          <w:sz w:val="20"/>
        </w:rPr>
      </w:pPr>
      <w:r>
        <w:rPr>
          <w:rFonts w:ascii="Times New Roman" w:hAnsi="Times New Roman"/>
          <w:color w:val="000000"/>
          <w:sz w:val="20"/>
          <w:u w:val="single"/>
        </w:rPr>
        <w:t>Trading Plans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quarter ended December 31, 2023, no director or Section 16 officer adopted or terminated any "Rule 10b5-1 trading arrangements" or "non-Rule 10b5-1 trading arrangements" as each term is defined in Item 408(a) of Regulation S-K.</w:t>
      </w:r>
    </w:p>
    <w:p>
      <w:pPr>
        <w:pStyle w:val="TextBody"/>
        <w:bidi w:val="0"/>
        <w:spacing w:before="200" w:after="283"/>
        <w:jc w:val="both"/>
        <w:rPr>
          <w:rFonts w:ascii="Times New Roman" w:hAnsi="Times New Roman"/>
          <w:sz w:val="20"/>
        </w:rPr>
      </w:pPr>
      <w:bookmarkStart w:id="28" w:name="item9c"/>
      <w:bookmarkEnd w:id="28"/>
      <w:r>
        <w:rPr>
          <w:rFonts w:ascii="Times New Roman" w:hAnsi="Times New Roman"/>
          <w:b/>
          <w:color w:val="000000"/>
          <w:sz w:val="20"/>
        </w:rPr>
        <w:t>Item 9C. Disclosure Regarding Foreign Jurisdictions that Prevent Inspections</w:t>
      </w:r>
      <w:r>
        <w:rPr>
          <w:rFonts w:ascii="Times New Roman" w:hAnsi="Times New Roman"/>
          <w:color w:val="000000"/>
          <w:sz w:val="20"/>
        </w:rPr>
        <w:b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Not applicable.</w:t>
        <w:b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9" w:name="part_iii"/>
      <w:bookmarkEnd w:id="29"/>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200" w:after="283"/>
        <w:jc w:val="both"/>
        <w:rPr>
          <w:rFonts w:ascii="Times New Roman" w:hAnsi="Times New Roman"/>
          <w:b/>
          <w:color w:val="000000"/>
          <w:sz w:val="20"/>
        </w:rPr>
      </w:pPr>
      <w:bookmarkStart w:id="30" w:name="item_10_directors_executive_ficers_corpo"/>
      <w:bookmarkEnd w:id="30"/>
      <w:r>
        <w:rPr>
          <w:rFonts w:ascii="Times New Roman" w:hAnsi="Times New Roman"/>
          <w:b/>
          <w:color w:val="000000"/>
          <w:sz w:val="20"/>
        </w:rPr>
        <w:t>Item 10. Directors, Executive Officers and Corporate Governance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Executive Officers. Reference is made to “Executive Officers of ManpowerGroup” in Part I after Item 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Directors. The information required by this Item is set forth in our Proxy Statement for the Annual Meeting of Shareholders to be held on May 3, 2024 under the caption “Election of Directors,” which information is hereby incorporated herein by reference.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board of directors has determined that each of John F. Ferraro and Paul Read, chair of the audit committee, is an “audit committee financial expert.” Mr. Ferraro and Mr. Read are both “independent” as that term is used in the applicable New York Stock Exchange listing standard.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Audit Committee. The information required by this Item is set forth in our Proxy Statement for the Annual Meeting of Shareholders to be held on May 3, 2024 under the caption “Meetings and Committees of the Board,” which information is hereby incorporated herein by reference.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adopted a Code of Business Conduct and Ethics that applies to our directors, officers and employees, including our principal executive officer, principal financial officer, principal accounting officer and controller. We have posted the Code on our Internet website at www.manpowergroup.com. We intend to satisfy our disclosure requirements under Item 5.05 of Form 8-K, regarding any amendments to, or waiver of, a provision of our Code of Business Conduct and Ethics that applies to our principal executive officer, principal financial officer, principal accounting officer and controller or our directors by posting such information at this location on our website.</w:t>
      </w:r>
    </w:p>
    <w:p>
      <w:pPr>
        <w:pStyle w:val="TextBody"/>
        <w:bidi w:val="0"/>
        <w:spacing w:before="200" w:after="283"/>
        <w:jc w:val="both"/>
        <w:rPr>
          <w:rFonts w:ascii="Times New Roman" w:hAnsi="Times New Roman"/>
          <w:b/>
          <w:color w:val="000000"/>
          <w:sz w:val="20"/>
        </w:rPr>
      </w:pPr>
      <w:bookmarkStart w:id="31" w:name="item_11_executive_compensation"/>
      <w:bookmarkEnd w:id="31"/>
      <w:r>
        <w:rPr>
          <w:rFonts w:ascii="Times New Roman" w:hAnsi="Times New Roman"/>
          <w:b/>
          <w:color w:val="000000"/>
          <w:sz w:val="20"/>
        </w:rPr>
        <w:t>Item 11. Executive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required by this Item is set forth in our Proxy Statement for the Annual Meeting of Shareholders to be held on May 3, 2024, under the captions "Compensation Discussion and Analysis," "Compensation Tables," "CEO Pay Ratio;" and "Pay vs. Performance" and under the caption “People, Culture and Compensation Committee Interlocks and Insider Participation;” and under the caption “Report of the People, Culture and Compensation Committee of the Board of Directors,” which information is hereby incorporated herein by reference.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32" w:name="item_12_security_ownership_certain_benef"/>
      <w:bookmarkEnd w:id="32"/>
      <w:r>
        <w:rPr>
          <w:rFonts w:ascii="Times New Roman" w:hAnsi="Times New Roman"/>
          <w:b/>
          <w:color w:val="000000"/>
          <w:sz w:val="20"/>
        </w:rPr>
        <w:t>Item 12. Security Ownership of Certain Beneficial Owners and Management and Related Shareholder Matters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required by this Item is set forth in our Proxy Statement for the Annual Meeting of Shareholders to be held on May 3, 2024, under the caption “Security Ownership of Certain Beneficial Owners,” and under the caption “Beneficial Ownership of Directors and Executive Officers,” which information is hereby incorporated herein by reference.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information as of December 31, 2023 about our shares of common stock outstanding and available for issuance under our existing equity compensation plans.</w:t>
      </w:r>
    </w:p>
    <w:tbl>
      <w:tblPr>
        <w:tblW w:w="10205" w:type="dxa"/>
        <w:jc w:val="left"/>
        <w:tblInd w:w="0" w:type="dxa"/>
        <w:tblLayout w:type="fixed"/>
        <w:tblCellMar>
          <w:top w:w="28" w:type="dxa"/>
          <w:left w:w="28" w:type="dxa"/>
          <w:bottom w:w="28" w:type="dxa"/>
          <w:right w:w="28" w:type="dxa"/>
        </w:tblCellMar>
      </w:tblPr>
      <w:tblGrid>
        <w:gridCol w:w="1522"/>
        <w:gridCol w:w="146"/>
        <w:gridCol w:w="209"/>
        <w:gridCol w:w="1344"/>
        <w:gridCol w:w="146"/>
        <w:gridCol w:w="146"/>
        <w:gridCol w:w="407"/>
        <w:gridCol w:w="1596"/>
        <w:gridCol w:w="146"/>
        <w:gridCol w:w="146"/>
        <w:gridCol w:w="581"/>
        <w:gridCol w:w="1440"/>
        <w:gridCol w:w="146"/>
        <w:gridCol w:w="146"/>
        <w:gridCol w:w="254"/>
        <w:gridCol w:w="1634"/>
        <w:gridCol w:w="196"/>
      </w:tblGrid>
      <w:tr>
        <w:trPr/>
        <w:tc>
          <w:tcPr>
            <w:tcW w:w="1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Number of securities to be issued upon exercise of outstanding options, warrants and rights </w:t>
              <w:br/>
              <w:t>as of December 31, 2023</w:t>
            </w:r>
            <w:r>
              <w:rPr>
                <w:rFonts w:ascii="Times New Roman" w:hAnsi="Times New Roman"/>
                <w:b/>
                <w:color w:val="000000"/>
                <w:sz w:val="13"/>
              </w:rPr>
              <w:t>(1)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003"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Weighted-average exercise price of outstanding options, warrants and rights </w:t>
              <w:br/>
              <w:t>as of December 31, 2023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02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Weighted-average contractual term of outstanding options, warrants and rights </w:t>
              <w:br/>
              <w:t>as of December 31, 2023 (years)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88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Number of securities remaining available for future issuance under equity compensation plans as of December 31, 2023 </w:t>
              <w:br/>
              <w:t>(excluding securities reflected in the first column)</w:t>
            </w:r>
            <w:r>
              <w:rPr>
                <w:rFonts w:ascii="Times New Roman" w:hAnsi="Times New Roman"/>
                <w:b/>
                <w:color w:val="000000"/>
                <w:sz w:val="13"/>
              </w:rPr>
              <w:t>(2)</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5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security holders</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13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2,413,441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15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1" w:type="dxa"/>
            <w:tcBorders/>
            <w:shd w:fill="CFF0FC" w:val="clear"/>
            <w:vAlign w:val="center"/>
          </w:tcPr>
          <w:p>
            <w:pPr>
              <w:pStyle w:val="TableContents"/>
              <w:bidi w:val="0"/>
              <w:spacing w:before="0" w:after="283"/>
              <w:jc w:val="left"/>
              <w:rPr/>
            </w:pPr>
            <w:r>
              <w:rPr/>
              <w:t> </w:t>
            </w:r>
          </w:p>
        </w:tc>
        <w:tc>
          <w:tcPr>
            <w:tcW w:w="14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16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3,682,600</w:t>
            </w:r>
          </w:p>
        </w:tc>
        <w:tc>
          <w:tcPr>
            <w:tcW w:w="196" w:type="dxa"/>
            <w:tcBorders/>
            <w:shd w:fill="CFF0FC" w:val="clear"/>
            <w:vAlign w:val="center"/>
          </w:tcPr>
          <w:p>
            <w:pPr>
              <w:pStyle w:val="TableContents"/>
              <w:bidi w:val="0"/>
              <w:spacing w:before="0" w:after="283"/>
              <w:jc w:val="left"/>
              <w:rPr/>
            </w:pPr>
            <w:r>
              <w:rPr/>
              <w:t> </w:t>
            </w:r>
          </w:p>
        </w:tc>
      </w:tr>
      <w:tr>
        <w:trPr/>
        <w:tc>
          <w:tcPr>
            <w:tcW w:w="15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5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2,413,441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3,682,600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09" w:type="dxa"/>
            <w:gridSpan w:val="16"/>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 Represents maximum number of shares to be awarded under best-case target, excluding dividend equivalents. Current estimate is 383,283 shares less than maximum.</w:t>
            </w:r>
          </w:p>
        </w:tc>
        <w:tc>
          <w:tcPr>
            <w:tcW w:w="196" w:type="dxa"/>
            <w:tcBorders/>
            <w:shd w:fill="FFFFFF" w:val="clear"/>
            <w:vAlign w:val="center"/>
          </w:tcPr>
          <w:p>
            <w:pPr>
              <w:pStyle w:val="TableContents"/>
              <w:bidi w:val="0"/>
              <w:spacing w:before="0" w:after="283"/>
              <w:jc w:val="left"/>
              <w:rPr/>
            </w:pPr>
            <w:r>
              <w:rPr/>
              <w:t> </w:t>
            </w:r>
          </w:p>
        </w:tc>
      </w:tr>
      <w:tr>
        <w:trPr/>
        <w:tc>
          <w:tcPr>
            <w:tcW w:w="10009" w:type="dxa"/>
            <w:gridSpan w:val="16"/>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 Includes the number of shares remaining available for future issuance under the following plans: 2011 Equity Incentive Plan - 3,120,365 shares; and Savings Related Share Option Scheme – 562,235 shares.</w:t>
            </w:r>
          </w:p>
        </w:tc>
        <w:tc>
          <w:tcPr>
            <w:tcW w:w="196"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color w:val="000000"/>
          <w:sz w:val="20"/>
        </w:rPr>
      </w:pPr>
      <w:bookmarkStart w:id="33" w:name="item_13_certain_relationships_related_tr"/>
      <w:bookmarkEnd w:id="33"/>
      <w:r>
        <w:rPr>
          <w:rFonts w:ascii="Times New Roman" w:hAnsi="Times New Roman"/>
          <w:b/>
          <w:color w:val="000000"/>
          <w:sz w:val="20"/>
        </w:rPr>
        <w:t>Item 13. Certain Relationships and Related Transactions, and Director Independence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required by this Item is set forth in our Proxy Statement for the Annual Meeting of Shareholders to be held on May 3, 2024, under the caption “Board Independence and Related Party Transactions” and “Meetings and Committees of the Board,” which information is hereby incorporated herein by reference.</w:t>
      </w:r>
    </w:p>
    <w:p>
      <w:pPr>
        <w:pStyle w:val="TextBody"/>
        <w:bidi w:val="0"/>
        <w:spacing w:before="200" w:after="283"/>
        <w:jc w:val="both"/>
        <w:rPr>
          <w:rFonts w:ascii="Times New Roman" w:hAnsi="Times New Roman"/>
          <w:b/>
          <w:color w:val="000000"/>
          <w:sz w:val="20"/>
        </w:rPr>
      </w:pPr>
      <w:bookmarkStart w:id="34" w:name="item_14_principal_accounting_fees_servic"/>
      <w:bookmarkEnd w:id="34"/>
      <w:r>
        <w:rPr>
          <w:rFonts w:ascii="Times New Roman" w:hAnsi="Times New Roman"/>
          <w:b/>
          <w:color w:val="000000"/>
          <w:sz w:val="20"/>
        </w:rPr>
        <w:t>Item 14. Principal Accounting Fees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required by this Item is set forth in our Proxy Statement for the Annual Meeting of Shareholders to be held on May 3, 2024, under the captions “Fees Billed by Deloitte” and “Independent Auditor Services Policy” in the Audit Committee Report, which information is hereby incorporated herein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5" w:name="part_iv"/>
      <w:bookmarkEnd w:id="35"/>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200" w:after="283"/>
        <w:jc w:val="both"/>
        <w:rPr>
          <w:rFonts w:ascii="Times New Roman" w:hAnsi="Times New Roman"/>
          <w:b/>
          <w:color w:val="000000"/>
          <w:sz w:val="20"/>
        </w:rPr>
      </w:pPr>
      <w:bookmarkStart w:id="36" w:name="item_15_______exhibits_financial_stateme"/>
      <w:bookmarkEnd w:id="36"/>
      <w:r>
        <w:rPr>
          <w:rFonts w:ascii="Times New Roman" w:hAnsi="Times New Roman"/>
          <w:b/>
          <w:color w:val="000000"/>
          <w:sz w:val="20"/>
        </w:rPr>
        <w:t>Item 15. Exhibits and Financial Statement Schedules.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(a)(1) Financial Statements.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820"/>
        <w:gridCol w:w="109"/>
        <w:gridCol w:w="1276"/>
      </w:tblGrid>
      <w:tr>
        <w:trPr/>
        <w:tc>
          <w:tcPr>
            <w:tcW w:w="8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8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 Number</w:t>
            </w:r>
          </w:p>
        </w:tc>
      </w:tr>
      <w:tr>
        <w:trPr/>
        <w:tc>
          <w:tcPr>
            <w:tcW w:w="88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Financial Statements:</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76" w:type="dxa"/>
            <w:tcBorders/>
            <w:shd w:fill="CFF0FC" w:val="clear"/>
            <w:vAlign w:val="center"/>
          </w:tcPr>
          <w:p>
            <w:pPr>
              <w:pStyle w:val="TableContents"/>
              <w:bidi w:val="0"/>
              <w:spacing w:before="0" w:after="283"/>
              <w:ind w:left="0" w:right="0" w:firstLine="490"/>
              <w:jc w:val="left"/>
              <w:rPr/>
            </w:pPr>
            <w:r>
              <w:rPr/>
              <w:t> </w:t>
            </w:r>
          </w:p>
        </w:tc>
      </w:tr>
      <w:tr>
        <w:trPr/>
        <w:tc>
          <w:tcPr>
            <w:tcW w:w="8820" w:type="dxa"/>
            <w:tcBorders/>
            <w:vAlign w:val="center"/>
          </w:tcPr>
          <w:p>
            <w:pPr>
              <w:pStyle w:val="TableContents"/>
              <w:bidi w:val="0"/>
              <w:spacing w:before="0" w:after="283"/>
              <w:ind w:left="490" w:right="0" w:firstLine="490"/>
              <w:jc w:val="left"/>
              <w:rPr>
                <w:rFonts w:ascii="Times New Roman" w:hAnsi="Times New Roman"/>
                <w:color w:val="0000FF"/>
                <w:sz w:val="20"/>
                <w:u w:val="single"/>
              </w:rPr>
            </w:pPr>
            <w:r>
              <w:rPr>
                <w:rFonts w:ascii="Times New Roman" w:hAnsi="Times New Roman"/>
                <w:color w:val="0000FF"/>
                <w:sz w:val="20"/>
                <w:u w:val="single"/>
              </w:rPr>
              <w:t>Report of Independent Registered Public Accounting Firm</w:t>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ind w:left="0" w:right="0" w:firstLine="490"/>
              <w:jc w:val="center"/>
              <w:rPr>
                <w:rFonts w:ascii="Times New Roman" w:hAnsi="Times New Roman"/>
                <w:color w:val="000000"/>
                <w:sz w:val="20"/>
              </w:rPr>
            </w:pPr>
            <w:r>
              <w:rPr>
                <w:rFonts w:ascii="Times New Roman" w:hAnsi="Times New Roman"/>
                <w:color w:val="000000"/>
                <w:sz w:val="20"/>
              </w:rPr>
              <w:t>53</w:t>
            </w:r>
          </w:p>
        </w:tc>
      </w:tr>
      <w:tr>
        <w:trPr/>
        <w:tc>
          <w:tcPr>
            <w:tcW w:w="8820" w:type="dxa"/>
            <w:tcBorders/>
            <w:shd w:fill="CFF0FC" w:val="clear"/>
            <w:vAlign w:val="center"/>
          </w:tcPr>
          <w:p>
            <w:pPr>
              <w:pStyle w:val="TableContents"/>
              <w:bidi w:val="0"/>
              <w:spacing w:before="0" w:after="283"/>
              <w:ind w:left="490" w:right="0" w:firstLine="490"/>
              <w:jc w:val="left"/>
              <w:rPr/>
            </w:pPr>
            <w:hyperlink w:anchor="consolidated_statements_operations">
              <w:r>
                <w:rPr>
                  <w:rStyle w:val="InternetLink"/>
                  <w:rFonts w:ascii="Times New Roman" w:hAnsi="Times New Roman"/>
                  <w:color w:val="0000FF"/>
                  <w:sz w:val="20"/>
                  <w:u w:val="single"/>
                </w:rPr>
                <w:t>Consolidated Statements of Operations for the years ended December 31, 2023, 2022 and 2021</w:t>
              </w:r>
            </w:hyperlink>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76" w:type="dxa"/>
            <w:tcBorders/>
            <w:shd w:fill="CFF0FC" w:val="clear"/>
            <w:vAlign w:val="center"/>
          </w:tcPr>
          <w:p>
            <w:pPr>
              <w:pStyle w:val="TableContents"/>
              <w:bidi w:val="0"/>
              <w:spacing w:before="0" w:after="283"/>
              <w:ind w:left="0" w:right="0" w:firstLine="490"/>
              <w:jc w:val="center"/>
              <w:rPr>
                <w:rFonts w:ascii="Times New Roman" w:hAnsi="Times New Roman"/>
                <w:color w:val="000000"/>
                <w:sz w:val="20"/>
              </w:rPr>
            </w:pPr>
            <w:r>
              <w:rPr>
                <w:rFonts w:ascii="Times New Roman" w:hAnsi="Times New Roman"/>
                <w:color w:val="000000"/>
                <w:sz w:val="20"/>
              </w:rPr>
              <w:t>57</w:t>
            </w:r>
          </w:p>
        </w:tc>
      </w:tr>
      <w:tr>
        <w:trPr/>
        <w:tc>
          <w:tcPr>
            <w:tcW w:w="8820" w:type="dxa"/>
            <w:tcBorders/>
            <w:vAlign w:val="center"/>
          </w:tcPr>
          <w:p>
            <w:pPr>
              <w:pStyle w:val="TableContents"/>
              <w:bidi w:val="0"/>
              <w:spacing w:before="0" w:after="283"/>
              <w:ind w:left="490" w:right="0" w:firstLine="490"/>
              <w:jc w:val="left"/>
              <w:rPr/>
            </w:pPr>
            <w:hyperlink w:anchor="consolidated_statements_comprehensive_in">
              <w:r>
                <w:rPr>
                  <w:rStyle w:val="InternetLink"/>
                  <w:rFonts w:ascii="Times New Roman" w:hAnsi="Times New Roman"/>
                  <w:color w:val="0000FF"/>
                  <w:sz w:val="20"/>
                  <w:u w:val="single"/>
                </w:rPr>
                <w:t>Consolidated Statements of Comprehensive Income for the years ended December 31, 2023, 2022 and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ind w:left="0" w:right="0" w:firstLine="490"/>
              <w:jc w:val="center"/>
              <w:rPr>
                <w:rFonts w:ascii="Times New Roman" w:hAnsi="Times New Roman"/>
                <w:color w:val="000000"/>
                <w:sz w:val="20"/>
              </w:rPr>
            </w:pPr>
            <w:r>
              <w:rPr>
                <w:rFonts w:ascii="Times New Roman" w:hAnsi="Times New Roman"/>
                <w:color w:val="000000"/>
                <w:sz w:val="20"/>
              </w:rPr>
              <w:t>57</w:t>
            </w:r>
          </w:p>
        </w:tc>
      </w:tr>
      <w:tr>
        <w:trPr/>
        <w:tc>
          <w:tcPr>
            <w:tcW w:w="8820" w:type="dxa"/>
            <w:tcBorders/>
            <w:shd w:fill="CFF0FC" w:val="clear"/>
            <w:vAlign w:val="center"/>
          </w:tcPr>
          <w:p>
            <w:pPr>
              <w:pStyle w:val="TableContents"/>
              <w:bidi w:val="0"/>
              <w:spacing w:before="0" w:after="283"/>
              <w:ind w:left="490" w:right="0" w:firstLine="490"/>
              <w:jc w:val="left"/>
              <w:rPr/>
            </w:pPr>
            <w:hyperlink w:anchor="consolidated_balance_sheets">
              <w:r>
                <w:rPr>
                  <w:rStyle w:val="InternetLink"/>
                  <w:rFonts w:ascii="Times New Roman" w:hAnsi="Times New Roman"/>
                  <w:color w:val="0000FF"/>
                  <w:sz w:val="20"/>
                  <w:u w:val="single"/>
                </w:rPr>
                <w:t>Consolidated Balance Sheets as of December 31, 2023 and 2022</w:t>
              </w:r>
            </w:hyperlink>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76" w:type="dxa"/>
            <w:tcBorders/>
            <w:shd w:fill="CFF0FC" w:val="clear"/>
            <w:vAlign w:val="center"/>
          </w:tcPr>
          <w:p>
            <w:pPr>
              <w:pStyle w:val="TableContents"/>
              <w:bidi w:val="0"/>
              <w:spacing w:before="0" w:after="283"/>
              <w:ind w:left="0" w:right="0" w:firstLine="490"/>
              <w:jc w:val="center"/>
              <w:rPr>
                <w:rFonts w:ascii="Times New Roman" w:hAnsi="Times New Roman"/>
                <w:color w:val="000000"/>
                <w:sz w:val="20"/>
              </w:rPr>
            </w:pPr>
            <w:r>
              <w:rPr>
                <w:rFonts w:ascii="Times New Roman" w:hAnsi="Times New Roman"/>
                <w:color w:val="000000"/>
                <w:sz w:val="20"/>
              </w:rPr>
              <w:t>58</w:t>
            </w:r>
          </w:p>
        </w:tc>
      </w:tr>
      <w:tr>
        <w:trPr/>
        <w:tc>
          <w:tcPr>
            <w:tcW w:w="8820" w:type="dxa"/>
            <w:tcBorders/>
            <w:vAlign w:val="center"/>
          </w:tcPr>
          <w:p>
            <w:pPr>
              <w:pStyle w:val="TableContents"/>
              <w:bidi w:val="0"/>
              <w:spacing w:before="0" w:after="283"/>
              <w:ind w:left="490" w:right="0" w:firstLine="490"/>
              <w:jc w:val="left"/>
              <w:rPr/>
            </w:pPr>
            <w:hyperlink w:anchor="consolidated_statements_cash_flows">
              <w:r>
                <w:rPr>
                  <w:rStyle w:val="InternetLink"/>
                  <w:rFonts w:ascii="Times New Roman" w:hAnsi="Times New Roman"/>
                  <w:color w:val="0000FF"/>
                  <w:sz w:val="20"/>
                  <w:u w:val="single"/>
                </w:rPr>
                <w:t>Consolidated Statements of Cash Flows for the years ended December 31, 2023, 2022 and 2021</w:t>
              </w:r>
            </w:hyperlink>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ind w:left="0" w:right="0" w:firstLine="490"/>
              <w:jc w:val="center"/>
              <w:rPr>
                <w:rFonts w:ascii="Times New Roman" w:hAnsi="Times New Roman"/>
                <w:color w:val="000000"/>
                <w:sz w:val="20"/>
              </w:rPr>
            </w:pPr>
            <w:r>
              <w:rPr>
                <w:rFonts w:ascii="Times New Roman" w:hAnsi="Times New Roman"/>
                <w:color w:val="000000"/>
                <w:sz w:val="20"/>
              </w:rPr>
              <w:t>59</w:t>
            </w:r>
          </w:p>
        </w:tc>
      </w:tr>
      <w:tr>
        <w:trPr/>
        <w:tc>
          <w:tcPr>
            <w:tcW w:w="8820" w:type="dxa"/>
            <w:tcBorders/>
            <w:shd w:fill="CFF0FC" w:val="clear"/>
            <w:vAlign w:val="center"/>
          </w:tcPr>
          <w:p>
            <w:pPr>
              <w:pStyle w:val="TableContents"/>
              <w:bidi w:val="0"/>
              <w:spacing w:before="0" w:after="283"/>
              <w:ind w:left="490" w:right="0" w:firstLine="490"/>
              <w:jc w:val="left"/>
              <w:rPr/>
            </w:pPr>
            <w:hyperlink w:anchor="consolidated_statements_shareholders_equ">
              <w:r>
                <w:rPr>
                  <w:rStyle w:val="InternetLink"/>
                  <w:rFonts w:ascii="Times New Roman" w:hAnsi="Times New Roman"/>
                  <w:color w:val="0000FF"/>
                  <w:sz w:val="20"/>
                  <w:u w:val="single"/>
                </w:rPr>
                <w:t>Consolidated Statements of Shareholders’ Equity for the years ended December 31, 2023, 2022 and 2021</w:t>
              </w:r>
            </w:hyperlink>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76" w:type="dxa"/>
            <w:tcBorders/>
            <w:shd w:fill="CFF0FC" w:val="clear"/>
            <w:vAlign w:val="center"/>
          </w:tcPr>
          <w:p>
            <w:pPr>
              <w:pStyle w:val="TableContents"/>
              <w:bidi w:val="0"/>
              <w:spacing w:before="0" w:after="283"/>
              <w:ind w:left="0" w:right="0" w:firstLine="490"/>
              <w:jc w:val="center"/>
              <w:rPr>
                <w:rFonts w:ascii="Times New Roman" w:hAnsi="Times New Roman"/>
                <w:color w:val="000000"/>
                <w:sz w:val="20"/>
              </w:rPr>
            </w:pPr>
            <w:r>
              <w:rPr>
                <w:rFonts w:ascii="Times New Roman" w:hAnsi="Times New Roman"/>
                <w:color w:val="000000"/>
                <w:sz w:val="20"/>
              </w:rPr>
              <w:t>60</w:t>
            </w:r>
          </w:p>
        </w:tc>
      </w:tr>
      <w:tr>
        <w:trPr/>
        <w:tc>
          <w:tcPr>
            <w:tcW w:w="8820" w:type="dxa"/>
            <w:tcBorders/>
            <w:vAlign w:val="center"/>
          </w:tcPr>
          <w:p>
            <w:pPr>
              <w:pStyle w:val="TableContents"/>
              <w:bidi w:val="0"/>
              <w:spacing w:before="0" w:after="283"/>
              <w:ind w:left="490" w:right="0" w:firstLine="490"/>
              <w:jc w:val="left"/>
              <w:rPr/>
            </w:pPr>
            <w:hyperlink w:anchor="notes_consolidated_financial_statements">
              <w:r>
                <w:rPr>
                  <w:rStyle w:val="InternetLink"/>
                  <w:rFonts w:ascii="Times New Roman" w:hAnsi="Times New Roman"/>
                  <w:color w:val="0000FF"/>
                  <w:sz w:val="20"/>
                  <w:u w:val="single"/>
                </w:rPr>
                <w:t>Notes to Consolidated Financial Statements</w:t>
              </w:r>
            </w:hyperlink>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(a)(2) Financial Statement Schedule.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SCHEDULE II—Valuation and Qualifying Accounts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years ended December 31, 2023, 2022 and 2021, in millions: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Allowance for Doubtful Accounts:</w:t>
      </w:r>
    </w:p>
    <w:tbl>
      <w:tblPr>
        <w:tblW w:w="8178" w:type="dxa"/>
        <w:jc w:val="left"/>
        <w:tblInd w:w="0" w:type="dxa"/>
        <w:tblLayout w:type="fixed"/>
        <w:tblCellMar>
          <w:top w:w="28" w:type="dxa"/>
          <w:left w:w="28" w:type="dxa"/>
          <w:bottom w:w="28" w:type="dxa"/>
          <w:right w:w="28" w:type="dxa"/>
        </w:tblCellMar>
      </w:tblPr>
      <w:tblGrid>
        <w:gridCol w:w="541"/>
        <w:gridCol w:w="146"/>
        <w:gridCol w:w="234"/>
        <w:gridCol w:w="636"/>
        <w:gridCol w:w="146"/>
        <w:gridCol w:w="146"/>
        <w:gridCol w:w="289"/>
        <w:gridCol w:w="641"/>
        <w:gridCol w:w="146"/>
        <w:gridCol w:w="146"/>
        <w:gridCol w:w="257"/>
        <w:gridCol w:w="644"/>
        <w:gridCol w:w="166"/>
        <w:gridCol w:w="146"/>
        <w:gridCol w:w="335"/>
        <w:gridCol w:w="671"/>
        <w:gridCol w:w="166"/>
        <w:gridCol w:w="146"/>
        <w:gridCol w:w="431"/>
        <w:gridCol w:w="860"/>
        <w:gridCol w:w="166"/>
        <w:gridCol w:w="146"/>
        <w:gridCol w:w="211"/>
        <w:gridCol w:w="571"/>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w:t>
              <w:br/>
              <w:t>of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Provisions</w:t>
              <w:br/>
              <w:t>Charged to</w:t>
              <w:b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Write-Offs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Reclassifications</w:t>
              <w:br/>
              <w:t>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br/>
              <w:t>at End</w:t>
              <w:br/>
              <w:t>of Year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91" w:type="dxa"/>
            <w:tcBorders/>
            <w:shd w:fill="CFF0FC" w:val="clear"/>
            <w:vAlign w:val="center"/>
          </w:tcPr>
          <w:p>
            <w:pPr>
              <w:pStyle w:val="TableContents"/>
              <w:bidi w:val="0"/>
              <w:spacing w:before="0" w:after="283"/>
              <w:jc w:val="left"/>
              <w:rPr/>
            </w:pPr>
            <w:r>
              <w:rPr/>
              <w:t> </w:t>
            </w:r>
          </w:p>
        </w:tc>
      </w:tr>
      <w:tr>
        <w:trPr/>
        <w:tc>
          <w:tcPr>
            <w:tcW w:w="5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91" w:type="dxa"/>
            <w:tcBorders/>
            <w:shd w:fill="FFFFFF" w:val="clear"/>
            <w:vAlign w:val="center"/>
          </w:tcPr>
          <w:p>
            <w:pPr>
              <w:pStyle w:val="TableContents"/>
              <w:bidi w:val="0"/>
              <w:spacing w:before="0" w:after="283"/>
              <w:jc w:val="left"/>
              <w:rPr/>
            </w:pPr>
            <w:r>
              <w:rPr/>
              <w:t> </w:t>
            </w:r>
          </w:p>
        </w:tc>
      </w:tr>
      <w:tr>
        <w:trPr/>
        <w:tc>
          <w:tcPr>
            <w:tcW w:w="5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6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pPr>
            <w:r>
              <w:rPr/>
              <w:t> </w:t>
            </w:r>
          </w:p>
        </w:tc>
        <w:tc>
          <w:tcPr>
            <w:tcW w:w="6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6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(a)(3) Exhibits.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See (c) below.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Regulation S-K, Item 601(b)(4)(iii), ManpowerGroup Inc. hereby agrees to furnish to the Commission, upon request, a copy of each instrument and agreement with respect to long-term debt of ManpowerGroup Inc. and its consolidated subsidiaries which does not exceed 10 percent of the total assets of ManpowerGroup Inc. and its subsidiaries on a consolidated basis.</w:t>
      </w:r>
    </w:p>
    <w:p>
      <w:pPr>
        <w:pStyle w:val="TextBody"/>
        <w:bidi w:val="0"/>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6"/>
        <w:gridCol w:w="9629"/>
      </w:tblGrid>
      <w:tr>
        <w:trPr/>
        <w:tc>
          <w:tcPr>
            <w:tcW w:w="576" w:type="dxa"/>
            <w:tcBorders/>
            <w:vAlign w:val="center"/>
          </w:tcPr>
          <w:p>
            <w:pPr>
              <w:pStyle w:val="TableContents"/>
              <w:bidi w:val="0"/>
              <w:spacing w:before="0" w:after="283"/>
              <w:jc w:val="left"/>
              <w:rPr>
                <w:sz w:val="4"/>
                <w:szCs w:val="4"/>
              </w:rPr>
            </w:pPr>
            <w:r>
              <w:rPr>
                <w:sz w:val="4"/>
                <w:szCs w:val="4"/>
              </w:rPr>
            </w:r>
          </w:p>
        </w:tc>
        <w:tc>
          <w:tcPr>
            <w:tcW w:w="9629" w:type="dxa"/>
            <w:tcBorders/>
            <w:vAlign w:val="center"/>
          </w:tcPr>
          <w:p>
            <w:pPr>
              <w:pStyle w:val="TableContents"/>
              <w:bidi w:val="0"/>
              <w:spacing w:before="0" w:after="283"/>
              <w:jc w:val="left"/>
              <w:rPr>
                <w:sz w:val="4"/>
                <w:szCs w:val="4"/>
              </w:rPr>
            </w:pPr>
            <w:r>
              <w:rPr>
                <w:sz w:val="4"/>
                <w:szCs w:val="4"/>
              </w:rPr>
            </w:r>
          </w:p>
        </w:tc>
      </w:tr>
      <w:tr>
        <w:trPr/>
        <w:tc>
          <w:tcPr>
            <w:tcW w:w="5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9629"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Equity Purchase and Merger Agreement, dated as of August 23, 2021, by and among AMCP Staffing Holdings, LP, AMCP II Staffing Corp Holdings Holdco, LLC, solely in its capacity as the representative of the seller entities, AMCP Staffing Holdings GP, LLC, ManpowerGroup Global Inc., Longhorn 2021 LP and solely for the purposes of section 10.20 thereof, ManpowerGroup Inc., incorporated by reference to the Company’s Current Report on Form 8-K dated August 24, 2021.</w:t>
              </w:r>
            </w:hyperlink>
          </w:p>
        </w:tc>
      </w:tr>
      <w:tr>
        <w:trPr/>
        <w:tc>
          <w:tcPr>
            <w:tcW w:w="576"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9629" w:type="dxa"/>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Articles of Incorporation of ManpowerGroup Inc., incorporated by reference to the Quarterly Report on Form 10-Q for the quarter ended June 30, 2013.</w:t>
              </w:r>
            </w:hyperlink>
          </w:p>
        </w:tc>
      </w:tr>
      <w:tr>
        <w:trPr/>
        <w:tc>
          <w:tcPr>
            <w:tcW w:w="576"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9629" w:type="dxa"/>
            <w:tcBorders/>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of ManpowerGroup Inc., incorporated by reference to the Company's Current Report on Form 8-K dated August 5, 2022.</w:t>
              </w:r>
            </w:hyperlink>
          </w:p>
        </w:tc>
      </w:tr>
      <w:tr>
        <w:trPr/>
        <w:tc>
          <w:tcPr>
            <w:tcW w:w="576" w:type="dxa"/>
            <w:tcBorders/>
            <w:vAlign w:val="center"/>
          </w:tcPr>
          <w:p>
            <w:pPr>
              <w:pStyle w:val="TableContents"/>
              <w:bidi w:val="0"/>
              <w:spacing w:before="0" w:after="283"/>
              <w:jc w:val="left"/>
              <w:rPr>
                <w:sz w:val="4"/>
                <w:szCs w:val="4"/>
              </w:rPr>
            </w:pPr>
            <w:r>
              <w:rPr>
                <w:sz w:val="4"/>
                <w:szCs w:val="4"/>
              </w:rPr>
            </w:r>
          </w:p>
        </w:tc>
        <w:tc>
          <w:tcPr>
            <w:tcW w:w="9629" w:type="dxa"/>
            <w:tcBorders/>
            <w:vAlign w:val="center"/>
          </w:tcPr>
          <w:p>
            <w:pPr>
              <w:pStyle w:val="TableContents"/>
              <w:bidi w:val="0"/>
              <w:spacing w:before="0" w:after="283"/>
              <w:jc w:val="left"/>
              <w:rPr>
                <w:sz w:val="4"/>
                <w:szCs w:val="4"/>
              </w:rPr>
            </w:pPr>
            <w:r>
              <w:rPr>
                <w:sz w:val="4"/>
                <w:szCs w:val="4"/>
              </w:rPr>
            </w:r>
          </w:p>
        </w:tc>
      </w:tr>
      <w:tr>
        <w:trPr/>
        <w:tc>
          <w:tcPr>
            <w:tcW w:w="5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9629" w:type="dxa"/>
            <w:tcBorders/>
            <w:vAlign w:val="center"/>
          </w:tcPr>
          <w:p>
            <w:pPr>
              <w:pStyle w:val="TableContents"/>
              <w:bidi w:val="0"/>
              <w:spacing w:before="0" w:after="283"/>
              <w:jc w:val="left"/>
              <w:rPr/>
            </w:pPr>
            <w:hyperlink r:id="rId7">
              <w:r>
                <w:rPr>
                  <w:rStyle w:val="InternetLink"/>
                  <w:rFonts w:ascii="Times New Roman" w:hAnsi="Times New Roman"/>
                  <w:color w:val="0000FF"/>
                  <w:sz w:val="20"/>
                  <w:u w:val="single"/>
                </w:rPr>
                <w:t>Fiscal and Paying Agency Agreement between the Company and Citibank, N.A., London Branch as Fiscal Agent, Principal Paying Agent and Registrar and Transfer Agent, dated as of June 22, 2018 (including the form of Note attached thereto as Schedule I), incorporated by reference to the Company’s Current Report on Form 8-K dated June 22, 2018.</w:t>
              </w:r>
            </w:hyperlink>
          </w:p>
        </w:tc>
      </w:tr>
      <w:tr>
        <w:trPr/>
        <w:tc>
          <w:tcPr>
            <w:tcW w:w="576"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left"/>
              <w:rPr>
                <w:sz w:val="4"/>
                <w:szCs w:val="4"/>
              </w:rPr>
            </w:pPr>
            <w:r>
              <w:rPr>
                <w:sz w:val="4"/>
                <w:szCs w:val="4"/>
              </w:rPr>
            </w:r>
          </w:p>
        </w:tc>
      </w:tr>
      <w:tr>
        <w:trPr/>
        <w:tc>
          <w:tcPr>
            <w:tcW w:w="5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9629" w:type="dxa"/>
            <w:tcBorders/>
            <w:vAlign w:val="center"/>
          </w:tcPr>
          <w:p>
            <w:pPr>
              <w:pStyle w:val="TableContents"/>
              <w:bidi w:val="0"/>
              <w:spacing w:before="0" w:after="283"/>
              <w:jc w:val="left"/>
              <w:rPr/>
            </w:pPr>
            <w:hyperlink r:id="rId8">
              <w:r>
                <w:rPr>
                  <w:rStyle w:val="InternetLink"/>
                  <w:rFonts w:ascii="Times New Roman" w:hAnsi="Times New Roman"/>
                  <w:color w:val="0000FF"/>
                  <w:sz w:val="20"/>
                  <w:u w:val="single"/>
                </w:rPr>
                <w:t>Fiscal and Paying Agency Agreement between the Company and Citibank, N.A., as Fiscal Agent, Principal Paying Agent and Registrar and Transfer Agent, dated as of June 30, 2022 (including the form of Note attached thereto as Schedule I), incorporated by reference to the Company’s Current Report on Form 8-K dated June 30, 2022.</w:t>
              </w:r>
            </w:hyperlink>
          </w:p>
        </w:tc>
      </w:tr>
      <w:tr>
        <w:trPr/>
        <w:tc>
          <w:tcPr>
            <w:tcW w:w="576"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9629" w:type="dxa"/>
            <w:tcBorders/>
            <w:vAlign w:val="center"/>
          </w:tcPr>
          <w:p>
            <w:pPr>
              <w:pStyle w:val="TableContents"/>
              <w:bidi w:val="0"/>
              <w:spacing w:before="0" w:after="283"/>
              <w:jc w:val="left"/>
              <w:rPr/>
            </w:pPr>
            <w:hyperlink r:id="rId9">
              <w:r>
                <w:rPr>
                  <w:rStyle w:val="InternetLink"/>
                  <w:rFonts w:ascii="Times New Roman" w:hAnsi="Times New Roman"/>
                  <w:color w:val="0000FF"/>
                  <w:sz w:val="20"/>
                  <w:u w:val="single"/>
                </w:rPr>
                <w:t>Description of Securities Registered Pursuant to Section 12 of the Securities Exchange Act of 1934 incorporated by reference to the Company’s Annual Report on Form 10-K for the year ended December 31, 2020.</w:t>
              </w:r>
            </w:hyperlink>
          </w:p>
        </w:tc>
      </w:tr>
      <w:tr>
        <w:trPr/>
        <w:tc>
          <w:tcPr>
            <w:tcW w:w="576"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629" w:type="dxa"/>
            <w:tcBorders/>
            <w:vAlign w:val="center"/>
          </w:tcPr>
          <w:p>
            <w:pPr>
              <w:pStyle w:val="TableContents"/>
              <w:bidi w:val="0"/>
              <w:spacing w:before="0" w:after="283"/>
              <w:jc w:val="left"/>
              <w:rPr/>
            </w:pPr>
            <w:hyperlink r:id="rId10">
              <w:r>
                <w:rPr>
                  <w:rStyle w:val="InternetLink"/>
                  <w:rFonts w:ascii="Times New Roman" w:hAnsi="Times New Roman"/>
                  <w:color w:val="0000FF"/>
                  <w:sz w:val="20"/>
                  <w:u w:val="single"/>
                </w:rPr>
                <w:t>Credit Agreement dated as of May 27, 2022 among the Company, a syndicate of lenders and JPMorgan Chase Bank, N.A., as Administrative Agent, incorporated by reference to the Company’s Current Report on Form 8-K dated May 27, 2022.</w:t>
              </w:r>
            </w:hyperlink>
          </w:p>
        </w:tc>
      </w:tr>
      <w:tr>
        <w:trPr/>
        <w:tc>
          <w:tcPr>
            <w:tcW w:w="576"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9629" w:type="dxa"/>
            <w:tcBorders/>
            <w:vAlign w:val="center"/>
          </w:tcPr>
          <w:p>
            <w:pPr>
              <w:pStyle w:val="TableContents"/>
              <w:bidi w:val="0"/>
              <w:spacing w:before="0" w:after="283"/>
              <w:jc w:val="left"/>
              <w:rPr/>
            </w:pPr>
            <w:hyperlink r:id="rId11">
              <w:r>
                <w:rPr>
                  <w:rStyle w:val="InternetLink"/>
                  <w:rFonts w:ascii="Times New Roman" w:hAnsi="Times New Roman"/>
                  <w:color w:val="0000FF"/>
                  <w:sz w:val="20"/>
                  <w:u w:val="single"/>
                </w:rPr>
                <w:t>Manpower Savings Related Share Option Scheme incorporated by reference to the Company’s Annual Report on Form 10-K for the year ended December 31, 2010. **</w:t>
              </w:r>
            </w:hyperlink>
          </w:p>
        </w:tc>
      </w:tr>
      <w:tr>
        <w:trPr/>
        <w:tc>
          <w:tcPr>
            <w:tcW w:w="576"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9629" w:type="dxa"/>
            <w:tcBorders/>
            <w:vAlign w:val="center"/>
          </w:tcPr>
          <w:p>
            <w:pPr>
              <w:pStyle w:val="TableContents"/>
              <w:bidi w:val="0"/>
              <w:spacing w:before="0" w:after="283"/>
              <w:jc w:val="left"/>
              <w:rPr/>
            </w:pPr>
            <w:hyperlink r:id="rId12">
              <w:r>
                <w:rPr>
                  <w:rStyle w:val="InternetLink"/>
                  <w:rFonts w:ascii="Times New Roman" w:hAnsi="Times New Roman"/>
                  <w:color w:val="0000FF"/>
                  <w:sz w:val="20"/>
                  <w:u w:val="single"/>
                </w:rPr>
                <w:t>Manpower 1990 Employee Stock Purchase Plan (Amended and Restated effective April 26, 2005), incorporated by reference to the Company’s Proxy Statement for the 2005 Annual Meeting of Shareholders.**</w:t>
              </w:r>
            </w:hyperlink>
          </w:p>
        </w:tc>
      </w:tr>
      <w:tr>
        <w:trPr/>
        <w:tc>
          <w:tcPr>
            <w:tcW w:w="576"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10.6(a)</w:t>
            </w:r>
          </w:p>
        </w:tc>
        <w:tc>
          <w:tcPr>
            <w:tcW w:w="9629" w:type="dxa"/>
            <w:tcBorders/>
            <w:vAlign w:val="center"/>
          </w:tcPr>
          <w:p>
            <w:pPr>
              <w:pStyle w:val="TableContents"/>
              <w:bidi w:val="0"/>
              <w:spacing w:before="0" w:after="283"/>
              <w:jc w:val="left"/>
              <w:rPr/>
            </w:pPr>
            <w:hyperlink w:anchor="man-ex10_6a.htm">
              <w:r>
                <w:rPr>
                  <w:rStyle w:val="InternetLink"/>
                  <w:rFonts w:ascii="Times New Roman" w:hAnsi="Times New Roman"/>
                  <w:color w:val="0000FF"/>
                  <w:sz w:val="20"/>
                  <w:u w:val="single"/>
                </w:rPr>
                <w:t>Terms and Conditions Regarding the Grant of Awards to Non-Employee Directors Under the 2011 Equity Incentive Plan (Amended and Restated January 1, 2024). **</w:t>
              </w:r>
            </w:hyperlink>
          </w:p>
        </w:tc>
      </w:tr>
      <w:tr>
        <w:trPr/>
        <w:tc>
          <w:tcPr>
            <w:tcW w:w="576"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10.6(b)</w:t>
            </w:r>
          </w:p>
        </w:tc>
        <w:tc>
          <w:tcPr>
            <w:tcW w:w="9629" w:type="dxa"/>
            <w:tcBorders/>
            <w:vAlign w:val="center"/>
          </w:tcPr>
          <w:p>
            <w:pPr>
              <w:pStyle w:val="TableContents"/>
              <w:bidi w:val="0"/>
              <w:spacing w:before="0" w:after="283"/>
              <w:jc w:val="left"/>
              <w:rPr/>
            </w:pPr>
            <w:hyperlink w:anchor="man-ex10_6b.htm">
              <w:r>
                <w:rPr>
                  <w:rStyle w:val="InternetLink"/>
                  <w:rFonts w:ascii="Times New Roman" w:hAnsi="Times New Roman"/>
                  <w:color w:val="0000FF"/>
                  <w:sz w:val="20"/>
                  <w:u w:val="single"/>
                </w:rPr>
                <w:t>ManpowerGroup Inc. Compensation for Non-Employee Directors (Amended and Restated Effective January 1, 2024). **</w:t>
              </w:r>
            </w:hyperlink>
          </w:p>
        </w:tc>
      </w:tr>
      <w:tr>
        <w:trPr/>
        <w:tc>
          <w:tcPr>
            <w:tcW w:w="576"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10.6(c)</w:t>
            </w:r>
          </w:p>
        </w:tc>
        <w:tc>
          <w:tcPr>
            <w:tcW w:w="9629" w:type="dxa"/>
            <w:tcBorders/>
            <w:vAlign w:val="center"/>
          </w:tcPr>
          <w:p>
            <w:pPr>
              <w:pStyle w:val="TableContents"/>
              <w:bidi w:val="0"/>
              <w:spacing w:before="0" w:after="283"/>
              <w:jc w:val="left"/>
              <w:rPr/>
            </w:pPr>
            <w:hyperlink r:id="rId13">
              <w:r>
                <w:rPr>
                  <w:rStyle w:val="InternetLink"/>
                  <w:rFonts w:ascii="Times New Roman" w:hAnsi="Times New Roman"/>
                  <w:color w:val="0000FF"/>
                  <w:sz w:val="20"/>
                  <w:u w:val="single"/>
                </w:rPr>
                <w:t>Letter Agreement between Jonas Prising and the Company dated as of February 17, 2023, incorporated by reference to the Company's Annual Report on Form 10-K for the year ended December 31, 2022. **</w:t>
              </w:r>
            </w:hyperlink>
          </w:p>
        </w:tc>
      </w:tr>
      <w:tr>
        <w:trPr/>
        <w:tc>
          <w:tcPr>
            <w:tcW w:w="576"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10.6(d)</w:t>
            </w:r>
          </w:p>
        </w:tc>
        <w:tc>
          <w:tcPr>
            <w:tcW w:w="9629" w:type="dxa"/>
            <w:tcBorders/>
            <w:vAlign w:val="center"/>
          </w:tcPr>
          <w:p>
            <w:pPr>
              <w:pStyle w:val="TableContents"/>
              <w:bidi w:val="0"/>
              <w:spacing w:before="0" w:after="283"/>
              <w:jc w:val="left"/>
              <w:rPr/>
            </w:pPr>
            <w:hyperlink r:id="rId14">
              <w:r>
                <w:rPr>
                  <w:rStyle w:val="InternetLink"/>
                  <w:rFonts w:ascii="Times New Roman" w:hAnsi="Times New Roman"/>
                  <w:color w:val="0000FF"/>
                  <w:sz w:val="20"/>
                  <w:u w:val="single"/>
                </w:rPr>
                <w:t>Letter Agreement between Richard Buchband and the Company as of February 17, 2023, incorporated by reference to the Company's Annual Report on Form 10-K for the year ended December 31, 2022. **</w:t>
              </w:r>
            </w:hyperlink>
          </w:p>
        </w:tc>
      </w:tr>
      <w:tr>
        <w:trPr/>
        <w:tc>
          <w:tcPr>
            <w:tcW w:w="576"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10.6(e)</w:t>
            </w:r>
          </w:p>
        </w:tc>
        <w:tc>
          <w:tcPr>
            <w:tcW w:w="9629" w:type="dxa"/>
            <w:tcBorders/>
            <w:vAlign w:val="center"/>
          </w:tcPr>
          <w:p>
            <w:pPr>
              <w:pStyle w:val="TableContents"/>
              <w:bidi w:val="0"/>
              <w:spacing w:before="0" w:after="283"/>
              <w:jc w:val="left"/>
              <w:rPr/>
            </w:pPr>
            <w:hyperlink r:id="rId15">
              <w:r>
                <w:rPr>
                  <w:rStyle w:val="InternetLink"/>
                  <w:rFonts w:ascii="Times New Roman" w:hAnsi="Times New Roman"/>
                  <w:color w:val="0000FF"/>
                  <w:sz w:val="20"/>
                  <w:u w:val="single"/>
                </w:rPr>
                <w:t>2011 Equity Incentive Plan of Manpower Inc. (Amended and Restated Effective May 8, 2020), incorporated by reference to the Company’s Registration Statement on Form S-8 dated May 29, 2020. **</w:t>
              </w:r>
            </w:hyperlink>
          </w:p>
        </w:tc>
      </w:tr>
      <w:tr>
        <w:trPr/>
        <w:tc>
          <w:tcPr>
            <w:tcW w:w="576"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left"/>
              <w:rPr/>
            </w:pPr>
            <w:r>
              <w:rPr/>
              <w:t> </w:t>
            </w:r>
          </w:p>
        </w:tc>
      </w:tr>
      <w:tr>
        <w:trPr/>
        <w:tc>
          <w:tcPr>
            <w:tcW w:w="57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10.6(f)</w:t>
            </w:r>
          </w:p>
        </w:tc>
        <w:tc>
          <w:tcPr>
            <w:tcW w:w="9629" w:type="dxa"/>
            <w:tcBorders/>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Indemnification Agreement, incorporated by reference to the Company’s Current Report on Form 8-K dated October 31, 2006.</w:t>
              </w:r>
            </w:hyperlink>
          </w:p>
        </w:tc>
      </w:tr>
      <w:tr>
        <w:trPr/>
        <w:tc>
          <w:tcPr>
            <w:tcW w:w="576" w:type="dxa"/>
            <w:tcBorders/>
            <w:vAlign w:val="center"/>
          </w:tcPr>
          <w:p>
            <w:pPr>
              <w:pStyle w:val="TableContents"/>
              <w:bidi w:val="0"/>
              <w:spacing w:before="0" w:after="283"/>
              <w:jc w:val="left"/>
              <w:rPr/>
            </w:pPr>
            <w:r>
              <w:rPr/>
              <w:t> </w:t>
            </w:r>
          </w:p>
        </w:tc>
        <w:tc>
          <w:tcPr>
            <w:tcW w:w="9629" w:type="dxa"/>
            <w:tcBorders/>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5"/>
        <w:gridCol w:w="9570"/>
      </w:tblGrid>
      <w:tr>
        <w:trPr/>
        <w:tc>
          <w:tcPr>
            <w:tcW w:w="635" w:type="dxa"/>
            <w:tcBorders/>
            <w:vAlign w:val="center"/>
          </w:tcPr>
          <w:p>
            <w:pPr>
              <w:pStyle w:val="TableContents"/>
              <w:bidi w:val="0"/>
              <w:spacing w:before="0" w:after="283"/>
              <w:jc w:val="left"/>
              <w:rPr>
                <w:sz w:val="4"/>
                <w:szCs w:val="4"/>
              </w:rPr>
            </w:pPr>
            <w:r>
              <w:rPr>
                <w:sz w:val="4"/>
                <w:szCs w:val="4"/>
              </w:rPr>
            </w:r>
          </w:p>
        </w:tc>
        <w:tc>
          <w:tcPr>
            <w:tcW w:w="9570"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10.7(a)</w:t>
            </w:r>
          </w:p>
        </w:tc>
        <w:tc>
          <w:tcPr>
            <w:tcW w:w="9570" w:type="dxa"/>
            <w:tcBorders/>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Stock Option Agreement under 2011 Equity Incentive Plan, incorporated by reference to the Company’s Quarterly Report on Form 10-Q for the quarter ended March 31, 2019. **</w:t>
              </w:r>
            </w:hyperlink>
          </w:p>
        </w:tc>
      </w:tr>
      <w:tr>
        <w:trPr/>
        <w:tc>
          <w:tcPr>
            <w:tcW w:w="635" w:type="dxa"/>
            <w:tcBorders/>
            <w:vAlign w:val="center"/>
          </w:tcPr>
          <w:p>
            <w:pPr>
              <w:pStyle w:val="TableContents"/>
              <w:bidi w:val="0"/>
              <w:spacing w:before="0" w:after="283"/>
              <w:jc w:val="left"/>
              <w:rPr>
                <w:sz w:val="4"/>
                <w:szCs w:val="4"/>
              </w:rPr>
            </w:pPr>
            <w:r>
              <w:rPr>
                <w:sz w:val="4"/>
                <w:szCs w:val="4"/>
              </w:rPr>
            </w:r>
          </w:p>
        </w:tc>
        <w:tc>
          <w:tcPr>
            <w:tcW w:w="9570"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10.7(b)</w:t>
            </w:r>
          </w:p>
        </w:tc>
        <w:tc>
          <w:tcPr>
            <w:tcW w:w="9570" w:type="dxa"/>
            <w:tcBorders/>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Restricted Stock Unit Agreement under 2011 Equity Incentive Plan, incorporated by reference to the Company’s Quarterly Report on Form 10-Q for the quarter ended March 31, 2012. **</w:t>
              </w:r>
            </w:hyperlink>
          </w:p>
        </w:tc>
      </w:tr>
      <w:tr>
        <w:trPr/>
        <w:tc>
          <w:tcPr>
            <w:tcW w:w="635" w:type="dxa"/>
            <w:tcBorders/>
            <w:vAlign w:val="center"/>
          </w:tcPr>
          <w:p>
            <w:pPr>
              <w:pStyle w:val="TableContents"/>
              <w:bidi w:val="0"/>
              <w:spacing w:before="0" w:after="283"/>
              <w:jc w:val="left"/>
              <w:rPr>
                <w:sz w:val="4"/>
                <w:szCs w:val="4"/>
              </w:rPr>
            </w:pPr>
            <w:r>
              <w:rPr>
                <w:sz w:val="4"/>
                <w:szCs w:val="4"/>
              </w:rPr>
            </w:r>
          </w:p>
        </w:tc>
        <w:tc>
          <w:tcPr>
            <w:tcW w:w="9570" w:type="dxa"/>
            <w:tcBorders/>
            <w:vAlign w:val="center"/>
          </w:tcPr>
          <w:p>
            <w:pPr>
              <w:pStyle w:val="TableContents"/>
              <w:bidi w:val="0"/>
              <w:spacing w:before="0" w:after="283"/>
              <w:jc w:val="left"/>
              <w:rPr>
                <w:sz w:val="4"/>
                <w:szCs w:val="4"/>
              </w:rPr>
            </w:pPr>
            <w:r>
              <w:rPr>
                <w:sz w:val="4"/>
                <w:szCs w:val="4"/>
              </w:rPr>
            </w:r>
          </w:p>
        </w:tc>
      </w:tr>
      <w:tr>
        <w:trPr/>
        <w:tc>
          <w:tcPr>
            <w:tcW w:w="63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10.7(c)</w:t>
            </w:r>
          </w:p>
        </w:tc>
        <w:tc>
          <w:tcPr>
            <w:tcW w:w="9570" w:type="dxa"/>
            <w:tcBorders/>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2014 Career Share Agreement under the 2011 Equity Incentive Plan, incorporated by reference to the Company’s Quarterly Report on Form 10-Q for the quarter ended March 31, 2014. **</w:t>
              </w:r>
            </w:hyperlink>
          </w:p>
        </w:tc>
      </w:tr>
      <w:tr>
        <w:trPr/>
        <w:tc>
          <w:tcPr>
            <w:tcW w:w="635" w:type="dxa"/>
            <w:tcBorders/>
            <w:vAlign w:val="center"/>
          </w:tcPr>
          <w:p>
            <w:pPr>
              <w:pStyle w:val="TableContents"/>
              <w:bidi w:val="0"/>
              <w:spacing w:before="0" w:after="283"/>
              <w:jc w:val="left"/>
              <w:rPr/>
            </w:pPr>
            <w:r>
              <w:rPr/>
              <w:t> </w:t>
            </w:r>
          </w:p>
        </w:tc>
        <w:tc>
          <w:tcPr>
            <w:tcW w:w="9570" w:type="dxa"/>
            <w:tcBorders/>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8"/>
        <w:gridCol w:w="9517"/>
      </w:tblGrid>
      <w:tr>
        <w:trPr/>
        <w:tc>
          <w:tcPr>
            <w:tcW w:w="688" w:type="dxa"/>
            <w:tcBorders/>
            <w:vAlign w:val="center"/>
          </w:tcPr>
          <w:p>
            <w:pPr>
              <w:pStyle w:val="TableContents"/>
              <w:bidi w:val="0"/>
              <w:spacing w:before="0" w:after="283"/>
              <w:jc w:val="left"/>
              <w:rPr>
                <w:sz w:val="4"/>
                <w:szCs w:val="4"/>
              </w:rPr>
            </w:pPr>
            <w:r>
              <w:rPr>
                <w:sz w:val="4"/>
                <w:szCs w:val="4"/>
              </w:rPr>
            </w:r>
          </w:p>
        </w:tc>
        <w:tc>
          <w:tcPr>
            <w:tcW w:w="9517" w:type="dxa"/>
            <w:tcBorders/>
            <w:vAlign w:val="center"/>
          </w:tcPr>
          <w:p>
            <w:pPr>
              <w:pStyle w:val="TableContents"/>
              <w:bidi w:val="0"/>
              <w:spacing w:before="0" w:after="283"/>
              <w:jc w:val="left"/>
              <w:rPr>
                <w:sz w:val="4"/>
                <w:szCs w:val="4"/>
              </w:rPr>
            </w:pPr>
            <w:r>
              <w:rPr>
                <w:sz w:val="4"/>
                <w:szCs w:val="4"/>
              </w:rPr>
            </w:r>
          </w:p>
        </w:tc>
      </w:tr>
      <w:tr>
        <w:trPr/>
        <w:tc>
          <w:tcPr>
            <w:tcW w:w="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10.7(d)</w:t>
            </w:r>
          </w:p>
        </w:tc>
        <w:tc>
          <w:tcPr>
            <w:tcW w:w="9517" w:type="dxa"/>
            <w:tcBorders/>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2021 Performance Share Unit Agreement Under the 2011 Equity Incentive Plan of ManpowerGroup Inc., incorporated by reference to the Company’s Quarterly Report on Form 10-Q for the Quarter ended March 31, 2021.</w:t>
              </w:r>
            </w:hyperlink>
            <w:hyperlink r:id="rId21">
              <w:r>
                <w:rPr>
                  <w:rStyle w:val="InternetLink"/>
                  <w:rFonts w:ascii="Times New Roman" w:hAnsi="Times New Roman"/>
                  <w:color w:val="0000FF"/>
                  <w:sz w:val="20"/>
                </w:rPr>
                <w:t xml:space="preserve"> </w:t>
              </w:r>
            </w:hyperlink>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10.7(e)</w:t>
            </w:r>
          </w:p>
        </w:tc>
        <w:tc>
          <w:tcPr>
            <w:tcW w:w="9517" w:type="dxa"/>
            <w:tcBorders/>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2022 Performance Share Unit Agreement Under the 2011 Equity Inventive Plan of ManpowerGroup Inc., incorporated by reference to the Company's Quarterly Report on Form 10-Q for the Quarter ended March 31, 2022.</w:t>
              </w:r>
            </w:hyperlink>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10.8(a)</w:t>
            </w:r>
          </w:p>
        </w:tc>
        <w:tc>
          <w:tcPr>
            <w:tcW w:w="9517" w:type="dxa"/>
            <w:tcBorders/>
            <w:vAlign w:val="center"/>
          </w:tcPr>
          <w:p>
            <w:pPr>
              <w:pStyle w:val="TableContents"/>
              <w:bidi w:val="0"/>
              <w:spacing w:before="0" w:after="283"/>
              <w:jc w:val="left"/>
              <w:rPr/>
            </w:pPr>
            <w:hyperlink r:id="rId23">
              <w:r>
                <w:rPr>
                  <w:rStyle w:val="InternetLink"/>
                  <w:rFonts w:ascii="Times New Roman" w:hAnsi="Times New Roman"/>
                  <w:color w:val="0000FF"/>
                  <w:sz w:val="20"/>
                  <w:u w:val="single"/>
                </w:rPr>
                <w:t>Letter Agreement between Michelle S. Nettles and the Company dated as of February 17, 2023, incorporated by reference to the Company's Annual Report on Form 10-K for the year ended December 31, 2022. **</w:t>
              </w:r>
            </w:hyperlink>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10.8(b)</w:t>
            </w:r>
          </w:p>
        </w:tc>
        <w:tc>
          <w:tcPr>
            <w:tcW w:w="9517" w:type="dxa"/>
            <w:tcBorders/>
            <w:vAlign w:val="center"/>
          </w:tcPr>
          <w:p>
            <w:pPr>
              <w:pStyle w:val="TableContents"/>
              <w:bidi w:val="0"/>
              <w:spacing w:before="0" w:after="283"/>
              <w:jc w:val="left"/>
              <w:rPr/>
            </w:pPr>
            <w:hyperlink r:id="rId24">
              <w:r>
                <w:rPr>
                  <w:rStyle w:val="InternetLink"/>
                  <w:rFonts w:ascii="Times New Roman" w:hAnsi="Times New Roman"/>
                  <w:color w:val="0000FF"/>
                  <w:sz w:val="20"/>
                  <w:u w:val="single"/>
                </w:rPr>
                <w:t>Letter Agreement between John T. McGinnis and the Company dated February 17, 2023, incorporated by reference to the Company's Annual Report on Form 10-K for the year ended December 31, 2022. **</w:t>
              </w:r>
            </w:hyperlink>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10.8(c)</w:t>
            </w:r>
          </w:p>
        </w:tc>
        <w:tc>
          <w:tcPr>
            <w:tcW w:w="9517" w:type="dxa"/>
            <w:tcBorders/>
            <w:vAlign w:val="center"/>
          </w:tcPr>
          <w:p>
            <w:pPr>
              <w:pStyle w:val="TableContents"/>
              <w:bidi w:val="0"/>
              <w:spacing w:before="0" w:after="283"/>
              <w:jc w:val="left"/>
              <w:rPr/>
            </w:pPr>
            <w:hyperlink r:id="rId25">
              <w:r>
                <w:rPr>
                  <w:rStyle w:val="InternetLink"/>
                  <w:rFonts w:ascii="Times New Roman" w:hAnsi="Times New Roman"/>
                  <w:color w:val="0000FF"/>
                  <w:sz w:val="20"/>
                  <w:u w:val="single"/>
                </w:rPr>
                <w:t>Employee Agreement between John T. McGinnis and the Company dated as of November 17, 2015, incorporated by reference to the Company's Current Report on Form 8-K dated January 28, 2016. **</w:t>
              </w:r>
            </w:hyperlink>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9517" w:type="dxa"/>
            <w:tcBorders/>
            <w:vAlign w:val="center"/>
          </w:tcPr>
          <w:p>
            <w:pPr>
              <w:pStyle w:val="TableContents"/>
              <w:bidi w:val="0"/>
              <w:spacing w:before="0" w:after="283"/>
              <w:jc w:val="left"/>
              <w:rPr/>
            </w:pPr>
            <w:hyperlink r:id="rId26">
              <w:r>
                <w:rPr>
                  <w:rStyle w:val="InternetLink"/>
                  <w:rFonts w:ascii="Times New Roman" w:hAnsi="Times New Roman"/>
                  <w:color w:val="0000FF"/>
                  <w:sz w:val="20"/>
                  <w:u w:val="single"/>
                </w:rPr>
                <w:t>ManpowerGroup Inc. Annual Incentive Plan, incorporated by reference to the Company's Current Report on Form 8-K dated February 15, 2018. **</w:t>
              </w:r>
            </w:hyperlink>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9517" w:type="dxa"/>
            <w:tcBorders/>
            <w:vAlign w:val="center"/>
          </w:tcPr>
          <w:p>
            <w:pPr>
              <w:pStyle w:val="TableContents"/>
              <w:bidi w:val="0"/>
              <w:spacing w:before="0" w:after="283"/>
              <w:jc w:val="left"/>
              <w:rPr/>
            </w:pPr>
            <w:hyperlink w:anchor="man-ex21.htm">
              <w:r>
                <w:rPr>
                  <w:rStyle w:val="InternetLink"/>
                  <w:rFonts w:ascii="Times New Roman" w:hAnsi="Times New Roman"/>
                  <w:color w:val="0000FF"/>
                  <w:sz w:val="20"/>
                  <w:u w:val="single"/>
                </w:rPr>
                <w:t>Subsidiaries of the Company.</w:t>
              </w:r>
            </w:hyperlink>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9517" w:type="dxa"/>
            <w:tcBorders/>
            <w:vAlign w:val="center"/>
          </w:tcPr>
          <w:p>
            <w:pPr>
              <w:pStyle w:val="TableContents"/>
              <w:bidi w:val="0"/>
              <w:spacing w:before="0" w:after="283"/>
              <w:jc w:val="left"/>
              <w:rPr/>
            </w:pPr>
            <w:hyperlink w:anchor="man-ex23_1.htm">
              <w:r>
                <w:rPr>
                  <w:rStyle w:val="InternetLink"/>
                  <w:rFonts w:ascii="Times New Roman" w:hAnsi="Times New Roman"/>
                  <w:color w:val="0000FF"/>
                  <w:sz w:val="20"/>
                  <w:u w:val="single"/>
                </w:rPr>
                <w:t>Consent of Deloitte &amp; Touche LLP.</w:t>
              </w:r>
            </w:hyperlink>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w:t>
            </w:r>
          </w:p>
        </w:tc>
        <w:tc>
          <w:tcPr>
            <w:tcW w:w="9517" w:type="dxa"/>
            <w:tcBorders/>
            <w:vAlign w:val="center"/>
          </w:tcPr>
          <w:p>
            <w:pPr>
              <w:pStyle w:val="TableContents"/>
              <w:bidi w:val="0"/>
              <w:spacing w:before="0" w:after="283"/>
              <w:jc w:val="left"/>
              <w:rPr/>
            </w:pPr>
            <w:hyperlink w:anchor="man-ex24.htm">
              <w:r>
                <w:rPr>
                  <w:rStyle w:val="InternetLink"/>
                  <w:rFonts w:ascii="Times New Roman" w:hAnsi="Times New Roman"/>
                  <w:color w:val="0000FF"/>
                  <w:sz w:val="20"/>
                  <w:u w:val="single"/>
                </w:rPr>
                <w:t>Power of Attorney.</w:t>
              </w:r>
            </w:hyperlink>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9517" w:type="dxa"/>
            <w:tcBorders/>
            <w:vAlign w:val="center"/>
          </w:tcPr>
          <w:p>
            <w:pPr>
              <w:pStyle w:val="TableContents"/>
              <w:bidi w:val="0"/>
              <w:spacing w:before="0" w:after="283"/>
              <w:jc w:val="left"/>
              <w:rPr/>
            </w:pPr>
            <w:hyperlink w:anchor="man-ex31_1.htm">
              <w:r>
                <w:rPr>
                  <w:rStyle w:val="InternetLink"/>
                  <w:rFonts w:ascii="Times New Roman" w:hAnsi="Times New Roman"/>
                  <w:color w:val="0000FF"/>
                  <w:sz w:val="20"/>
                  <w:u w:val="single"/>
                </w:rPr>
                <w:t>Certification of Jonas Prising, Chief Executive Officer, pursuant to Section 13a-14(a) of the Securities Exchange Act of 1934.</w:t>
              </w:r>
            </w:hyperlink>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9517" w:type="dxa"/>
            <w:tcBorders/>
            <w:vAlign w:val="center"/>
          </w:tcPr>
          <w:p>
            <w:pPr>
              <w:pStyle w:val="TableContents"/>
              <w:bidi w:val="0"/>
              <w:spacing w:before="0" w:after="283"/>
              <w:jc w:val="left"/>
              <w:rPr/>
            </w:pPr>
            <w:hyperlink w:anchor="man-ex31_2.htm">
              <w:r>
                <w:rPr>
                  <w:rStyle w:val="InternetLink"/>
                  <w:rFonts w:ascii="Times New Roman" w:hAnsi="Times New Roman"/>
                  <w:color w:val="0000FF"/>
                  <w:sz w:val="20"/>
                  <w:u w:val="single"/>
                </w:rPr>
                <w:t>Certification of John T. McGinnis, Executive Vice President and Chief Financial Officer, pursuant to Section 13a-14(a) of the Securities Exchange Act of 1934.</w:t>
              </w:r>
            </w:hyperlink>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9517" w:type="dxa"/>
            <w:tcBorders/>
            <w:vAlign w:val="center"/>
          </w:tcPr>
          <w:p>
            <w:pPr>
              <w:pStyle w:val="TableContents"/>
              <w:bidi w:val="0"/>
              <w:spacing w:before="0" w:after="283"/>
              <w:jc w:val="left"/>
              <w:rPr/>
            </w:pPr>
            <w:hyperlink w:anchor="man-ex32_1.htm">
              <w:r>
                <w:rPr>
                  <w:rStyle w:val="InternetLink"/>
                  <w:rFonts w:ascii="Times New Roman" w:hAnsi="Times New Roman"/>
                  <w:color w:val="0000FF"/>
                  <w:sz w:val="20"/>
                  <w:u w:val="single"/>
                </w:rPr>
                <w:t>Statement of Jonas Prising, Chief Executive Officer, pursuant to 18 U.S.C. ss. 1350.</w:t>
              </w:r>
            </w:hyperlink>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9517" w:type="dxa"/>
            <w:tcBorders/>
            <w:vAlign w:val="center"/>
          </w:tcPr>
          <w:p>
            <w:pPr>
              <w:pStyle w:val="TableContents"/>
              <w:bidi w:val="0"/>
              <w:spacing w:before="0" w:after="283"/>
              <w:jc w:val="left"/>
              <w:rPr/>
            </w:pPr>
            <w:hyperlink w:anchor="man-ex32_2.htm">
              <w:r>
                <w:rPr>
                  <w:rStyle w:val="InternetLink"/>
                  <w:rFonts w:ascii="Times New Roman" w:hAnsi="Times New Roman"/>
                  <w:color w:val="0000FF"/>
                  <w:sz w:val="20"/>
                  <w:u w:val="single"/>
                </w:rPr>
                <w:t>Statement of John T. McGinnis, Executive Vice President and Chief Financial Officer, pursuant to 18 U.S.C. ss. 1350.</w:t>
              </w:r>
            </w:hyperlink>
            <w:r>
              <w:rPr>
                <w:rFonts w:ascii="Times New Roman" w:hAnsi="Times New Roman"/>
                <w:color w:val="0000FF"/>
                <w:sz w:val="20"/>
              </w:rPr>
              <w:t xml:space="preserve"> </w:t>
            </w:r>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9517" w:type="dxa"/>
            <w:tcBorders/>
            <w:vAlign w:val="center"/>
          </w:tcPr>
          <w:p>
            <w:pPr>
              <w:pStyle w:val="TableContents"/>
              <w:bidi w:val="0"/>
              <w:spacing w:before="0" w:after="283"/>
              <w:jc w:val="left"/>
              <w:rPr/>
            </w:pPr>
            <w:hyperlink w:anchor="man-ex97.htm">
              <w:r>
                <w:rPr>
                  <w:rStyle w:val="InternetLink"/>
                  <w:rFonts w:ascii="Times New Roman" w:hAnsi="Times New Roman"/>
                  <w:color w:val="0000FF"/>
                  <w:sz w:val="20"/>
                  <w:u w:val="single"/>
                </w:rPr>
                <w:t>Senior Executive Compensation Recovery Policy **</w:t>
              </w:r>
            </w:hyperlink>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517"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212529"/>
                <w:sz w:val="20"/>
              </w:rPr>
              <w:t xml:space="preserve">Inline XBRL Instance Document </w:t>
            </w:r>
            <w:r>
              <w:rPr>
                <w:rFonts w:ascii="Times New Roman" w:hAnsi="Times New Roman"/>
                <w:color w:val="000000"/>
                <w:sz w:val="20"/>
              </w:rPr>
              <w:t xml:space="preserve">- the instance document does not appear in the Interactive Data File because its XBRL tags are embedded within the Inline XBRL document. </w:t>
            </w:r>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51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r>
        <w:trPr/>
        <w:tc>
          <w:tcPr>
            <w:tcW w:w="68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517" w:type="dxa"/>
            <w:tcBorders/>
            <w:vAlign w:val="center"/>
          </w:tcPr>
          <w:p>
            <w:pPr>
              <w:pStyle w:val="TableContents"/>
              <w:bidi w:val="0"/>
              <w:spacing w:before="0" w:after="283"/>
              <w:jc w:val="both"/>
              <w:rPr>
                <w:rFonts w:ascii="Times New Roman" w:hAnsi="Times New Roman"/>
                <w:sz w:val="20"/>
              </w:rPr>
            </w:pPr>
            <w:r>
              <w:rPr>
                <w:rFonts w:ascii="Times New Roman" w:hAnsi="Times New Roman"/>
                <w:color w:val="212529"/>
                <w:sz w:val="20"/>
              </w:rPr>
              <w:t xml:space="preserve">The </w:t>
            </w:r>
            <w:r>
              <w:rPr>
                <w:rFonts w:ascii="Times New Roman" w:hAnsi="Times New Roman"/>
                <w:color w:val="000000"/>
                <w:sz w:val="20"/>
              </w:rPr>
              <w:t>cover page from the Company’s Annual Report on Form 10-K for the fiscal year ended December 31, 2023 has been formatted in Inline XBRL (Inline Extensible Business Reporting Language).</w:t>
            </w:r>
          </w:p>
        </w:tc>
      </w:tr>
      <w:tr>
        <w:trPr/>
        <w:tc>
          <w:tcPr>
            <w:tcW w:w="688"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left"/>
              <w:rPr/>
            </w:pPr>
            <w:r>
              <w:rPr/>
              <w:t> </w:t>
            </w:r>
          </w:p>
        </w:tc>
      </w:tr>
    </w:tbl>
    <w:p>
      <w:pPr>
        <w:pStyle w:val="TextBody"/>
        <w:bidi w:val="0"/>
        <w:spacing w:before="40" w:after="283"/>
        <w:jc w:val="both"/>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spacing w:before="200" w:after="283"/>
        <w:jc w:val="both"/>
        <w:rPr>
          <w:rFonts w:ascii="Times New Roman" w:hAnsi="Times New Roman"/>
          <w:sz w:val="20"/>
        </w:rPr>
      </w:pPr>
      <w:bookmarkStart w:id="37" w:name="item_16________form_10k_summary"/>
      <w:bookmarkEnd w:id="37"/>
      <w:r>
        <w:rPr>
          <w:rFonts w:ascii="Times New Roman" w:hAnsi="Times New Roman"/>
          <w:b/>
          <w:color w:val="000000"/>
          <w:sz w:val="20"/>
        </w:rPr>
        <w:t>Item 16.</w:t>
      </w:r>
      <w:r>
        <w:rPr>
          <w:rFonts w:ascii="Times New Roman" w:hAnsi="Times New Roman"/>
          <w:color w:val="000000"/>
          <w:sz w:val="20"/>
        </w:rPr>
        <w:t xml:space="preserve"> </w:t>
      </w:r>
      <w:r>
        <w:rPr>
          <w:rFonts w:ascii="Times New Roman" w:hAnsi="Times New Roman"/>
          <w:b/>
          <w:color w:val="000000"/>
          <w:sz w:val="20"/>
        </w:rPr>
        <w:t>Form 10-K summary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8" w:name="signatures"/>
      <w:bookmarkEnd w:id="38"/>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both"/>
        <w:rPr/>
      </w:pPr>
      <w:r>
        <w:rPr/>
        <w:t> </w:t>
      </w:r>
    </w:p>
    <w:tbl>
      <w:tblPr>
        <w:tblW w:w="4104" w:type="dxa"/>
        <w:jc w:val="left"/>
        <w:tblInd w:w="0" w:type="dxa"/>
        <w:tblLayout w:type="fixed"/>
        <w:tblCellMar>
          <w:top w:w="28" w:type="dxa"/>
          <w:left w:w="28" w:type="dxa"/>
          <w:bottom w:w="28" w:type="dxa"/>
          <w:right w:w="28" w:type="dxa"/>
        </w:tblCellMar>
      </w:tblPr>
      <w:tblGrid>
        <w:gridCol w:w="161"/>
        <w:gridCol w:w="146"/>
        <w:gridCol w:w="541"/>
        <w:gridCol w:w="325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97"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INC.</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left"/>
              <w:rPr/>
            </w:pPr>
            <w:r>
              <w:rPr/>
              <w:t> </w:t>
            </w:r>
          </w:p>
        </w:tc>
        <w:tc>
          <w:tcPr>
            <w:tcW w:w="3256"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Jonas Prising</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left"/>
              <w:rPr/>
            </w:pPr>
            <w:r>
              <w:rPr/>
              <w:t> </w:t>
            </w:r>
          </w:p>
        </w:tc>
        <w:tc>
          <w:tcPr>
            <w:tcW w:w="325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Jonas Prising</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left"/>
              <w:rPr/>
            </w:pPr>
            <w:r>
              <w:rPr/>
              <w:t> </w:t>
            </w:r>
          </w:p>
        </w:tc>
        <w:tc>
          <w:tcPr>
            <w:tcW w:w="3256"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32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16, 2024</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both"/>
        <w:rPr/>
      </w:pPr>
      <w:r>
        <w:rPr/>
        <w:t> </w:t>
      </w:r>
    </w:p>
    <w:tbl>
      <w:tblPr>
        <w:tblW w:w="8305" w:type="dxa"/>
        <w:jc w:val="left"/>
        <w:tblInd w:w="0" w:type="dxa"/>
        <w:tblLayout w:type="fixed"/>
        <w:tblCellMar>
          <w:top w:w="28" w:type="dxa"/>
          <w:left w:w="28" w:type="dxa"/>
          <w:bottom w:w="28" w:type="dxa"/>
          <w:right w:w="28" w:type="dxa"/>
        </w:tblCellMar>
      </w:tblPr>
      <w:tblGrid>
        <w:gridCol w:w="1816"/>
        <w:gridCol w:w="146"/>
        <w:gridCol w:w="4516"/>
        <w:gridCol w:w="146"/>
        <w:gridCol w:w="168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81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51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8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18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283"/>
              <w:jc w:val="left"/>
              <w:rPr/>
            </w:pPr>
            <w:r>
              <w:rPr/>
              <w:t> </w:t>
            </w:r>
          </w:p>
        </w:tc>
      </w:tr>
      <w:tr>
        <w:trPr/>
        <w:tc>
          <w:tcPr>
            <w:tcW w:w="1816" w:type="dxa"/>
            <w:tcBorders/>
            <w:vAlign w:val="center"/>
          </w:tcPr>
          <w:p>
            <w:pPr>
              <w:pStyle w:val="TableContents"/>
              <w:bidi w:val="0"/>
              <w:jc w:val="left"/>
              <w:rPr>
                <w:rFonts w:ascii="Times New Roman" w:hAnsi="Times New Roman"/>
                <w:color w:val="000000"/>
                <w:sz w:val="20"/>
                <w:u w:val="single"/>
              </w:rPr>
            </w:pPr>
            <w:r>
              <w:rPr>
                <w:rFonts w:ascii="Times New Roman" w:hAnsi="Times New Roman"/>
                <w:color w:val="000000"/>
                <w:sz w:val="20"/>
                <w:u w:val="single"/>
              </w:rPr>
              <w:t>/s/ Jonas Prising</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Jonas Prising</w:t>
            </w:r>
          </w:p>
        </w:tc>
        <w:tc>
          <w:tcPr>
            <w:tcW w:w="146" w:type="dxa"/>
            <w:tcBorders/>
            <w:vAlign w:val="center"/>
          </w:tcPr>
          <w:p>
            <w:pPr>
              <w:pStyle w:val="TableContents"/>
              <w:bidi w:val="0"/>
              <w:spacing w:before="0" w:after="283"/>
              <w:jc w:val="left"/>
              <w:rPr/>
            </w:pPr>
            <w:r>
              <w:rPr/>
              <w:t> </w:t>
            </w:r>
          </w:p>
        </w:tc>
        <w:tc>
          <w:tcPr>
            <w:tcW w:w="451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Chairman, Chief Executive Officer and a Director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46" w:type="dxa"/>
            <w:tcBorders/>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February 16, 2024 </w:t>
            </w:r>
          </w:p>
        </w:tc>
      </w:tr>
      <w:tr>
        <w:trPr/>
        <w:tc>
          <w:tcPr>
            <w:tcW w:w="18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283"/>
              <w:jc w:val="left"/>
              <w:rPr/>
            </w:pPr>
            <w:r>
              <w:rPr/>
              <w:t> </w:t>
            </w:r>
          </w:p>
        </w:tc>
      </w:tr>
      <w:tr>
        <w:trPr/>
        <w:tc>
          <w:tcPr>
            <w:tcW w:w="1816" w:type="dxa"/>
            <w:tcBorders/>
            <w:vAlign w:val="center"/>
          </w:tcPr>
          <w:p>
            <w:pPr>
              <w:pStyle w:val="TableContents"/>
              <w:bidi w:val="0"/>
              <w:jc w:val="left"/>
              <w:rPr>
                <w:rFonts w:ascii="Times New Roman" w:hAnsi="Times New Roman"/>
                <w:color w:val="000000"/>
                <w:sz w:val="20"/>
                <w:u w:val="single"/>
              </w:rPr>
            </w:pPr>
            <w:r>
              <w:rPr>
                <w:rFonts w:ascii="Times New Roman" w:hAnsi="Times New Roman"/>
                <w:color w:val="000000"/>
                <w:sz w:val="20"/>
                <w:u w:val="single"/>
              </w:rPr>
              <w:t>/s/ John T. McGinnis</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T. McGinnis</w:t>
            </w:r>
          </w:p>
        </w:tc>
        <w:tc>
          <w:tcPr>
            <w:tcW w:w="146" w:type="dxa"/>
            <w:tcBorders/>
            <w:vAlign w:val="center"/>
          </w:tcPr>
          <w:p>
            <w:pPr>
              <w:pStyle w:val="TableContents"/>
              <w:bidi w:val="0"/>
              <w:spacing w:before="0" w:after="283"/>
              <w:jc w:val="left"/>
              <w:rPr/>
            </w:pPr>
            <w:r>
              <w:rPr/>
              <w:t> </w:t>
            </w:r>
          </w:p>
        </w:tc>
        <w:tc>
          <w:tcPr>
            <w:tcW w:w="451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c>
          <w:tcPr>
            <w:tcW w:w="146" w:type="dxa"/>
            <w:tcBorders/>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16, 2024</w:t>
            </w:r>
          </w:p>
        </w:tc>
      </w:tr>
      <w:tr>
        <w:trPr/>
        <w:tc>
          <w:tcPr>
            <w:tcW w:w="18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283"/>
              <w:jc w:val="left"/>
              <w:rPr/>
            </w:pPr>
            <w:r>
              <w:rPr/>
              <w:t> </w:t>
            </w:r>
          </w:p>
        </w:tc>
      </w:tr>
      <w:tr>
        <w:trPr/>
        <w:tc>
          <w:tcPr>
            <w:tcW w:w="1816" w:type="dxa"/>
            <w:tcBorders/>
            <w:vAlign w:val="center"/>
          </w:tcPr>
          <w:p>
            <w:pPr>
              <w:pStyle w:val="TableContents"/>
              <w:bidi w:val="0"/>
              <w:jc w:val="left"/>
              <w:rPr>
                <w:rFonts w:ascii="Times New Roman" w:hAnsi="Times New Roman"/>
                <w:color w:val="000000"/>
                <w:sz w:val="20"/>
                <w:u w:val="single"/>
              </w:rPr>
            </w:pPr>
            <w:r>
              <w:rPr>
                <w:rFonts w:ascii="Times New Roman" w:hAnsi="Times New Roman"/>
                <w:color w:val="000000"/>
                <w:sz w:val="20"/>
                <w:u w:val="single"/>
              </w:rPr>
              <w:t>/s/ Donald Mondano</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Donald Mondano</w:t>
            </w:r>
          </w:p>
        </w:tc>
        <w:tc>
          <w:tcPr>
            <w:tcW w:w="146" w:type="dxa"/>
            <w:tcBorders/>
            <w:vAlign w:val="center"/>
          </w:tcPr>
          <w:p>
            <w:pPr>
              <w:pStyle w:val="TableContents"/>
              <w:bidi w:val="0"/>
              <w:spacing w:before="0" w:after="283"/>
              <w:jc w:val="left"/>
              <w:rPr/>
            </w:pPr>
            <w:r>
              <w:rPr/>
              <w:t> </w:t>
            </w:r>
          </w:p>
        </w:tc>
        <w:tc>
          <w:tcPr>
            <w:tcW w:w="451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Senior Vice President, Global Controller and Treasurer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Officer)</w:t>
            </w:r>
          </w:p>
        </w:tc>
        <w:tc>
          <w:tcPr>
            <w:tcW w:w="146" w:type="dxa"/>
            <w:tcBorders/>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16, 2024</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Directors: Jean-Philippe Courtois, William Downe, John F. Ferraro, William P. Gipson, Patricia A. Hemingway Hall, Julie M. Howard, Muriel Pénicaud, Ulice Payne, Jr., Paul Read, Elizabeth P. Sartain, and Michael J. Van Handel</w:t>
      </w:r>
    </w:p>
    <w:p>
      <w:pPr>
        <w:pStyle w:val="TextBody"/>
        <w:bidi w:val="0"/>
        <w:jc w:val="both"/>
        <w:rPr/>
      </w:pPr>
      <w:r>
        <w:rPr/>
        <w:t> </w:t>
      </w:r>
    </w:p>
    <w:tbl>
      <w:tblPr>
        <w:tblW w:w="2623" w:type="dxa"/>
        <w:jc w:val="left"/>
        <w:tblInd w:w="0" w:type="dxa"/>
        <w:tblLayout w:type="fixed"/>
        <w:tblCellMar>
          <w:top w:w="28" w:type="dxa"/>
          <w:left w:w="28" w:type="dxa"/>
          <w:bottom w:w="28" w:type="dxa"/>
          <w:right w:w="28" w:type="dxa"/>
        </w:tblCellMar>
      </w:tblPr>
      <w:tblGrid>
        <w:gridCol w:w="556"/>
        <w:gridCol w:w="146"/>
        <w:gridCol w:w="192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1921" w:type="dxa"/>
            <w:tcBorders/>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Richard Buchband</w:t>
            </w:r>
          </w:p>
        </w:tc>
      </w:tr>
      <w:tr>
        <w:trPr/>
        <w:tc>
          <w:tcPr>
            <w:tcW w:w="5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2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Richard Buchband</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Attorney-In-Fact*</w:t>
            </w:r>
          </w:p>
        </w:tc>
      </w:tr>
      <w:tr>
        <w:trPr/>
        <w:tc>
          <w:tcPr>
            <w:tcW w:w="5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21" w:type="dxa"/>
            <w:tcBorders/>
            <w:vAlign w:val="center"/>
          </w:tcPr>
          <w:p>
            <w:pPr>
              <w:pStyle w:val="TableContents"/>
              <w:bidi w:val="0"/>
              <w:spacing w:before="0" w:after="283"/>
              <w:jc w:val="left"/>
              <w:rPr/>
            </w:pPr>
            <w:r>
              <w:rPr/>
              <w:t> </w:t>
            </w:r>
          </w:p>
        </w:tc>
      </w:tr>
      <w:tr>
        <w:trPr/>
        <w:tc>
          <w:tcPr>
            <w:tcW w:w="5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46" w:type="dxa"/>
            <w:tcBorders/>
            <w:vAlign w:val="center"/>
          </w:tcPr>
          <w:p>
            <w:pPr>
              <w:pStyle w:val="TableContents"/>
              <w:bidi w:val="0"/>
              <w:spacing w:before="0" w:after="283"/>
              <w:jc w:val="left"/>
              <w:rPr/>
            </w:pPr>
            <w:r>
              <w:rPr/>
              <w:t> </w:t>
            </w:r>
          </w:p>
        </w:tc>
        <w:tc>
          <w:tcPr>
            <w:tcW w:w="19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16, 2024</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Pursuant to authority granted by powers of attorney, copies of which are filed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39" w:name="man-ex10_6a.htm"/>
      <w:bookmarkStart w:id="40" w:name="ksmanex10_6a"/>
      <w:bookmarkEnd w:id="39"/>
      <w:bookmarkEnd w:id="40"/>
      <w:r>
        <w:rPr>
          <w:rFonts w:ascii="Times New Roman" w:hAnsi="Times New Roman"/>
          <w:color w:val="000000"/>
          <w:sz w:val="24"/>
        </w:rPr>
        <w:t>Exhibit 10.6 (a)</w:t>
      </w:r>
      <w:r>
        <w:br w:type="page"/>
      </w:r>
    </w:p>
    <w:p>
      <w:pPr>
        <w:pStyle w:val="TextBody"/>
        <w:bidi w:val="0"/>
        <w:jc w:val="right"/>
        <w:rPr/>
      </w:pPr>
      <w:r>
        <w:rPr/>
        <w:t> </w:t>
      </w:r>
    </w:p>
    <w:p>
      <w:pPr>
        <w:pStyle w:val="TextBody"/>
        <w:bidi w:val="0"/>
        <w:spacing w:before="0" w:after="360"/>
        <w:jc w:val="center"/>
        <w:rPr>
          <w:rFonts w:ascii="Arial" w:hAnsi="Arial"/>
          <w:b/>
          <w:color w:val="000000"/>
          <w:sz w:val="28"/>
        </w:rPr>
      </w:pPr>
      <w:r>
        <w:rPr>
          <w:rFonts w:ascii="Arial" w:hAnsi="Arial"/>
          <w:b/>
          <w:color w:val="000000"/>
          <w:sz w:val="28"/>
        </w:rPr>
        <w:t>ManpowerGroup Inc.</w:t>
      </w:r>
    </w:p>
    <w:p>
      <w:pPr>
        <w:pStyle w:val="TextBody"/>
        <w:bidi w:val="0"/>
        <w:spacing w:before="0" w:after="240"/>
        <w:jc w:val="center"/>
        <w:rPr>
          <w:rFonts w:ascii="Arial" w:hAnsi="Arial"/>
          <w:b/>
          <w:color w:val="000000"/>
          <w:sz w:val="22"/>
        </w:rPr>
      </w:pPr>
      <w:r>
        <w:rPr>
          <w:rFonts w:ascii="Arial" w:hAnsi="Arial"/>
          <w:b/>
          <w:color w:val="000000"/>
          <w:sz w:val="22"/>
        </w:rPr>
        <w:t>Terms and Conditions Regarding the Grant of Awards</w:t>
        <w:br/>
        <w:t>to Non</w:t>
        <w:noBreakHyphen/>
        <w:t>Employee Directors under the 2011 Equity Incentive Plan</w:t>
      </w:r>
    </w:p>
    <w:p>
      <w:pPr>
        <w:pStyle w:val="TextBody"/>
        <w:bidi w:val="0"/>
        <w:spacing w:before="0" w:after="240"/>
        <w:jc w:val="center"/>
        <w:rPr>
          <w:rFonts w:ascii="Arial" w:hAnsi="Arial"/>
          <w:color w:val="000000"/>
          <w:sz w:val="16"/>
        </w:rPr>
      </w:pPr>
      <w:r>
        <w:rPr>
          <w:rFonts w:ascii="Arial" w:hAnsi="Arial"/>
          <w:color w:val="000000"/>
          <w:sz w:val="16"/>
        </w:rPr>
        <w:t>(Amended and Restated Effective January 1, 2024)</w:t>
      </w:r>
    </w:p>
    <w:p>
      <w:pPr>
        <w:pStyle w:val="TextBody"/>
        <w:bidi w:val="0"/>
        <w:spacing w:before="0" w:after="240"/>
        <w:jc w:val="left"/>
        <w:rPr>
          <w:rFonts w:ascii="Arial" w:hAnsi="Arial"/>
          <w:b/>
          <w:color w:val="000000"/>
          <w:sz w:val="22"/>
        </w:rPr>
      </w:pPr>
      <w:r>
        <w:rPr>
          <w:rFonts w:ascii="Arial" w:hAnsi="Arial"/>
          <w:b/>
          <w:color w:val="000000"/>
          <w:sz w:val="22"/>
        </w:rPr>
        <w:t>1.</w:t>
      </w:r>
    </w:p>
    <w:p>
      <w:pPr>
        <w:pStyle w:val="TextBody"/>
        <w:bidi w:val="0"/>
        <w:spacing w:before="0" w:after="240"/>
        <w:jc w:val="left"/>
        <w:rPr>
          <w:rFonts w:ascii="Arial" w:hAnsi="Arial"/>
          <w:b/>
          <w:color w:val="000000"/>
          <w:sz w:val="22"/>
        </w:rPr>
      </w:pPr>
      <w:r>
        <w:rPr>
          <w:rFonts w:ascii="Arial" w:hAnsi="Arial"/>
          <w:b/>
          <w:color w:val="000000"/>
          <w:sz w:val="22"/>
        </w:rPr>
        <w:t>Definitions.</w:t>
      </w:r>
    </w:p>
    <w:p>
      <w:pPr>
        <w:pStyle w:val="TextBody"/>
        <w:bidi w:val="0"/>
        <w:spacing w:before="0" w:after="240"/>
        <w:jc w:val="left"/>
        <w:rPr>
          <w:rFonts w:ascii="Arial" w:hAnsi="Arial"/>
          <w:color w:val="000000"/>
          <w:sz w:val="22"/>
        </w:rPr>
      </w:pPr>
      <w:r>
        <w:rPr>
          <w:rFonts w:ascii="Arial" w:hAnsi="Arial"/>
          <w:color w:val="000000"/>
          <w:sz w:val="22"/>
        </w:rPr>
        <w:t>Unless the context otherwise requires, the following terms shall have the meanings set forth below:</w:t>
      </w:r>
    </w:p>
    <w:p>
      <w:pPr>
        <w:pStyle w:val="TextBody"/>
        <w:bidi w:val="0"/>
        <w:spacing w:before="0" w:after="240"/>
        <w:jc w:val="left"/>
        <w:rPr>
          <w:rFonts w:ascii="Arial" w:hAnsi="Arial"/>
          <w:color w:val="000000"/>
          <w:sz w:val="22"/>
        </w:rPr>
      </w:pPr>
      <w:r>
        <w:rPr>
          <w:rFonts w:ascii="Arial" w:hAnsi="Arial"/>
          <w:color w:val="000000"/>
          <w:sz w:val="22"/>
        </w:rPr>
        <w:t>(a)</w:t>
      </w:r>
    </w:p>
    <w:p>
      <w:pPr>
        <w:pStyle w:val="TextBody"/>
        <w:bidi w:val="0"/>
        <w:spacing w:before="0" w:after="240"/>
        <w:jc w:val="left"/>
        <w:rPr>
          <w:color w:val="000000"/>
        </w:rPr>
      </w:pPr>
      <w:r>
        <w:rPr>
          <w:color w:val="000000"/>
        </w:rPr>
        <w:t>“</w:t>
      </w:r>
      <w:r>
        <w:rPr>
          <w:rFonts w:ascii="Arial" w:hAnsi="Arial"/>
          <w:color w:val="000000"/>
          <w:sz w:val="22"/>
        </w:rPr>
        <w:t>Average Trading Price” shall mean, with respect to any period, the average of the Market Prices on the last trading day of each full or partial calendar quarter included within such period.</w:t>
      </w:r>
    </w:p>
    <w:p>
      <w:pPr>
        <w:pStyle w:val="TextBody"/>
        <w:bidi w:val="0"/>
        <w:spacing w:before="0" w:after="240"/>
        <w:jc w:val="left"/>
        <w:rPr>
          <w:rFonts w:ascii="Arial" w:hAnsi="Arial"/>
          <w:color w:val="000000"/>
          <w:sz w:val="22"/>
        </w:rPr>
      </w:pPr>
      <w:r>
        <w:rPr>
          <w:rFonts w:ascii="Arial" w:hAnsi="Arial"/>
          <w:color w:val="000000"/>
          <w:sz w:val="22"/>
        </w:rPr>
        <w:t>(b)</w:t>
      </w:r>
    </w:p>
    <w:p>
      <w:pPr>
        <w:pStyle w:val="TextBody"/>
        <w:bidi w:val="0"/>
        <w:spacing w:before="0" w:after="240"/>
        <w:jc w:val="left"/>
        <w:rPr>
          <w:rFonts w:ascii="Arial" w:hAnsi="Arial"/>
          <w:color w:val="000000"/>
          <w:sz w:val="22"/>
        </w:rPr>
      </w:pPr>
      <w:r>
        <w:rPr>
          <w:rFonts w:ascii="Arial" w:hAnsi="Arial"/>
          <w:color w:val="000000"/>
          <w:sz w:val="22"/>
        </w:rPr>
        <w:t>An “Election Period” shall mean a period of time (i) beginning on January 1 of any year with respect to an individual serving as a Director as of that date and, with respect to an individual becoming a Director after January 1 of any year, the date the Director first becomes a Director and thereafter January 1 of any year and (ii) ending on (but including) the earlier of the date of termination of a Director’s tenure as a Director or the next succeeding December 31.</w:t>
      </w:r>
    </w:p>
    <w:p>
      <w:pPr>
        <w:pStyle w:val="TextBody"/>
        <w:bidi w:val="0"/>
        <w:spacing w:before="0" w:after="240"/>
        <w:jc w:val="left"/>
        <w:rPr>
          <w:rFonts w:ascii="Arial" w:hAnsi="Arial"/>
          <w:color w:val="000000"/>
          <w:sz w:val="22"/>
        </w:rPr>
      </w:pPr>
      <w:r>
        <w:rPr>
          <w:rFonts w:ascii="Arial" w:hAnsi="Arial"/>
          <w:color w:val="000000"/>
          <w:sz w:val="22"/>
        </w:rPr>
        <w:t>(c)</w:t>
      </w:r>
    </w:p>
    <w:p>
      <w:pPr>
        <w:pStyle w:val="TextBody"/>
        <w:bidi w:val="0"/>
        <w:spacing w:before="0" w:after="240"/>
        <w:jc w:val="left"/>
        <w:rPr>
          <w:color w:val="000000"/>
        </w:rPr>
      </w:pPr>
      <w:r>
        <w:rPr>
          <w:color w:val="000000"/>
        </w:rPr>
        <w:t>“</w:t>
      </w:r>
      <w:r>
        <w:rPr>
          <w:rFonts w:ascii="Arial" w:hAnsi="Arial"/>
          <w:color w:val="000000"/>
          <w:sz w:val="22"/>
        </w:rPr>
        <w:t>Equity Plan” shall mean the 2011 Equity Incentive Plan of ManpowerGroup Inc.</w:t>
      </w:r>
    </w:p>
    <w:p>
      <w:pPr>
        <w:pStyle w:val="TextBody"/>
        <w:bidi w:val="0"/>
        <w:spacing w:before="0" w:after="240"/>
        <w:jc w:val="left"/>
        <w:rPr>
          <w:rFonts w:ascii="Arial" w:hAnsi="Arial"/>
          <w:color w:val="000000"/>
          <w:sz w:val="22"/>
        </w:rPr>
      </w:pPr>
      <w:r>
        <w:rPr>
          <w:rFonts w:ascii="Arial" w:hAnsi="Arial"/>
          <w:color w:val="000000"/>
          <w:sz w:val="22"/>
        </w:rPr>
        <w:t>(d)</w:t>
      </w:r>
    </w:p>
    <w:p>
      <w:pPr>
        <w:pStyle w:val="TextBody"/>
        <w:bidi w:val="0"/>
        <w:spacing w:before="0" w:after="240"/>
        <w:jc w:val="left"/>
        <w:rPr>
          <w:color w:val="000000"/>
        </w:rPr>
      </w:pPr>
      <w:r>
        <w:rPr>
          <w:color w:val="000000"/>
        </w:rPr>
        <w:t>“</w:t>
      </w:r>
      <w:r>
        <w:rPr>
          <w:rFonts w:ascii="Arial" w:hAnsi="Arial"/>
          <w:color w:val="000000"/>
          <w:sz w:val="22"/>
        </w:rPr>
        <w:t>Retainer” shall mean the annual cash retainer and the additional cash retainer for committee chairs and lead director payable to a Director as established from time to time by the Board of Directors.</w:t>
      </w:r>
    </w:p>
    <w:p>
      <w:pPr>
        <w:pStyle w:val="TextBody"/>
        <w:bidi w:val="0"/>
        <w:spacing w:before="0" w:after="240"/>
        <w:jc w:val="left"/>
        <w:rPr>
          <w:rFonts w:ascii="Arial" w:hAnsi="Arial"/>
          <w:color w:val="000000"/>
          <w:sz w:val="22"/>
        </w:rPr>
      </w:pPr>
      <w:r>
        <w:rPr>
          <w:rFonts w:ascii="Arial" w:hAnsi="Arial"/>
          <w:color w:val="000000"/>
          <w:sz w:val="22"/>
        </w:rPr>
        <w:t>Any capitalized terms used below which are not otherwise defined above will have the meanings assigned to them in the Equity Plan.</w:t>
      </w:r>
    </w:p>
    <w:p>
      <w:pPr>
        <w:pStyle w:val="TextBody"/>
        <w:bidi w:val="0"/>
        <w:spacing w:before="0" w:after="240"/>
        <w:jc w:val="left"/>
        <w:rPr>
          <w:rFonts w:ascii="Arial" w:hAnsi="Arial"/>
          <w:b/>
          <w:color w:val="000000"/>
          <w:sz w:val="22"/>
        </w:rPr>
      </w:pPr>
      <w:r>
        <w:rPr>
          <w:rFonts w:ascii="Arial" w:hAnsi="Arial"/>
          <w:b/>
          <w:color w:val="000000"/>
          <w:sz w:val="22"/>
        </w:rPr>
        <w:t>2.</w:t>
      </w:r>
    </w:p>
    <w:p>
      <w:pPr>
        <w:pStyle w:val="TextBody"/>
        <w:bidi w:val="0"/>
        <w:spacing w:before="0" w:after="240"/>
        <w:jc w:val="left"/>
        <w:rPr>
          <w:rFonts w:ascii="Arial" w:hAnsi="Arial"/>
          <w:b/>
          <w:color w:val="000000"/>
          <w:sz w:val="22"/>
        </w:rPr>
      </w:pPr>
      <w:r>
        <w:rPr>
          <w:rFonts w:ascii="Arial" w:hAnsi="Arial"/>
          <w:b/>
          <w:color w:val="000000"/>
          <w:sz w:val="22"/>
        </w:rPr>
        <w:t>Right to Elect Deferred Stock in Lieu of Retainer.</w:t>
      </w:r>
    </w:p>
    <w:p>
      <w:pPr>
        <w:pStyle w:val="TextBody"/>
        <w:bidi w:val="0"/>
        <w:spacing w:before="0" w:after="240"/>
        <w:jc w:val="left"/>
        <w:rPr>
          <w:rFonts w:ascii="Times New Roman" w:hAnsi="Times New Roman"/>
          <w:sz w:val="20"/>
        </w:rPr>
      </w:pPr>
      <w:r>
        <w:rPr>
          <w:rFonts w:ascii="Arial" w:hAnsi="Arial"/>
          <w:color w:val="000000"/>
          <w:sz w:val="22"/>
        </w:rPr>
        <w:t>At the beginning of each Election Period, a Director may elect to receive, in lieu of the Retainer to which he or she would otherwise be entitled for that Election Period, Deferred Stock granted in accordance with the following. The election shall cover 50 percent, 75 percent or 100 percent of the Retainer payable to the Director for the Election Period. To be effective, the election must be made by notice in writing received by the Secretary of the Company (i) on or before the December 31 immediately preceding the beginning of the Election Period for an individual serving as a Director on such date, and (ii) on or before the tenth business day after the date the Director becomes a Director for an individual becoming a Director during a calendar year. Any such election made by a Director within 10 business days after becoming a Director shall only apply to that portion of the Retainer that is attributable to services performed by the Director subsequent to the date of the election. The number of shares of Deferred Stock granted shall equal (i) the elected percentage of the amount of the Retainer payable to the Director for the Election Period to which the election relates (not including any portion of the Retainer attributable to services performed prior to the date of election for an electing Director who becomes a Director during the year), divided by (ii) the Average Trading Price for that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Arial" w:hAnsi="Arial"/>
          <w:color w:val="000000"/>
          <w:sz w:val="22"/>
        </w:rPr>
        <w:t>Election Period (rounded to the nearest whole share). Such Deferred Stock shall be granted, automatically and specifically without further action of the Board of Directors, on the first day immediately following the last day of such Election Period and will be fully vested on that date.</w:t>
      </w:r>
      <w:r>
        <w:rPr>
          <w:rFonts w:ascii="Times New Roman" w:hAnsi="Times New Roman"/>
          <w:color w:val="000000"/>
          <w:sz w:val="20"/>
        </w:rPr>
        <w:t xml:space="preserve"> </w:t>
      </w:r>
    </w:p>
    <w:p>
      <w:pPr>
        <w:pStyle w:val="TextBody"/>
        <w:bidi w:val="0"/>
        <w:spacing w:before="0" w:after="240"/>
        <w:jc w:val="left"/>
        <w:rPr>
          <w:rFonts w:ascii="Arial" w:hAnsi="Arial"/>
          <w:b/>
          <w:color w:val="000000"/>
          <w:sz w:val="22"/>
        </w:rPr>
      </w:pPr>
      <w:r>
        <w:rPr>
          <w:rFonts w:ascii="Arial" w:hAnsi="Arial"/>
          <w:b/>
          <w:color w:val="000000"/>
          <w:sz w:val="22"/>
        </w:rPr>
        <w:t>3.</w:t>
      </w:r>
    </w:p>
    <w:p>
      <w:pPr>
        <w:pStyle w:val="TextBody"/>
        <w:bidi w:val="0"/>
        <w:spacing w:before="0" w:after="240"/>
        <w:jc w:val="left"/>
        <w:rPr>
          <w:rFonts w:ascii="Arial" w:hAnsi="Arial"/>
          <w:b/>
          <w:color w:val="000000"/>
          <w:sz w:val="22"/>
        </w:rPr>
      </w:pPr>
      <w:r>
        <w:rPr>
          <w:rFonts w:ascii="Arial" w:hAnsi="Arial"/>
          <w:b/>
          <w:color w:val="000000"/>
          <w:sz w:val="22"/>
        </w:rPr>
        <w:t>Annual Grant of Deferred Stock or Restricted Stock.</w:t>
      </w:r>
    </w:p>
    <w:p>
      <w:pPr>
        <w:pStyle w:val="TextBody"/>
        <w:bidi w:val="0"/>
        <w:spacing w:before="0" w:after="240"/>
        <w:jc w:val="left"/>
        <w:rPr>
          <w:rFonts w:ascii="Arial" w:hAnsi="Arial"/>
          <w:color w:val="000000"/>
          <w:sz w:val="22"/>
        </w:rPr>
      </w:pPr>
      <w:r>
        <w:rPr>
          <w:rFonts w:ascii="Arial" w:hAnsi="Arial"/>
          <w:color w:val="000000"/>
          <w:sz w:val="22"/>
        </w:rPr>
        <w:t>(a)</w:t>
      </w:r>
    </w:p>
    <w:p>
      <w:pPr>
        <w:pStyle w:val="TextBody"/>
        <w:bidi w:val="0"/>
        <w:spacing w:before="0" w:after="240"/>
        <w:jc w:val="left"/>
        <w:rPr/>
      </w:pPr>
      <w:r>
        <w:rPr>
          <w:rFonts w:ascii="Arial" w:hAnsi="Arial"/>
          <w:i/>
          <w:color w:val="000000"/>
          <w:sz w:val="22"/>
        </w:rPr>
        <w:t>Grant of Deferred Stock.</w:t>
      </w:r>
      <w:r>
        <w:rPr>
          <w:color w:val="000000"/>
        </w:rPr>
        <w:t xml:space="preserve"> </w:t>
      </w:r>
      <w:r>
        <w:rPr>
          <w:rFonts w:ascii="Arial" w:hAnsi="Arial"/>
          <w:color w:val="000000"/>
          <w:sz w:val="22"/>
        </w:rPr>
        <w:t>Each individual serving as a Director on the first day of each calendar year shall be granted on that day, automatically and specifically without further action of the Board of Directors, a number of shares of Deferred Stock equal to $180,000 divided by the Market Price on the last trading day of the immediately preceding year (rounded to the nearest whole share). Such Deferred Stock shall vest in equal installments on the last day of each calendar quarter during the year in which granted. Each individual becoming a Director during a calendar year shall be granted, automatically and specifically without further action of the Board of Directors, a number of shares of Deferred Stock equal to (i) $180,000 multiplied by a fraction, the numerator of which is the number of days after the date the Director becomes a Director through the next December 31, and the denominator of which is 365, (ii) divided by the Market Price on the last trading day prior to the date of grant (rounded to the nearest whole share). The date of grant of such Deferred Stock shall be the date the Director becomes a Director. Such Deferred Stock shall vest as follows: on the last day of the calendar quarter during which the Director becomes a Director, a number of shares of such Deferred Stock shall vest equal to the total number of shares granted multiplied by a fraction, the numerator of which is the number of days after the date the Director becomes a Director through the last day of the quarter during which the Director becomes a Director, and the denominator of which is the number of days after the date the Director becomes a Director through the next December 31, and thereafter the balance of the shares of such Deferred Stock (if any) shall vest in equal installments on the last day of each remaining calendar quarter during the year. Shares of Deferred Stock granted under this paragraph will not vest if the Director is no longer a member of the Board of Directors on the vesting date, and any shares of Deferred Stock held by a Director which remain unvested at the time the Director ceases to be a member of the Board of Directors shall be forfeited.</w:t>
      </w:r>
    </w:p>
    <w:p>
      <w:pPr>
        <w:pStyle w:val="TextBody"/>
        <w:bidi w:val="0"/>
        <w:spacing w:before="0" w:after="240"/>
        <w:jc w:val="left"/>
        <w:rPr>
          <w:rFonts w:ascii="Arial" w:hAnsi="Arial"/>
          <w:color w:val="000000"/>
          <w:sz w:val="22"/>
        </w:rPr>
      </w:pPr>
      <w:r>
        <w:rPr>
          <w:rFonts w:ascii="Arial" w:hAnsi="Arial"/>
          <w:color w:val="000000"/>
          <w:sz w:val="22"/>
        </w:rPr>
        <w:t>(b)</w:t>
      </w:r>
    </w:p>
    <w:p>
      <w:pPr>
        <w:pStyle w:val="TextBody"/>
        <w:bidi w:val="0"/>
        <w:spacing w:before="0" w:after="240"/>
        <w:jc w:val="left"/>
        <w:rPr/>
      </w:pPr>
      <w:r>
        <w:rPr>
          <w:rFonts w:ascii="Arial" w:hAnsi="Arial"/>
          <w:i/>
          <w:color w:val="000000"/>
          <w:sz w:val="22"/>
        </w:rPr>
        <w:t>Alternative Grant of Restricted Stock.</w:t>
      </w:r>
      <w:r>
        <w:rPr>
          <w:color w:val="000000"/>
        </w:rPr>
        <w:t xml:space="preserve"> </w:t>
      </w:r>
      <w:r>
        <w:rPr>
          <w:rFonts w:ascii="Arial" w:hAnsi="Arial"/>
          <w:color w:val="000000"/>
          <w:sz w:val="22"/>
        </w:rPr>
        <w:t xml:space="preserve">Instead of receiving a grant of Deferred Stock under this paragraph 3, a Director shall have the right to elect to receive a number of shares of Restricted Stock equal to the number of shares of Deferred Stock the Director would otherwise have been granted. To be effective, such election must be made by notice in writing received by the Secretary of the Company (i) on or before December 31 of the immediately preceding year for an individual serving as a Director on the first day of any calendar year, and (ii) on or before the tenth business day after the date the Director becomes a Director for an individual becoming a Director during a calendar year. Any such election to receive Restricted Stock made by a Director within 10 business days after becoming a Director during a calendar year shall only apply to that portion of the Deferred Stock the Director would otherwise have received that is attributable to services performed by the Director in and after the first full calendar quarter subsequent to the date of the election and subsequent calendar quarters during the same calendar year. The date of grant of such Restricted Stock shall be the </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pPr>
      <w:r>
        <w:rPr>
          <w:rFonts w:ascii="Arial" w:hAnsi="Arial"/>
          <w:color w:val="000000"/>
          <w:sz w:val="22"/>
        </w:rPr>
        <w:t>first day of the full calendar quarter beginning subsequent to the date of the election, and such Restricted Stock shall vest on the same basis as such Deferred Stock would have vested. Where an election to receive Restricted Stock is made by a Director within 10 business days after becoming a Director during a calendar year, the Director shall receive a grant of Deferred Stock equal to that number of shares of Deferred Stock the Director would otherwise have received attributable to services performed by the Director between the date the Director becomes a Director and the last day of the calendar quarter in which the election is made.</w:t>
      </w:r>
      <w:r>
        <w:rPr>
          <w:color w:val="000000"/>
        </w:rPr>
        <w:t xml:space="preserve"> </w:t>
      </w:r>
    </w:p>
    <w:p>
      <w:pPr>
        <w:pStyle w:val="TextBody"/>
        <w:bidi w:val="0"/>
        <w:spacing w:before="0" w:after="240"/>
        <w:jc w:val="left"/>
        <w:rPr>
          <w:rFonts w:ascii="Arial" w:hAnsi="Arial"/>
          <w:b/>
          <w:color w:val="000000"/>
          <w:sz w:val="22"/>
        </w:rPr>
      </w:pPr>
      <w:r>
        <w:rPr>
          <w:rFonts w:ascii="Arial" w:hAnsi="Arial"/>
          <w:b/>
          <w:color w:val="000000"/>
          <w:sz w:val="22"/>
        </w:rPr>
        <w:t>4.</w:t>
      </w:r>
    </w:p>
    <w:p>
      <w:pPr>
        <w:pStyle w:val="TextBody"/>
        <w:bidi w:val="0"/>
        <w:spacing w:before="0" w:after="240"/>
        <w:jc w:val="left"/>
        <w:rPr>
          <w:rFonts w:ascii="Arial" w:hAnsi="Arial"/>
          <w:b/>
          <w:color w:val="000000"/>
          <w:sz w:val="22"/>
        </w:rPr>
      </w:pPr>
      <w:r>
        <w:rPr>
          <w:rFonts w:ascii="Arial" w:hAnsi="Arial"/>
          <w:b/>
          <w:color w:val="000000"/>
          <w:sz w:val="22"/>
        </w:rPr>
        <w:t>Deferred Stock: General Provisions.</w:t>
      </w:r>
    </w:p>
    <w:p>
      <w:pPr>
        <w:pStyle w:val="TextBody"/>
        <w:bidi w:val="0"/>
        <w:spacing w:before="0" w:after="240"/>
        <w:jc w:val="left"/>
        <w:rPr>
          <w:rFonts w:ascii="Arial" w:hAnsi="Arial"/>
          <w:color w:val="000000"/>
          <w:sz w:val="22"/>
        </w:rPr>
      </w:pPr>
      <w:r>
        <w:rPr>
          <w:rFonts w:ascii="Arial" w:hAnsi="Arial"/>
          <w:color w:val="000000"/>
          <w:sz w:val="22"/>
        </w:rPr>
        <w:t>(a)</w:t>
      </w:r>
    </w:p>
    <w:p>
      <w:pPr>
        <w:pStyle w:val="TextBody"/>
        <w:bidi w:val="0"/>
        <w:spacing w:before="0" w:after="240"/>
        <w:jc w:val="left"/>
        <w:rPr/>
      </w:pPr>
      <w:r>
        <w:rPr>
          <w:rFonts w:ascii="Arial" w:hAnsi="Arial"/>
          <w:i/>
          <w:color w:val="000000"/>
          <w:sz w:val="22"/>
        </w:rPr>
        <w:t>Distribution of Shares.</w:t>
      </w:r>
      <w:r>
        <w:rPr>
          <w:color w:val="000000"/>
        </w:rPr>
        <w:t xml:space="preserve"> </w:t>
      </w:r>
      <w:r>
        <w:rPr>
          <w:rFonts w:ascii="Arial" w:hAnsi="Arial"/>
          <w:color w:val="000000"/>
          <w:sz w:val="22"/>
        </w:rPr>
        <w:t>The Company shall settle Deferred Stock granted under these Terms and Conditions in Shares. Shares shall be distributed in respect of such Deferred Stock (but only to the extent vested, as rounded to the nearest whole Share) on the earlier of the third anniversary of the date of grant (the “Fixed Distribution Date”) or, upon a Director ceasing to be a member of the Board of Directors, within 30 days after the date of such cessation. However, a Director holding Deferred Stock granted under these Terms and Conditions shall have the right to extend the Fixed Distribution Date (any such extended date or further extended date as provided below is also referred to below as the “Fixed Distribution Date”) by a period of five years or more for each such extension provided in each case the election to extend the Fixed Distribution Date is made by notice in writing delivered to the Secretary of the Company more than 12 months before the then existing Fixed Distribution Date. If a director extends the deferral period but leaves the board prior to the extended date, the deferred stock will be distributed within 30 days the director ceases to be a member of the Board of Directors. Notwithstanding the foregoing, if a distribution of Shares under this paragraph would otherwise occur outside of a “Trading Window” (as defined in the ManpowerGroup Inc. Statement of Policy on Securities Trading), then the Company may delay the distribution of such Shares until the beginning of the next Trading Window.</w:t>
      </w:r>
    </w:p>
    <w:p>
      <w:pPr>
        <w:pStyle w:val="TextBody"/>
        <w:bidi w:val="0"/>
        <w:spacing w:before="0" w:after="240"/>
        <w:jc w:val="left"/>
        <w:rPr>
          <w:rFonts w:ascii="Arial" w:hAnsi="Arial"/>
          <w:color w:val="000000"/>
          <w:sz w:val="22"/>
        </w:rPr>
      </w:pPr>
      <w:r>
        <w:rPr>
          <w:rFonts w:ascii="Arial" w:hAnsi="Arial"/>
          <w:color w:val="000000"/>
          <w:sz w:val="22"/>
        </w:rPr>
        <w:t>(b)</w:t>
      </w:r>
    </w:p>
    <w:p>
      <w:pPr>
        <w:pStyle w:val="TextBody"/>
        <w:bidi w:val="0"/>
        <w:spacing w:before="0" w:after="240"/>
        <w:jc w:val="left"/>
        <w:rPr/>
      </w:pPr>
      <w:r>
        <w:rPr>
          <w:rFonts w:ascii="Arial" w:hAnsi="Arial"/>
          <w:i/>
          <w:color w:val="000000"/>
          <w:sz w:val="22"/>
        </w:rPr>
        <w:t>Dividends and Distributions</w:t>
      </w:r>
      <w:r>
        <w:rPr>
          <w:rFonts w:ascii="Arial" w:hAnsi="Arial"/>
          <w:color w:val="000000"/>
          <w:sz w:val="22"/>
        </w:rPr>
        <w:t xml:space="preserve">. On the first day of each calendar year, each Director shall be granted, automatically and specifically without further action of the Board of Directors, a number of shares of Deferred Stock equal to (i) the aggregate amount of dividends (or other distributions) which would have been received by the Director during the immediately preceding year if the Deferred Stock held by the Director (whether or not vested) on the record date of any such dividend or distribution had been outstanding common stock of the Company on such date, (ii) divided by the Average Trading Price for the preceding calendar year (rounded to the nearest whole share). Notwithstanding the foregoing, a Director who ceases to be a member of the Board of Directors or who holds Deferred Stock with a Fixed Distribution Date other than the first day of the calendar year shall be granted, automatically and specifically without further action of the Board of Directors, on the day following the date of such cessation or on the Fixed Distribution Date, a number of shares of Deferred Stock equal to (i) the total amount of dividends which would have been received by the Director during the year in which termination occurs or in which the Fixed Distribution Date occurs, as applicable, if the applicable Deferred Stock held by the Director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Arial" w:hAnsi="Arial"/>
          <w:color w:val="000000"/>
          <w:sz w:val="22"/>
        </w:rPr>
      </w:pPr>
      <w:r>
        <w:rPr>
          <w:rFonts w:ascii="Arial" w:hAnsi="Arial"/>
          <w:color w:val="000000"/>
          <w:sz w:val="22"/>
        </w:rPr>
        <w:t>(whether or not vested) on the record date of any such dividend had been outstanding common stock of the Company on such date, (ii) divided by the Average Trading Price for the period from January 1 of such year through the date of such cessation or Fixed Distribution Date, as applicable (rounded to the nearest whole share). In the event of any distribution other than cash, the foregoing shall be applied based on the fair market value of the property distributed. Additional shares of Deferred Stock granted under this subparagraph 4(b) shall be settled and Shares distributed in respect of such Deferred Stock at the same time as the Deferred Stock to which the dividends and distributions relate.</w:t>
      </w:r>
    </w:p>
    <w:p>
      <w:pPr>
        <w:pStyle w:val="TextBody"/>
        <w:bidi w:val="0"/>
        <w:spacing w:before="0" w:after="240"/>
        <w:jc w:val="left"/>
        <w:rPr>
          <w:rFonts w:ascii="Arial" w:hAnsi="Arial"/>
          <w:b/>
          <w:color w:val="000000"/>
          <w:sz w:val="22"/>
        </w:rPr>
      </w:pPr>
      <w:r>
        <w:rPr>
          <w:rFonts w:ascii="Arial" w:hAnsi="Arial"/>
          <w:b/>
          <w:color w:val="000000"/>
          <w:sz w:val="22"/>
        </w:rPr>
        <w:t>5.</w:t>
      </w:r>
    </w:p>
    <w:p>
      <w:pPr>
        <w:pStyle w:val="TextBody"/>
        <w:bidi w:val="0"/>
        <w:spacing w:before="0" w:after="240"/>
        <w:jc w:val="left"/>
        <w:rPr>
          <w:rFonts w:ascii="Arial" w:hAnsi="Arial"/>
          <w:b/>
          <w:color w:val="000000"/>
          <w:sz w:val="22"/>
        </w:rPr>
      </w:pPr>
      <w:r>
        <w:rPr>
          <w:rFonts w:ascii="Arial" w:hAnsi="Arial"/>
          <w:b/>
          <w:color w:val="000000"/>
          <w:sz w:val="22"/>
        </w:rPr>
        <w:t>Other Provisions.</w:t>
      </w:r>
    </w:p>
    <w:p>
      <w:pPr>
        <w:pStyle w:val="TextBody"/>
        <w:bidi w:val="0"/>
        <w:spacing w:before="0" w:after="240"/>
        <w:jc w:val="left"/>
        <w:rPr>
          <w:rFonts w:ascii="Arial" w:hAnsi="Arial"/>
          <w:color w:val="000000"/>
          <w:sz w:val="22"/>
        </w:rPr>
      </w:pPr>
      <w:r>
        <w:rPr>
          <w:rFonts w:ascii="Arial" w:hAnsi="Arial"/>
          <w:color w:val="000000"/>
          <w:sz w:val="22"/>
        </w:rPr>
        <w:t>These amended and restated Terms and Conditions shall become effective on January 1, 2024, and effective on that date shall supersede and replace the amended and restated Terms and Conditions Regarding the Grant of Awards to Non</w:t>
        <w:noBreakHyphen/>
        <w:t>Employee Directors under the 2011 Equity Incentive Plan in effect immediately prior thereto.</w:t>
      </w:r>
    </w:p>
    <w:p>
      <w:pPr>
        <w:pStyle w:val="TextBody"/>
        <w:bidi w:val="0"/>
        <w:spacing w:before="0" w:after="240"/>
        <w:jc w:val="left"/>
        <w:rPr>
          <w:rFonts w:ascii="Arial" w:hAnsi="Arial"/>
          <w:b/>
          <w:color w:val="000000"/>
          <w:sz w:val="22"/>
        </w:rPr>
      </w:pPr>
      <w:r>
        <w:rPr>
          <w:rFonts w:ascii="Arial" w:hAnsi="Arial"/>
          <w:b/>
          <w:color w:val="000000"/>
          <w:sz w:val="22"/>
        </w:rPr>
        <w:t>6.</w:t>
      </w:r>
    </w:p>
    <w:p>
      <w:pPr>
        <w:pStyle w:val="TextBody"/>
        <w:bidi w:val="0"/>
        <w:spacing w:before="0" w:after="240"/>
        <w:jc w:val="left"/>
        <w:rPr/>
      </w:pPr>
      <w:r>
        <w:rPr>
          <w:rFonts w:ascii="Arial" w:hAnsi="Arial"/>
          <w:b/>
          <w:color w:val="000000"/>
          <w:sz w:val="22"/>
        </w:rPr>
        <w:t>Application of Plan.</w:t>
      </w:r>
      <w:r>
        <w:rPr>
          <w:color w:val="000000"/>
        </w:rPr>
        <w:t xml:space="preserve"> </w:t>
      </w:r>
    </w:p>
    <w:p>
      <w:pPr>
        <w:pStyle w:val="TextBody"/>
        <w:bidi w:val="0"/>
        <w:spacing w:before="0" w:after="240"/>
        <w:jc w:val="left"/>
        <w:rPr>
          <w:rFonts w:ascii="Arial" w:hAnsi="Arial"/>
          <w:color w:val="000000"/>
          <w:sz w:val="22"/>
        </w:rPr>
      </w:pPr>
      <w:r>
        <w:rPr>
          <w:rFonts w:ascii="Arial" w:hAnsi="Arial"/>
          <w:color w:val="000000"/>
          <w:sz w:val="22"/>
        </w:rPr>
        <w:t>Except as otherwise provided in these Terms and Conditions, the Equity Plan shall apply to any Deferred Stock granted pursuant to these Terms and Conditions.</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41" w:name="man-ex10_6b.htm"/>
      <w:bookmarkStart w:id="42" w:name="ksmanex10_6b"/>
      <w:bookmarkEnd w:id="41"/>
      <w:bookmarkEnd w:id="42"/>
      <w:r>
        <w:rPr>
          <w:rFonts w:ascii="Times New Roman" w:hAnsi="Times New Roman"/>
          <w:color w:val="000000"/>
          <w:sz w:val="24"/>
        </w:rPr>
        <w:t>Exhibit 10.6 (b)</w:t>
      </w:r>
      <w:r>
        <w:br w:type="page"/>
      </w:r>
    </w:p>
    <w:p>
      <w:pPr>
        <w:pStyle w:val="TextBody"/>
        <w:bidi w:val="0"/>
        <w:jc w:val="right"/>
        <w:rPr/>
      </w:pPr>
      <w:r>
        <w:rPr/>
        <w:t> </w:t>
      </w:r>
    </w:p>
    <w:p>
      <w:pPr>
        <w:pStyle w:val="TextBody"/>
        <w:bidi w:val="0"/>
        <w:spacing w:before="0" w:after="360"/>
        <w:jc w:val="center"/>
        <w:rPr>
          <w:rFonts w:ascii="Arial" w:hAnsi="Arial"/>
          <w:b/>
          <w:color w:val="000000"/>
          <w:sz w:val="28"/>
        </w:rPr>
      </w:pPr>
      <w:r>
        <w:rPr>
          <w:rFonts w:ascii="Arial" w:hAnsi="Arial"/>
          <w:b/>
          <w:color w:val="000000"/>
          <w:sz w:val="28"/>
        </w:rPr>
        <w:t>ManpowerGroup Inc.</w:t>
      </w:r>
    </w:p>
    <w:p>
      <w:pPr>
        <w:pStyle w:val="TextBody"/>
        <w:bidi w:val="0"/>
        <w:spacing w:before="0" w:after="240"/>
        <w:jc w:val="center"/>
        <w:rPr>
          <w:rFonts w:ascii="Arial" w:hAnsi="Arial"/>
          <w:b/>
          <w:color w:val="000000"/>
          <w:sz w:val="22"/>
        </w:rPr>
      </w:pPr>
      <w:r>
        <w:rPr>
          <w:rFonts w:ascii="Arial" w:hAnsi="Arial"/>
          <w:b/>
          <w:color w:val="000000"/>
          <w:sz w:val="22"/>
        </w:rPr>
        <w:t>Compensation for Non-Employee Directors</w:t>
      </w:r>
    </w:p>
    <w:p>
      <w:pPr>
        <w:pStyle w:val="TextBody"/>
        <w:bidi w:val="0"/>
        <w:spacing w:before="0" w:after="240"/>
        <w:jc w:val="center"/>
        <w:rPr>
          <w:rFonts w:ascii="Times New Roman" w:hAnsi="Times New Roman"/>
          <w:sz w:val="20"/>
        </w:rPr>
      </w:pPr>
      <w:r>
        <w:rPr>
          <w:rFonts w:ascii="Arial" w:hAnsi="Arial"/>
          <w:b/>
          <w:color w:val="000000"/>
          <w:sz w:val="22"/>
        </w:rPr>
        <w:t>(Amended and Restated Effective January 1, 2024)</w:t>
      </w:r>
      <w:r>
        <w:rPr>
          <w:rFonts w:ascii="Times New Roman" w:hAnsi="Times New Roman"/>
          <w:color w:val="000000"/>
          <w:sz w:val="20"/>
        </w:rPr>
        <w:t xml:space="preserve"> </w:t>
      </w:r>
    </w:p>
    <w:p>
      <w:pPr>
        <w:pStyle w:val="TextBody"/>
        <w:bidi w:val="0"/>
        <w:spacing w:before="0" w:after="240"/>
        <w:jc w:val="center"/>
        <w:rPr/>
      </w:pPr>
      <w:r>
        <w:rPr/>
        <w:t> </w:t>
      </w:r>
    </w:p>
    <w:p>
      <w:pPr>
        <w:pStyle w:val="TextBody"/>
        <w:bidi w:val="0"/>
        <w:spacing w:before="0" w:after="240"/>
        <w:jc w:val="left"/>
        <w:rPr>
          <w:rFonts w:ascii="Arial" w:hAnsi="Arial"/>
          <w:b/>
          <w:color w:val="000000"/>
          <w:sz w:val="22"/>
        </w:rPr>
      </w:pPr>
      <w:r>
        <w:rPr>
          <w:rFonts w:ascii="Arial" w:hAnsi="Arial"/>
          <w:b/>
          <w:color w:val="000000"/>
          <w:sz w:val="22"/>
        </w:rPr>
        <w:t>Cash compensation</w:t>
      </w:r>
    </w:p>
    <w:p>
      <w:pPr>
        <w:pStyle w:val="TextBody"/>
        <w:bidi w:val="0"/>
        <w:spacing w:before="0" w:after="240"/>
        <w:jc w:val="left"/>
        <w:rPr>
          <w:color w:val="000000"/>
        </w:rPr>
      </w:pPr>
      <w:r>
        <w:rPr>
          <w:color w:val="000000"/>
        </w:rPr>
        <w:t>•</w:t>
      </w:r>
    </w:p>
    <w:p>
      <w:pPr>
        <w:pStyle w:val="TextBody"/>
        <w:bidi w:val="0"/>
        <w:spacing w:before="0" w:after="240"/>
        <w:jc w:val="left"/>
        <w:rPr>
          <w:rFonts w:ascii="Arial" w:hAnsi="Arial"/>
          <w:color w:val="000000"/>
          <w:sz w:val="22"/>
        </w:rPr>
      </w:pPr>
      <w:r>
        <w:rPr>
          <w:rFonts w:ascii="Arial" w:hAnsi="Arial"/>
          <w:color w:val="000000"/>
          <w:sz w:val="22"/>
        </w:rPr>
        <w:t>Annual cash retainer: $120,000 per year</w:t>
      </w:r>
    </w:p>
    <w:p>
      <w:pPr>
        <w:pStyle w:val="TextBody"/>
        <w:bidi w:val="0"/>
        <w:spacing w:before="0" w:after="240"/>
        <w:jc w:val="left"/>
        <w:rPr>
          <w:color w:val="000000"/>
        </w:rPr>
      </w:pPr>
      <w:r>
        <w:rPr>
          <w:color w:val="000000"/>
        </w:rPr>
        <w:t>•</w:t>
      </w:r>
    </w:p>
    <w:p>
      <w:pPr>
        <w:pStyle w:val="TextBody"/>
        <w:bidi w:val="0"/>
        <w:spacing w:before="0" w:after="240"/>
        <w:jc w:val="left"/>
        <w:rPr>
          <w:rFonts w:ascii="Arial" w:hAnsi="Arial"/>
          <w:color w:val="000000"/>
          <w:sz w:val="22"/>
        </w:rPr>
      </w:pPr>
      <w:r>
        <w:rPr>
          <w:rFonts w:ascii="Arial" w:hAnsi="Arial"/>
          <w:color w:val="000000"/>
          <w:sz w:val="22"/>
        </w:rPr>
        <w:t>Fee structure for annual retainer for committee chairs and lead director:</w:t>
      </w:r>
    </w:p>
    <w:p>
      <w:pPr>
        <w:pStyle w:val="TextBody"/>
        <w:bidi w:val="0"/>
        <w:spacing w:before="0" w:after="200"/>
        <w:jc w:val="left"/>
        <w:rPr>
          <w:color w:val="000000"/>
        </w:rPr>
      </w:pPr>
      <w:r>
        <w:rPr>
          <w:color w:val="000000"/>
        </w:rPr>
        <w:t></w:t>
      </w:r>
    </w:p>
    <w:p>
      <w:pPr>
        <w:pStyle w:val="TextBody"/>
        <w:bidi w:val="0"/>
        <w:spacing w:before="0" w:after="200"/>
        <w:jc w:val="left"/>
        <w:rPr>
          <w:rFonts w:ascii="Arial" w:hAnsi="Arial"/>
          <w:color w:val="000000"/>
          <w:sz w:val="22"/>
        </w:rPr>
      </w:pPr>
      <w:r>
        <w:rPr>
          <w:rFonts w:ascii="Arial" w:hAnsi="Arial"/>
          <w:color w:val="000000"/>
          <w:sz w:val="22"/>
        </w:rPr>
        <w:t>$25,000 annual retainer for services as chair of the governance and sustainability committee or people, culture and compensation committee</w:t>
      </w:r>
    </w:p>
    <w:p>
      <w:pPr>
        <w:pStyle w:val="TextBody"/>
        <w:bidi w:val="0"/>
        <w:spacing w:before="0" w:after="200"/>
        <w:jc w:val="left"/>
        <w:rPr>
          <w:color w:val="000000"/>
        </w:rPr>
      </w:pPr>
      <w:r>
        <w:rPr>
          <w:color w:val="000000"/>
        </w:rPr>
        <w:t></w:t>
      </w:r>
    </w:p>
    <w:p>
      <w:pPr>
        <w:pStyle w:val="TextBody"/>
        <w:bidi w:val="0"/>
        <w:spacing w:before="0" w:after="200"/>
        <w:jc w:val="left"/>
        <w:rPr>
          <w:rFonts w:ascii="Arial" w:hAnsi="Arial"/>
          <w:color w:val="000000"/>
          <w:sz w:val="22"/>
        </w:rPr>
      </w:pPr>
      <w:r>
        <w:rPr>
          <w:rFonts w:ascii="Arial" w:hAnsi="Arial"/>
          <w:color w:val="000000"/>
          <w:sz w:val="22"/>
        </w:rPr>
        <w:t>$30,000 per year for services as chair of the audit committee</w:t>
      </w:r>
    </w:p>
    <w:p>
      <w:pPr>
        <w:pStyle w:val="TextBody"/>
        <w:bidi w:val="0"/>
        <w:spacing w:before="0" w:after="200"/>
        <w:jc w:val="left"/>
        <w:rPr>
          <w:color w:val="000000"/>
        </w:rPr>
      </w:pPr>
      <w:r>
        <w:rPr>
          <w:color w:val="000000"/>
        </w:rPr>
        <w:t></w:t>
      </w:r>
    </w:p>
    <w:p>
      <w:pPr>
        <w:pStyle w:val="TextBody"/>
        <w:bidi w:val="0"/>
        <w:spacing w:before="0" w:after="200"/>
        <w:jc w:val="left"/>
        <w:rPr>
          <w:rFonts w:ascii="Arial" w:hAnsi="Arial"/>
          <w:color w:val="000000"/>
          <w:sz w:val="22"/>
        </w:rPr>
      </w:pPr>
      <w:r>
        <w:rPr>
          <w:rFonts w:ascii="Arial" w:hAnsi="Arial"/>
          <w:color w:val="000000"/>
          <w:sz w:val="22"/>
        </w:rPr>
        <w:t>$35,000 annual retainer for service as lead director</w:t>
      </w:r>
    </w:p>
    <w:p>
      <w:pPr>
        <w:pStyle w:val="TextBody"/>
        <w:bidi w:val="0"/>
        <w:spacing w:before="0" w:after="200"/>
        <w:jc w:val="left"/>
        <w:rPr>
          <w:color w:val="000000"/>
        </w:rPr>
      </w:pPr>
      <w:r>
        <w:rPr>
          <w:color w:val="000000"/>
        </w:rPr>
        <w:t></w:t>
      </w:r>
    </w:p>
    <w:p>
      <w:pPr>
        <w:pStyle w:val="TextBody"/>
        <w:bidi w:val="0"/>
        <w:spacing w:before="0" w:after="200"/>
        <w:jc w:val="left"/>
        <w:rPr>
          <w:rFonts w:ascii="Arial" w:hAnsi="Arial"/>
          <w:color w:val="000000"/>
          <w:sz w:val="22"/>
        </w:rPr>
      </w:pPr>
      <w:r>
        <w:rPr>
          <w:rFonts w:ascii="Arial" w:hAnsi="Arial"/>
          <w:color w:val="000000"/>
          <w:sz w:val="22"/>
        </w:rPr>
        <w:t>$35,000 annual retainer plus committee chair fee in the case where the lead director also serves as chair of one of the committees</w:t>
      </w:r>
    </w:p>
    <w:p>
      <w:pPr>
        <w:pStyle w:val="TextBody"/>
        <w:bidi w:val="0"/>
        <w:spacing w:before="0" w:after="240"/>
        <w:jc w:val="left"/>
        <w:rPr>
          <w:color w:val="000000"/>
        </w:rPr>
      </w:pPr>
      <w:r>
        <w:rPr>
          <w:color w:val="000000"/>
        </w:rPr>
        <w:t>•</w:t>
      </w:r>
    </w:p>
    <w:p>
      <w:pPr>
        <w:pStyle w:val="TextBody"/>
        <w:bidi w:val="0"/>
        <w:spacing w:before="0" w:after="240"/>
        <w:jc w:val="left"/>
        <w:rPr>
          <w:rFonts w:ascii="Arial" w:hAnsi="Arial"/>
          <w:color w:val="000000"/>
          <w:sz w:val="22"/>
        </w:rPr>
      </w:pPr>
      <w:r>
        <w:rPr>
          <w:rFonts w:ascii="Arial" w:hAnsi="Arial"/>
          <w:color w:val="000000"/>
          <w:sz w:val="22"/>
        </w:rPr>
        <w:t xml:space="preserve">The annual cash retainer and additional cash retainer for committee chairs and lead director will be paid quarterly in arrears within two weeks following the last day of each calendar quarter. </w:t>
      </w:r>
    </w:p>
    <w:p>
      <w:pPr>
        <w:pStyle w:val="TextBody"/>
        <w:bidi w:val="0"/>
        <w:spacing w:before="0" w:after="240"/>
        <w:jc w:val="left"/>
        <w:rPr>
          <w:rFonts w:ascii="Arial" w:hAnsi="Arial"/>
          <w:b/>
          <w:color w:val="000000"/>
          <w:sz w:val="22"/>
        </w:rPr>
      </w:pPr>
      <w:r>
        <w:rPr>
          <w:rFonts w:ascii="Arial" w:hAnsi="Arial"/>
          <w:b/>
          <w:color w:val="000000"/>
          <w:sz w:val="22"/>
        </w:rPr>
        <w:t>Election to Receive Deferred Stock in Lieu of Cash Retainer</w:t>
      </w:r>
    </w:p>
    <w:p>
      <w:pPr>
        <w:pStyle w:val="TextBody"/>
        <w:bidi w:val="0"/>
        <w:spacing w:before="0" w:after="200"/>
        <w:jc w:val="left"/>
        <w:rPr>
          <w:color w:val="000000"/>
        </w:rPr>
      </w:pPr>
      <w:r>
        <w:rPr>
          <w:color w:val="000000"/>
        </w:rPr>
        <w:t>•</w:t>
      </w:r>
    </w:p>
    <w:p>
      <w:pPr>
        <w:pStyle w:val="TextBody"/>
        <w:bidi w:val="0"/>
        <w:spacing w:before="0" w:after="200"/>
        <w:jc w:val="left"/>
        <w:rPr>
          <w:rFonts w:ascii="Arial" w:hAnsi="Arial"/>
          <w:color w:val="000000"/>
          <w:sz w:val="22"/>
        </w:rPr>
      </w:pPr>
      <w:r>
        <w:rPr>
          <w:rFonts w:ascii="Arial" w:hAnsi="Arial"/>
          <w:color w:val="000000"/>
          <w:sz w:val="22"/>
        </w:rPr>
        <w:t>In lieu of the annual cash retainer and additional cash retainer for committee chairs and lead director, outside directors may elect to receive Deferred Stock under the Company’s 2011 Equity Incentive Plan, as amended from time to time (the “Plan”). The election may cover 50%, 75% or 100% of the annual cash retainer payable to the director for the period covered by the election.</w:t>
      </w:r>
    </w:p>
    <w:p>
      <w:pPr>
        <w:pStyle w:val="TextBody"/>
        <w:bidi w:val="0"/>
        <w:spacing w:before="0" w:after="200"/>
        <w:jc w:val="left"/>
        <w:rPr>
          <w:color w:val="000000"/>
        </w:rPr>
      </w:pPr>
      <w:r>
        <w:rPr>
          <w:color w:val="000000"/>
        </w:rPr>
        <w:t>•</w:t>
      </w:r>
    </w:p>
    <w:p>
      <w:pPr>
        <w:pStyle w:val="TextBody"/>
        <w:bidi w:val="0"/>
        <w:spacing w:before="0" w:after="200"/>
        <w:jc w:val="left"/>
        <w:rPr>
          <w:rFonts w:ascii="Arial" w:hAnsi="Arial"/>
          <w:color w:val="000000"/>
          <w:sz w:val="22"/>
        </w:rPr>
      </w:pPr>
      <w:r>
        <w:rPr>
          <w:rFonts w:ascii="Arial" w:hAnsi="Arial"/>
          <w:color w:val="000000"/>
          <w:sz w:val="22"/>
        </w:rPr>
        <w:t>The election must be made prior to the beginning of the election period to which the annual cash retainer relates. The election period begins on January 1 of each year and ends on December 31 of that year or, if a director ceases to be a member of the Board of Directors during the year, the date of such cessation. For new non</w:t>
        <w:noBreakHyphen/>
        <w:t>employee directors, the election period begins on the date of the director’s appointment to the Board of Directors and the election must be made within ten business days after the date of such appointment. Any such election by a new director will only apply to the portion of the retainer earned after the election is made. The grant of Deferred Stock pursuant to any such election will be effective on the first day following the end of the election period to which the election applies.</w:t>
      </w:r>
    </w:p>
    <w:p>
      <w:pPr>
        <w:pStyle w:val="TextBody"/>
        <w:bidi w:val="0"/>
        <w:spacing w:before="0" w:after="200"/>
        <w:jc w:val="left"/>
        <w:rPr>
          <w:color w:val="000000"/>
        </w:rPr>
      </w:pPr>
      <w:r>
        <w:rPr>
          <w:color w:val="000000"/>
        </w:rPr>
        <w:t>•</w:t>
      </w:r>
    </w:p>
    <w:p>
      <w:pPr>
        <w:pStyle w:val="TextBody"/>
        <w:bidi w:val="0"/>
        <w:spacing w:before="0" w:after="200"/>
        <w:jc w:val="left"/>
        <w:rPr>
          <w:rFonts w:ascii="Arial" w:hAnsi="Arial"/>
          <w:color w:val="000000"/>
          <w:sz w:val="22"/>
        </w:rPr>
      </w:pPr>
      <w:r>
        <w:rPr>
          <w:rFonts w:ascii="Arial" w:hAnsi="Arial"/>
          <w:color w:val="000000"/>
          <w:sz w:val="22"/>
        </w:rPr>
        <w:t>The number of shares of Deferred Stock granted to the director will be equal to the amount of the annual cash retainer to which the election applies, divided by the average of the closing prices of the stock on the last trading day of each full or partial calendar quarter included within the election period.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left"/>
        <w:rPr>
          <w:color w:val="000000"/>
        </w:rPr>
      </w:pPr>
      <w:r>
        <w:rPr>
          <w:color w:val="000000"/>
        </w:rPr>
        <w:t>•</w:t>
      </w:r>
    </w:p>
    <w:p>
      <w:pPr>
        <w:pStyle w:val="TextBody"/>
        <w:bidi w:val="0"/>
        <w:spacing w:before="0" w:after="200"/>
        <w:jc w:val="left"/>
        <w:rPr>
          <w:rFonts w:ascii="Arial" w:hAnsi="Arial"/>
          <w:color w:val="000000"/>
          <w:sz w:val="22"/>
        </w:rPr>
      </w:pPr>
      <w:r>
        <w:rPr>
          <w:rFonts w:ascii="Arial" w:hAnsi="Arial"/>
          <w:color w:val="000000"/>
          <w:sz w:val="22"/>
        </w:rPr>
        <w:t>Shares of common stock represented by such Deferred Stock held by a director will be distributed to the director on the earlier of the third anniversary of the date of grant or within 30 days after the date the director ceases to be a member of the Board of Directors. The director will have the right to extend the deferral period by at least five years, and thereafter to extend any previously extended deferral period by at least five more years, provided in each case this election to extend is made at least twelve months before the last day of the then current deferral period. If a director extends the deferral period but leaves the board prior to the extended date, the deferred stock will be distributed within 30 days the director ceases to be a member of the Board of Directors. Furthermore, in the event the shares would be distributed outside of a trading window under the Company’s securities trading policy, the Company may defer distribution of the shares until the beginning of the next trading window.</w:t>
      </w:r>
    </w:p>
    <w:p>
      <w:pPr>
        <w:pStyle w:val="TextBody"/>
        <w:bidi w:val="0"/>
        <w:spacing w:before="0" w:after="240"/>
        <w:jc w:val="left"/>
        <w:rPr>
          <w:rFonts w:ascii="Arial" w:hAnsi="Arial"/>
          <w:b/>
          <w:color w:val="000000"/>
          <w:sz w:val="22"/>
        </w:rPr>
      </w:pPr>
      <w:r>
        <w:rPr>
          <w:rFonts w:ascii="Arial" w:hAnsi="Arial"/>
          <w:b/>
          <w:color w:val="000000"/>
          <w:sz w:val="22"/>
        </w:rPr>
        <w:t>Annual Grant of Deferred Stock or Restricted Stock</w:t>
      </w:r>
    </w:p>
    <w:p>
      <w:pPr>
        <w:pStyle w:val="TextBody"/>
        <w:bidi w:val="0"/>
        <w:spacing w:before="0" w:after="200"/>
        <w:jc w:val="left"/>
        <w:rPr>
          <w:color w:val="000000"/>
        </w:rPr>
      </w:pPr>
      <w:r>
        <w:rPr>
          <w:color w:val="000000"/>
        </w:rPr>
        <w:t>•</w:t>
      </w:r>
    </w:p>
    <w:p>
      <w:pPr>
        <w:pStyle w:val="TextBody"/>
        <w:bidi w:val="0"/>
        <w:spacing w:before="0" w:after="200"/>
        <w:jc w:val="left"/>
        <w:rPr>
          <w:rFonts w:ascii="Arial" w:hAnsi="Arial"/>
          <w:color w:val="000000"/>
          <w:sz w:val="22"/>
        </w:rPr>
      </w:pPr>
      <w:r>
        <w:rPr>
          <w:rFonts w:ascii="Arial" w:hAnsi="Arial"/>
          <w:color w:val="000000"/>
          <w:sz w:val="22"/>
        </w:rPr>
        <w:t>In addition to the cash compensation (or elective Deferred Stock), non</w:t>
        <w:noBreakHyphen/>
        <w:t xml:space="preserve">employee directors each will receive an annual grant of Deferred Stock under the Plan. The grant will be effective on the first day of each year, and the number of shares granted will equal $180,000 divided by the closing sale price of a share of the Company’s common stock on the last business day of the preceding year. Such Deferred Stock will vest in equal quarterly installments on the last day of each calendar quarter during the year. </w:t>
      </w:r>
    </w:p>
    <w:p>
      <w:pPr>
        <w:pStyle w:val="TextBody"/>
        <w:bidi w:val="0"/>
        <w:spacing w:before="0" w:after="200"/>
        <w:jc w:val="left"/>
        <w:rPr>
          <w:color w:val="000000"/>
        </w:rPr>
      </w:pPr>
      <w:r>
        <w:rPr>
          <w:color w:val="000000"/>
        </w:rPr>
        <w:t>•</w:t>
      </w:r>
    </w:p>
    <w:p>
      <w:pPr>
        <w:pStyle w:val="TextBody"/>
        <w:bidi w:val="0"/>
        <w:spacing w:before="0" w:after="200"/>
        <w:jc w:val="left"/>
        <w:rPr>
          <w:rFonts w:ascii="Arial" w:hAnsi="Arial"/>
          <w:color w:val="000000"/>
          <w:sz w:val="22"/>
        </w:rPr>
      </w:pPr>
      <w:r>
        <w:rPr>
          <w:rFonts w:ascii="Arial" w:hAnsi="Arial"/>
          <w:color w:val="000000"/>
          <w:sz w:val="22"/>
        </w:rPr>
        <w:t>Shares of common stock represented by vested Deferred Stock held by a director will be distributed to the director on the earlier of the third anniversary of the effective date of grant or within 30 days after the date the director ceases to be a member of the Board of Directors. However, the director will have the right to extend the year deferral period by at least five years, and thereafter to extend any previously extended deferral period by at least five more years, provided in each case this election to extend is made at least twelve months before the last day of the then current deferral period. If a director extends the deferral period but leaves the board prior to the extended date, the deferred stock will be distributed within 30 days the director ceases to be a member of the Board of Directors. Furthermore, in the event the shares would be distributed outside of a trading window under the Company’s securities trading policy, the Company may defer distribution of the shares until the beginning of the next trading window.</w:t>
      </w:r>
    </w:p>
    <w:p>
      <w:pPr>
        <w:pStyle w:val="TextBody"/>
        <w:bidi w:val="0"/>
        <w:spacing w:before="0" w:after="200"/>
        <w:jc w:val="left"/>
        <w:rPr>
          <w:color w:val="000000"/>
        </w:rPr>
      </w:pPr>
      <w:r>
        <w:rPr>
          <w:color w:val="000000"/>
        </w:rPr>
        <w:t>•</w:t>
      </w:r>
    </w:p>
    <w:p>
      <w:pPr>
        <w:pStyle w:val="TextBody"/>
        <w:bidi w:val="0"/>
        <w:spacing w:before="0" w:after="200"/>
        <w:jc w:val="left"/>
        <w:rPr>
          <w:rFonts w:ascii="Arial" w:hAnsi="Arial"/>
          <w:color w:val="000000"/>
          <w:sz w:val="22"/>
        </w:rPr>
      </w:pPr>
      <w:r>
        <w:rPr>
          <w:rFonts w:ascii="Arial" w:hAnsi="Arial"/>
          <w:color w:val="000000"/>
          <w:sz w:val="22"/>
        </w:rPr>
        <w:t>Instead of receiving this grant of Deferred Stock, non</w:t>
        <w:noBreakHyphen/>
        <w:t>employee directors will have the right to elect to receive the same number of shares of Restricted Stock under the Plan. Like the Deferred Stock, any such grant will be effective on the first day of the year and will vest in equal quarterly installments on the last day of each calendar quarter during the year. Any such election will be effective only if made on or before December 31 of the preceding year.</w:t>
      </w:r>
    </w:p>
    <w:p>
      <w:pPr>
        <w:pStyle w:val="TextBody"/>
        <w:bidi w:val="0"/>
        <w:spacing w:before="0" w:after="240"/>
        <w:jc w:val="left"/>
        <w:rPr>
          <w:color w:val="000000"/>
        </w:rPr>
      </w:pPr>
      <w:r>
        <w:rPr>
          <w:color w:val="000000"/>
        </w:rPr>
        <w:t>•</w:t>
      </w:r>
    </w:p>
    <w:p>
      <w:pPr>
        <w:pStyle w:val="TextBody"/>
        <w:bidi w:val="0"/>
        <w:spacing w:before="0" w:after="240"/>
        <w:jc w:val="left"/>
        <w:rPr>
          <w:rFonts w:ascii="Arial" w:hAnsi="Arial"/>
          <w:color w:val="000000"/>
          <w:sz w:val="22"/>
        </w:rPr>
      </w:pPr>
      <w:r>
        <w:rPr>
          <w:rFonts w:ascii="Arial" w:hAnsi="Arial"/>
          <w:color w:val="000000"/>
          <w:sz w:val="22"/>
        </w:rPr>
        <w:t>A new non</w:t>
        <w:noBreakHyphen/>
        <w:t>employee director will receive a grant of Deferred Stock effective the date the director is appointed to the Board. The grant will be for a number of shares of Deferred Stock equal to $180,000 prorated for the period beginning on the date of the director’s appointment and ending on December 31 of that year, divided by the closing sale price of a share of the Company’s common stock on the last trading day immediately prior to the effective date of grant. Such Deferred Stock will vest in prorated installments on the last day of each calendar quarter occurring after the date of grant. Instead of receiving this grant of Deferred Stock, the new non</w:t>
        <w:noBreakHyphen/>
        <w:t xml:space="preserve">employee director will have the right to elect to receive the same number of shares of Restricted Stock under the Plan, with a vesting </w:t>
      </w:r>
    </w:p>
    <w:p>
      <w:pPr>
        <w:pStyle w:val="TextBody"/>
        <w:bidi w:val="0"/>
        <w:jc w:val="center"/>
        <w:rPr>
          <w:rFonts w:ascii="Arial" w:hAnsi="Arial"/>
          <w:color w:val="000000"/>
          <w:sz w:val="22"/>
        </w:rPr>
      </w:pPr>
      <w:r>
        <w:rPr>
          <w:rFonts w:ascii="Arial" w:hAnsi="Arial"/>
          <w:color w:val="000000"/>
          <w:sz w:val="22"/>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Arial" w:hAnsi="Arial"/>
          <w:color w:val="000000"/>
          <w:sz w:val="22"/>
        </w:rPr>
      </w:pPr>
      <w:r>
        <w:rPr>
          <w:rFonts w:ascii="Arial" w:hAnsi="Arial"/>
          <w:color w:val="000000"/>
          <w:sz w:val="22"/>
        </w:rPr>
        <w:t>schedule the same as the Deferred Stock the director would otherwise have received. Any such election will be effective only if made within ten business days after the date of such appointment and will only apply to that portion of the shares earned in the first full calendar quarter after the election is made by the director and subsequent calendar quarters during the same year. If such an election is made by a director, he or she will receive a grant of Deferred Stock for that portion of the shares earned between the date the director is appointed to the Board and the last day of the calendar quarter in which the election is made.</w:t>
      </w:r>
    </w:p>
    <w:p>
      <w:pPr>
        <w:pStyle w:val="TextBody"/>
        <w:bidi w:val="0"/>
        <w:spacing w:before="0" w:after="200"/>
        <w:jc w:val="left"/>
        <w:rPr>
          <w:rFonts w:ascii="Arial" w:hAnsi="Arial"/>
          <w:b/>
          <w:color w:val="000000"/>
          <w:sz w:val="22"/>
        </w:rPr>
      </w:pPr>
      <w:r>
        <w:rPr>
          <w:rFonts w:ascii="Arial" w:hAnsi="Arial"/>
          <w:b/>
          <w:color w:val="000000"/>
          <w:sz w:val="22"/>
        </w:rPr>
        <w:t>Dividends on Deferred Stock</w:t>
      </w:r>
    </w:p>
    <w:p>
      <w:pPr>
        <w:pStyle w:val="TextBody"/>
        <w:bidi w:val="0"/>
        <w:spacing w:before="0" w:after="200"/>
        <w:jc w:val="left"/>
        <w:rPr>
          <w:color w:val="000000"/>
        </w:rPr>
      </w:pPr>
      <w:r>
        <w:rPr>
          <w:color w:val="000000"/>
        </w:rPr>
        <w:t>•</w:t>
      </w:r>
    </w:p>
    <w:p>
      <w:pPr>
        <w:pStyle w:val="TextBody"/>
        <w:bidi w:val="0"/>
        <w:spacing w:before="0" w:after="200"/>
        <w:jc w:val="left"/>
        <w:rPr>
          <w:rFonts w:ascii="Arial" w:hAnsi="Arial"/>
          <w:color w:val="000000"/>
          <w:sz w:val="22"/>
        </w:rPr>
      </w:pPr>
      <w:r>
        <w:rPr>
          <w:rFonts w:ascii="Arial" w:hAnsi="Arial"/>
          <w:color w:val="000000"/>
          <w:sz w:val="22"/>
        </w:rPr>
        <w:t xml:space="preserve">Directors holding Deferred Stock will be granted an additional number of shares of Deferred Stock on the first day of each calendar year attributable to dividends paid by the Company during the prior year. The number of shares of Deferred Stock granted will equal (i) the amount of dividends the director would have received during the prior calendar year if Deferred Stock held by the director had been outstanding common stock, (ii) divided by the average closing prices of the stock on the last trading day of each calendar quarter during the year. In addition, for any director whose membership on the Board ceases during the year or who received Deferred Stock on a grant date other than January 1, a partial year grant of Deferred Stock will be made on the last day of the final partial year that such Deferred Stock is held by the director equal to (i) the amount of dividends the director would have received during the partial year if the Deferred Stock held by the Director had been outstanding common stock, (ii) divided by the average closing prices of the stock on the last trading day of each calendar quarter during the partial year. </w:t>
      </w:r>
    </w:p>
    <w:p>
      <w:pPr>
        <w:pStyle w:val="TextBody"/>
        <w:bidi w:val="0"/>
        <w:spacing w:before="0" w:after="200"/>
        <w:jc w:val="left"/>
        <w:rPr>
          <w:rFonts w:ascii="Arial" w:hAnsi="Arial"/>
          <w:b/>
          <w:color w:val="000000"/>
          <w:sz w:val="22"/>
        </w:rPr>
      </w:pPr>
      <w:r>
        <w:rPr>
          <w:rFonts w:ascii="Arial" w:hAnsi="Arial"/>
          <w:b/>
          <w:color w:val="000000"/>
          <w:sz w:val="22"/>
        </w:rPr>
        <w:t>Stock Ownership Guidelines</w:t>
      </w:r>
    </w:p>
    <w:p>
      <w:pPr>
        <w:pStyle w:val="TextBody"/>
        <w:bidi w:val="0"/>
        <w:spacing w:before="0" w:after="200"/>
        <w:jc w:val="left"/>
        <w:rPr>
          <w:color w:val="000000"/>
        </w:rPr>
      </w:pPr>
      <w:r>
        <w:rPr>
          <w:color w:val="000000"/>
        </w:rPr>
        <w:t>•</w:t>
      </w:r>
    </w:p>
    <w:p>
      <w:pPr>
        <w:pStyle w:val="TextBody"/>
        <w:bidi w:val="0"/>
        <w:spacing w:before="0" w:after="200"/>
        <w:jc w:val="left"/>
        <w:rPr>
          <w:rFonts w:ascii="Arial" w:hAnsi="Arial"/>
          <w:color w:val="000000"/>
          <w:sz w:val="22"/>
        </w:rPr>
      </w:pPr>
      <w:r>
        <w:rPr>
          <w:rFonts w:ascii="Arial" w:hAnsi="Arial"/>
          <w:color w:val="000000"/>
          <w:sz w:val="22"/>
        </w:rPr>
        <w:t xml:space="preserve">Non-employee directors are expected to own shares in ManpowerGroup stock. For all directors appointed prior to November 12, 2021, the total share ownership guideline is equal in value to $450,000 (five times the annual cash retainer of $90,000 at January 1, 2015) divided by the closing price of the Company’s common stock on December 31, 2014 for directors in office as of January 1, 2015, or, if they joined after January 1, 2015, the closing price of the Company’s common stock on the last business day of the month during which the director was first appointed. For any non-employee director appointed after November 12, 2021 the total guideline is five times the annual cash retainer in effect when the director joined the Board of Directors divided by the closing price of the Company’s common stock on the day the director joined. </w:t>
      </w:r>
    </w:p>
    <w:p>
      <w:pPr>
        <w:pStyle w:val="TextBody"/>
        <w:bidi w:val="0"/>
        <w:spacing w:before="0" w:after="200"/>
        <w:jc w:val="left"/>
        <w:rPr>
          <w:color w:val="000000"/>
        </w:rPr>
      </w:pPr>
      <w:r>
        <w:rPr>
          <w:color w:val="000000"/>
        </w:rPr>
        <w:t>•</w:t>
      </w:r>
    </w:p>
    <w:p>
      <w:pPr>
        <w:pStyle w:val="TextBody"/>
        <w:bidi w:val="0"/>
        <w:spacing w:before="0" w:after="200"/>
        <w:jc w:val="left"/>
        <w:rPr>
          <w:rFonts w:ascii="Arial" w:hAnsi="Arial"/>
          <w:color w:val="000000"/>
          <w:sz w:val="22"/>
        </w:rPr>
      </w:pPr>
      <w:r>
        <w:rPr>
          <w:rFonts w:ascii="Arial" w:hAnsi="Arial"/>
          <w:color w:val="000000"/>
          <w:sz w:val="22"/>
        </w:rPr>
        <w:t xml:space="preserve">Non-employee directors who joined the Board after November 12, 2021, have five years from the date of the director’s appointment to the Board to attain this guideline. Directors who joined prior to November 12, 2021, have four years from the date of appointment to attain their guideline.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For this purpose, ownership includes Deferred Stock and Restricted Stock but only to the extent vested.</w:t>
      </w:r>
    </w:p>
    <w:p>
      <w:pPr>
        <w:pStyle w:val="TextBody"/>
        <w:bidi w:val="0"/>
        <w:jc w:val="left"/>
        <w:rPr/>
      </w:pPr>
      <w:r>
        <w:rPr/>
        <w:t> </w:t>
      </w:r>
    </w:p>
    <w:p>
      <w:pPr>
        <w:pStyle w:val="TextBody"/>
        <w:bidi w:val="0"/>
        <w:jc w:val="center"/>
        <w:rPr>
          <w:rFonts w:ascii="Arial" w:hAnsi="Arial"/>
          <w:color w:val="000000"/>
          <w:sz w:val="22"/>
        </w:rPr>
      </w:pPr>
      <w:r>
        <w:rPr>
          <w:rFonts w:ascii="Arial" w:hAnsi="Arial"/>
          <w:color w:val="000000"/>
          <w:sz w:val="22"/>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43" w:name="man-ex21.htm"/>
      <w:bookmarkStart w:id="44" w:name="ksmanex21"/>
      <w:bookmarkEnd w:id="43"/>
      <w:bookmarkEnd w:id="44"/>
      <w:r>
        <w:rPr>
          <w:rFonts w:ascii="Times New Roman" w:hAnsi="Times New Roman"/>
          <w:color w:val="000000"/>
          <w:sz w:val="24"/>
        </w:rPr>
        <w:t>Exhibit 21</w:t>
      </w:r>
      <w:r>
        <w:br w:type="page"/>
      </w:r>
    </w:p>
    <w:p>
      <w:pPr>
        <w:pStyle w:val="TextBody"/>
        <w:bidi w:val="0"/>
        <w:jc w:val="righ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SUBSIDIARIES OF MANPOWERGROUP INC.</w:t>
      </w:r>
    </w:p>
    <w:p>
      <w:pPr>
        <w:pStyle w:val="TextBody"/>
        <w:bidi w:val="0"/>
        <w:jc w:val="center"/>
        <w:rPr>
          <w:rFonts w:ascii="Times New Roman" w:hAnsi="Times New Roman"/>
          <w:b/>
          <w:color w:val="000000"/>
          <w:sz w:val="20"/>
        </w:rPr>
      </w:pPr>
      <w:r>
        <w:rPr>
          <w:rFonts w:ascii="Times New Roman" w:hAnsi="Times New Roman"/>
          <w:b/>
          <w:color w:val="000000"/>
          <w:sz w:val="20"/>
        </w:rPr>
        <w:t>As of December 31, 2023</w:t>
      </w:r>
    </w:p>
    <w:p>
      <w:pPr>
        <w:pStyle w:val="TextBody"/>
        <w:bidi w:val="0"/>
        <w:jc w:val="center"/>
        <w:rPr/>
      </w:pPr>
      <w:r>
        <w:rPr/>
        <w:t> </w:t>
      </w:r>
    </w:p>
    <w:tbl>
      <w:tblPr>
        <w:tblW w:w="8818" w:type="dxa"/>
        <w:jc w:val="left"/>
        <w:tblInd w:w="0" w:type="dxa"/>
        <w:tblLayout w:type="fixed"/>
        <w:tblCellMar>
          <w:top w:w="28" w:type="dxa"/>
          <w:left w:w="28" w:type="dxa"/>
          <w:bottom w:w="28" w:type="dxa"/>
          <w:right w:w="28" w:type="dxa"/>
        </w:tblCellMar>
      </w:tblPr>
      <w:tblGrid>
        <w:gridCol w:w="5836"/>
        <w:gridCol w:w="146"/>
        <w:gridCol w:w="2836"/>
      </w:tblGrid>
      <w:tr>
        <w:trPr/>
        <w:tc>
          <w:tcPr>
            <w:tcW w:w="5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Corporation 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Incorporated in State /Country of</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Benefits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Argentina</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Cotecsud Compania Technica Sudamericana S.A.S.E.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Argentina</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Management Argentina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Argentina</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Salespower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Argentina</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AUSTRALIA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Services (Australia)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Staffing (Australia) Pty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Staffing Holdings (Australia) Pty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Management Consultants (OC)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Management Consultants Holdings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Management Consultants International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Management Consultants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Professional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Austria</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Austria</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Holding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Austria</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 Technologies,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AZ</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Captive Insurance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AZ</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(Barbados) SRL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Barbados</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Belgium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Belgium</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Personal Services NV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Belgium</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Solutions Belgium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Belgium</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Management Belgium NV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Belgium</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 Manpower (Belgium) N.V.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Belgium</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Stegmann Belgium BVBA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Belgium</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Anyhelp Brasil Assessoria E Servicos em Sistemas de Informacao Ltda.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Brazil</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Brasil Ltda.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Brazil</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Staffing Ltda.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Brazil</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do Brasil Ltda.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Brazil</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Inc. / California Peninsula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Misicom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Ibis CA Acquisition, ULC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Services Canada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Management Canada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Veritaaq Technology House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Servicios Profesionales Ltda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Chile</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Empresa de Servicios Transitorios Ltda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Chile</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Servicios Especializados Ltda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Chile</w:t>
            </w:r>
          </w:p>
        </w:tc>
      </w:tr>
      <w:tr>
        <w:trPr/>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Servicios Integrales SpA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Chile</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21</w:t>
      </w:r>
    </w:p>
    <w:tbl>
      <w:tblPr>
        <w:tblW w:w="5923" w:type="dxa"/>
        <w:jc w:val="left"/>
        <w:tblInd w:w="0" w:type="dxa"/>
        <w:tblLayout w:type="fixed"/>
        <w:tblCellMar>
          <w:top w:w="28" w:type="dxa"/>
          <w:left w:w="28" w:type="dxa"/>
          <w:bottom w:w="28" w:type="dxa"/>
          <w:right w:w="28" w:type="dxa"/>
        </w:tblCellMar>
      </w:tblPr>
      <w:tblGrid>
        <w:gridCol w:w="3931"/>
        <w:gridCol w:w="146"/>
        <w:gridCol w:w="1846"/>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Talent Solutions Capacitacion SpA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Chile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Aerospace Solutions Engineering,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Fahrenheit IT,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Global Employment Solutions,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Information Technology Engineering,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ITEC II,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de Colombia Ltda.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Colombia</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Professional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Colombia</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Tahuma SAS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Colombia</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Costa Rica,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Costa Rica</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Professional Costa Rica,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Costa Rica</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s.r.o.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Czech Republic</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Workforce Solutions s.r.o.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Czech Republic</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Econometrix,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ettain group Holdings,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Finance US,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IT Services US,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Friendly Advanced Software Technology,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Leidos Health,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Franchises,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Holdings,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NZ Holdings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US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Holdings LLC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Talent Solutions,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US Holdings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License Holding,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TAPFIN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Denmark</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Republica Dominicana,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Dominican Republic</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El Salvador,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 Salvador</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OÜ</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Estonia</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Inclusive Oy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Finland</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OY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Finland</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Solutions OY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Finland</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France SAS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FuturSkill IT SAS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France Holding SAS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France SAS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Nouvelles Competences SAS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France SAS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Solutions SAS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r>
      <w:tr>
        <w:trPr/>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Management SAS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21</w:t>
      </w:r>
    </w:p>
    <w:tbl>
      <w:tblPr>
        <w:tblW w:w="6043" w:type="dxa"/>
        <w:jc w:val="left"/>
        <w:tblInd w:w="0" w:type="dxa"/>
        <w:tblLayout w:type="fixed"/>
        <w:tblCellMar>
          <w:top w:w="28" w:type="dxa"/>
          <w:left w:w="28" w:type="dxa"/>
          <w:bottom w:w="28" w:type="dxa"/>
          <w:right w:w="28" w:type="dxa"/>
        </w:tblCellMar>
      </w:tblPr>
      <w:tblGrid>
        <w:gridCol w:w="4801"/>
        <w:gridCol w:w="146"/>
        <w:gridCol w:w="1096"/>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Supplay SAS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Tingari SASU</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Temporary Placement Service,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7S Group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Arcqus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Arcqus Professionals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Aviation Staff Management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AviationPower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AviationPower Technical Services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Bankpower GmbH Personaldienstleistungen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Field Services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IT Services GmbH &amp; Co. KG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Verwaltungs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Jefferson Wells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K&amp;K HR-Services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Beteiligungsgesellschaft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GmbH &amp; Co. KG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Deutschland GmbH &amp; Co. KG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Deutschland Verwaltungs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Financial Services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Solutions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Management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Splu Experts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Stegmann Personaldienstleistung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Experts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VIS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Greece</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Project Solutions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Greece</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Guam 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Guam</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Professional Guatemala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Guatemala</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Guatemala</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Honduras,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Honduras</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Jefferson Wells HK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 Kong</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Solutions Holdings Hong Kong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Hong Kong</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Geneva Technical Services,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HG Chicago Consulting,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RMC OF Illinois,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IT Private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Services India Pvt.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Management India Pvt.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Rotostat Services Private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w:t>
            </w:r>
          </w:p>
        </w:tc>
      </w:tr>
      <w:tr>
        <w:trPr/>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P.T. Manpower Business Solutions Indonesia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Indonesia</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21</w:t>
      </w:r>
    </w:p>
    <w:tbl>
      <w:tblPr>
        <w:tblW w:w="6013" w:type="dxa"/>
        <w:jc w:val="left"/>
        <w:tblInd w:w="0" w:type="dxa"/>
        <w:tblLayout w:type="fixed"/>
        <w:tblCellMar>
          <w:top w:w="28" w:type="dxa"/>
          <w:left w:w="28" w:type="dxa"/>
          <w:bottom w:w="28" w:type="dxa"/>
          <w:right w:w="28" w:type="dxa"/>
        </w:tblCellMar>
      </w:tblPr>
      <w:tblGrid>
        <w:gridCol w:w="4666"/>
        <w:gridCol w:w="146"/>
        <w:gridCol w:w="120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Holdings (Ireland)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Ireland</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(Ireland)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Ireland</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Transition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Ireland</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Adi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Career Harmony,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BI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Cyber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I.T.S.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Software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M.F.S. Manpower Facility Services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M.G.S.M. Advanced Medical Services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Care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Israel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Israel Holdings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Solutions Language Services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MNPM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Nativ 2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Talent Solutions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Telepower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Israel</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Srl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Italy</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Srl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Italy</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TBO S.r.l.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Italy</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Talent Solutions s.r.l.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Italy</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Executive Co.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JobSupportpower Co.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Co.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Pro-Hunt Co.,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Korea,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Korea</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Logis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Korea</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Korea,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Korea</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Management Korea Co.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Korea</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Representative Office of UAB "Manpower Lit" in Latvia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Latvia</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Lit UAB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Lithuania</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Elan IT Resource S.a.r.l.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Luxembourg</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Business Solutions Luxembourg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Luxembourg</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Luxembourg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Luxembourg</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Centerline Partners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Agensi Pekerjaan Manpower Recruitment Sdn Bhd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Malaysia</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(M) Sdn Bhd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Malaysia</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Business Solutions (M) Sdn Bhd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Malaysia</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Staffing Services (Malaysia) Sdn Bhd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Malaysia</w:t>
            </w:r>
          </w:p>
        </w:tc>
      </w:tr>
      <w:tr>
        <w:trPr/>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Pancaran Pertiwi Sdn Bhd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Malaysia</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21</w:t>
      </w:r>
    </w:p>
    <w:tbl>
      <w:tblPr>
        <w:tblW w:w="5263" w:type="dxa"/>
        <w:jc w:val="left"/>
        <w:tblInd w:w="0" w:type="dxa"/>
        <w:tblLayout w:type="fixed"/>
        <w:tblCellMar>
          <w:top w:w="28" w:type="dxa"/>
          <w:left w:w="28" w:type="dxa"/>
          <w:bottom w:w="28" w:type="dxa"/>
          <w:right w:w="28" w:type="dxa"/>
        </w:tblCellMar>
      </w:tblPr>
      <w:tblGrid>
        <w:gridCol w:w="3991"/>
        <w:gridCol w:w="146"/>
        <w:gridCol w:w="112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Agropower,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Logistics Managers,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Mexico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Experts Business Transportation,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Factoria Y Manufactura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Innovacion Tecnologia Smart,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Innovation Administrative Process,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Innovative Food Process,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Innovative Industrial Assembly,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Intelecto Tecnologico,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Corporativo,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Industrial, S. de R.L.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Professional,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Nurse.Co de Mexico,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Services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Management Mexico,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Smart Administracion y Soporte,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Tecnologia Y Manufactura,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Tupromotoria,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Mexico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HG Atlanta Consulting,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HG Detroit Consulting,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Bradford &amp; Galt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Monaco SAM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Monaco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Business Services Maroc Sarl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Morocco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MBSM S.A.R.L.A.U.</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Morocco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Societe Marocaine De Travail Temporaire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Morocco</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ettain group,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NC</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Consulting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Staff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Services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Jefferson Wells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Business Services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Flexibility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Flexwork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Logistics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Solutions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Talent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Talentworkers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Netherlands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Solutions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r>
      <w:tr>
        <w:trPr/>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Staff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21</w:t>
      </w:r>
    </w:p>
    <w:tbl>
      <w:tblPr>
        <w:tblW w:w="6598" w:type="dxa"/>
        <w:jc w:val="left"/>
        <w:tblInd w:w="0" w:type="dxa"/>
        <w:tblLayout w:type="fixed"/>
        <w:tblCellMar>
          <w:top w:w="28" w:type="dxa"/>
          <w:left w:w="28" w:type="dxa"/>
          <w:bottom w:w="28" w:type="dxa"/>
          <w:right w:w="28" w:type="dxa"/>
        </w:tblCellMar>
      </w:tblPr>
      <w:tblGrid>
        <w:gridCol w:w="5056"/>
        <w:gridCol w:w="146"/>
        <w:gridCol w:w="1396"/>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Professionals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Management Nederland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Nouvelle Caledonie Sarl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Caledonia</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Recrutement Sarl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Caledonia</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Nicaruagua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Nicaragua</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Norway</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Services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Norway</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Framnaes Installasjon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Norway</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Norway</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Workshop Solutions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Norway</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Staffing Services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Norway</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Norway</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Talent Solutions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Norway</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Workshop Bemanning og Kompetanse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Norway</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Workshop Holding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Norway</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Management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Panama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Panama</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Panama Pacifico,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Panama</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Staffing Services Panama,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Panama</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Paraguay S.R.L.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Paraguay</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Peru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Peru</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Professional Services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Peru</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Management Peru S.A.C.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Peru</w:t>
            </w:r>
          </w:p>
        </w:tc>
      </w:tr>
      <w:tr>
        <w:trPr/>
        <w:tc>
          <w:tcPr>
            <w:tcW w:w="50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MP Actions Sp. z.o.o.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Poland</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HR Hunters Sp.z.o.o.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Poland</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Transactions Sp. z o.o.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Poland</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Solutions SP. Zo.o.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Poland</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Sp. z o.o.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Poland</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MP Management Sp.z.o.o.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Poland</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MP Services Sp. z o.o.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Poland</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Lda.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Portugal</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Portugal Empresa de Trabalho Temporario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Portugal</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Global Business Service, Unipessoal Lda.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Portugal</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Portugal - SGPS,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Portugal</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Talent Based Outsourcing, Unipessoal Lda.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Portugal</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HR SRL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Romania</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 Manpower Romania SRL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Romania</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Clarendon Parker Arabia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Saudi Arabia</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Professional Singapore Pte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Staffing Services (Singapore) Pte.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Singapore Private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Management Singapore Pte.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Singapore</w:t>
            </w:r>
          </w:p>
        </w:tc>
      </w:tr>
      <w:tr>
        <w:trPr/>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Slovensko s.r.o.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Slovakia</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21</w:t>
      </w:r>
    </w:p>
    <w:tbl>
      <w:tblPr>
        <w:tblW w:w="6703" w:type="dxa"/>
        <w:jc w:val="left"/>
        <w:tblInd w:w="0" w:type="dxa"/>
        <w:tblLayout w:type="fixed"/>
        <w:tblCellMar>
          <w:top w:w="28" w:type="dxa"/>
          <w:left w:w="28" w:type="dxa"/>
          <w:bottom w:w="28" w:type="dxa"/>
          <w:right w:w="28" w:type="dxa"/>
        </w:tblCellMar>
      </w:tblPr>
      <w:tblGrid>
        <w:gridCol w:w="5041"/>
        <w:gridCol w:w="146"/>
        <w:gridCol w:w="1516"/>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Solutions s.r.o.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Slovakia</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SA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 Africa</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ManpowerGroup S.L.U.</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Spain</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Team E.T.T., S.A.U.</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Spain</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Innovative Talent Solutions S.L.U.</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Spain</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Solutions, S.L.U.</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Spain</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Management Spain, S.L.U.</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Spain</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Elan IT Resource 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&amp; Jefferson Wells 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EL &amp; Tele 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Matchning 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Student 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Solutions 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Solutions IT 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Management Sweden 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AG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Switzerland</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Schweiz AG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Switzerland</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AG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Switzerland</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Switzerland</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Talent Solutions ManpowerGroup AG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Switzerland</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Services (Taiwan) Co.,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Taiwan</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HR Power Solution Co.,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Thailand</w:t>
            </w:r>
          </w:p>
        </w:tc>
      </w:tr>
      <w:tr>
        <w:trPr/>
        <w:tc>
          <w:tcPr>
            <w:tcW w:w="50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Borderless Talent Solutions Recruitment Co.,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Thailand</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Professional and Executive Recruitment Co.,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Thailand</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Skillpower Services (Thailand) Co.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Thailand</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Insan Kaynaklari Limited Sirketi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Turkey</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Secme ve Yerlestirme Hizmetleri Limited Sirketi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Turkey</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Middle East FZ-LLC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UAE</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Middle East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UAE</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777 Recruitment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Bafin Holdings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Brook Street (UK)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Brook Street Bureau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BS Project Services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Comsys VMS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Finance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Group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Resource Support Services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Jefferson Wells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21</w:t>
      </w:r>
    </w:p>
    <w:tbl>
      <w:tblPr>
        <w:tblW w:w="5578" w:type="dxa"/>
        <w:jc w:val="left"/>
        <w:tblInd w:w="0" w:type="dxa"/>
        <w:tblLayout w:type="fixed"/>
        <w:tblCellMar>
          <w:top w:w="28" w:type="dxa"/>
          <w:left w:w="28" w:type="dxa"/>
          <w:bottom w:w="28" w:type="dxa"/>
          <w:right w:w="28" w:type="dxa"/>
        </w:tblCellMar>
      </w:tblPr>
      <w:tblGrid>
        <w:gridCol w:w="3916"/>
        <w:gridCol w:w="146"/>
        <w:gridCol w:w="151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Juice Resource Solutions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Holdings (UK)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IT Services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Nominees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Services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UK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(Scot) LP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Digital Holdings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Scotland LLP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UK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Nicholas Andrews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People Source Consulting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People Source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Management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RMC EMEA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SJB Corporate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SJB Services UK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Empower Group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Volaris Exec Recruitment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Aris Sociedad Anonima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Uruguay</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Public Sector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de Venezuela C.A.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Venezuela</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Empresa de Trabajo Temporal, C.A.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Venezuela</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Servicios Alleray, C.A.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Venezuela</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Vietnam Company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Vietnam</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Experis US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 Nominees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Global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ManpowerGroup Mexico Holdings LLC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US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 Graphics of Milwaukee,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45" w:name="man-ex23_1.htm"/>
      <w:bookmarkStart w:id="46" w:name="ksmanex23_1"/>
      <w:bookmarkEnd w:id="45"/>
      <w:bookmarkEnd w:id="46"/>
      <w:r>
        <w:rPr>
          <w:rFonts w:ascii="Times New Roman" w:hAnsi="Times New Roman"/>
          <w:color w:val="000000"/>
          <w:sz w:val="24"/>
        </w:rPr>
        <w:t>Exhibt 23.1</w:t>
      </w:r>
      <w:r>
        <w:br w:type="page"/>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CONSENT OF INDEPENDENT REGISTERED PUBLIC ACCOUNTING FIRM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consent to the incorporation by reference in Registration Statement Nos. 33-40441, 333-1040, 333-105205, 333-126703, 333-135000, 333-161765, 333-174305, 333-195833, and 333-238801 on Form S-8 and Registration Nos. 333-650 and 33-95896 on Form S-4 of our reports dated February 16, 2024, relating to the consolidated financial statements and consolidated financial statement schedule of ManpowerGroup Inc. and subsidiaries (the “Company”), and the effectiveness of the Company’s internal control over financial reporting, appearing in this Annual Report on Form 10-K of ManpowerGroup Inc. for the year ended December 31, 2023. </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rFonts w:ascii="Times New Roman" w:hAnsi="Times New Roman"/>
          <w:color w:val="000000"/>
          <w:sz w:val="20"/>
        </w:rPr>
      </w:pPr>
      <w:r>
        <w:rPr>
          <w:rFonts w:ascii="Times New Roman" w:hAnsi="Times New Roman"/>
          <w:color w:val="000000"/>
          <w:sz w:val="20"/>
        </w:rPr>
        <w:t>Milwaukee, Wisconsin</w:t>
      </w:r>
    </w:p>
    <w:p>
      <w:pPr>
        <w:pStyle w:val="TextBody"/>
        <w:bidi w:val="0"/>
        <w:jc w:val="left"/>
        <w:rPr>
          <w:rFonts w:ascii="Times New Roman" w:hAnsi="Times New Roman"/>
          <w:color w:val="000000"/>
          <w:sz w:val="20"/>
        </w:rPr>
      </w:pPr>
      <w:r>
        <w:rPr>
          <w:rFonts w:ascii="Times New Roman" w:hAnsi="Times New Roman"/>
          <w:color w:val="000000"/>
          <w:sz w:val="20"/>
        </w:rPr>
        <w:t>February 16, 2024</w:t>
      </w:r>
    </w:p>
    <w:p>
      <w:pPr>
        <w:pStyle w:val="TextBody"/>
        <w:bidi w:val="0"/>
        <w:spacing w:before="20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47" w:name="man-ex24.htm"/>
      <w:bookmarkStart w:id="48" w:name="ksmanex24"/>
      <w:bookmarkEnd w:id="47"/>
      <w:bookmarkEnd w:id="48"/>
      <w:r>
        <w:rPr>
          <w:rFonts w:ascii="Times New Roman" w:hAnsi="Times New Roman"/>
          <w:color w:val="000000"/>
          <w:sz w:val="24"/>
        </w:rPr>
        <w:t>Exhibit 24</w:t>
      </w:r>
      <w:r>
        <w:br w:type="page"/>
      </w:r>
    </w:p>
    <w:p>
      <w:pPr>
        <w:pStyle w:val="TextBody"/>
        <w:bidi w:val="0"/>
        <w:jc w:val="both"/>
        <w:rPr/>
      </w:pPr>
      <w:r>
        <w:rPr/>
        <w:t> </w:t>
      </w:r>
    </w:p>
    <w:p>
      <w:pPr>
        <w:pStyle w:val="TextBody"/>
        <w:bidi w:val="0"/>
        <w:jc w:val="center"/>
        <w:rPr>
          <w:rFonts w:ascii="Arial" w:hAnsi="Arial"/>
          <w:b/>
          <w:color w:val="000000"/>
          <w:sz w:val="20"/>
        </w:rPr>
      </w:pPr>
      <w:r>
        <w:rPr>
          <w:rFonts w:ascii="Arial" w:hAnsi="Arial"/>
          <w:b/>
          <w:color w:val="000000"/>
          <w:sz w:val="20"/>
        </w:rPr>
        <w:t>POWER OF ATTORNEY FOR ANNUAL REPORT ON FORM 10-K</w:t>
      </w:r>
    </w:p>
    <w:p>
      <w:pPr>
        <w:pStyle w:val="TextBody"/>
        <w:bidi w:val="0"/>
        <w:jc w:val="both"/>
        <w:rPr/>
      </w:pPr>
      <w:r>
        <w:rPr/>
        <w:t> </w:t>
      </w:r>
    </w:p>
    <w:p>
      <w:pPr>
        <w:pStyle w:val="TextBody"/>
        <w:bidi w:val="0"/>
        <w:jc w:val="both"/>
        <w:rPr/>
      </w:pPr>
      <w:r>
        <w:rPr/>
        <w:t> </w:t>
      </w:r>
    </w:p>
    <w:p>
      <w:pPr>
        <w:pStyle w:val="TextBody"/>
        <w:bidi w:val="0"/>
        <w:jc w:val="left"/>
        <w:rPr>
          <w:rFonts w:ascii="Arial" w:hAnsi="Arial"/>
          <w:color w:val="000000"/>
          <w:sz w:val="20"/>
        </w:rPr>
      </w:pPr>
      <w:r>
        <w:rPr>
          <w:rFonts w:ascii="Arial" w:hAnsi="Arial"/>
          <w:color w:val="000000"/>
          <w:sz w:val="20"/>
        </w:rPr>
        <w:t>Each of the undersigned directors of ManpowerGroup Inc. (the “Company”) hereby constitutes and appoints Jonas Prising, John T. McGinnis and Richard Buchband,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Company the Annual Report on Form 10-K for the Company’s fiscal year ended December 31, 2023,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pStyle w:val="TextBody"/>
        <w:bidi w:val="0"/>
        <w:jc w:val="left"/>
        <w:rPr>
          <w:rFonts w:ascii="Times New Roman" w:hAnsi="Times New Roman"/>
          <w:sz w:val="20"/>
        </w:rPr>
      </w:pPr>
      <w:r>
        <w:rPr>
          <w:rFonts w:ascii="Arial" w:hAnsi="Arial"/>
          <w:color w:val="000000"/>
          <w:sz w:val="20"/>
        </w:rPr>
        <w:t>IN WITNESS WHEREOF, the undersigned have each executed this Power of Attorney for Annual Report on Form 10-K, on one or more counterparts, as of the 24</w:t>
      </w:r>
      <w:r>
        <w:rPr>
          <w:rFonts w:ascii="Arial" w:hAnsi="Arial"/>
          <w:color w:val="000000"/>
          <w:sz w:val="13"/>
        </w:rPr>
        <w:t>th</w:t>
      </w:r>
      <w:r>
        <w:rPr>
          <w:rFonts w:ascii="Times New Roman" w:hAnsi="Times New Roman"/>
          <w:color w:val="000000"/>
          <w:sz w:val="20"/>
        </w:rPr>
        <w:t xml:space="preserve"> </w:t>
      </w:r>
      <w:r>
        <w:rPr>
          <w:rFonts w:ascii="Arial" w:hAnsi="Arial"/>
          <w:color w:val="000000"/>
          <w:sz w:val="20"/>
        </w:rPr>
        <w:t>day of January, 2024.</w:t>
      </w:r>
    </w:p>
    <w:p>
      <w:pPr>
        <w:pStyle w:val="TextBody"/>
        <w:bidi w:val="0"/>
        <w:spacing w:before="0" w:after="140"/>
        <w:jc w:val="both"/>
        <w:rPr/>
      </w:pPr>
      <w:r>
        <w:rPr/>
        <w:t> </w:t>
      </w:r>
    </w:p>
    <w:p>
      <w:pPr>
        <w:pStyle w:val="TextBody"/>
        <w:bidi w:val="0"/>
        <w:spacing w:before="0" w:after="140"/>
        <w:jc w:val="both"/>
        <w:rPr/>
      </w:pPr>
      <w:r>
        <w:rPr/>
        <w:t> </w:t>
      </w:r>
    </w:p>
    <w:tbl>
      <w:tblPr>
        <w:tblW w:w="9276" w:type="dxa"/>
        <w:jc w:val="left"/>
        <w:tblInd w:w="0" w:type="dxa"/>
        <w:tblLayout w:type="fixed"/>
        <w:tblCellMar>
          <w:top w:w="28" w:type="dxa"/>
          <w:left w:w="28" w:type="dxa"/>
          <w:bottom w:w="28" w:type="dxa"/>
          <w:right w:w="28" w:type="dxa"/>
        </w:tblCellMar>
      </w:tblPr>
      <w:tblGrid>
        <w:gridCol w:w="161"/>
        <w:gridCol w:w="2506"/>
        <w:gridCol w:w="146"/>
        <w:gridCol w:w="4314"/>
        <w:gridCol w:w="2149"/>
      </w:tblGrid>
      <w:tr>
        <w:trPr/>
        <w:tc>
          <w:tcPr>
            <w:tcW w:w="16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4"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bottom w:val="single" w:sz="12"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Jean-Philippe Courtois</w:t>
            </w:r>
          </w:p>
        </w:tc>
        <w:tc>
          <w:tcPr>
            <w:tcW w:w="146" w:type="dxa"/>
            <w:tcBorders>
              <w:bottom w:val="single" w:sz="12" w:space="0" w:color="000000"/>
            </w:tcBorders>
            <w:tcMar>
              <w:top w:w="0" w:type="dxa"/>
              <w:left w:w="0" w:type="dxa"/>
              <w:right w:w="0" w:type="dxa"/>
            </w:tcMar>
            <w:vAlign w:val="center"/>
          </w:tcPr>
          <w:p>
            <w:pPr>
              <w:pStyle w:val="TableContents"/>
              <w:bidi w:val="0"/>
              <w:spacing w:before="40" w:after="40"/>
              <w:jc w:val="left"/>
              <w:rPr/>
            </w:pPr>
            <w:r>
              <w:rPr/>
              <w:t> </w:t>
            </w:r>
          </w:p>
        </w:tc>
        <w:tc>
          <w:tcPr>
            <w:tcW w:w="4314" w:type="dxa"/>
            <w:tcBorders>
              <w:bottom w:val="single" w:sz="12"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Ulice Payne, Jr.</w:t>
            </w:r>
          </w:p>
        </w:tc>
        <w:tc>
          <w:tcPr>
            <w:tcW w:w="2149" w:type="dxa"/>
            <w:tcBorders>
              <w:bottom w:val="single" w:sz="12" w:space="0" w:color="000000"/>
            </w:tcBorders>
            <w:tcMar>
              <w:top w:w="0" w:type="dxa"/>
              <w:left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Jean-Philippe Courtois</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314"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Ulice Payne, Jr.</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314" w:type="dxa"/>
            <w:tcBorders/>
            <w:tcMar>
              <w:top w:w="0" w:type="dxa"/>
              <w:left w:w="0" w:type="dxa"/>
              <w:bottom w:w="0" w:type="dxa"/>
              <w:right w:w="0" w:type="dxa"/>
            </w:tcMar>
            <w:vAlign w:val="center"/>
          </w:tcPr>
          <w:p>
            <w:pPr>
              <w:pStyle w:val="TableContents"/>
              <w:bidi w:val="0"/>
              <w:spacing w:before="40" w:after="40"/>
              <w:jc w:val="left"/>
              <w:rPr/>
            </w:pPr>
            <w:r>
              <w:rPr/>
              <w:t> </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314" w:type="dxa"/>
            <w:tcBorders/>
            <w:tcMar>
              <w:top w:w="0" w:type="dxa"/>
              <w:left w:w="0" w:type="dxa"/>
              <w:bottom w:w="0" w:type="dxa"/>
              <w:right w:w="0" w:type="dxa"/>
            </w:tcMar>
            <w:vAlign w:val="center"/>
          </w:tcPr>
          <w:p>
            <w:pPr>
              <w:pStyle w:val="TableContents"/>
              <w:bidi w:val="0"/>
              <w:spacing w:before="40" w:after="40"/>
              <w:jc w:val="left"/>
              <w:rPr/>
            </w:pPr>
            <w:r>
              <w:rPr/>
              <w:t> </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bottom w:val="single" w:sz="12"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William Downe</w:t>
            </w:r>
          </w:p>
        </w:tc>
        <w:tc>
          <w:tcPr>
            <w:tcW w:w="146" w:type="dxa"/>
            <w:tcBorders>
              <w:bottom w:val="single" w:sz="12" w:space="0" w:color="000000"/>
            </w:tcBorders>
            <w:tcMar>
              <w:top w:w="0" w:type="dxa"/>
              <w:left w:w="0" w:type="dxa"/>
              <w:right w:w="0" w:type="dxa"/>
            </w:tcMar>
            <w:vAlign w:val="center"/>
          </w:tcPr>
          <w:p>
            <w:pPr>
              <w:pStyle w:val="TableContents"/>
              <w:bidi w:val="0"/>
              <w:spacing w:before="40" w:after="40"/>
              <w:jc w:val="left"/>
              <w:rPr/>
            </w:pPr>
            <w:r>
              <w:rPr/>
              <w:t> </w:t>
            </w:r>
          </w:p>
        </w:tc>
        <w:tc>
          <w:tcPr>
            <w:tcW w:w="4314" w:type="dxa"/>
            <w:tcBorders>
              <w:bottom w:val="single" w:sz="12"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Muriel Pénicaud</w:t>
            </w:r>
          </w:p>
        </w:tc>
        <w:tc>
          <w:tcPr>
            <w:tcW w:w="2149" w:type="dxa"/>
            <w:tcBorders>
              <w:bottom w:val="single" w:sz="12" w:space="0" w:color="000000"/>
            </w:tcBorders>
            <w:tcMar>
              <w:top w:w="0" w:type="dxa"/>
              <w:left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tcMar>
              <w:top w:w="0" w:type="dxa"/>
              <w:left w:w="0" w:type="dxa"/>
              <w:bottom w:w="0" w:type="dxa"/>
              <w:right w:w="0" w:type="dxa"/>
            </w:tcMar>
            <w:vAlign w:val="center"/>
          </w:tcPr>
          <w:p>
            <w:pPr>
              <w:pStyle w:val="TableContents"/>
              <w:bidi w:val="0"/>
              <w:spacing w:before="40" w:after="40"/>
              <w:jc w:val="left"/>
              <w:rPr>
                <w:color w:val="000000"/>
              </w:rPr>
            </w:pPr>
            <w:r>
              <w:rPr>
                <w:color w:val="000000"/>
              </w:rPr>
              <w:t> </w:t>
            </w:r>
            <w:r>
              <w:rPr>
                <w:rFonts w:ascii="Arial" w:hAnsi="Arial"/>
                <w:color w:val="000000"/>
                <w:sz w:val="20"/>
              </w:rPr>
              <w:t>William Downe</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314"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Muriel Pénicaud</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314" w:type="dxa"/>
            <w:tcBorders/>
            <w:tcMar>
              <w:top w:w="0" w:type="dxa"/>
              <w:left w:w="0" w:type="dxa"/>
              <w:bottom w:w="0" w:type="dxa"/>
              <w:right w:w="0" w:type="dxa"/>
            </w:tcMar>
            <w:vAlign w:val="center"/>
          </w:tcPr>
          <w:p>
            <w:pPr>
              <w:pStyle w:val="TableContents"/>
              <w:bidi w:val="0"/>
              <w:spacing w:before="40" w:after="40"/>
              <w:jc w:val="left"/>
              <w:rPr/>
            </w:pPr>
            <w:r>
              <w:rPr/>
              <w:t> </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314" w:type="dxa"/>
            <w:tcBorders/>
            <w:tcMar>
              <w:top w:w="0" w:type="dxa"/>
              <w:left w:w="0" w:type="dxa"/>
              <w:bottom w:w="0" w:type="dxa"/>
              <w:right w:w="0" w:type="dxa"/>
            </w:tcMar>
            <w:vAlign w:val="center"/>
          </w:tcPr>
          <w:p>
            <w:pPr>
              <w:pStyle w:val="TableContents"/>
              <w:bidi w:val="0"/>
              <w:spacing w:before="40" w:after="40"/>
              <w:jc w:val="left"/>
              <w:rPr/>
            </w:pPr>
            <w:r>
              <w:rPr/>
              <w:t> </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bottom w:val="single" w:sz="12"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John F. Ferraro</w:t>
            </w:r>
          </w:p>
        </w:tc>
        <w:tc>
          <w:tcPr>
            <w:tcW w:w="146" w:type="dxa"/>
            <w:tcBorders>
              <w:bottom w:val="single" w:sz="12" w:space="0" w:color="000000"/>
            </w:tcBorders>
            <w:tcMar>
              <w:top w:w="0" w:type="dxa"/>
              <w:left w:w="0" w:type="dxa"/>
              <w:right w:w="0" w:type="dxa"/>
            </w:tcMar>
            <w:vAlign w:val="center"/>
          </w:tcPr>
          <w:p>
            <w:pPr>
              <w:pStyle w:val="TableContents"/>
              <w:bidi w:val="0"/>
              <w:spacing w:before="40" w:after="40"/>
              <w:jc w:val="left"/>
              <w:rPr/>
            </w:pPr>
            <w:r>
              <w:rPr/>
              <w:t> </w:t>
            </w:r>
          </w:p>
        </w:tc>
        <w:tc>
          <w:tcPr>
            <w:tcW w:w="4314" w:type="dxa"/>
            <w:tcBorders>
              <w:bottom w:val="single" w:sz="12"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Jonas Prising</w:t>
            </w:r>
          </w:p>
        </w:tc>
        <w:tc>
          <w:tcPr>
            <w:tcW w:w="2149" w:type="dxa"/>
            <w:tcBorders>
              <w:bottom w:val="single" w:sz="12" w:space="0" w:color="000000"/>
            </w:tcBorders>
            <w:tcMar>
              <w:top w:w="0" w:type="dxa"/>
              <w:left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John F. Ferraro</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314"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Jonas Prising</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314" w:type="dxa"/>
            <w:tcBorders/>
            <w:tcMar>
              <w:top w:w="0" w:type="dxa"/>
              <w:left w:w="0" w:type="dxa"/>
              <w:bottom w:w="0" w:type="dxa"/>
              <w:right w:w="0" w:type="dxa"/>
            </w:tcMar>
            <w:vAlign w:val="center"/>
          </w:tcPr>
          <w:p>
            <w:pPr>
              <w:pStyle w:val="TableContents"/>
              <w:bidi w:val="0"/>
              <w:spacing w:before="40" w:after="40"/>
              <w:jc w:val="left"/>
              <w:rPr/>
            </w:pPr>
            <w:r>
              <w:rPr/>
              <w:t> </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314" w:type="dxa"/>
            <w:tcBorders/>
            <w:tcMar>
              <w:top w:w="0" w:type="dxa"/>
              <w:left w:w="0" w:type="dxa"/>
              <w:bottom w:w="0" w:type="dxa"/>
              <w:right w:w="0" w:type="dxa"/>
            </w:tcMar>
            <w:vAlign w:val="center"/>
          </w:tcPr>
          <w:p>
            <w:pPr>
              <w:pStyle w:val="TableContents"/>
              <w:bidi w:val="0"/>
              <w:spacing w:before="40" w:after="40"/>
              <w:jc w:val="left"/>
              <w:rPr/>
            </w:pPr>
            <w:r>
              <w:rPr/>
              <w:t> </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bottom w:val="single" w:sz="12"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William P. Gipson</w:t>
            </w:r>
          </w:p>
        </w:tc>
        <w:tc>
          <w:tcPr>
            <w:tcW w:w="146" w:type="dxa"/>
            <w:tcBorders>
              <w:bottom w:val="single" w:sz="12" w:space="0" w:color="000000"/>
            </w:tcBorders>
            <w:tcMar>
              <w:top w:w="0" w:type="dxa"/>
              <w:left w:w="0" w:type="dxa"/>
              <w:right w:w="0" w:type="dxa"/>
            </w:tcMar>
            <w:vAlign w:val="center"/>
          </w:tcPr>
          <w:p>
            <w:pPr>
              <w:pStyle w:val="TableContents"/>
              <w:bidi w:val="0"/>
              <w:spacing w:before="40" w:after="40"/>
              <w:jc w:val="left"/>
              <w:rPr/>
            </w:pPr>
            <w:r>
              <w:rPr/>
              <w:t> </w:t>
            </w:r>
          </w:p>
        </w:tc>
        <w:tc>
          <w:tcPr>
            <w:tcW w:w="4314" w:type="dxa"/>
            <w:tcBorders>
              <w:bottom w:val="single" w:sz="12"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Paul Read</w:t>
            </w:r>
          </w:p>
        </w:tc>
        <w:tc>
          <w:tcPr>
            <w:tcW w:w="2149" w:type="dxa"/>
            <w:tcBorders>
              <w:bottom w:val="single" w:sz="12" w:space="0" w:color="000000"/>
            </w:tcBorders>
            <w:tcMar>
              <w:top w:w="0" w:type="dxa"/>
              <w:left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William P. Gipson</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314"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Paul Read</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314" w:type="dxa"/>
            <w:tcBorders/>
            <w:tcMar>
              <w:top w:w="0" w:type="dxa"/>
              <w:left w:w="0" w:type="dxa"/>
              <w:bottom w:w="0" w:type="dxa"/>
              <w:right w:w="0" w:type="dxa"/>
            </w:tcMar>
            <w:vAlign w:val="center"/>
          </w:tcPr>
          <w:p>
            <w:pPr>
              <w:pStyle w:val="TableContents"/>
              <w:bidi w:val="0"/>
              <w:spacing w:before="40" w:after="40"/>
              <w:jc w:val="left"/>
              <w:rPr/>
            </w:pPr>
            <w:r>
              <w:rPr/>
              <w:t> </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314" w:type="dxa"/>
            <w:tcBorders/>
            <w:tcMar>
              <w:top w:w="0" w:type="dxa"/>
              <w:left w:w="0" w:type="dxa"/>
              <w:bottom w:w="0" w:type="dxa"/>
              <w:right w:w="0" w:type="dxa"/>
            </w:tcMar>
            <w:vAlign w:val="center"/>
          </w:tcPr>
          <w:p>
            <w:pPr>
              <w:pStyle w:val="TableContents"/>
              <w:bidi w:val="0"/>
              <w:spacing w:before="40" w:after="40"/>
              <w:jc w:val="left"/>
              <w:rPr/>
            </w:pPr>
            <w:r>
              <w:rPr/>
              <w:t> </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bottom w:val="single" w:sz="12"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Patricia Hemingway Hall</w:t>
            </w:r>
          </w:p>
        </w:tc>
        <w:tc>
          <w:tcPr>
            <w:tcW w:w="146" w:type="dxa"/>
            <w:tcBorders>
              <w:bottom w:val="single" w:sz="12" w:space="0" w:color="000000"/>
            </w:tcBorders>
            <w:tcMar>
              <w:top w:w="0" w:type="dxa"/>
              <w:left w:w="0" w:type="dxa"/>
              <w:right w:w="0" w:type="dxa"/>
            </w:tcMar>
            <w:vAlign w:val="center"/>
          </w:tcPr>
          <w:p>
            <w:pPr>
              <w:pStyle w:val="TableContents"/>
              <w:bidi w:val="0"/>
              <w:spacing w:before="40" w:after="40"/>
              <w:jc w:val="left"/>
              <w:rPr/>
            </w:pPr>
            <w:r>
              <w:rPr/>
              <w:t> </w:t>
            </w:r>
          </w:p>
        </w:tc>
        <w:tc>
          <w:tcPr>
            <w:tcW w:w="4314" w:type="dxa"/>
            <w:tcBorders>
              <w:bottom w:val="single" w:sz="12"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Elizabeth P. Sartain</w:t>
            </w:r>
          </w:p>
        </w:tc>
        <w:tc>
          <w:tcPr>
            <w:tcW w:w="2149" w:type="dxa"/>
            <w:tcBorders>
              <w:bottom w:val="single" w:sz="12" w:space="0" w:color="000000"/>
            </w:tcBorders>
            <w:tcMar>
              <w:top w:w="0" w:type="dxa"/>
              <w:left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Patricia Hemingway Hall</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314" w:type="dxa"/>
            <w:tcBorders/>
            <w:tcMar>
              <w:top w:w="0" w:type="dxa"/>
              <w:left w:w="0" w:type="dxa"/>
              <w:bottom w:w="0" w:type="dxa"/>
              <w:right w:w="0" w:type="dxa"/>
            </w:tcMar>
            <w:vAlign w:val="center"/>
          </w:tcPr>
          <w:p>
            <w:pPr>
              <w:pStyle w:val="TableContents"/>
              <w:bidi w:val="0"/>
              <w:spacing w:before="40" w:after="40"/>
              <w:ind w:left="0" w:right="0" w:firstLine="1958"/>
              <w:jc w:val="left"/>
              <w:rPr>
                <w:rFonts w:ascii="Arial" w:hAnsi="Arial"/>
                <w:color w:val="000000"/>
                <w:sz w:val="20"/>
              </w:rPr>
            </w:pPr>
            <w:r>
              <w:rPr>
                <w:rFonts w:ascii="Arial" w:hAnsi="Arial"/>
                <w:color w:val="000000"/>
                <w:sz w:val="20"/>
              </w:rPr>
              <w:t>Elizabeth P. Sartain</w:t>
            </w:r>
          </w:p>
        </w:tc>
        <w:tc>
          <w:tcPr>
            <w:tcW w:w="2149" w:type="dxa"/>
            <w:tcBorders/>
            <w:tcMar>
              <w:top w:w="0" w:type="dxa"/>
              <w:left w:w="0" w:type="dxa"/>
              <w:bottom w:w="0" w:type="dxa"/>
              <w:right w:w="0" w:type="dxa"/>
            </w:tcMar>
            <w:vAlign w:val="center"/>
          </w:tcPr>
          <w:p>
            <w:pPr>
              <w:pStyle w:val="TableContents"/>
              <w:bidi w:val="0"/>
              <w:spacing w:before="40" w:after="40"/>
              <w:ind w:left="1958" w:right="0" w:firstLine="1958"/>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314" w:type="dxa"/>
            <w:tcBorders/>
            <w:tcMar>
              <w:top w:w="0" w:type="dxa"/>
              <w:left w:w="0" w:type="dxa"/>
              <w:bottom w:w="0" w:type="dxa"/>
              <w:right w:w="0" w:type="dxa"/>
            </w:tcMar>
            <w:vAlign w:val="center"/>
          </w:tcPr>
          <w:p>
            <w:pPr>
              <w:pStyle w:val="TableContents"/>
              <w:bidi w:val="0"/>
              <w:spacing w:before="40" w:after="40"/>
              <w:ind w:left="0" w:right="0" w:firstLine="1958"/>
              <w:jc w:val="left"/>
              <w:rPr/>
            </w:pPr>
            <w:r>
              <w:rPr/>
              <w:t> </w:t>
            </w:r>
          </w:p>
        </w:tc>
        <w:tc>
          <w:tcPr>
            <w:tcW w:w="2149" w:type="dxa"/>
            <w:tcBorders/>
            <w:tcMar>
              <w:top w:w="0" w:type="dxa"/>
              <w:left w:w="0" w:type="dxa"/>
              <w:bottom w:w="0" w:type="dxa"/>
              <w:right w:w="0" w:type="dxa"/>
            </w:tcMar>
            <w:vAlign w:val="center"/>
          </w:tcPr>
          <w:p>
            <w:pPr>
              <w:pStyle w:val="TableContents"/>
              <w:bidi w:val="0"/>
              <w:spacing w:before="40" w:after="40"/>
              <w:ind w:left="1958" w:right="0" w:firstLine="1958"/>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314" w:type="dxa"/>
            <w:tcBorders/>
            <w:tcMar>
              <w:top w:w="0" w:type="dxa"/>
              <w:left w:w="0" w:type="dxa"/>
              <w:bottom w:w="0" w:type="dxa"/>
              <w:right w:w="0" w:type="dxa"/>
            </w:tcMar>
            <w:vAlign w:val="center"/>
          </w:tcPr>
          <w:p>
            <w:pPr>
              <w:pStyle w:val="TableContents"/>
              <w:bidi w:val="0"/>
              <w:spacing w:before="40" w:after="40"/>
              <w:ind w:left="0" w:right="0" w:firstLine="1958"/>
              <w:jc w:val="left"/>
              <w:rPr/>
            </w:pPr>
            <w:r>
              <w:rPr/>
              <w:t> </w:t>
            </w:r>
          </w:p>
        </w:tc>
        <w:tc>
          <w:tcPr>
            <w:tcW w:w="2149" w:type="dxa"/>
            <w:tcBorders/>
            <w:tcMar>
              <w:top w:w="0" w:type="dxa"/>
              <w:left w:w="0" w:type="dxa"/>
              <w:bottom w:w="0" w:type="dxa"/>
              <w:right w:w="0" w:type="dxa"/>
            </w:tcMar>
            <w:vAlign w:val="center"/>
          </w:tcPr>
          <w:p>
            <w:pPr>
              <w:pStyle w:val="TableContents"/>
              <w:bidi w:val="0"/>
              <w:spacing w:before="40" w:after="40"/>
              <w:ind w:left="1958" w:right="0" w:firstLine="1958"/>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bottom w:val="single" w:sz="4"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Julie M. Howard</w:t>
            </w:r>
          </w:p>
        </w:tc>
        <w:tc>
          <w:tcPr>
            <w:tcW w:w="146" w:type="dxa"/>
            <w:tcBorders>
              <w:bottom w:val="single" w:sz="4" w:space="0" w:color="000000"/>
            </w:tcBorders>
            <w:tcMar>
              <w:top w:w="0" w:type="dxa"/>
              <w:left w:w="0" w:type="dxa"/>
              <w:right w:w="0" w:type="dxa"/>
            </w:tcMar>
            <w:vAlign w:val="center"/>
          </w:tcPr>
          <w:p>
            <w:pPr>
              <w:pStyle w:val="TableContents"/>
              <w:bidi w:val="0"/>
              <w:spacing w:before="40" w:after="40"/>
              <w:jc w:val="left"/>
              <w:rPr/>
            </w:pPr>
            <w:r>
              <w:rPr/>
              <w:t> </w:t>
            </w:r>
          </w:p>
        </w:tc>
        <w:tc>
          <w:tcPr>
            <w:tcW w:w="4314" w:type="dxa"/>
            <w:tcBorders>
              <w:bottom w:val="single" w:sz="4" w:space="0" w:color="000000"/>
            </w:tcBorders>
            <w:tcMar>
              <w:top w:w="0" w:type="dxa"/>
              <w:left w:w="0" w:type="dxa"/>
              <w:right w:w="0" w:type="dxa"/>
            </w:tcMar>
            <w:vAlign w:val="center"/>
          </w:tcPr>
          <w:p>
            <w:pPr>
              <w:pStyle w:val="TableContents"/>
              <w:bidi w:val="0"/>
              <w:spacing w:before="40" w:after="40"/>
              <w:ind w:left="0" w:right="0" w:firstLine="1958"/>
              <w:jc w:val="left"/>
              <w:rPr>
                <w:rFonts w:ascii="Arial" w:hAnsi="Arial"/>
                <w:color w:val="000000"/>
                <w:sz w:val="20"/>
              </w:rPr>
            </w:pPr>
            <w:r>
              <w:rPr>
                <w:rFonts w:ascii="Arial" w:hAnsi="Arial"/>
                <w:color w:val="000000"/>
                <w:sz w:val="20"/>
              </w:rPr>
              <w:t>/s/ Michael J. Van Handel</w:t>
            </w:r>
          </w:p>
        </w:tc>
        <w:tc>
          <w:tcPr>
            <w:tcW w:w="2149" w:type="dxa"/>
            <w:tcBorders>
              <w:bottom w:val="single" w:sz="4" w:space="0" w:color="000000"/>
            </w:tcBorders>
            <w:tcMar>
              <w:top w:w="0" w:type="dxa"/>
              <w:left w:w="0" w:type="dxa"/>
              <w:right w:w="0" w:type="dxa"/>
            </w:tcMar>
            <w:vAlign w:val="center"/>
          </w:tcPr>
          <w:p>
            <w:pPr>
              <w:pStyle w:val="TableContents"/>
              <w:bidi w:val="0"/>
              <w:spacing w:before="40" w:after="40"/>
              <w:ind w:left="1958" w:right="0" w:firstLine="1958"/>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506"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Julie M. Howard</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314" w:type="dxa"/>
            <w:tcBorders/>
            <w:tcMar>
              <w:top w:w="0" w:type="dxa"/>
              <w:left w:w="0" w:type="dxa"/>
              <w:bottom w:w="0" w:type="dxa"/>
              <w:right w:w="0" w:type="dxa"/>
            </w:tcMar>
            <w:vAlign w:val="center"/>
          </w:tcPr>
          <w:p>
            <w:pPr>
              <w:pStyle w:val="TableContents"/>
              <w:bidi w:val="0"/>
              <w:spacing w:before="40" w:after="40"/>
              <w:ind w:left="0" w:right="0" w:firstLine="1958"/>
              <w:jc w:val="left"/>
              <w:rPr>
                <w:rFonts w:ascii="Arial" w:hAnsi="Arial"/>
                <w:color w:val="000000"/>
                <w:sz w:val="20"/>
              </w:rPr>
            </w:pPr>
            <w:r>
              <w:rPr>
                <w:rFonts w:ascii="Arial" w:hAnsi="Arial"/>
                <w:color w:val="000000"/>
                <w:sz w:val="20"/>
              </w:rPr>
              <w:t>Michael J. Van Handel</w:t>
            </w:r>
          </w:p>
        </w:tc>
        <w:tc>
          <w:tcPr>
            <w:tcW w:w="2149" w:type="dxa"/>
            <w:tcBorders/>
            <w:tcMar>
              <w:top w:w="0" w:type="dxa"/>
              <w:left w:w="0" w:type="dxa"/>
              <w:bottom w:w="0" w:type="dxa"/>
              <w:right w:w="0" w:type="dxa"/>
            </w:tcMar>
            <w:vAlign w:val="center"/>
          </w:tcPr>
          <w:p>
            <w:pPr>
              <w:pStyle w:val="TableContents"/>
              <w:bidi w:val="0"/>
              <w:spacing w:before="40" w:after="40"/>
              <w:ind w:left="1958" w:right="0" w:firstLine="1958"/>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49" w:name="man-ex31_1.htm"/>
      <w:bookmarkStart w:id="50" w:name="ksmanex31_1"/>
      <w:bookmarkEnd w:id="49"/>
      <w:bookmarkEnd w:id="50"/>
      <w:r>
        <w:rPr>
          <w:rFonts w:ascii="Times New Roman" w:hAnsi="Times New Roman"/>
          <w:color w:val="000000"/>
          <w:sz w:val="24"/>
        </w:rPr>
        <w:t>Exhibit 31.1</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Jonas Prising, Chairman and Chief Executive Officer of ManpowerGroup Inc.,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ManpowerGroup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417" w:type="dxa"/>
        <w:jc w:val="left"/>
        <w:tblInd w:w="0" w:type="dxa"/>
        <w:tblLayout w:type="fixed"/>
        <w:tblCellMar>
          <w:top w:w="28" w:type="dxa"/>
          <w:left w:w="28" w:type="dxa"/>
          <w:bottom w:w="28" w:type="dxa"/>
          <w:right w:w="28" w:type="dxa"/>
        </w:tblCellMar>
      </w:tblPr>
      <w:tblGrid>
        <w:gridCol w:w="3226"/>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February 16, 2024</w:t>
            </w:r>
          </w:p>
        </w:tc>
        <w:tc>
          <w:tcPr>
            <w:tcW w:w="191" w:type="dxa"/>
            <w:tcBorders/>
            <w:vAlign w:val="center"/>
          </w:tcPr>
          <w:p>
            <w:pPr>
              <w:pStyle w:val="TableContents"/>
              <w:bidi w:val="0"/>
              <w:spacing w:before="0" w:after="283"/>
              <w:jc w:val="left"/>
              <w:rPr/>
            </w:pPr>
            <w:r>
              <w:rPr/>
              <w:t> </w:t>
            </w:r>
          </w:p>
        </w:tc>
      </w:tr>
      <w:tr>
        <w:trPr/>
        <w:tc>
          <w:tcPr>
            <w:tcW w:w="322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Jonas Prising</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Jonas Prising</w:t>
            </w:r>
          </w:p>
        </w:tc>
        <w:tc>
          <w:tcPr>
            <w:tcW w:w="191" w:type="dxa"/>
            <w:tcBorders/>
            <w:vAlign w:val="center"/>
          </w:tcPr>
          <w:p>
            <w:pPr>
              <w:pStyle w:val="TableContents"/>
              <w:bidi w:val="0"/>
              <w:spacing w:before="0" w:after="283"/>
              <w:jc w:val="left"/>
              <w:rPr/>
            </w:pPr>
            <w:r>
              <w:rPr/>
              <w:t> </w:t>
            </w:r>
          </w:p>
        </w:tc>
      </w:tr>
      <w:tr>
        <w:trPr/>
        <w:tc>
          <w:tcPr>
            <w:tcW w:w="3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51" w:name="man-ex31_2.htm"/>
      <w:bookmarkStart w:id="52" w:name="ksmanex31_2"/>
      <w:bookmarkEnd w:id="51"/>
      <w:bookmarkEnd w:id="52"/>
      <w:r>
        <w:rPr>
          <w:rFonts w:ascii="Times New Roman" w:hAnsi="Times New Roman"/>
          <w:color w:val="000000"/>
          <w:sz w:val="24"/>
        </w:rPr>
        <w:t>Exhibit 31.2</w:t>
      </w:r>
      <w:r>
        <w:br w:type="page"/>
      </w:r>
    </w:p>
    <w:p>
      <w:pPr>
        <w:pStyle w:val="TextBody"/>
        <w:bidi w:val="0"/>
        <w:jc w:val="righ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John T. McGinnis, Executive Vice President and Chief Financial Officer of ManpowerGroup Inc.,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ManpowerGroup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602" w:type="dxa"/>
        <w:jc w:val="left"/>
        <w:tblInd w:w="0" w:type="dxa"/>
        <w:tblLayout w:type="fixed"/>
        <w:tblCellMar>
          <w:top w:w="28" w:type="dxa"/>
          <w:left w:w="28" w:type="dxa"/>
          <w:bottom w:w="28" w:type="dxa"/>
          <w:right w:w="28" w:type="dxa"/>
        </w:tblCellMar>
      </w:tblPr>
      <w:tblGrid>
        <w:gridCol w:w="4411"/>
        <w:gridCol w:w="191"/>
      </w:tblGrid>
      <w:tr>
        <w:trPr/>
        <w:tc>
          <w:tcPr>
            <w:tcW w:w="44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February 16, 2024</w:t>
            </w:r>
          </w:p>
        </w:tc>
        <w:tc>
          <w:tcPr>
            <w:tcW w:w="191"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44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T. McGinnis</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T. McGinnis</w:t>
            </w:r>
          </w:p>
        </w:tc>
        <w:tc>
          <w:tcPr>
            <w:tcW w:w="191" w:type="dxa"/>
            <w:tcBorders/>
            <w:vAlign w:val="center"/>
          </w:tcPr>
          <w:p>
            <w:pPr>
              <w:pStyle w:val="TableContents"/>
              <w:bidi w:val="0"/>
              <w:spacing w:before="0" w:after="283"/>
              <w:jc w:val="left"/>
              <w:rPr/>
            </w:pPr>
            <w:r>
              <w:rPr/>
              <w:t> </w:t>
            </w:r>
          </w:p>
        </w:tc>
      </w:tr>
      <w:tr>
        <w:trPr/>
        <w:tc>
          <w:tcPr>
            <w:tcW w:w="44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53" w:name="man-ex32_1.htm"/>
      <w:bookmarkStart w:id="54" w:name="ksmanex32_1"/>
      <w:bookmarkEnd w:id="53"/>
      <w:bookmarkEnd w:id="54"/>
      <w:r>
        <w:rPr>
          <w:rFonts w:ascii="Times New Roman" w:hAnsi="Times New Roman"/>
          <w:color w:val="000000"/>
          <w:sz w:val="24"/>
        </w:rPr>
        <w:t>Exhibit 32.1</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STATEMENT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ss. 906 of the Sarbanes-Oxley Act of 2002, 18 U.S.C. ss. 1350, the undersigned officer of ManpowerGroup Inc. (the “Company”), hereby certifies that to his knowledge: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Annual Report on Form 10-K for the year ended December 31, 2023 fully complies with the requirements of Section 13(a) or 15(d), as applicable, of the Securities Exchange Act of 1934,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283"/>
              <w:jc w:val="left"/>
              <w:rPr>
                <w:sz w:val="4"/>
                <w:szCs w:val="4"/>
              </w:rPr>
            </w:pPr>
            <w:r>
              <w:rPr>
                <w:sz w:val="4"/>
                <w:szCs w:val="4"/>
              </w:rPr>
            </w:r>
          </w:p>
        </w:tc>
      </w:tr>
      <w:tr>
        <w:trPr/>
        <w:tc>
          <w:tcPr>
            <w:tcW w:w="32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INC.</w:t>
            </w:r>
          </w:p>
        </w:tc>
      </w:tr>
      <w:tr>
        <w:trPr/>
        <w:tc>
          <w:tcPr>
            <w:tcW w:w="3271" w:type="dxa"/>
            <w:tcBorders/>
            <w:vAlign w:val="center"/>
          </w:tcPr>
          <w:p>
            <w:pPr>
              <w:pStyle w:val="TableContents"/>
              <w:bidi w:val="0"/>
              <w:spacing w:before="0" w:after="283"/>
              <w:jc w:val="left"/>
              <w:rPr>
                <w:sz w:val="4"/>
                <w:szCs w:val="4"/>
              </w:rPr>
            </w:pPr>
            <w:r>
              <w:rPr>
                <w:sz w:val="4"/>
                <w:szCs w:val="4"/>
              </w:rPr>
            </w:r>
          </w:p>
        </w:tc>
      </w:tr>
      <w:tr>
        <w:trPr/>
        <w:tc>
          <w:tcPr>
            <w:tcW w:w="32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February 16, 2024</w:t>
            </w:r>
          </w:p>
        </w:tc>
      </w:tr>
      <w:tr>
        <w:trPr/>
        <w:tc>
          <w:tcPr>
            <w:tcW w:w="3271" w:type="dxa"/>
            <w:tcBorders/>
            <w:vAlign w:val="center"/>
          </w:tcPr>
          <w:p>
            <w:pPr>
              <w:pStyle w:val="TableContents"/>
              <w:bidi w:val="0"/>
              <w:spacing w:before="0" w:after="283"/>
              <w:jc w:val="left"/>
              <w:rPr>
                <w:sz w:val="4"/>
                <w:szCs w:val="4"/>
              </w:rPr>
            </w:pPr>
            <w:r>
              <w:rPr>
                <w:sz w:val="4"/>
                <w:szCs w:val="4"/>
              </w:rPr>
            </w:r>
          </w:p>
        </w:tc>
      </w:tr>
      <w:tr>
        <w:trPr/>
        <w:tc>
          <w:tcPr>
            <w:tcW w:w="32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Jonas Prising</w:t>
            </w:r>
          </w:p>
        </w:tc>
      </w:tr>
      <w:tr>
        <w:trPr/>
        <w:tc>
          <w:tcPr>
            <w:tcW w:w="32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Jonas Prising</w:t>
            </w:r>
          </w:p>
        </w:tc>
      </w:tr>
      <w:tr>
        <w:trPr/>
        <w:tc>
          <w:tcPr>
            <w:tcW w:w="32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bl>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This certification accompanies this Annual Report on Form 10-K pursuant to Section 906 of the Sarbanes-Oxley Act of 2002 and shall not be deemed filed by the Company for purposes of the Securities Exchange Act of 1934.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55" w:name="man-ex32_2.htm"/>
      <w:bookmarkStart w:id="56" w:name="ksmanex32_2"/>
      <w:bookmarkEnd w:id="55"/>
      <w:bookmarkEnd w:id="56"/>
      <w:r>
        <w:rPr>
          <w:rFonts w:ascii="Times New Roman" w:hAnsi="Times New Roman"/>
          <w:color w:val="000000"/>
          <w:sz w:val="24"/>
        </w:rPr>
        <w:t>Exhibit 32.2</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STATEMENT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ss. 906 of the Sarbanes-Oxley Act of 2002, 18 U.S.C. ss. 1350, the undersigned officer of ManpowerGroup Inc. (the “Company”), hereby certifies that to his knowledge: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Annual Report on Form 10-K for the year ended December 31, 2023 fully complies with the requirements of Section 13(a) or 15(d), as applicable, of the Securities Exchange Act of 1934,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INC.</w:t>
            </w:r>
          </w:p>
        </w:tc>
      </w:tr>
      <w:tr>
        <w:trPr/>
        <w:tc>
          <w:tcPr>
            <w:tcW w:w="4456" w:type="dxa"/>
            <w:tcBorders/>
            <w:vAlign w:val="center"/>
          </w:tcPr>
          <w:p>
            <w:pPr>
              <w:pStyle w:val="TableContents"/>
              <w:bidi w:val="0"/>
              <w:spacing w:before="0" w:after="283"/>
              <w:jc w:val="left"/>
              <w:rPr/>
            </w:pPr>
            <w:r>
              <w:rPr/>
              <w:t> </w:t>
            </w:r>
          </w:p>
        </w:tc>
      </w:tr>
      <w:tr>
        <w:trPr/>
        <w:tc>
          <w:tcPr>
            <w:tcW w:w="4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February 16, 2024</w:t>
            </w:r>
          </w:p>
        </w:tc>
      </w:tr>
      <w:tr>
        <w:trPr/>
        <w:tc>
          <w:tcPr>
            <w:tcW w:w="4456" w:type="dxa"/>
            <w:tcBorders/>
            <w:vAlign w:val="center"/>
          </w:tcPr>
          <w:p>
            <w:pPr>
              <w:pStyle w:val="TableContents"/>
              <w:bidi w:val="0"/>
              <w:spacing w:before="0" w:after="283"/>
              <w:jc w:val="left"/>
              <w:rPr/>
            </w:pPr>
            <w:r>
              <w:rPr/>
              <w:t> </w:t>
            </w:r>
          </w:p>
        </w:tc>
      </w:tr>
      <w:tr>
        <w:trPr/>
        <w:tc>
          <w:tcPr>
            <w:tcW w:w="44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T. McGinnis</w:t>
            </w:r>
          </w:p>
        </w:tc>
      </w:tr>
      <w:tr>
        <w:trPr/>
        <w:tc>
          <w:tcPr>
            <w:tcW w:w="4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T. McGinnis</w:t>
            </w:r>
          </w:p>
        </w:tc>
      </w:tr>
      <w:tr>
        <w:trPr/>
        <w:tc>
          <w:tcPr>
            <w:tcW w:w="44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bl>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This certification accompanies this Annual Report on Form 10-K pursuant to Section 906 of the Sarbanes-Oxley Act of 2002 and shall not be deemed filed by the Company for purposes of the Securities Exchange Act of 1934.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color w:val="000000"/>
          <w:sz w:val="24"/>
        </w:rPr>
      </w:pPr>
      <w:bookmarkStart w:id="57" w:name="man-ex97.htm"/>
      <w:bookmarkStart w:id="58" w:name="ksmanex97"/>
      <w:bookmarkEnd w:id="57"/>
      <w:bookmarkEnd w:id="58"/>
      <w:r>
        <w:rPr>
          <w:rFonts w:ascii="Times New Roman" w:hAnsi="Times New Roman"/>
          <w:color w:val="000000"/>
          <w:sz w:val="24"/>
        </w:rPr>
        <w:t>Exhibit 97</w:t>
      </w:r>
      <w:r>
        <w:br w:type="page"/>
      </w:r>
    </w:p>
    <w:p>
      <w:pPr>
        <w:pStyle w:val="TextBody"/>
        <w:bidi w:val="0"/>
        <w:jc w:val="center"/>
        <w:rPr>
          <w:rFonts w:ascii="Times New Roman" w:hAnsi="Times New Roman"/>
          <w:b/>
          <w:caps/>
          <w:color w:val="000000"/>
          <w:sz w:val="24"/>
        </w:rPr>
      </w:pPr>
      <w:r>
        <w:rPr>
          <w:rFonts w:ascii="Times New Roman" w:hAnsi="Times New Roman"/>
          <w:b/>
          <w:caps/>
          <w:color w:val="000000"/>
          <w:sz w:val="24"/>
        </w:rPr>
        <w:t>ManpowerGroup Inc.</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SENIOR EXECUTIVE COMPENSATION RECOVERY POLICY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i/>
          <w:color w:val="000000"/>
          <w:sz w:val="24"/>
        </w:rPr>
      </w:pPr>
      <w:r>
        <w:rPr>
          <w:rFonts w:ascii="Times New Roman" w:hAnsi="Times New Roman"/>
          <w:b/>
          <w:i/>
          <w:color w:val="000000"/>
          <w:sz w:val="24"/>
        </w:rPr>
        <w:t>Adopted as of August 4, 2023</w:t>
      </w:r>
    </w:p>
    <w:p>
      <w:pPr>
        <w:pStyle w:val="TextBody"/>
        <w:bidi w:val="0"/>
        <w:jc w:val="left"/>
        <w:rPr/>
      </w:pPr>
      <w:r>
        <w:rPr/>
        <w:t> </w:t>
      </w:r>
    </w:p>
    <w:p>
      <w:pPr>
        <w:pStyle w:val="TextBody"/>
        <w:bidi w:val="0"/>
        <w:spacing w:before="0" w:after="0"/>
        <w:jc w:val="both"/>
        <w:rPr>
          <w:rFonts w:ascii="Times New Roman" w:hAnsi="Times New Roman"/>
          <w:caps/>
          <w:color w:val="000000"/>
          <w:sz w:val="24"/>
        </w:rPr>
      </w:pPr>
      <w:r>
        <w:rPr>
          <w:rFonts w:ascii="Times New Roman" w:hAnsi="Times New Roman"/>
          <w:caps/>
          <w:color w:val="000000"/>
          <w:sz w:val="24"/>
        </w:rPr>
        <w:t>I.</w:t>
      </w:r>
    </w:p>
    <w:p>
      <w:pPr>
        <w:pStyle w:val="TextBody"/>
        <w:bidi w:val="0"/>
        <w:jc w:val="both"/>
        <w:rPr>
          <w:rFonts w:ascii="Times New Roman" w:hAnsi="Times New Roman"/>
          <w:color w:val="000000"/>
          <w:sz w:val="24"/>
        </w:rPr>
      </w:pPr>
      <w:r>
        <w:rPr>
          <w:rFonts w:ascii="Times New Roman" w:hAnsi="Times New Roman"/>
          <w:color w:val="000000"/>
          <w:sz w:val="24"/>
        </w:rPr>
        <w:t>PURPOSE.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purpose of this Policy is to describe the circumstances in which Covered Individuals will be required to repay or return Erroneously Awarded Compensation to members of the Company Group in the event of an Accounting Restatement. This Policy is designed to comply with, and shall be interpreted to be consistent with, Section 10D of the Exchange Act, Rule 10D-1 promulgated under the Exchange Act and Section 303A.14 of the NYSE Listed Company Manual.</w:t>
      </w:r>
    </w:p>
    <w:p>
      <w:pPr>
        <w:pStyle w:val="TextBody"/>
        <w:bidi w:val="0"/>
        <w:jc w:val="left"/>
        <w:rPr/>
      </w:pPr>
      <w:r>
        <w:rPr/>
        <w:t> </w:t>
      </w:r>
    </w:p>
    <w:p>
      <w:pPr>
        <w:pStyle w:val="TextBody"/>
        <w:bidi w:val="0"/>
        <w:spacing w:before="0" w:after="0"/>
        <w:jc w:val="left"/>
        <w:rPr>
          <w:rFonts w:ascii="Times New Roman" w:hAnsi="Times New Roman"/>
          <w:caps/>
          <w:color w:val="000000"/>
          <w:sz w:val="24"/>
        </w:rPr>
      </w:pPr>
      <w:r>
        <w:rPr>
          <w:rFonts w:ascii="Times New Roman" w:hAnsi="Times New Roman"/>
          <w:caps/>
          <w:color w:val="000000"/>
          <w:sz w:val="24"/>
        </w:rPr>
        <w:t>II.</w:t>
      </w:r>
    </w:p>
    <w:p>
      <w:pPr>
        <w:pStyle w:val="TextBody"/>
        <w:bidi w:val="0"/>
        <w:jc w:val="left"/>
        <w:rPr>
          <w:rFonts w:ascii="Times New Roman" w:hAnsi="Times New Roman"/>
          <w:color w:val="000000"/>
          <w:sz w:val="24"/>
        </w:rPr>
      </w:pPr>
      <w:r>
        <w:rPr>
          <w:rFonts w:ascii="Times New Roman" w:hAnsi="Times New Roman"/>
          <w:color w:val="000000"/>
          <w:sz w:val="24"/>
        </w:rPr>
        <w:t>ADMINISTRATION.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This Policy shall be administered by the Committee. Any determinations made by the Committee shall be final and binding on all affected individuals.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caps/>
          <w:color w:val="000000"/>
          <w:sz w:val="24"/>
        </w:rPr>
      </w:pPr>
      <w:r>
        <w:rPr>
          <w:rFonts w:ascii="Times New Roman" w:hAnsi="Times New Roman"/>
          <w:caps/>
          <w:color w:val="000000"/>
          <w:sz w:val="24"/>
        </w:rPr>
        <w:t>III.</w:t>
      </w:r>
    </w:p>
    <w:p>
      <w:pPr>
        <w:pStyle w:val="TextBody"/>
        <w:bidi w:val="0"/>
        <w:jc w:val="left"/>
        <w:rPr>
          <w:rFonts w:ascii="Times New Roman" w:hAnsi="Times New Roman"/>
          <w:color w:val="000000"/>
          <w:sz w:val="24"/>
        </w:rPr>
      </w:pPr>
      <w:r>
        <w:rPr>
          <w:rFonts w:ascii="Times New Roman" w:hAnsi="Times New Roman"/>
          <w:color w:val="000000"/>
          <w:sz w:val="24"/>
        </w:rPr>
        <w:t>DEFINITIONS.</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For purposes of this Policy, the following capitalized terms shall have the meanings set forth below.</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4"/>
        </w:rPr>
        <w:t>Accounting Restatement” shall mean an accounting restatement (i)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(ii) that corrects an error that is not material to previously issued financial statements, but would result in a material misstatement if the error were corrected in the current period or left uncorrected in the current period (a “little r” restatement).</w:t>
      </w:r>
    </w:p>
    <w:p>
      <w:pPr>
        <w:pStyle w:val="TextBody"/>
        <w:bidi w:val="0"/>
        <w:jc w:val="left"/>
        <w:rPr/>
      </w:pPr>
      <w:r>
        <w:rPr/>
        <w:t> </w:t>
      </w:r>
    </w:p>
    <w:p>
      <w:pPr>
        <w:pStyle w:val="TextBody"/>
        <w:bidi w:val="0"/>
        <w:jc w:val="both"/>
        <w:rPr>
          <w:color w:val="000000"/>
        </w:rPr>
      </w:pPr>
      <w:r>
        <w:rPr>
          <w:color w:val="000000"/>
        </w:rPr>
        <w:t>“</w:t>
      </w:r>
      <w:r>
        <w:rPr>
          <w:rFonts w:ascii="Times New Roman" w:hAnsi="Times New Roman"/>
          <w:color w:val="000000"/>
          <w:sz w:val="24"/>
        </w:rPr>
        <w:t>Clawback Eligible Incentive Compensation” shall mean, in connection with an Accounting Restatement and with respect to each individual who served as a Covered Individual at any time during the applicable performance period for any Incentive-Based Compensation (whether or not such Covered Individual is serving at the time the Erroneously Awarded Compensation is required to be repaid to the Company Group), all Incentive-Based Compensation Received by such Covered Individual (i) on or after the Effective Date, (ii) after beginning service as a Covered Individual, (iii) while the Company has a class of securities listed on a national securities exchange or a national securities association, and (iv) during the applicable Clawback Period.</w:t>
      </w:r>
    </w:p>
    <w:p>
      <w:pPr>
        <w:pStyle w:val="TextBody"/>
        <w:bidi w:val="0"/>
        <w:jc w:val="left"/>
        <w:rPr/>
      </w:pPr>
      <w:r>
        <w:rPr/>
        <w:t> </w:t>
      </w:r>
    </w:p>
    <w:p>
      <w:pPr>
        <w:pStyle w:val="TextBody"/>
        <w:bidi w:val="0"/>
        <w:jc w:val="both"/>
        <w:rPr/>
      </w:pPr>
      <w:r>
        <w:rPr>
          <w:color w:val="000000"/>
        </w:rPr>
        <w:t>“</w:t>
      </w:r>
      <w:r>
        <w:rPr>
          <w:rFonts w:ascii="Times New Roman" w:hAnsi="Times New Roman"/>
          <w:color w:val="000000"/>
          <w:sz w:val="24"/>
        </w:rPr>
        <w:t>Clawback Period” shall mean, with respect to any Accounting Restatement, the three (3) completed fiscal years of the Company immediately preceding the Restatement Date and any transition period (that results from a change in the Company’s fiscal year) within or immediately</w:t>
      </w:r>
      <w:r>
        <w:rPr>
          <w:rFonts w:ascii="Times New Roman" w:hAnsi="Times New Roman"/>
          <w:color w:val="000000"/>
          <w:sz w:val="20"/>
        </w:rPr>
        <w:t xml:space="preserve"> </w:t>
      </w:r>
    </w:p>
    <w:p>
      <w:pPr>
        <w:pStyle w:val="TextBody"/>
        <w:bidi w:val="0"/>
        <w:spacing w:before="0" w:after="16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color w:val="000000"/>
          <w:sz w:val="24"/>
        </w:rPr>
      </w:pPr>
      <w:r>
        <w:rPr>
          <w:rFonts w:ascii="Times New Roman" w:hAnsi="Times New Roman"/>
          <w:color w:val="000000"/>
          <w:sz w:val="24"/>
        </w:rPr>
        <w:t>Exhibit 97</w:t>
      </w:r>
    </w:p>
    <w:p>
      <w:pPr>
        <w:pStyle w:val="TextBody"/>
        <w:bidi w:val="0"/>
        <w:jc w:val="both"/>
        <w:rPr>
          <w:rFonts w:ascii="Times New Roman" w:hAnsi="Times New Roman"/>
          <w:color w:val="000000"/>
          <w:sz w:val="24"/>
        </w:rPr>
      </w:pPr>
      <w:r>
        <w:rPr>
          <w:rFonts w:ascii="Times New Roman" w:hAnsi="Times New Roman"/>
          <w:color w:val="000000"/>
          <w:sz w:val="24"/>
        </w:rPr>
        <w:t>following those three (3) completed fiscal years. However, a transition period between the last day of the Company’s previous fiscal year end and the first day of its new fiscal year that comprises a period of nine (9) to twelve (12) months shall be deemed a completed fiscal year.</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4"/>
        </w:rPr>
        <w:t>Committee” shall mean the People, Culture and Compensation Committee of the Board of Directors of the Company.</w:t>
      </w:r>
    </w:p>
    <w:p>
      <w:pPr>
        <w:pStyle w:val="TextBody"/>
        <w:bidi w:val="0"/>
        <w:jc w:val="both"/>
        <w:rPr>
          <w:color w:val="000000"/>
        </w:rPr>
      </w:pPr>
      <w:r>
        <w:rPr>
          <w:color w:val="000000"/>
        </w:rPr>
        <w:t>“</w:t>
      </w:r>
      <w:r>
        <w:rPr>
          <w:rFonts w:ascii="Times New Roman" w:hAnsi="Times New Roman"/>
          <w:color w:val="000000"/>
          <w:sz w:val="24"/>
        </w:rPr>
        <w:t>Company” shall mean ManpowerGroup Inc., a Wisconsin corporation.</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4"/>
        </w:rPr>
        <w:t>Company Group” shall mean the Company, together with each of its direct and indirect subsidiaries.</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rPr>
        <w:t>Covered Individuals” shall mean (i) each Executive Officer and (ii) other senior officers of the Company as may be determined from time to time by the Committee.</w:t>
      </w:r>
      <w:r>
        <w:rPr>
          <w:rFonts w:ascii="Times New Roman" w:hAnsi="Times New Roman"/>
          <w:color w:val="000000"/>
          <w:sz w:val="20"/>
        </w:rPr>
        <w:t xml:space="preserve"> </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4"/>
        </w:rPr>
        <w:t>Effective Date” shall mean October 2, 2023.</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4"/>
        </w:rPr>
        <w:t>Erroneously Awarded Compensation” shall mean, with respect to each Covered Individual in connection with an Accounting Restatement, the amount of Clawback Eligible Incentive Compensation that is Received by such Covered Individual that exceeds the amount of Incentive-Based Compensation that otherwise would have been Received by such Covered Individual had it been determined based on the restated amounts, computed without regard to any taxes paid. With respect to any compensation plans or programs that take into account Incentive-Based Compensation, the amount of Erroneously Awarded Compensation subject to recovery hereunder includes, but is not limited to, the amount contributed to any notional account based on Erroneously Awarded Compensation and any earnings accrued to date on that notional amount.</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4"/>
        </w:rPr>
        <w:t>Executive Officer” shall mean each individual who is or was designated as an “officer” of the Company in accordance with 17 C.F.R. 240.16a-1(f). Identification of an executive officer for purposes of this Policy shall include at a minimum executive officers identified pursuant to 17 C.F.R. 229.401(b).</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4"/>
        </w:rPr>
        <w:t>Exchange Act” shall mean the Securities Exchange Act of 1934, as amended.</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4"/>
        </w:rPr>
        <w:t>Financial Reporting Measures” shall mean measures that are determined and presented in accordance with the accounting principles used in preparing the Company’s financial statements, and any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pStyle w:val="TextBody"/>
        <w:bidi w:val="0"/>
        <w:jc w:val="both"/>
        <w:rPr>
          <w:color w:val="000000"/>
        </w:rPr>
      </w:pPr>
      <w:r>
        <w:rPr>
          <w:color w:val="000000"/>
        </w:rPr>
        <w:t>“</w:t>
      </w:r>
      <w:r>
        <w:rPr>
          <w:rFonts w:ascii="Times New Roman" w:hAnsi="Times New Roman"/>
          <w:color w:val="000000"/>
          <w:sz w:val="24"/>
        </w:rPr>
        <w:t>Incentive-Based Compensation” shall mean any compensation that is granted, earned, or vested based wholly or in part upon the attainment of a Financial Reporting Measure.</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4"/>
        </w:rPr>
        <w:t>NYSE” shall mean The New York Stock Exchange.</w:t>
      </w:r>
      <w:r>
        <w:rPr>
          <w:rFonts w:ascii="Times New Roman" w:hAnsi="Times New Roman"/>
          <w:color w:val="000000"/>
          <w:sz w:val="20"/>
        </w:rPr>
        <w:t xml:space="preserve"> </w:t>
      </w:r>
    </w:p>
    <w:p>
      <w:pPr>
        <w:pStyle w:val="TextBody"/>
        <w:bidi w:val="0"/>
        <w:spacing w:before="0" w:after="16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color w:val="000000"/>
          <w:sz w:val="24"/>
        </w:rPr>
      </w:pPr>
      <w:r>
        <w:rPr>
          <w:rFonts w:ascii="Times New Roman" w:hAnsi="Times New Roman"/>
          <w:color w:val="000000"/>
          <w:sz w:val="24"/>
        </w:rPr>
        <w:t>Exhibit 97</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4"/>
        </w:rPr>
        <w:t>Policy” shall mean this Senior Executive Compensation Recovery Policy, as the same may be amended or restated from time to time.</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4"/>
        </w:rPr>
        <w:t>Received” shall, with respect to any Incentive-Based Compensation, mean actual or deemed receipt by the Covered Individual. Incentive-Based Compensation shall be deemed received in the Company’s fiscal period during which the Financial Reporting Measure specified in the Incentive-Based Compensation award or applicable granting policy is attained, even if payment or grant of the Incentive-Based Compensation occurs after the end of that period.</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4"/>
        </w:rPr>
        <w:t>Restatement Date” shall mean the earlier to occur of (i) the date the Board of Directors, a committee of the Board of Directors, or the officers of the Company authorized to take such action if Board of Directors’ action is not required, concludes, or reasonably should have concluded, that the Company is required to prepare an Accounting Restatement, or (ii) the date a court, regulator, or other legally authorized body directs the Company to prepare an Accounting Restatement.</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4"/>
        </w:rPr>
        <w:t>SEC” shall mean the U.S. Securities and Exchange Commission.</w:t>
      </w:r>
    </w:p>
    <w:p>
      <w:pPr>
        <w:pStyle w:val="TextBody"/>
        <w:bidi w:val="0"/>
        <w:spacing w:before="0" w:after="0"/>
        <w:jc w:val="left"/>
        <w:rPr>
          <w:rFonts w:ascii="Times New Roman" w:hAnsi="Times New Roman"/>
          <w:caps/>
          <w:color w:val="000000"/>
          <w:sz w:val="24"/>
        </w:rPr>
      </w:pPr>
      <w:r>
        <w:rPr>
          <w:rFonts w:ascii="Times New Roman" w:hAnsi="Times New Roman"/>
          <w:caps/>
          <w:color w:val="000000"/>
          <w:sz w:val="24"/>
        </w:rPr>
        <w:t>IV.</w:t>
      </w:r>
    </w:p>
    <w:p>
      <w:pPr>
        <w:pStyle w:val="TextBody"/>
        <w:bidi w:val="0"/>
        <w:jc w:val="left"/>
        <w:rPr/>
      </w:pPr>
      <w:r>
        <w:rPr>
          <w:rFonts w:ascii="Times New Roman" w:hAnsi="Times New Roman"/>
          <w:caps/>
          <w:color w:val="000000"/>
          <w:sz w:val="24"/>
        </w:rPr>
        <w:t>Repayment of Erroneously Awarded Compensation</w:t>
      </w:r>
      <w:r>
        <w:rPr>
          <w:rFonts w:ascii="Times New Roman" w:hAnsi="Times New Roman"/>
          <w:color w:val="000000"/>
          <w:sz w:val="24"/>
        </w:rPr>
        <w: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 xml:space="preserve">In the event of an Accounting Restatement, the Committee shall determine the amount of any Erroneously Awarded Compensation promptly after the Restatement Date for each Covered Individual in connection with such Accounting Restatement and shall promptly thereafter provide each Covered Individual with a written notice containing the amount of Erroneously Awarded Compensation and a demand for repayment or return, as applicable.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the NYSE).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rPr>
        <w:t>The Committee shall have broad discretion to determine the appropriate means of recovery of Erroneously Awarded Compensation based on all applicable facts and circumstances and taking into account the time value of money and the cost to shareholders of delaying recovery. To the extent that the Committee determines that any method of recovery other than repayment by the Covered Individual in a lump sum in cash or property is appropriate, the Company shall offer to enter into a repayment agreement (in a form reasonably acceptable to the Committee) with the Covered Individual. If the Covered Individual accepts such offer and signs the repayment agreement within thirty (30) days after such offer is extended, the Company shall countersign such repayment agreement. If the Covered Individual fails to sign the repayment agreement within thirty (30) days after such offer is extended, the Covered Individual will be required to repay the Erroneously Awarded Compensation in a lump sum in cash (or such property as the Committee agrees to accept with a value equal to such Erroneously Awarded Compensation) on or prior to the date that is one hundred twenty (120) days</w:t>
      </w:r>
      <w:r>
        <w:rPr>
          <w:color w:val="000000"/>
        </w:rPr>
        <w:t xml:space="preserve"> </w:t>
      </w:r>
      <w:r>
        <w:rPr>
          <w:rFonts w:ascii="Times New Roman" w:hAnsi="Times New Roman"/>
          <w:color w:val="000000"/>
          <w:sz w:val="24"/>
        </w:rPr>
        <w:t xml:space="preserve">following the Restatement Date. For the avoidance of </w:t>
      </w:r>
    </w:p>
    <w:p>
      <w:pPr>
        <w:pStyle w:val="TextBody"/>
        <w:bidi w:val="0"/>
        <w:spacing w:before="0" w:after="16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color w:val="000000"/>
          <w:sz w:val="24"/>
        </w:rPr>
      </w:pPr>
      <w:r>
        <w:rPr>
          <w:rFonts w:ascii="Times New Roman" w:hAnsi="Times New Roman"/>
          <w:color w:val="000000"/>
          <w:sz w:val="24"/>
        </w:rPr>
        <w:t>Exhibit 97</w:t>
      </w:r>
    </w:p>
    <w:p>
      <w:pPr>
        <w:pStyle w:val="TextBody"/>
        <w:bidi w:val="0"/>
        <w:jc w:val="both"/>
        <w:rPr/>
      </w:pPr>
      <w:r>
        <w:rPr>
          <w:rFonts w:ascii="Times New Roman" w:hAnsi="Times New Roman"/>
          <w:color w:val="000000"/>
          <w:sz w:val="24"/>
        </w:rPr>
        <w:t>doubt, except as set forth in paragraph IV(d) below, in no event may the Company accept an amount that is less than the amount of Erroneously Awarded Compensation in satisfaction of a Covered Individual’s obligations hereunder.</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To the extent that a Covered Individual fails to repay all Erroneously Awarded Compensation to the Company Group when due (as determined in accordance with paragraph IV(b) above), the Company shall, or shall cause one or more other members of the Company Group to, take all actions reasonable and appropriate to recover such Erroneously Awarded Compensation from the applicable Covered Individual. The applicable Covered Individual shall be required to reimburse the Company Group for any and all expenses reasonably incurred (including legal fees) by the Company Group in recovering such Erroneously Awarded Compensation in accordance with the immediately preceding sentence.</w:t>
      </w:r>
    </w:p>
    <w:p>
      <w:pPr>
        <w:pStyle w:val="TextBody"/>
        <w:bidi w:val="0"/>
        <w:spacing w:before="0" w:after="16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rFonts w:ascii="Times New Roman" w:hAnsi="Times New Roman"/>
          <w:color w:val="000000"/>
          <w:sz w:val="24"/>
        </w:rPr>
      </w:pPr>
      <w:r>
        <w:rPr>
          <w:rFonts w:ascii="Times New Roman" w:hAnsi="Times New Roman"/>
          <w:color w:val="000000"/>
          <w:sz w:val="24"/>
        </w:rPr>
        <w:t>Notwithstanding anything herein to the contrary, the Company shall not be required to take the actions contemplated by paragraph IV(b) and (c) above if any of the following conditions are met and the Committee determines that recovery would be impracticable:</w:t>
      </w:r>
    </w:p>
    <w:p>
      <w:pPr>
        <w:pStyle w:val="TextBody"/>
        <w:bidi w:val="0"/>
        <w:spacing w:before="0" w:after="16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rFonts w:ascii="Times New Roman" w:hAnsi="Times New Roman"/>
          <w:color w:val="000000"/>
          <w:sz w:val="24"/>
        </w:rPr>
      </w:pPr>
      <w:r>
        <w:rPr>
          <w:rFonts w:ascii="Times New Roman" w:hAnsi="Times New Roman"/>
          <w:color w:val="000000"/>
          <w:sz w:val="24"/>
        </w:rPr>
        <w:t>The direct expenses paid to a third party to assist in enforcing the Policy against a Covered Individual would exceed the amount to be recovered, after the Company has made a reasonable attempt to recover the applicable Erroneously Awarded Compensation, documented such attempts and provided such documentation to the NYSE;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w:t>
      </w:r>
    </w:p>
    <w:p>
      <w:pPr>
        <w:pStyle w:val="TextBody"/>
        <w:bidi w:val="0"/>
        <w:jc w:val="both"/>
        <w:rPr>
          <w:rFonts w:ascii="Times New Roman" w:hAnsi="Times New Roman"/>
          <w:color w:val="000000"/>
          <w:sz w:val="24"/>
        </w:rPr>
      </w:pPr>
      <w:r>
        <w:rPr>
          <w:rFonts w:ascii="Times New Roman" w:hAnsi="Times New Roman"/>
          <w:color w:val="000000"/>
          <w:sz w:val="24"/>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the NYSE, that recovery would result in such a violation and a copy of the opinion is provided to the NYSE; or</w:t>
      </w:r>
    </w:p>
    <w:p>
      <w:pPr>
        <w:pStyle w:val="TextBody"/>
        <w:bidi w:val="0"/>
        <w:spacing w:before="0" w:after="16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iii.</w:t>
      </w:r>
    </w:p>
    <w:p>
      <w:pPr>
        <w:pStyle w:val="TextBody"/>
        <w:bidi w:val="0"/>
        <w:jc w:val="both"/>
        <w:rPr>
          <w:rFonts w:ascii="Times New Roman" w:hAnsi="Times New Roman"/>
          <w:color w:val="000000"/>
          <w:sz w:val="24"/>
        </w:rPr>
      </w:pPr>
      <w:r>
        <w:rPr>
          <w:rFonts w:ascii="Times New Roman" w:hAnsi="Times New Roman"/>
          <w:color w:val="000000"/>
          <w:sz w:val="24"/>
        </w:rPr>
        <w:t>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jc w:val="left"/>
        <w:rPr/>
      </w:pPr>
      <w:r>
        <w:rPr/>
        <w:t> </w:t>
      </w:r>
    </w:p>
    <w:p>
      <w:pPr>
        <w:pStyle w:val="TextBody"/>
        <w:bidi w:val="0"/>
        <w:spacing w:before="0" w:after="0"/>
        <w:jc w:val="left"/>
        <w:rPr>
          <w:rFonts w:ascii="Times New Roman" w:hAnsi="Times New Roman"/>
          <w:caps/>
          <w:color w:val="000000"/>
          <w:sz w:val="24"/>
        </w:rPr>
      </w:pPr>
      <w:r>
        <w:rPr>
          <w:rFonts w:ascii="Times New Roman" w:hAnsi="Times New Roman"/>
          <w:caps/>
          <w:color w:val="000000"/>
          <w:sz w:val="24"/>
        </w:rPr>
        <w:t>V.</w:t>
      </w:r>
    </w:p>
    <w:p>
      <w:pPr>
        <w:pStyle w:val="TextBody"/>
        <w:bidi w:val="0"/>
        <w:jc w:val="left"/>
        <w:rPr/>
      </w:pPr>
      <w:r>
        <w:rPr>
          <w:rFonts w:ascii="Times New Roman" w:hAnsi="Times New Roman"/>
          <w:caps/>
          <w:color w:val="000000"/>
          <w:sz w:val="24"/>
        </w:rPr>
        <w:t>Reporting and Disclosure</w:t>
      </w:r>
      <w:r>
        <w:rPr>
          <w:rFonts w:ascii="Times New Roman" w:hAnsi="Times New Roman"/>
          <w:color w:val="000000"/>
          <w:sz w:val="24"/>
        </w:rPr>
        <w:t xml:space="preserve">.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Company shall file all disclosures with respect to this Policy in accordance with the requirements of the federal securities laws, including the disclosure required by the applicable SEC filings.</w:t>
      </w:r>
    </w:p>
    <w:p>
      <w:pPr>
        <w:pStyle w:val="TextBody"/>
        <w:bidi w:val="0"/>
        <w:jc w:val="left"/>
        <w:rPr/>
      </w:pPr>
      <w:r>
        <w:rPr/>
        <w:t> </w:t>
      </w:r>
    </w:p>
    <w:p>
      <w:pPr>
        <w:pStyle w:val="TextBody"/>
        <w:bidi w:val="0"/>
        <w:spacing w:before="0" w:after="0"/>
        <w:jc w:val="left"/>
        <w:rPr>
          <w:rFonts w:ascii="Times New Roman" w:hAnsi="Times New Roman"/>
          <w:caps/>
          <w:color w:val="000000"/>
          <w:sz w:val="24"/>
        </w:rPr>
      </w:pPr>
      <w:r>
        <w:rPr>
          <w:rFonts w:ascii="Times New Roman" w:hAnsi="Times New Roman"/>
          <w:caps/>
          <w:color w:val="000000"/>
          <w:sz w:val="24"/>
        </w:rPr>
        <w:t>VI.</w:t>
      </w:r>
    </w:p>
    <w:p>
      <w:pPr>
        <w:pStyle w:val="TextBody"/>
        <w:bidi w:val="0"/>
        <w:jc w:val="left"/>
        <w:rPr/>
      </w:pPr>
      <w:r>
        <w:rPr>
          <w:rFonts w:ascii="Times New Roman" w:hAnsi="Times New Roman"/>
          <w:caps/>
          <w:color w:val="000000"/>
          <w:sz w:val="24"/>
        </w:rPr>
        <w:t>Indemnification Prohibition</w:t>
      </w:r>
      <w:r>
        <w:rPr>
          <w:rFonts w:ascii="Times New Roman" w:hAnsi="Times New Roman"/>
          <w:color w:val="000000"/>
          <w:sz w:val="24"/>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The Company Group shall not be permitted to indemnify any Covered Individual against (i) the loss of any Erroneously Awarded Compensation that is repaid, returned, or recovered pursuant to the terms of this Policy, or (ii) any claims relating to the Company Group’s</w:t>
      </w:r>
      <w:r>
        <w:rPr>
          <w:rFonts w:ascii="Times New Roman" w:hAnsi="Times New Roman"/>
          <w:color w:val="000000"/>
          <w:sz w:val="20"/>
        </w:rPr>
        <w:t xml:space="preserve"> </w:t>
      </w:r>
    </w:p>
    <w:p>
      <w:pPr>
        <w:pStyle w:val="TextBody"/>
        <w:bidi w:val="0"/>
        <w:spacing w:before="0" w:after="16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color w:val="000000"/>
          <w:sz w:val="24"/>
        </w:rPr>
      </w:pPr>
      <w:r>
        <w:rPr>
          <w:rFonts w:ascii="Times New Roman" w:hAnsi="Times New Roman"/>
          <w:color w:val="000000"/>
          <w:sz w:val="24"/>
        </w:rPr>
        <w:t>Exhibit 97</w:t>
      </w:r>
    </w:p>
    <w:p>
      <w:pPr>
        <w:pStyle w:val="TextBody"/>
        <w:bidi w:val="0"/>
        <w:jc w:val="both"/>
        <w:rPr>
          <w:rFonts w:ascii="Times New Roman" w:hAnsi="Times New Roman"/>
          <w:color w:val="000000"/>
          <w:sz w:val="24"/>
        </w:rPr>
      </w:pPr>
      <w:r>
        <w:rPr>
          <w:rFonts w:ascii="Times New Roman" w:hAnsi="Times New Roman"/>
          <w:color w:val="000000"/>
          <w:sz w:val="24"/>
        </w:rPr>
        <w:t>enforcement of its rights under this Policy. Further, the Company Group shall not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date this Policy was adopted).</w:t>
      </w:r>
    </w:p>
    <w:p>
      <w:pPr>
        <w:pStyle w:val="TextBody"/>
        <w:bidi w:val="0"/>
        <w:jc w:val="left"/>
        <w:rPr/>
      </w:pPr>
      <w:r>
        <w:rPr/>
        <w:t> </w:t>
      </w:r>
    </w:p>
    <w:p>
      <w:pPr>
        <w:pStyle w:val="TextBody"/>
        <w:bidi w:val="0"/>
        <w:spacing w:before="0" w:after="0"/>
        <w:jc w:val="left"/>
        <w:rPr>
          <w:rFonts w:ascii="Times New Roman" w:hAnsi="Times New Roman"/>
          <w:caps/>
          <w:color w:val="000000"/>
          <w:sz w:val="24"/>
        </w:rPr>
      </w:pPr>
      <w:r>
        <w:rPr>
          <w:rFonts w:ascii="Times New Roman" w:hAnsi="Times New Roman"/>
          <w:caps/>
          <w:color w:val="000000"/>
          <w:sz w:val="24"/>
        </w:rPr>
        <w:t>VII.</w:t>
      </w:r>
    </w:p>
    <w:p>
      <w:pPr>
        <w:pStyle w:val="TextBody"/>
        <w:bidi w:val="0"/>
        <w:jc w:val="left"/>
        <w:rPr/>
      </w:pPr>
      <w:r>
        <w:rPr>
          <w:rFonts w:ascii="Times New Roman" w:hAnsi="Times New Roman"/>
          <w:caps/>
          <w:color w:val="000000"/>
          <w:sz w:val="24"/>
        </w:rPr>
        <w:t>Interpretation</w:t>
      </w:r>
      <w:r>
        <w:rPr>
          <w:rFonts w:ascii="Times New Roman" w:hAnsi="Times New Roman"/>
          <w:color w:val="000000"/>
          <w:sz w:val="24"/>
        </w:rPr>
        <w:t xml:space="preserve">.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Committee is authorized to interpret and construe this Policy and to make all determinations necessary, appropriate, or advisable for the administration of this Policy.</w:t>
      </w:r>
    </w:p>
    <w:p>
      <w:pPr>
        <w:pStyle w:val="TextBody"/>
        <w:bidi w:val="0"/>
        <w:jc w:val="both"/>
        <w:rPr/>
      </w:pPr>
      <w:r>
        <w:rPr/>
        <w:t> </w:t>
      </w:r>
    </w:p>
    <w:p>
      <w:pPr>
        <w:pStyle w:val="TextBody"/>
        <w:bidi w:val="0"/>
        <w:spacing w:before="0" w:after="0"/>
        <w:jc w:val="left"/>
        <w:rPr>
          <w:rFonts w:ascii="Times New Roman" w:hAnsi="Times New Roman"/>
          <w:caps/>
          <w:color w:val="000000"/>
          <w:sz w:val="24"/>
        </w:rPr>
      </w:pPr>
      <w:r>
        <w:rPr>
          <w:rFonts w:ascii="Times New Roman" w:hAnsi="Times New Roman"/>
          <w:caps/>
          <w:color w:val="000000"/>
          <w:sz w:val="24"/>
        </w:rPr>
        <w:t>VIII.</w:t>
      </w:r>
    </w:p>
    <w:p>
      <w:pPr>
        <w:pStyle w:val="TextBody"/>
        <w:bidi w:val="0"/>
        <w:jc w:val="left"/>
        <w:rPr>
          <w:rFonts w:ascii="Times New Roman" w:hAnsi="Times New Roman"/>
          <w:caps/>
          <w:color w:val="000000"/>
          <w:sz w:val="24"/>
        </w:rPr>
      </w:pPr>
      <w:r>
        <w:rPr>
          <w:rFonts w:ascii="Times New Roman" w:hAnsi="Times New Roman"/>
          <w:caps/>
          <w:color w:val="000000"/>
          <w:sz w:val="24"/>
        </w:rPr>
        <w:t xml:space="preserve">Amendment; Termination.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Committee may amend this Policy from time to time in its discretion and shall amend this Policy as it deems necessary, including as and when it determines that it is legally required by any federal securities laws, SEC rule or the rules of any national securities exchange or national securities association on which the Company’s securities are listed. The Committee may terminate this Policy at any time. Notwithstanding anything in this paragraph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the rules of any national securities exchange or national securities association on which the Company’s securities are listed.</w:t>
      </w:r>
    </w:p>
    <w:p>
      <w:pPr>
        <w:pStyle w:val="TextBody"/>
        <w:bidi w:val="0"/>
        <w:jc w:val="left"/>
        <w:rPr/>
      </w:pPr>
      <w:r>
        <w:rPr/>
        <w:t> </w:t>
      </w:r>
    </w:p>
    <w:p>
      <w:pPr>
        <w:pStyle w:val="TextBody"/>
        <w:bidi w:val="0"/>
        <w:spacing w:before="0" w:after="0"/>
        <w:jc w:val="left"/>
        <w:rPr>
          <w:rFonts w:ascii="Times New Roman" w:hAnsi="Times New Roman"/>
          <w:caps/>
          <w:color w:val="000000"/>
          <w:sz w:val="24"/>
        </w:rPr>
      </w:pPr>
      <w:r>
        <w:rPr>
          <w:rFonts w:ascii="Times New Roman" w:hAnsi="Times New Roman"/>
          <w:caps/>
          <w:color w:val="000000"/>
          <w:sz w:val="24"/>
        </w:rPr>
        <w:t>IX.</w:t>
      </w:r>
    </w:p>
    <w:p>
      <w:pPr>
        <w:pStyle w:val="TextBody"/>
        <w:bidi w:val="0"/>
        <w:jc w:val="left"/>
        <w:rPr>
          <w:rFonts w:ascii="Times New Roman" w:hAnsi="Times New Roman"/>
          <w:caps/>
          <w:color w:val="000000"/>
          <w:sz w:val="24"/>
        </w:rPr>
      </w:pPr>
      <w:r>
        <w:rPr>
          <w:rFonts w:ascii="Times New Roman" w:hAnsi="Times New Roman"/>
          <w:caps/>
          <w:color w:val="000000"/>
          <w:sz w:val="24"/>
        </w:rPr>
        <w:t xml:space="preserve">Other Recoupment Rights; No Additional Payments.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Committee intends that this Policy will be applied to the fullest extent of the law. The Committee may require that any incentive compensation agreement, equity award agreement, or any other agreement entered into on or after the date of adoption of this Policy shall, as a condition to the grant of any benefit thereunder, require a Covered Individual to agree to abide by the terms of this Policy. Any right of recoupment under this Policy is in addition to, and not in lieu of, any other remedies or rights of recoupment that may be available to the Company Group under applicable law, regulation, or rule or pursuant to the terms of any similar policy in any employment agreement, equity award agreement, or similar agreement and any other legal remedies available to the Company. Notwithstanding the preceding sentence, upon the Effective Date of this Policy, this Policy shall supersede and replace that certain Incentive Compensation Clawback Policy adopted by the Company on July 31, 2012. For the avoidance of doubt, any Covered Individual that is subject to this Policy shall not also be subject to the terms of the Company’s Broad-Based Compensation Recovery Policy and this Policy shall govern the terms of any recovery of Incentive-Based Compensation Received by such Covered Individual.</w:t>
      </w:r>
    </w:p>
    <w:p>
      <w:pPr>
        <w:pStyle w:val="TextBody"/>
        <w:bidi w:val="0"/>
        <w:jc w:val="both"/>
        <w:rPr/>
      </w:pPr>
      <w:r>
        <w:rPr/>
        <w:t> </w:t>
      </w:r>
    </w:p>
    <w:p>
      <w:pPr>
        <w:pStyle w:val="TextBody"/>
        <w:bidi w:val="0"/>
        <w:spacing w:before="0" w:after="0"/>
        <w:jc w:val="left"/>
        <w:rPr>
          <w:rFonts w:ascii="Times New Roman" w:hAnsi="Times New Roman"/>
          <w:caps/>
          <w:color w:val="000000"/>
          <w:sz w:val="24"/>
        </w:rPr>
      </w:pPr>
      <w:r>
        <w:rPr>
          <w:rFonts w:ascii="Times New Roman" w:hAnsi="Times New Roman"/>
          <w:caps/>
          <w:color w:val="000000"/>
          <w:sz w:val="24"/>
        </w:rPr>
        <w:t>X.</w:t>
      </w:r>
    </w:p>
    <w:p>
      <w:pPr>
        <w:pStyle w:val="TextBody"/>
        <w:bidi w:val="0"/>
        <w:jc w:val="left"/>
        <w:rPr>
          <w:rFonts w:ascii="Times New Roman" w:hAnsi="Times New Roman"/>
          <w:caps/>
          <w:color w:val="000000"/>
          <w:sz w:val="24"/>
        </w:rPr>
      </w:pPr>
      <w:r>
        <w:rPr>
          <w:rFonts w:ascii="Times New Roman" w:hAnsi="Times New Roman"/>
          <w:caps/>
          <w:color w:val="000000"/>
          <w:sz w:val="24"/>
        </w:rPr>
        <w:t xml:space="preserve">Successors.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Policy shall be binding and enforceable against all Covered Individuals and their beneficiaries, heirs, executors, administrators, or other legal representatives.</w:t>
      </w:r>
    </w:p>
    <w:p>
      <w:pPr>
        <w:pStyle w:val="TextBody"/>
        <w:bidi w:val="0"/>
        <w:jc w:val="both"/>
        <w:rPr/>
      </w:pPr>
      <w:r>
        <w:rPr/>
        <w:t> </w:t>
      </w:r>
    </w:p>
    <w:p>
      <w:pPr>
        <w:pStyle w:val="TextBody"/>
        <w:bidi w:val="0"/>
        <w:spacing w:before="0" w:after="16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color w:val="000000"/>
          <w:sz w:val="24"/>
        </w:rPr>
      </w:pPr>
      <w:r>
        <w:rPr>
          <w:rFonts w:ascii="Times New Roman" w:hAnsi="Times New Roman"/>
          <w:color w:val="000000"/>
          <w:sz w:val="24"/>
        </w:rPr>
        <w:t>Exhibit 97</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 * * *</w:t>
      </w:r>
    </w:p>
    <w:p>
      <w:pPr>
        <w:pStyle w:val="TextBody"/>
        <w:bidi w:val="0"/>
        <w:spacing w:before="0" w:after="16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0871763/000095017023003214/man-20221231.htm" TargetMode="External"/><Relationship Id="rId4" Type="http://schemas.openxmlformats.org/officeDocument/2006/relationships/hyperlink" Target="https://www.sec.gov/Archives/edgar/data/871763/000119312521254476/d112970dex21.htm" TargetMode="External"/><Relationship Id="rId5" Type="http://schemas.openxmlformats.org/officeDocument/2006/relationships/hyperlink" Target="https://www.sec.gov/Archives/edgar/data/871763/000087176313000024/exhibit_3-1.htm" TargetMode="External"/><Relationship Id="rId6" Type="http://schemas.openxmlformats.org/officeDocument/2006/relationships/hyperlink" Target="https://www.sec.gov/Archives/edgar/data/871763/000095017022015153/man-ex3_1.htm" TargetMode="External"/><Relationship Id="rId7" Type="http://schemas.openxmlformats.org/officeDocument/2006/relationships/hyperlink" Target="https://www.sec.gov/Archives/edgar/data/871763/000089271218000301/exhibit41.htm" TargetMode="External"/><Relationship Id="rId8" Type="http://schemas.openxmlformats.org/officeDocument/2006/relationships/hyperlink" Target="https://www.sec.gov/Archives/edgar/data/871763/000089271222000154/exhibit41.htm" TargetMode="External"/><Relationship Id="rId9" Type="http://schemas.openxmlformats.org/officeDocument/2006/relationships/hyperlink" Target="https://www.sec.gov/Archives/edgar/data/871763/000156459021006974/man-ex43_6.htm" TargetMode="External"/><Relationship Id="rId10" Type="http://schemas.openxmlformats.org/officeDocument/2006/relationships/hyperlink" Target="https://www.sec.gov/Archives/edgar/data/871763/000119312522162367/d350264dex101.htm" TargetMode="External"/><Relationship Id="rId11" Type="http://schemas.openxmlformats.org/officeDocument/2006/relationships/hyperlink" Target="https://www.sec.gov/Archives/edgar/data/871763/000087176311000011/exhibit_10-4.htm" TargetMode="External"/><Relationship Id="rId12" Type="http://schemas.openxmlformats.org/officeDocument/2006/relationships/hyperlink" Target="https://www.sec.gov/Archives/edgar/data/871763/000119312505051218/ddef14a.htm" TargetMode="External"/><Relationship Id="rId13" Type="http://schemas.openxmlformats.org/officeDocument/2006/relationships/hyperlink" Target="https://www.sec.gov/Archives/edgar/data/871763/000095017023003214/man-ex10_6c.htm" TargetMode="External"/><Relationship Id="rId14" Type="http://schemas.openxmlformats.org/officeDocument/2006/relationships/hyperlink" Target="https://www.sec.gov/Archives/edgar/data/871763/000095017023003214/man-ex10_6d.htm" TargetMode="External"/><Relationship Id="rId15" Type="http://schemas.openxmlformats.org/officeDocument/2006/relationships/hyperlink" Target="https://www.sec.gov/Archives/edgar/data/871763/000089271220000224/exhibit41.htm" TargetMode="External"/><Relationship Id="rId16" Type="http://schemas.openxmlformats.org/officeDocument/2006/relationships/hyperlink" Target="https://www.sec.gov/Archives/edgar/data/871763/000119312506224722/dex991.htm" TargetMode="External"/><Relationship Id="rId17" Type="http://schemas.openxmlformats.org/officeDocument/2006/relationships/hyperlink" Target="https://www.sec.gov/Archives/edgar/data/871763/000087176319000059/q12019exhibit101.htm" TargetMode="External"/><Relationship Id="rId18" Type="http://schemas.openxmlformats.org/officeDocument/2006/relationships/hyperlink" Target="https://www.sec.gov/Archives/edgar/data/871763/000087176312000023/exhibit_10-4.htm" TargetMode="External"/><Relationship Id="rId19" Type="http://schemas.openxmlformats.org/officeDocument/2006/relationships/hyperlink" Target="https://www.sec.gov/Archives/edgar/data/871763/000087176314000019/exhibit_10-1.htm" TargetMode="External"/><Relationship Id="rId20" Type="http://schemas.openxmlformats.org/officeDocument/2006/relationships/hyperlink" Target="https://www.sec.gov/Archives/edgar/data/871763/000156459021025566/man-ex101_132.htm" TargetMode="External"/><Relationship Id="rId21" Type="http://schemas.openxmlformats.org/officeDocument/2006/relationships/hyperlink" Target="https://www.sec.gov/Archives/edgar/data/871763/000156459021025566/man-ex101_132.htm" TargetMode="External"/><Relationship Id="rId22" Type="http://schemas.openxmlformats.org/officeDocument/2006/relationships/hyperlink" Target="https://www.sec.gov/Archives/edgar/data/871763/000095017022008152/man-ex10_1.htm" TargetMode="External"/><Relationship Id="rId23" Type="http://schemas.openxmlformats.org/officeDocument/2006/relationships/hyperlink" Target="https://www.sec.gov/Archives/edgar/data/871763/000095017023003214/man-ex10_8a.htm" TargetMode="External"/><Relationship Id="rId24" Type="http://schemas.openxmlformats.org/officeDocument/2006/relationships/hyperlink" Target="https://www.sec.gov/Archives/edgar/data/871763/000095017023003214/man-ex10_8b.htm" TargetMode="External"/><Relationship Id="rId25" Type="http://schemas.openxmlformats.org/officeDocument/2006/relationships/hyperlink" Target="https://www.sec.gov/Archives/edgar/data/871763/000087176316000113/projectryeofferletterfinal.htm" TargetMode="External"/><Relationship Id="rId26" Type="http://schemas.openxmlformats.org/officeDocument/2006/relationships/hyperlink" Target="https://www.sec.gov/Archives/edgar/data/871763/000087176318000054/a02152018ex101manpowergrou.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62127</Words>
  <Characters>341466</Characters>
  <CharactersWithSpaces>406314</CharactersWithSpaces>
  <Paragraphs>14856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