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man-20230505.htm"/>
      <w:bookmarkStart w:id="1" w:name="ksman20230505"/>
      <w:bookmarkEnd w:id="0"/>
      <w:bookmarkEnd w:id="1"/>
      <w:r>
        <w:rPr/>
        <w:t> </w:t>
      </w:r>
    </w:p>
    <w:p>
      <w:pPr>
        <w:pStyle w:val="TextBody"/>
        <w:spacing w:before="0" w:after="0"/>
        <w:jc w:val="left"/>
        <w:rPr/>
      </w:pPr>
      <w:r>
        <w:rPr/>
        <w:t> </w:t>
      </w:r>
    </w:p>
    <w:p>
      <w:pPr>
        <w:pStyle w:val="TextBody"/>
        <w:spacing w:before="0" w:after="0"/>
        <w:jc w:val="center"/>
        <w:rPr>
          <w:rFonts w:ascii="Times New Roman;serif" w:hAnsi="Times New Roman;serif"/>
          <w:b/>
          <w:sz w:val="36"/>
        </w:rPr>
      </w:pPr>
      <w:r>
        <w:rPr>
          <w:rFonts w:ascii="Times New Roman;serif" w:hAnsi="Times New Roman;serif"/>
          <w:b/>
          <w:sz w:val="36"/>
        </w:rPr>
        <w:t>UNITED STATES</w:t>
      </w:r>
    </w:p>
    <w:p>
      <w:pPr>
        <w:pStyle w:val="TextBody"/>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spacing w:before="0" w:after="0"/>
        <w:jc w:val="left"/>
        <w:rPr/>
      </w:pPr>
      <w:r>
        <w:rPr/>
        <w:t> </w:t>
      </w:r>
    </w:p>
    <w:p>
      <w:pPr>
        <w:pStyle w:val="TextBody"/>
        <w:spacing w:before="0" w:after="0"/>
        <w:jc w:val="center"/>
        <w:rPr>
          <w:rFonts w:ascii="Times New Roman;serif" w:hAnsi="Times New Roman;serif"/>
          <w:b/>
          <w:sz w:val="36"/>
        </w:rPr>
      </w:pPr>
      <w:r>
        <w:rPr>
          <w:rFonts w:ascii="Times New Roman;serif" w:hAnsi="Times New Roman;serif"/>
          <w:b/>
          <w:sz w:val="36"/>
        </w:rPr>
        <w:t>FORM 8-K</w:t>
      </w:r>
    </w:p>
    <w:p>
      <w:pPr>
        <w:pStyle w:val="TextBody"/>
        <w:spacing w:before="0" w:after="0"/>
        <w:jc w:val="left"/>
        <w:rPr/>
      </w:pPr>
      <w:r>
        <w:rPr/>
        <w:t> </w:t>
      </w:r>
    </w:p>
    <w:p>
      <w:pPr>
        <w:pStyle w:val="TextBody"/>
        <w:spacing w:before="0" w:after="0"/>
        <w:jc w:val="center"/>
        <w:rPr>
          <w:rFonts w:ascii="Times New Roman;serif" w:hAnsi="Times New Roman;serif"/>
          <w:b/>
          <w:sz w:val="24"/>
        </w:rPr>
      </w:pPr>
      <w:r>
        <w:rPr>
          <w:rFonts w:ascii="Times New Roman;serif" w:hAnsi="Times New Roman;serif"/>
          <w:b/>
          <w:sz w:val="24"/>
        </w:rPr>
        <w:t>CURRENT REPORT</w:t>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Pursuant to Section 13 or 15(d) of the Securities Exchange Act of 1934</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Date of Report (Date of earliest event reported): May 5, 2023</w:t>
      </w:r>
    </w:p>
    <w:p>
      <w:pPr>
        <w:pStyle w:val="TextBody"/>
        <w:spacing w:before="160" w:after="0"/>
        <w:jc w:val="center"/>
        <w:rPr>
          <w:rFonts w:ascii="Times New Roman;serif" w:hAnsi="Times New Roman;serif"/>
          <w:b/>
          <w:sz w:val="48"/>
        </w:rPr>
      </w:pPr>
      <w:r>
        <w:rPr>
          <w:rFonts w:ascii="Times New Roman;serif" w:hAnsi="Times New Roman;serif"/>
          <w:b/>
          <w:sz w:val="48"/>
        </w:rPr>
        <w:t>MANPOWERGROUP INC.</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(Exact name of registrant as specified in its charter)</w:t>
      </w:r>
    </w:p>
    <w:p>
      <w:pPr>
        <w:pStyle w:val="TextBody"/>
        <w:spacing w:before="0" w:after="0"/>
        <w:jc w:val="left"/>
        <w:rPr/>
      </w:pPr>
      <w:r>
        <w:rPr/>
        <w:t> </w:t>
      </w:r>
    </w:p>
    <w:tbl>
      <w:tblPr>
        <w:tblW w:w="9243" w:type="dxa"/>
        <w:jc w:val="left"/>
        <w:tblInd w:w="0" w:type="dxa"/>
        <w:tblCellMar>
          <w:top w:w="28" w:type="dxa"/>
          <w:left w:w="28" w:type="dxa"/>
          <w:bottom w:w="28" w:type="dxa"/>
          <w:right w:w="28" w:type="dxa"/>
        </w:tblCellMar>
      </w:tblPr>
      <w:tblGrid>
        <w:gridCol w:w="3856"/>
        <w:gridCol w:w="2386"/>
        <w:gridCol w:w="3001"/>
      </w:tblGrid>
      <w:tr>
        <w:trPr/>
        <w:tc>
          <w:tcPr>
            <w:tcW w:w="3856" w:type="dxa"/>
            <w:tcBorders/>
            <w:shd w:fill="auto" w:val="clear"/>
            <w:vAlign w:val="center"/>
          </w:tcPr>
          <w:p>
            <w:pPr>
              <w:pStyle w:val="TableContents"/>
              <w:spacing w:before="0" w:after="283"/>
              <w:rPr>
                <w:sz w:val="4"/>
                <w:szCs w:val="4"/>
              </w:rPr>
            </w:pPr>
            <w:r>
              <w:rPr>
                <w:sz w:val="4"/>
                <w:szCs w:val="4"/>
              </w:rPr>
            </w:r>
          </w:p>
        </w:tc>
        <w:tc>
          <w:tcPr>
            <w:tcW w:w="2386" w:type="dxa"/>
            <w:tcBorders/>
            <w:shd w:fill="auto" w:val="clear"/>
            <w:vAlign w:val="center"/>
          </w:tcPr>
          <w:p>
            <w:pPr>
              <w:pStyle w:val="TableContents"/>
              <w:spacing w:before="0" w:after="283"/>
              <w:rPr>
                <w:sz w:val="4"/>
                <w:szCs w:val="4"/>
              </w:rPr>
            </w:pPr>
            <w:r>
              <w:rPr>
                <w:sz w:val="4"/>
                <w:szCs w:val="4"/>
              </w:rPr>
            </w:r>
          </w:p>
        </w:tc>
        <w:tc>
          <w:tcPr>
            <w:tcW w:w="3001" w:type="dxa"/>
            <w:tcBorders/>
            <w:shd w:fill="auto" w:val="clear"/>
            <w:vAlign w:val="center"/>
          </w:tcPr>
          <w:p>
            <w:pPr>
              <w:pStyle w:val="TableContents"/>
              <w:spacing w:before="0" w:after="283"/>
              <w:rPr>
                <w:sz w:val="4"/>
                <w:szCs w:val="4"/>
              </w:rPr>
            </w:pPr>
            <w:r>
              <w:rPr>
                <w:sz w:val="4"/>
                <w:szCs w:val="4"/>
              </w:rPr>
            </w:r>
          </w:p>
        </w:tc>
      </w:tr>
      <w:tr>
        <w:trPr/>
        <w:tc>
          <w:tcPr>
            <w:tcW w:w="385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Wisconsin</w:t>
            </w:r>
          </w:p>
        </w:tc>
        <w:tc>
          <w:tcPr>
            <w:tcW w:w="238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1-10686</w:t>
            </w:r>
          </w:p>
        </w:tc>
        <w:tc>
          <w:tcPr>
            <w:tcW w:w="300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39-1672779</w:t>
            </w:r>
          </w:p>
        </w:tc>
      </w:tr>
      <w:tr>
        <w:trPr/>
        <w:tc>
          <w:tcPr>
            <w:tcW w:w="385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(State or other jurisdiction of incorporation)</w:t>
            </w:r>
          </w:p>
        </w:tc>
        <w:tc>
          <w:tcPr>
            <w:tcW w:w="238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(Commission File Number)</w:t>
            </w:r>
          </w:p>
        </w:tc>
        <w:tc>
          <w:tcPr>
            <w:tcW w:w="300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(IRS Employer Identification No.)</w:t>
            </w:r>
          </w:p>
        </w:tc>
      </w:tr>
    </w:tbl>
    <w:p>
      <w:pPr>
        <w:pStyle w:val="TextBody"/>
        <w:spacing w:before="0" w:after="0"/>
        <w:jc w:val="left"/>
        <w:rPr/>
      </w:pPr>
      <w:r>
        <w:rPr/>
        <w:t> </w:t>
      </w:r>
    </w:p>
    <w:p>
      <w:pPr>
        <w:pStyle w:val="TextBody"/>
        <w:spacing w:before="0" w:after="0"/>
        <w:jc w:val="left"/>
        <w:rPr/>
      </w:pPr>
      <w:r>
        <w:rPr/>
        <w:t> </w:t>
      </w:r>
    </w:p>
    <w:tbl>
      <w:tblPr>
        <w:tblW w:w="4573" w:type="dxa"/>
        <w:jc w:val="left"/>
        <w:tblInd w:w="0" w:type="dxa"/>
        <w:tblCellMar>
          <w:top w:w="28" w:type="dxa"/>
          <w:left w:w="28" w:type="dxa"/>
          <w:bottom w:w="28" w:type="dxa"/>
          <w:right w:w="28" w:type="dxa"/>
        </w:tblCellMar>
      </w:tblPr>
      <w:tblGrid>
        <w:gridCol w:w="3376"/>
        <w:gridCol w:w="146"/>
        <w:gridCol w:w="1051"/>
      </w:tblGrid>
      <w:tr>
        <w:trPr/>
        <w:tc>
          <w:tcPr>
            <w:tcW w:w="3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r>
      <w:tr>
        <w:trPr/>
        <w:tc>
          <w:tcPr>
            <w:tcW w:w="337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100 Manpower Place</w:t>
            </w:r>
          </w:p>
        </w:tc>
        <w:tc>
          <w:tcPr>
            <w:tcW w:w="146" w:type="dxa"/>
            <w:tcBorders/>
            <w:shd w:fill="auto" w:val="clear"/>
            <w:vAlign w:val="center"/>
          </w:tcPr>
          <w:p>
            <w:pPr>
              <w:pStyle w:val="TableContents"/>
              <w:spacing w:before="0" w:after="0"/>
              <w:ind w:left="0" w:right="0" w:hanging="0"/>
              <w:jc w:val="left"/>
              <w:rPr/>
            </w:pPr>
            <w:r>
              <w:rPr/>
              <w:t> </w:t>
            </w:r>
          </w:p>
        </w:tc>
        <w:tc>
          <w:tcPr>
            <w:tcW w:w="1051" w:type="dxa"/>
            <w:tcBorders/>
            <w:shd w:fill="auto" w:val="clear"/>
            <w:vAlign w:val="center"/>
          </w:tcPr>
          <w:p>
            <w:pPr>
              <w:pStyle w:val="TableContents"/>
              <w:spacing w:before="0" w:after="283"/>
              <w:ind w:left="0" w:right="0" w:hanging="0"/>
              <w:rPr>
                <w:sz w:val="4"/>
                <w:szCs w:val="4"/>
              </w:rPr>
            </w:pPr>
            <w:r>
              <w:rPr>
                <w:sz w:val="4"/>
                <w:szCs w:val="4"/>
              </w:rPr>
            </w:r>
          </w:p>
        </w:tc>
      </w:tr>
      <w:tr>
        <w:trPr/>
        <w:tc>
          <w:tcPr>
            <w:tcW w:w="337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Milwaukee, Wisconsin</w:t>
            </w:r>
          </w:p>
        </w:tc>
        <w:tc>
          <w:tcPr>
            <w:tcW w:w="14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5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53212</w:t>
            </w:r>
          </w:p>
        </w:tc>
      </w:tr>
      <w:tr>
        <w:trPr/>
        <w:tc>
          <w:tcPr>
            <w:tcW w:w="337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(Address of principal executive offices)</w:t>
            </w:r>
          </w:p>
        </w:tc>
        <w:tc>
          <w:tcPr>
            <w:tcW w:w="146" w:type="dxa"/>
            <w:tcBorders/>
            <w:shd w:fill="auto" w:val="clear"/>
            <w:vAlign w:val="center"/>
          </w:tcPr>
          <w:p>
            <w:pPr>
              <w:pStyle w:val="TableContents"/>
              <w:spacing w:before="0" w:after="0"/>
              <w:ind w:left="0" w:right="0" w:hanging="0"/>
              <w:jc w:val="center"/>
              <w:rPr/>
            </w:pPr>
            <w:r>
              <w:rPr/>
              <w:t> </w:t>
            </w:r>
          </w:p>
        </w:tc>
        <w:tc>
          <w:tcPr>
            <w:tcW w:w="105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(Zip Code)</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Registrant's telephone number, including area code: (414)</w:t>
      </w:r>
      <w:r>
        <w:rPr>
          <w:rFonts w:ascii="Times New Roman" w:hAnsi="Times New Roman"/>
          <w:sz w:val="20"/>
        </w:rPr>
        <w:t xml:space="preserve"> </w:t>
      </w:r>
      <w:r>
        <w:rPr>
          <w:rFonts w:ascii="Times New Roman;serif" w:hAnsi="Times New Roman;serif"/>
          <w:b w:val="false"/>
          <w:sz w:val="20"/>
        </w:rPr>
        <w:t>961-1000</w:t>
      </w:r>
    </w:p>
    <w:p>
      <w:pPr>
        <w:pStyle w:val="TextBody"/>
        <w:spacing w:before="0" w:after="0"/>
        <w:jc w:val="center"/>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(Former name or former address, if changed since last report.)</w:t>
      </w:r>
    </w:p>
    <w:p>
      <w:pPr>
        <w:pStyle w:val="TextBody"/>
        <w:spacing w:before="0" w:after="0"/>
        <w:jc w:val="center"/>
        <w:rPr/>
      </w:pPr>
      <w:r>
        <w:rPr/>
        <w:t> </w:t>
      </w:r>
    </w:p>
    <w:p>
      <w:pPr>
        <w:pStyle w:val="TextBody"/>
        <w:spacing w:before="0" w:after="0"/>
        <w:jc w:val="left"/>
        <w:rPr>
          <w:rFonts w:ascii="Times New Roman" w:hAnsi="Times New Roman"/>
          <w:sz w:val="20"/>
        </w:rPr>
      </w:pPr>
      <w:r>
        <w:rPr>
          <w:rFonts w:ascii="Times New Roman;serif" w:hAnsi="Times New Roman;serif"/>
          <w:b w:val="false"/>
          <w:sz w:val="20"/>
        </w:rPr>
        <w:t>Check the appropriate box below if the Form 8-K filing is intended to simultaneously satisfy the filing obligation of the registrant under any of the following provisions:</w:t>
      </w:r>
      <w:r>
        <w:rPr>
          <w:rFonts w:ascii="Times New Roman" w:hAnsi="Times New Roman"/>
          <w:sz w:val="20"/>
        </w:rPr>
        <w:t xml:space="preserve"> </w:t>
      </w:r>
    </w:p>
    <w:p>
      <w:pPr>
        <w:pStyle w:val="TextBody"/>
        <w:spacing w:before="0" w:after="0"/>
        <w:jc w:val="left"/>
        <w:rPr/>
      </w:pPr>
      <w:r>
        <w:rPr/>
        <w:t> </w:t>
      </w:r>
    </w:p>
    <w:tbl>
      <w:tblPr>
        <w:tblW w:w="9658" w:type="dxa"/>
        <w:jc w:val="left"/>
        <w:tblInd w:w="0" w:type="dxa"/>
        <w:tblCellMar>
          <w:top w:w="28" w:type="dxa"/>
          <w:left w:w="28" w:type="dxa"/>
          <w:bottom w:w="28" w:type="dxa"/>
          <w:right w:w="28" w:type="dxa"/>
        </w:tblCellMar>
      </w:tblPr>
      <w:tblGrid>
        <w:gridCol w:w="331"/>
        <w:gridCol w:w="146"/>
        <w:gridCol w:w="9181"/>
      </w:tblGrid>
      <w:tr>
        <w:trPr/>
        <w:tc>
          <w:tcPr>
            <w:tcW w:w="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8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Written communications pursuant to Rule 425 under the Securities Act (17 CFR 230.425)</w:t>
            </w:r>
          </w:p>
        </w:tc>
      </w:tr>
      <w:tr>
        <w:trPr/>
        <w:tc>
          <w:tcPr>
            <w:tcW w:w="3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9181" w:type="dxa"/>
            <w:tcBorders/>
            <w:shd w:fill="auto" w:val="clear"/>
            <w:vAlign w:val="center"/>
          </w:tcPr>
          <w:p>
            <w:pPr>
              <w:pStyle w:val="TableContents"/>
              <w:spacing w:before="0" w:after="0"/>
              <w:ind w:left="0" w:right="0" w:hanging="0"/>
              <w:jc w:val="left"/>
              <w:rPr/>
            </w:pPr>
            <w:r>
              <w:rPr/>
              <w:t> </w:t>
            </w:r>
          </w:p>
        </w:tc>
      </w:tr>
      <w:tr>
        <w:trPr/>
        <w:tc>
          <w:tcPr>
            <w:tcW w:w="331"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Soliciting material pursuant to Rule 14a-12 under the Exchange Act (17 CFR 240.14a-12)</w:t>
            </w:r>
          </w:p>
        </w:tc>
      </w:tr>
      <w:tr>
        <w:trPr/>
        <w:tc>
          <w:tcPr>
            <w:tcW w:w="3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9181" w:type="dxa"/>
            <w:tcBorders/>
            <w:shd w:fill="auto" w:val="clear"/>
            <w:vAlign w:val="center"/>
          </w:tcPr>
          <w:p>
            <w:pPr>
              <w:pStyle w:val="TableContents"/>
              <w:spacing w:before="0" w:after="0"/>
              <w:ind w:left="0" w:right="0" w:hanging="0"/>
              <w:jc w:val="left"/>
              <w:rPr/>
            </w:pPr>
            <w:r>
              <w:rPr/>
              <w:t> </w:t>
            </w:r>
          </w:p>
        </w:tc>
      </w:tr>
      <w:tr>
        <w:trPr/>
        <w:tc>
          <w:tcPr>
            <w:tcW w:w="331"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Pre-commencement communications pursuant to Rule 14d-2(b) under the Exchange Act (17 CFR 240.14d-2(b))</w:t>
            </w:r>
          </w:p>
        </w:tc>
      </w:tr>
      <w:tr>
        <w:trPr/>
        <w:tc>
          <w:tcPr>
            <w:tcW w:w="3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9181" w:type="dxa"/>
            <w:tcBorders/>
            <w:shd w:fill="auto" w:val="clear"/>
            <w:vAlign w:val="center"/>
          </w:tcPr>
          <w:p>
            <w:pPr>
              <w:pStyle w:val="TableContents"/>
              <w:spacing w:before="0" w:after="0"/>
              <w:ind w:left="0" w:right="0" w:hanging="0"/>
              <w:jc w:val="left"/>
              <w:rPr/>
            </w:pPr>
            <w:r>
              <w:rPr/>
              <w:t> </w:t>
            </w:r>
          </w:p>
        </w:tc>
      </w:tr>
      <w:tr>
        <w:trPr/>
        <w:tc>
          <w:tcPr>
            <w:tcW w:w="331"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Pre-commencement communications pursuant to Rule 13e-4(c) under the Exchange Act (17 CFR 240.13e-4(c))</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Securities registered pursuant to Section 12(b) of the Act:</w:t>
      </w:r>
    </w:p>
    <w:p>
      <w:pPr>
        <w:pStyle w:val="TextBody"/>
        <w:spacing w:before="0" w:after="0"/>
        <w:jc w:val="left"/>
        <w:rPr/>
      </w:pPr>
      <w:r>
        <w:rPr/>
        <w:t> </w:t>
      </w:r>
    </w:p>
    <w:tbl>
      <w:tblPr>
        <w:tblW w:w="7953" w:type="dxa"/>
        <w:jc w:val="left"/>
        <w:tblInd w:w="0" w:type="dxa"/>
        <w:tblCellMar>
          <w:top w:w="28" w:type="dxa"/>
          <w:left w:w="28" w:type="dxa"/>
          <w:bottom w:w="28" w:type="dxa"/>
          <w:right w:w="28" w:type="dxa"/>
        </w:tblCellMar>
      </w:tblPr>
      <w:tblGrid>
        <w:gridCol w:w="2626"/>
        <w:gridCol w:w="1621"/>
        <w:gridCol w:w="3706"/>
      </w:tblGrid>
      <w:tr>
        <w:trPr/>
        <w:tc>
          <w:tcPr>
            <w:tcW w:w="2626" w:type="dxa"/>
            <w:tcBorders/>
            <w:shd w:fill="auto" w:val="clear"/>
            <w:vAlign w:val="center"/>
          </w:tcPr>
          <w:p>
            <w:pPr>
              <w:pStyle w:val="TableContents"/>
              <w:spacing w:before="0" w:after="283"/>
              <w:rPr>
                <w:sz w:val="4"/>
                <w:szCs w:val="4"/>
              </w:rPr>
            </w:pPr>
            <w:r>
              <w:rPr>
                <w:sz w:val="4"/>
                <w:szCs w:val="4"/>
              </w:rPr>
            </w:r>
          </w:p>
        </w:tc>
        <w:tc>
          <w:tcPr>
            <w:tcW w:w="1621" w:type="dxa"/>
            <w:tcBorders/>
            <w:shd w:fill="auto" w:val="clear"/>
            <w:vAlign w:val="center"/>
          </w:tcPr>
          <w:p>
            <w:pPr>
              <w:pStyle w:val="TableContents"/>
              <w:spacing w:before="0" w:after="283"/>
              <w:rPr>
                <w:sz w:val="4"/>
                <w:szCs w:val="4"/>
              </w:rPr>
            </w:pPr>
            <w:r>
              <w:rPr>
                <w:sz w:val="4"/>
                <w:szCs w:val="4"/>
              </w:rPr>
            </w:r>
          </w:p>
        </w:tc>
        <w:tc>
          <w:tcPr>
            <w:tcW w:w="3706" w:type="dxa"/>
            <w:tcBorders/>
            <w:shd w:fill="auto" w:val="clear"/>
            <w:vAlign w:val="center"/>
          </w:tcPr>
          <w:p>
            <w:pPr>
              <w:pStyle w:val="TableContents"/>
              <w:spacing w:before="0" w:after="283"/>
              <w:rPr>
                <w:sz w:val="4"/>
                <w:szCs w:val="4"/>
              </w:rPr>
            </w:pPr>
            <w:r>
              <w:rPr>
                <w:sz w:val="4"/>
                <w:szCs w:val="4"/>
              </w:rPr>
            </w:r>
          </w:p>
        </w:tc>
      </w:tr>
      <w:tr>
        <w:trPr/>
        <w:tc>
          <w:tcPr>
            <w:tcW w:w="2626" w:type="dxa"/>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Title of each class</w:t>
            </w:r>
          </w:p>
        </w:tc>
        <w:tc>
          <w:tcPr>
            <w:tcW w:w="1621" w:type="dxa"/>
            <w:tcBorders>
              <w:top w:val="single" w:sz="4" w:space="0" w:color="000000"/>
              <w:bottom w:val="single" w:sz="4" w:space="0" w:color="000000"/>
              <w:right w:val="single" w:sz="4" w:space="0" w:color="000000"/>
            </w:tcBorders>
            <w:shd w:fill="auto" w:val="clear"/>
            <w:tcMar>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Trading Symbol(s)</w:t>
            </w:r>
          </w:p>
        </w:tc>
        <w:tc>
          <w:tcPr>
            <w:tcW w:w="3706" w:type="dxa"/>
            <w:tcBorders>
              <w:top w:val="single" w:sz="4" w:space="0" w:color="000000"/>
              <w:bottom w:val="single" w:sz="4" w:space="0" w:color="000000"/>
              <w:right w:val="single" w:sz="4" w:space="0" w:color="000000"/>
            </w:tcBorders>
            <w:shd w:fill="auto" w:val="clear"/>
            <w:tcMar>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Name of each exchange on which registered</w:t>
            </w:r>
          </w:p>
        </w:tc>
      </w:tr>
      <w:tr>
        <w:trPr/>
        <w:tc>
          <w:tcPr>
            <w:tcW w:w="262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 Stock, $.01 par value</w:t>
            </w:r>
          </w:p>
        </w:tc>
        <w:tc>
          <w:tcPr>
            <w:tcW w:w="162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MAN</w:t>
            </w:r>
          </w:p>
        </w:tc>
        <w:tc>
          <w:tcPr>
            <w:tcW w:w="3706"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New York Stock Exchange</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 xml:space="preserve">Emerging growth company </w:t>
      </w:r>
      <w:r>
        <w:rPr>
          <w:rFonts w:ascii="Times New Roman" w:hAnsi="Times New Roman"/>
          <w:sz w:val="20"/>
        </w:rPr>
        <w:t>☐</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Item 5.07</w:t>
      </w:r>
      <w:r>
        <w:rPr>
          <w:rFonts w:ascii="Times New Roman" w:hAnsi="Times New Roman"/>
          <w:sz w:val="20"/>
        </w:rPr>
        <w:t xml:space="preserve"> </w:t>
      </w:r>
      <w:r>
        <w:rPr>
          <w:rFonts w:ascii="Times New Roman;serif" w:hAnsi="Times New Roman;serif"/>
          <w:b/>
          <w:sz w:val="20"/>
        </w:rPr>
        <w:t>Submission of Matters to a Vote of Security Holders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At our 2023 Annual Meeting, our shareholders voted on proposals to: (1) elect twelve individuals nominated by the Board of Directors of the Company to serve until 2024; (2) ratify the appointment of Deloitte &amp; Touche LLP as our independent auditors for 2023; (3) provide an advisory vote on the compensation of our named executive officers; and (4) provide an advisory vote on the frequency of the advisory vote on the compensation of our named executive officers. The final voting results on these proposals are as follows:</w:t>
      </w:r>
    </w:p>
    <w:tbl>
      <w:tblPr>
        <w:tblW w:w="10205" w:type="dxa"/>
        <w:jc w:val="left"/>
        <w:tblInd w:w="0" w:type="dxa"/>
        <w:tblCellMar>
          <w:top w:w="28" w:type="dxa"/>
          <w:left w:w="28" w:type="dxa"/>
          <w:bottom w:w="28" w:type="dxa"/>
          <w:right w:w="28" w:type="dxa"/>
        </w:tblCellMar>
      </w:tblPr>
      <w:tblGrid>
        <w:gridCol w:w="4524"/>
        <w:gridCol w:w="146"/>
        <w:gridCol w:w="1036"/>
        <w:gridCol w:w="146"/>
        <w:gridCol w:w="931"/>
        <w:gridCol w:w="146"/>
        <w:gridCol w:w="931"/>
        <w:gridCol w:w="146"/>
        <w:gridCol w:w="931"/>
        <w:gridCol w:w="146"/>
        <w:gridCol w:w="931"/>
        <w:gridCol w:w="191"/>
      </w:tblGrid>
      <w:tr>
        <w:trPr/>
        <w:tc>
          <w:tcPr>
            <w:tcW w:w="452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52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Broker</w:t>
            </w:r>
          </w:p>
        </w:tc>
        <w:tc>
          <w:tcPr>
            <w:tcW w:w="14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452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Against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Abstain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Non-Votes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4524"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1. a) Election of Jean-Philippe Courtois</w:t>
            </w:r>
            <w:r>
              <w:rPr>
                <w:rFonts w:ascii="Times New Roman" w:hAnsi="Times New Roman"/>
                <w:sz w:val="20"/>
              </w:rPr>
              <w:t xml:space="preserve">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46,155,110</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104,536</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34,650</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1,433,274</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52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524"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b) Election of William Downe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44,428,982</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1,830,693</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34,621</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1,433,274</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52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524"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c) Election of John F. Ferraro</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46,155,753</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104,214</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34,329</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1,433,274</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52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524"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d) Election of William P. Gipson</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45,121,420</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1,137,840</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35,036</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1,433,274</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52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524"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e) Election of Patricia Hemingway Hall</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44,570,359</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1,685,627</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38,310</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1,433,274</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52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524"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f) Election of Julie M. Howard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44,808,364</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1,451,079</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34,853</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1,433,274</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52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524"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g) Election of Ulice Payne, Jr.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43,105,862</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3,153,870</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34,564</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1,433,274</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52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524"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h) Election of Muriel Pénicaud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45,545,904</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713,741</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34,651</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1,433,274</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52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524"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i) Election of Jonas Prising</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43,281,943</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2,972,165</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40,188</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1,433,274</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52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524"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j) Election of Paul Read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46,119,304</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140,168</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34,824</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1,433,274</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52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524"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k) Election of Elizabeth P. Sartain</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44,233,763</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2,025,803</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34,730</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1,433,274</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52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524"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l) Election of Michael J. Van Handel</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45,272,929</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987,150</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34,217</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1,433,274</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52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5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 Ratification of the appointment of Deloitte &amp; Touche LLP as our independent auditors for 2023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47,317,113</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379,089</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31,368</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52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5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 Advisory vote on the compensation of our named executive officers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38,310,350</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7,845,110</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138,836</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1,433,274</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52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Broker</w:t>
            </w:r>
          </w:p>
        </w:tc>
        <w:tc>
          <w:tcPr>
            <w:tcW w:w="191" w:type="dxa"/>
            <w:tcBorders/>
            <w:shd w:fill="auto" w:val="clear"/>
            <w:vAlign w:val="center"/>
          </w:tcPr>
          <w:p>
            <w:pPr>
              <w:pStyle w:val="TableContents"/>
              <w:spacing w:before="0" w:after="0"/>
              <w:ind w:left="0" w:right="0" w:hanging="0"/>
              <w:jc w:val="left"/>
              <w:rPr/>
            </w:pPr>
            <w:r>
              <w:rPr/>
              <w:t> </w:t>
            </w:r>
          </w:p>
        </w:tc>
      </w:tr>
      <w:tr>
        <w:trPr/>
        <w:tc>
          <w:tcPr>
            <w:tcW w:w="452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36" w:type="dxa"/>
            <w:tcBorders/>
            <w:shd w:fill="auto" w:val="clear"/>
            <w:vAlign w:val="center"/>
          </w:tcPr>
          <w:p>
            <w:pPr>
              <w:pStyle w:val="TableContents"/>
              <w:pBdr>
                <w:bottom w:val="single" w:sz="4" w:space="1" w:color="000000"/>
              </w:pBdr>
              <w:spacing w:before="0" w:after="0"/>
              <w:ind w:left="0" w:right="0" w:hanging="0"/>
              <w:jc w:val="center"/>
              <w:rPr>
                <w:rFonts w:ascii="Times New Roman;serif" w:hAnsi="Times New Roman;serif"/>
                <w:b/>
                <w:sz w:val="16"/>
              </w:rPr>
            </w:pPr>
            <w:r>
              <w:rPr>
                <w:rFonts w:ascii="Times New Roman;serif" w:hAnsi="Times New Roman;serif"/>
                <w:b/>
                <w:sz w:val="16"/>
              </w:rPr>
              <w:t>1 Year</w:t>
            </w:r>
          </w:p>
        </w:tc>
        <w:tc>
          <w:tcPr>
            <w:tcW w:w="14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pBdr>
                <w:bottom w:val="single" w:sz="4" w:space="1" w:color="000000"/>
              </w:pBdr>
              <w:spacing w:before="0" w:after="0"/>
              <w:ind w:left="0" w:right="0" w:hanging="0"/>
              <w:jc w:val="center"/>
              <w:rPr>
                <w:rFonts w:ascii="Times New Roman;serif" w:hAnsi="Times New Roman;serif"/>
                <w:b/>
                <w:sz w:val="16"/>
              </w:rPr>
            </w:pPr>
            <w:r>
              <w:rPr>
                <w:rFonts w:ascii="Times New Roman;serif" w:hAnsi="Times New Roman;serif"/>
                <w:b/>
                <w:sz w:val="16"/>
              </w:rPr>
              <w:t>2 Years</w:t>
            </w:r>
          </w:p>
        </w:tc>
        <w:tc>
          <w:tcPr>
            <w:tcW w:w="14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pBdr>
                <w:bottom w:val="single" w:sz="4" w:space="1" w:color="000000"/>
              </w:pBdr>
              <w:spacing w:before="0" w:after="0"/>
              <w:ind w:left="0" w:right="0" w:hanging="0"/>
              <w:jc w:val="center"/>
              <w:rPr>
                <w:rFonts w:ascii="Times New Roman;serif" w:hAnsi="Times New Roman;serif"/>
                <w:b/>
                <w:sz w:val="16"/>
              </w:rPr>
            </w:pPr>
            <w:r>
              <w:rPr>
                <w:rFonts w:ascii="Times New Roman;serif" w:hAnsi="Times New Roman;serif"/>
                <w:b/>
                <w:sz w:val="16"/>
              </w:rPr>
              <w:t>3 Years</w:t>
            </w:r>
          </w:p>
        </w:tc>
        <w:tc>
          <w:tcPr>
            <w:tcW w:w="14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pBdr>
                <w:bottom w:val="single" w:sz="4" w:space="1" w:color="000000"/>
              </w:pBdr>
              <w:spacing w:before="0" w:after="0"/>
              <w:ind w:left="0" w:right="0" w:hanging="0"/>
              <w:jc w:val="center"/>
              <w:rPr>
                <w:rFonts w:ascii="Times New Roman;serif" w:hAnsi="Times New Roman;serif"/>
                <w:b/>
                <w:sz w:val="16"/>
              </w:rPr>
            </w:pPr>
            <w:r>
              <w:rPr>
                <w:rFonts w:ascii="Times New Roman;serif" w:hAnsi="Times New Roman;serif"/>
                <w:b/>
                <w:sz w:val="16"/>
              </w:rPr>
              <w:t>Abstain</w:t>
            </w:r>
          </w:p>
        </w:tc>
        <w:tc>
          <w:tcPr>
            <w:tcW w:w="14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pBdr>
                <w:bottom w:val="single" w:sz="4" w:space="1" w:color="000000"/>
              </w:pBdr>
              <w:spacing w:before="0" w:after="0"/>
              <w:ind w:left="0" w:right="0" w:hanging="0"/>
              <w:jc w:val="center"/>
              <w:rPr>
                <w:rFonts w:ascii="Times New Roman;serif" w:hAnsi="Times New Roman;serif"/>
                <w:b/>
                <w:sz w:val="16"/>
              </w:rPr>
            </w:pPr>
            <w:r>
              <w:rPr>
                <w:rFonts w:ascii="Times New Roman;serif" w:hAnsi="Times New Roman;serif"/>
                <w:b/>
                <w:sz w:val="16"/>
              </w:rPr>
              <w:t>Non-Votes</w:t>
            </w:r>
          </w:p>
        </w:tc>
        <w:tc>
          <w:tcPr>
            <w:tcW w:w="191" w:type="dxa"/>
            <w:tcBorders/>
            <w:shd w:fill="auto" w:val="clear"/>
            <w:vAlign w:val="center"/>
          </w:tcPr>
          <w:p>
            <w:pPr>
              <w:pStyle w:val="TableContents"/>
              <w:spacing w:before="0" w:after="0"/>
              <w:ind w:left="0" w:right="0" w:hanging="0"/>
              <w:jc w:val="left"/>
              <w:rPr/>
            </w:pPr>
            <w:r>
              <w:rPr/>
              <w:t> </w:t>
            </w:r>
          </w:p>
        </w:tc>
      </w:tr>
      <w:tr>
        <w:trPr/>
        <w:tc>
          <w:tcPr>
            <w:tcW w:w="45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 Advisory vote on the frequency of the advisory vote on the compensation of our named executive officers</w:t>
            </w:r>
          </w:p>
        </w:tc>
        <w:tc>
          <w:tcPr>
            <w:tcW w:w="146" w:type="dxa"/>
            <w:tcBorders/>
            <w:shd w:fill="auto" w:val="clear"/>
            <w:vAlign w:val="center"/>
          </w:tcPr>
          <w:p>
            <w:pPr>
              <w:pStyle w:val="TableContents"/>
              <w:spacing w:before="0" w:after="0"/>
              <w:ind w:left="0" w:right="0" w:hanging="0"/>
              <w:jc w:val="righ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44,235,734</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5,742</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2,037,345</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15,475</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1,433,274</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rFonts w:ascii="Times New Roman" w:hAnsi="Times New Roman"/>
          <w:sz w:val="20"/>
        </w:rPr>
      </w:pPr>
      <w:r>
        <w:rPr>
          <w:rFonts w:ascii="Times New Roman;serif" w:hAnsi="Times New Roman;serif"/>
          <w:b/>
          <w:sz w:val="20"/>
        </w:rPr>
        <w:t>Item 8.01 Other Events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On May 5, 2023 our Board of Directors declared a semi-annual dividend of $1.47 per share. The dividend will be paid on June 15, 2023 to shareholders of record as of the close of business on June 1, 2023. The press release is attached hereto as Exhibit 99.1 and is incorporated by reference herein.</w:t>
      </w:r>
    </w:p>
    <w:p>
      <w:pPr>
        <w:pStyle w:val="TextBody"/>
        <w:spacing w:before="0" w:after="0"/>
        <w:jc w:val="left"/>
        <w:rPr>
          <w:rFonts w:ascii="Times New Roman" w:hAnsi="Times New Roman"/>
          <w:sz w:val="20"/>
        </w:rPr>
      </w:pPr>
      <w:r>
        <w:rPr>
          <w:rFonts w:ascii="Times New Roman;serif" w:hAnsi="Times New Roman;serif"/>
          <w:b/>
          <w:sz w:val="20"/>
        </w:rPr>
        <w:t>Item 9.01. Exhibits</w:t>
      </w:r>
      <w:r>
        <w:rPr>
          <w:rFonts w:ascii="Times New Roman" w:hAnsi="Times New Roman"/>
          <w:sz w:val="20"/>
        </w:rPr>
        <w:t xml:space="preserve"> </w:t>
      </w:r>
    </w:p>
    <w:tbl>
      <w:tblPr>
        <w:tblW w:w="7727" w:type="dxa"/>
        <w:jc w:val="left"/>
        <w:tblInd w:w="0" w:type="dxa"/>
        <w:tblCellMar>
          <w:top w:w="28" w:type="dxa"/>
          <w:left w:w="28" w:type="dxa"/>
          <w:bottom w:w="28" w:type="dxa"/>
          <w:right w:w="28" w:type="dxa"/>
        </w:tblCellMar>
      </w:tblPr>
      <w:tblGrid>
        <w:gridCol w:w="1126"/>
        <w:gridCol w:w="6601"/>
      </w:tblGrid>
      <w:tr>
        <w:trPr/>
        <w:tc>
          <w:tcPr>
            <w:tcW w:w="1126" w:type="dxa"/>
            <w:tcBorders/>
            <w:shd w:fill="auto" w:val="clear"/>
            <w:vAlign w:val="center"/>
          </w:tcPr>
          <w:p>
            <w:pPr>
              <w:pStyle w:val="TableContents"/>
              <w:spacing w:before="0" w:after="283"/>
              <w:rPr>
                <w:sz w:val="4"/>
                <w:szCs w:val="4"/>
              </w:rPr>
            </w:pPr>
            <w:r>
              <w:rPr>
                <w:sz w:val="4"/>
                <w:szCs w:val="4"/>
              </w:rPr>
            </w:r>
          </w:p>
        </w:tc>
        <w:tc>
          <w:tcPr>
            <w:tcW w:w="6601" w:type="dxa"/>
            <w:tcBorders/>
            <w:shd w:fill="auto" w:val="clear"/>
            <w:vAlign w:val="center"/>
          </w:tcPr>
          <w:p>
            <w:pPr>
              <w:pStyle w:val="TableContents"/>
              <w:spacing w:before="0" w:after="283"/>
              <w:rPr>
                <w:sz w:val="4"/>
                <w:szCs w:val="4"/>
              </w:rPr>
            </w:pPr>
            <w:r>
              <w:rPr>
                <w:sz w:val="4"/>
                <w:szCs w:val="4"/>
              </w:rPr>
            </w:r>
          </w:p>
        </w:tc>
      </w:tr>
      <w:tr>
        <w:trPr/>
        <w:tc>
          <w:tcPr>
            <w:tcW w:w="1126"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20"/>
              </w:rPr>
              <w:t>Exhibit No.</w:t>
            </w:r>
            <w:r>
              <w:rPr>
                <w:rFonts w:ascii="Times New Roman" w:hAnsi="Times New Roman"/>
                <w:sz w:val="20"/>
              </w:rPr>
              <w:t xml:space="preserve"> </w:t>
            </w:r>
          </w:p>
        </w:tc>
        <w:tc>
          <w:tcPr>
            <w:tcW w:w="6601" w:type="dxa"/>
            <w:tcBorders>
              <w:bottom w:val="single" w:sz="1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20"/>
              </w:rPr>
              <w:t>Description</w:t>
            </w:r>
            <w:r>
              <w:rPr>
                <w:rFonts w:ascii="Times New Roman" w:hAnsi="Times New Roman"/>
                <w:sz w:val="20"/>
              </w:rPr>
              <w:t xml:space="preserve"> </w:t>
            </w:r>
          </w:p>
        </w:tc>
      </w:tr>
      <w:tr>
        <w:trPr/>
        <w:tc>
          <w:tcPr>
            <w:tcW w:w="11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99.1</w:t>
            </w:r>
          </w:p>
        </w:tc>
        <w:tc>
          <w:tcPr>
            <w:tcW w:w="660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man-ex99_1.htm">
              <w:r>
                <w:rPr>
                  <w:rStyle w:val="InternetLink"/>
                  <w:rFonts w:ascii="Times New Roman;serif" w:hAnsi="Times New Roman;serif"/>
                  <w:b w:val="false"/>
                  <w:sz w:val="20"/>
                  <w:u w:val="single"/>
                </w:rPr>
                <w:t>Press Release dated May 5, 2023</w:t>
              </w:r>
            </w:hyperlink>
          </w:p>
        </w:tc>
      </w:tr>
      <w:tr>
        <w:trPr/>
        <w:tc>
          <w:tcPr>
            <w:tcW w:w="11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660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SIGNATURE</w:t>
      </w:r>
    </w:p>
    <w:p>
      <w:pPr>
        <w:pStyle w:val="TextBody"/>
        <w:spacing w:before="0" w:after="0"/>
        <w:jc w:val="center"/>
        <w:rPr/>
      </w:pPr>
      <w:r>
        <w:rPr/>
        <w:t> </w:t>
      </w:r>
    </w:p>
    <w:p>
      <w:pPr>
        <w:pStyle w:val="TextBody"/>
        <w:spacing w:before="0" w:after="0"/>
        <w:jc w:val="left"/>
        <w:rPr>
          <w:rFonts w:ascii="Times New Roman" w:hAnsi="Times New Roman"/>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hereunto duly authorized.</w:t>
      </w:r>
      <w:r>
        <w:rPr>
          <w:rFonts w:ascii="Times New Roman" w:hAnsi="Times New Roman"/>
          <w:sz w:val="20"/>
        </w:rPr>
        <w:t xml:space="preserve"> </w:t>
      </w:r>
    </w:p>
    <w:p>
      <w:pPr>
        <w:pStyle w:val="TextBody"/>
        <w:spacing w:before="0" w:after="0"/>
        <w:jc w:val="both"/>
        <w:rPr/>
      </w:pPr>
      <w:r>
        <w:rPr/>
        <w:t> </w:t>
      </w:r>
    </w:p>
    <w:tbl>
      <w:tblPr>
        <w:tblW w:w="6989" w:type="dxa"/>
        <w:jc w:val="left"/>
        <w:tblInd w:w="0" w:type="dxa"/>
        <w:tblCellMar>
          <w:top w:w="28" w:type="dxa"/>
          <w:left w:w="28" w:type="dxa"/>
          <w:bottom w:w="28" w:type="dxa"/>
          <w:right w:w="28" w:type="dxa"/>
        </w:tblCellMar>
      </w:tblPr>
      <w:tblGrid>
        <w:gridCol w:w="1741"/>
        <w:gridCol w:w="631"/>
        <w:gridCol w:w="146"/>
        <w:gridCol w:w="4471"/>
      </w:tblGrid>
      <w:tr>
        <w:trPr/>
        <w:tc>
          <w:tcPr>
            <w:tcW w:w="174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7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vAlign w:val="center"/>
          </w:tcPr>
          <w:p>
            <w:pPr>
              <w:pStyle w:val="TableContents"/>
              <w:spacing w:before="0" w:after="283"/>
              <w:ind w:left="0" w:right="0" w:hanging="0"/>
              <w:rPr>
                <w:sz w:val="4"/>
                <w:szCs w:val="4"/>
              </w:rPr>
            </w:pPr>
            <w:r>
              <w:rPr>
                <w:sz w:val="4"/>
                <w:szCs w:val="4"/>
              </w:rPr>
            </w:r>
          </w:p>
        </w:tc>
        <w:tc>
          <w:tcPr>
            <w:tcW w:w="5248" w:type="dxa"/>
            <w:gridSpan w:val="3"/>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MANPOWERGROUP INC.</w:t>
            </w:r>
            <w:r>
              <w:rPr>
                <w:rFonts w:ascii="Times New Roman" w:hAnsi="Times New Roman"/>
                <w:sz w:val="20"/>
              </w:rPr>
              <w:t xml:space="preserve"> </w:t>
            </w:r>
          </w:p>
        </w:tc>
      </w:tr>
      <w:tr>
        <w:trPr/>
        <w:tc>
          <w:tcPr>
            <w:tcW w:w="1741" w:type="dxa"/>
            <w:tcBorders/>
            <w:shd w:fill="auto" w:val="clear"/>
            <w:vAlign w:val="center"/>
          </w:tcPr>
          <w:p>
            <w:pPr>
              <w:pStyle w:val="TableContents"/>
              <w:spacing w:before="0" w:after="0"/>
              <w:ind w:left="0" w:right="0" w:hanging="0"/>
              <w:jc w:val="left"/>
              <w:rPr/>
            </w:pPr>
            <w:r>
              <w:rPr/>
              <w:t> </w:t>
            </w:r>
          </w:p>
        </w:tc>
        <w:tc>
          <w:tcPr>
            <w:tcW w:w="5248" w:type="dxa"/>
            <w:gridSpan w:val="3"/>
            <w:tcBorders/>
            <w:shd w:fill="auto" w:val="clear"/>
            <w:vAlign w:val="center"/>
          </w:tcPr>
          <w:p>
            <w:pPr>
              <w:pStyle w:val="TableContents"/>
              <w:spacing w:before="0" w:after="0"/>
              <w:ind w:left="0" w:right="0" w:hanging="0"/>
              <w:jc w:val="left"/>
              <w:rPr/>
            </w:pPr>
            <w:r>
              <w:rPr/>
              <w:t> </w:t>
            </w:r>
          </w:p>
        </w:tc>
      </w:tr>
      <w:tr>
        <w:trPr/>
        <w:tc>
          <w:tcPr>
            <w:tcW w:w="1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Dated: May 5, 2023</w:t>
            </w:r>
          </w:p>
        </w:tc>
        <w:tc>
          <w:tcPr>
            <w:tcW w:w="63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By:</w:t>
            </w:r>
            <w:r>
              <w:rPr>
                <w:rFonts w:ascii="Times New Roman" w:hAnsi="Times New Roman"/>
                <w:sz w:val="20"/>
              </w:rPr>
              <w:t xml:space="preserve"> </w:t>
            </w:r>
          </w:p>
        </w:tc>
        <w:tc>
          <w:tcPr>
            <w:tcW w:w="146" w:type="dxa"/>
            <w:tcBorders/>
            <w:shd w:fill="auto" w:val="clear"/>
            <w:vAlign w:val="center"/>
          </w:tcPr>
          <w:p>
            <w:pPr>
              <w:pStyle w:val="TableContents"/>
              <w:spacing w:before="0" w:after="0"/>
              <w:ind w:left="0" w:right="0" w:hanging="0"/>
              <w:jc w:val="left"/>
              <w:rPr/>
            </w:pPr>
            <w:r>
              <w:rPr/>
              <w:t> </w:t>
            </w:r>
          </w:p>
        </w:tc>
        <w:tc>
          <w:tcPr>
            <w:tcW w:w="447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Richard Buchband</w:t>
            </w:r>
          </w:p>
        </w:tc>
      </w:tr>
      <w:tr>
        <w:trPr/>
        <w:tc>
          <w:tcPr>
            <w:tcW w:w="1741" w:type="dxa"/>
            <w:tcBorders/>
            <w:shd w:fill="auto" w:val="clear"/>
            <w:vAlign w:val="center"/>
          </w:tcPr>
          <w:p>
            <w:pPr>
              <w:pStyle w:val="TableContents"/>
              <w:spacing w:before="0" w:after="283"/>
              <w:ind w:left="0" w:right="0" w:hanging="0"/>
              <w:rPr>
                <w:sz w:val="4"/>
                <w:szCs w:val="4"/>
              </w:rPr>
            </w:pPr>
            <w:r>
              <w:rPr>
                <w:sz w:val="4"/>
                <w:szCs w:val="4"/>
              </w:rPr>
            </w:r>
          </w:p>
        </w:tc>
        <w:tc>
          <w:tcPr>
            <w:tcW w:w="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44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Richard Buchband</w:t>
            </w:r>
          </w:p>
        </w:tc>
      </w:tr>
      <w:tr>
        <w:trPr/>
        <w:tc>
          <w:tcPr>
            <w:tcW w:w="1741" w:type="dxa"/>
            <w:tcBorders/>
            <w:shd w:fill="auto" w:val="clear"/>
            <w:vAlign w:val="center"/>
          </w:tcPr>
          <w:p>
            <w:pPr>
              <w:pStyle w:val="TableContents"/>
              <w:spacing w:before="0" w:after="283"/>
              <w:ind w:left="0" w:right="0" w:hanging="0"/>
              <w:rPr>
                <w:sz w:val="4"/>
                <w:szCs w:val="4"/>
              </w:rPr>
            </w:pPr>
            <w:r>
              <w:rPr>
                <w:sz w:val="4"/>
                <w:szCs w:val="4"/>
              </w:rPr>
            </w:r>
          </w:p>
        </w:tc>
        <w:tc>
          <w:tcPr>
            <w:tcW w:w="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44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Senior Vice President, General Counsel and Secretary</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serif" w:hAnsi="Times New Roman;serif"/>
          <w:b/>
          <w:sz w:val="24"/>
        </w:rPr>
      </w:pPr>
      <w:bookmarkStart w:id="2" w:name="man-ex99_1.htm"/>
      <w:bookmarkStart w:id="3" w:name="ksmanex99_1"/>
      <w:bookmarkEnd w:id="2"/>
      <w:bookmarkEnd w:id="3"/>
      <w:r>
        <w:rPr>
          <w:rFonts w:ascii="Times New Roman;serif" w:hAnsi="Times New Roman;serif"/>
          <w:b/>
          <w:sz w:val="24"/>
        </w:rPr>
        <w:t>EXHIBIT 99.1</w:t>
      </w:r>
    </w:p>
    <w:p>
      <w:pPr>
        <w:pStyle w:val="TextBody"/>
        <w:spacing w:before="0" w:after="0"/>
        <w:jc w:val="right"/>
        <w:rPr/>
      </w:pPr>
      <w:r>
        <w:rPr/>
        <w:t> </w:t>
      </w:r>
    </w:p>
    <w:p>
      <w:pPr>
        <w:pStyle w:val="TextBody"/>
        <w:spacing w:before="0" w:after="0"/>
        <w:jc w:val="left"/>
        <w:rPr/>
      </w:pPr>
      <w:r>
        <w:rPr/>
        <w:drawing>
          <wp:inline distT="0" distB="0" distL="0" distR="0">
            <wp:extent cx="1952625" cy="1066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52625" cy="1066800"/>
                    </a:xfrm>
                    <a:prstGeom prst="rect">
                      <a:avLst/>
                    </a:prstGeom>
                  </pic:spPr>
                </pic:pic>
              </a:graphicData>
            </a:graphic>
          </wp:inline>
        </w:drawing>
      </w:r>
      <w:r>
        <w:rPr/>
        <w:t> </w:t>
      </w:r>
    </w:p>
    <w:tbl>
      <w:tblPr>
        <w:tblW w:w="7967" w:type="dxa"/>
        <w:jc w:val="left"/>
        <w:tblInd w:w="0" w:type="dxa"/>
        <w:tblCellMar>
          <w:top w:w="28" w:type="dxa"/>
          <w:left w:w="28" w:type="dxa"/>
          <w:bottom w:w="28" w:type="dxa"/>
          <w:right w:w="28" w:type="dxa"/>
        </w:tblCellMar>
      </w:tblPr>
      <w:tblGrid>
        <w:gridCol w:w="1566"/>
        <w:gridCol w:w="1539"/>
        <w:gridCol w:w="1096"/>
        <w:gridCol w:w="3766"/>
      </w:tblGrid>
      <w:tr>
        <w:trPr/>
        <w:tc>
          <w:tcPr>
            <w:tcW w:w="1566" w:type="dxa"/>
            <w:tcBorders/>
            <w:shd w:fill="auto" w:val="clear"/>
            <w:vAlign w:val="center"/>
          </w:tcPr>
          <w:p>
            <w:pPr>
              <w:pStyle w:val="TableContents"/>
              <w:spacing w:before="0" w:after="283"/>
              <w:rPr>
                <w:sz w:val="4"/>
                <w:szCs w:val="4"/>
              </w:rPr>
            </w:pPr>
            <w:r>
              <w:rPr>
                <w:sz w:val="4"/>
                <w:szCs w:val="4"/>
              </w:rPr>
            </w:r>
          </w:p>
        </w:tc>
        <w:tc>
          <w:tcPr>
            <w:tcW w:w="1539"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3766" w:type="dxa"/>
            <w:tcBorders/>
            <w:shd w:fill="auto" w:val="clear"/>
            <w:vAlign w:val="center"/>
          </w:tcPr>
          <w:p>
            <w:pPr>
              <w:pStyle w:val="TableContents"/>
              <w:spacing w:before="0" w:after="283"/>
              <w:rPr>
                <w:sz w:val="4"/>
                <w:szCs w:val="4"/>
              </w:rPr>
            </w:pPr>
            <w:r>
              <w:rPr>
                <w:sz w:val="4"/>
                <w:szCs w:val="4"/>
              </w:rPr>
            </w:r>
          </w:p>
        </w:tc>
      </w:tr>
      <w:tr>
        <w:trPr/>
        <w:tc>
          <w:tcPr>
            <w:tcW w:w="3105" w:type="dxa"/>
            <w:gridSpan w:val="2"/>
            <w:tcBorders/>
            <w:shd w:fill="auto" w:val="clear"/>
            <w:tcMar>
              <w:top w:w="0" w:type="dxa"/>
              <w:left w:w="0" w:type="dxa"/>
              <w:bottom w:w="0" w:type="dxa"/>
              <w:right w:w="0" w:type="dxa"/>
            </w:tcMar>
            <w:vAlign w:val="center"/>
          </w:tcPr>
          <w:p>
            <w:pPr>
              <w:pStyle w:val="TableContents"/>
              <w:spacing w:before="0" w:after="0"/>
              <w:ind w:left="0" w:right="75" w:hanging="0"/>
              <w:jc w:val="left"/>
              <w:rPr>
                <w:rFonts w:ascii="Arial;sans-serif" w:hAnsi="Arial;sans-serif"/>
                <w:b/>
                <w:sz w:val="22"/>
              </w:rPr>
            </w:pPr>
            <w:r>
              <w:rPr>
                <w:rFonts w:ascii="Arial;sans-serif" w:hAnsi="Arial;sans-serif"/>
                <w:b/>
                <w:sz w:val="22"/>
              </w:rPr>
              <w:t>FOR IMMEDIATE RELEASE</w:t>
            </w:r>
          </w:p>
        </w:tc>
        <w:tc>
          <w:tcPr>
            <w:tcW w:w="109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CONTACT:</w:t>
            </w:r>
          </w:p>
        </w:tc>
        <w:tc>
          <w:tcPr>
            <w:tcW w:w="3766" w:type="dxa"/>
            <w:tcBorders/>
            <w:shd w:fill="auto" w:val="clear"/>
            <w:tcMar>
              <w:top w:w="0" w:type="dxa"/>
              <w:left w:w="0" w:type="dxa"/>
              <w:bottom w:w="0" w:type="dxa"/>
              <w:right w:w="0" w:type="dxa"/>
            </w:tcMar>
            <w:vAlign w:val="center"/>
          </w:tcPr>
          <w:p>
            <w:pPr>
              <w:pStyle w:val="TableContents"/>
              <w:spacing w:before="0" w:after="0"/>
              <w:ind w:left="0" w:right="720" w:hanging="0"/>
              <w:jc w:val="left"/>
              <w:rPr/>
            </w:pPr>
            <w:r>
              <w:rPr/>
              <w:t> </w:t>
            </w:r>
          </w:p>
        </w:tc>
      </w:tr>
      <w:tr>
        <w:trPr/>
        <w:tc>
          <w:tcPr>
            <w:tcW w:w="1566" w:type="dxa"/>
            <w:tcBorders/>
            <w:shd w:fill="auto" w:val="clear"/>
            <w:tcMar>
              <w:top w:w="0" w:type="dxa"/>
              <w:left w:w="0" w:type="dxa"/>
              <w:bottom w:w="0" w:type="dxa"/>
              <w:right w:w="0" w:type="dxa"/>
            </w:tcMar>
            <w:vAlign w:val="center"/>
          </w:tcPr>
          <w:p>
            <w:pPr>
              <w:pStyle w:val="TableContents"/>
              <w:spacing w:before="0" w:after="0"/>
              <w:ind w:left="0" w:right="720" w:hanging="0"/>
              <w:jc w:val="left"/>
              <w:rPr/>
            </w:pPr>
            <w:r>
              <w:rPr/>
              <w:t> </w:t>
            </w:r>
          </w:p>
        </w:tc>
        <w:tc>
          <w:tcPr>
            <w:tcW w:w="1539" w:type="dxa"/>
            <w:tcBorders/>
            <w:shd w:fill="auto" w:val="clear"/>
            <w:tcMar>
              <w:top w:w="0" w:type="dxa"/>
              <w:left w:w="0" w:type="dxa"/>
              <w:bottom w:w="0" w:type="dxa"/>
              <w:right w:w="0" w:type="dxa"/>
            </w:tcMar>
            <w:vAlign w:val="center"/>
          </w:tcPr>
          <w:p>
            <w:pPr>
              <w:pStyle w:val="TableContents"/>
              <w:spacing w:before="0" w:after="0"/>
              <w:ind w:left="0" w:right="720" w:hanging="0"/>
              <w:jc w:val="left"/>
              <w:rPr/>
            </w:pPr>
            <w:r>
              <w:rPr/>
              <w:t> </w:t>
            </w:r>
          </w:p>
        </w:tc>
        <w:tc>
          <w:tcPr>
            <w:tcW w:w="1096" w:type="dxa"/>
            <w:tcBorders/>
            <w:shd w:fill="auto" w:val="clear"/>
            <w:tcMar>
              <w:top w:w="0" w:type="dxa"/>
              <w:left w:w="0" w:type="dxa"/>
              <w:bottom w:w="0" w:type="dxa"/>
              <w:right w:w="0" w:type="dxa"/>
            </w:tcMar>
            <w:vAlign w:val="center"/>
          </w:tcPr>
          <w:p>
            <w:pPr>
              <w:pStyle w:val="TableContents"/>
              <w:spacing w:before="0" w:after="0"/>
              <w:ind w:left="0" w:right="72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Nick Hengst, Investor Relations Manager</w:t>
            </w:r>
            <w:r>
              <w:rPr>
                <w:rFonts w:ascii="Times New Roman" w:hAnsi="Times New Roman"/>
                <w:sz w:val="20"/>
              </w:rPr>
              <w:t xml:space="preserve"> </w:t>
            </w:r>
          </w:p>
        </w:tc>
      </w:tr>
      <w:tr>
        <w:trPr/>
        <w:tc>
          <w:tcPr>
            <w:tcW w:w="1566" w:type="dxa"/>
            <w:tcBorders/>
            <w:shd w:fill="auto" w:val="clear"/>
            <w:tcMar>
              <w:top w:w="0" w:type="dxa"/>
              <w:left w:w="0" w:type="dxa"/>
              <w:bottom w:w="0" w:type="dxa"/>
              <w:right w:w="0" w:type="dxa"/>
            </w:tcMar>
            <w:vAlign w:val="center"/>
          </w:tcPr>
          <w:p>
            <w:pPr>
              <w:pStyle w:val="TableContents"/>
              <w:spacing w:before="0" w:after="0"/>
              <w:ind w:left="0" w:right="720" w:hanging="0"/>
              <w:jc w:val="left"/>
              <w:rPr/>
            </w:pPr>
            <w:r>
              <w:rPr/>
              <w:t> </w:t>
            </w:r>
          </w:p>
        </w:tc>
        <w:tc>
          <w:tcPr>
            <w:tcW w:w="1539" w:type="dxa"/>
            <w:tcBorders/>
            <w:shd w:fill="auto" w:val="clear"/>
            <w:tcMar>
              <w:top w:w="0" w:type="dxa"/>
              <w:left w:w="0" w:type="dxa"/>
              <w:bottom w:w="0" w:type="dxa"/>
              <w:right w:w="0" w:type="dxa"/>
            </w:tcMar>
            <w:vAlign w:val="center"/>
          </w:tcPr>
          <w:p>
            <w:pPr>
              <w:pStyle w:val="TableContents"/>
              <w:spacing w:before="0" w:after="0"/>
              <w:ind w:left="0" w:right="720" w:hanging="0"/>
              <w:jc w:val="left"/>
              <w:rPr/>
            </w:pPr>
            <w:r>
              <w:rPr/>
              <w:t> </w:t>
            </w:r>
          </w:p>
        </w:tc>
        <w:tc>
          <w:tcPr>
            <w:tcW w:w="1096" w:type="dxa"/>
            <w:tcBorders/>
            <w:shd w:fill="auto" w:val="clear"/>
            <w:tcMar>
              <w:top w:w="0" w:type="dxa"/>
              <w:left w:w="0" w:type="dxa"/>
              <w:bottom w:w="0" w:type="dxa"/>
              <w:right w:w="0" w:type="dxa"/>
            </w:tcMar>
            <w:vAlign w:val="center"/>
          </w:tcPr>
          <w:p>
            <w:pPr>
              <w:pStyle w:val="TableContents"/>
              <w:spacing w:before="0" w:after="0"/>
              <w:ind w:left="0" w:right="72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720" w:hanging="0"/>
              <w:jc w:val="left"/>
              <w:rPr>
                <w:rFonts w:ascii="Arial;sans-serif" w:hAnsi="Arial;sans-serif"/>
                <w:b w:val="false"/>
                <w:sz w:val="20"/>
              </w:rPr>
            </w:pPr>
            <w:r>
              <w:rPr>
                <w:rFonts w:ascii="Arial;sans-serif" w:hAnsi="Arial;sans-serif"/>
                <w:b w:val="false"/>
                <w:sz w:val="20"/>
              </w:rPr>
              <w:t>+1.414.906.7356</w:t>
            </w:r>
          </w:p>
        </w:tc>
      </w:tr>
      <w:tr>
        <w:trPr/>
        <w:tc>
          <w:tcPr>
            <w:tcW w:w="1566" w:type="dxa"/>
            <w:tcBorders/>
            <w:shd w:fill="auto" w:val="clear"/>
            <w:tcMar>
              <w:top w:w="0" w:type="dxa"/>
              <w:left w:w="0" w:type="dxa"/>
              <w:bottom w:w="0" w:type="dxa"/>
              <w:right w:w="0" w:type="dxa"/>
            </w:tcMar>
            <w:vAlign w:val="center"/>
          </w:tcPr>
          <w:p>
            <w:pPr>
              <w:pStyle w:val="TableContents"/>
              <w:spacing w:before="0" w:after="0"/>
              <w:ind w:left="0" w:right="720" w:hanging="0"/>
              <w:jc w:val="left"/>
              <w:rPr/>
            </w:pPr>
            <w:r>
              <w:rPr/>
              <w:t> </w:t>
            </w:r>
          </w:p>
        </w:tc>
        <w:tc>
          <w:tcPr>
            <w:tcW w:w="1539" w:type="dxa"/>
            <w:tcBorders/>
            <w:shd w:fill="auto" w:val="clear"/>
            <w:tcMar>
              <w:top w:w="0" w:type="dxa"/>
              <w:left w:w="0" w:type="dxa"/>
              <w:bottom w:w="0" w:type="dxa"/>
              <w:right w:w="0" w:type="dxa"/>
            </w:tcMar>
            <w:vAlign w:val="center"/>
          </w:tcPr>
          <w:p>
            <w:pPr>
              <w:pStyle w:val="TableContents"/>
              <w:spacing w:before="0" w:after="0"/>
              <w:ind w:left="0" w:right="720" w:hanging="0"/>
              <w:jc w:val="left"/>
              <w:rPr/>
            </w:pPr>
            <w:r>
              <w:rPr/>
              <w:t> </w:t>
            </w:r>
          </w:p>
        </w:tc>
        <w:tc>
          <w:tcPr>
            <w:tcW w:w="1096" w:type="dxa"/>
            <w:tcBorders/>
            <w:shd w:fill="auto" w:val="clear"/>
            <w:tcMar>
              <w:top w:w="0" w:type="dxa"/>
              <w:left w:w="0" w:type="dxa"/>
              <w:bottom w:w="0" w:type="dxa"/>
              <w:right w:w="0" w:type="dxa"/>
            </w:tcMar>
            <w:vAlign w:val="center"/>
          </w:tcPr>
          <w:p>
            <w:pPr>
              <w:pStyle w:val="TableContents"/>
              <w:spacing w:before="0" w:after="0"/>
              <w:ind w:left="0" w:right="72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u w:val="single"/>
              </w:rPr>
            </w:pPr>
            <w:r>
              <w:rPr>
                <w:rFonts w:ascii="Arial;sans-serif" w:hAnsi="Arial;sans-serif"/>
                <w:b w:val="false"/>
                <w:sz w:val="20"/>
                <w:u w:val="single"/>
              </w:rPr>
              <w:t>nicholas.hengst@manpowergroup.com</w:t>
            </w:r>
          </w:p>
          <w:p>
            <w:pPr>
              <w:pStyle w:val="TableContents"/>
              <w:spacing w:before="0" w:after="0"/>
              <w:ind w:left="0" w:right="0" w:hanging="0"/>
              <w:jc w:val="left"/>
              <w:rPr/>
            </w:pPr>
            <w:r>
              <w:rPr/>
              <w:t> </w:t>
            </w:r>
          </w:p>
        </w:tc>
      </w:tr>
    </w:tbl>
    <w:p>
      <w:pPr>
        <w:pStyle w:val="TextBody"/>
        <w:spacing w:before="0" w:after="0"/>
        <w:jc w:val="center"/>
        <w:rPr>
          <w:rFonts w:ascii="Arial;sans-serif" w:hAnsi="Arial;sans-serif"/>
          <w:b/>
          <w:sz w:val="22"/>
        </w:rPr>
      </w:pPr>
      <w:r>
        <w:rPr>
          <w:rFonts w:ascii="Arial;sans-serif" w:hAnsi="Arial;sans-serif"/>
          <w:b/>
          <w:sz w:val="22"/>
        </w:rPr>
        <w:t>ManpowerGroup Increases Dividend 8.1 Percent</w:t>
      </w:r>
    </w:p>
    <w:p>
      <w:pPr>
        <w:pStyle w:val="TextBody"/>
        <w:spacing w:before="0" w:after="0"/>
        <w:jc w:val="left"/>
        <w:rPr>
          <w:rFonts w:ascii="Times New Roman" w:hAnsi="Times New Roman"/>
          <w:sz w:val="20"/>
        </w:rPr>
      </w:pPr>
      <w:r>
        <w:rPr>
          <w:rFonts w:ascii="Arial;sans-serif" w:hAnsi="Arial;sans-serif"/>
          <w:b/>
          <w:sz w:val="20"/>
        </w:rPr>
        <w:t>MILWAUKEE (May 5, 2023)</w:t>
      </w:r>
      <w:r>
        <w:rPr>
          <w:rFonts w:ascii="Times New Roman" w:hAnsi="Times New Roman"/>
          <w:sz w:val="20"/>
        </w:rPr>
        <w:t xml:space="preserve"> – </w:t>
      </w:r>
      <w:r>
        <w:rPr>
          <w:rFonts w:ascii="Arial;sans-serif" w:hAnsi="Arial;sans-serif"/>
          <w:b w:val="false"/>
          <w:sz w:val="20"/>
        </w:rPr>
        <w:t>The Board of Directors of ManpowerGroup (NYSE: MAN) has declared a semi-annual dividend of $1.47 per share, an 8.1 percent increase from the most recent semi-annual dividend of $1.36 per share.</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The dividend is payable on June 15, 2023 to shareholders of record as of the close of business on June 1, 2023.</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0"/>
        </w:rPr>
        <w:t xml:space="preserve">Additional financial information about ManpowerGroup, including stock history and annual shareholder reports, can be found at </w:t>
      </w:r>
      <w:r>
        <w:rPr>
          <w:rFonts w:ascii="Arial;sans-serif" w:hAnsi="Arial;sans-serif"/>
          <w:b w:val="false"/>
          <w:sz w:val="20"/>
          <w:u w:val="single"/>
        </w:rPr>
        <w:t>http://investor.manpowergroup.com</w:t>
      </w:r>
      <w:r>
        <w:rPr>
          <w:rFonts w:ascii="Arial;sans-serif" w:hAnsi="Arial;sans-serif"/>
          <w:b w:val="false"/>
          <w:sz w:val="20"/>
        </w:rPr>
        <w:t>.</w:t>
      </w:r>
    </w:p>
    <w:p>
      <w:pPr>
        <w:pStyle w:val="TextBody"/>
        <w:spacing w:before="0" w:after="0"/>
        <w:jc w:val="center"/>
        <w:rPr>
          <w:rFonts w:ascii="Arial;sans-serif" w:hAnsi="Arial;sans-serif"/>
          <w:b w:val="false"/>
          <w:sz w:val="20"/>
        </w:rPr>
      </w:pPr>
      <w:r>
        <w:rPr>
          <w:rFonts w:ascii="Arial;sans-serif" w:hAnsi="Arial;sans-serif"/>
          <w:b w:val="false"/>
          <w:sz w:val="20"/>
        </w:rPr>
        <w:t>###</w:t>
      </w:r>
    </w:p>
    <w:p>
      <w:pPr>
        <w:pStyle w:val="TextBody"/>
        <w:spacing w:before="0" w:after="0"/>
        <w:jc w:val="left"/>
        <w:rPr>
          <w:rFonts w:ascii="Arial;sans-serif" w:hAnsi="Arial;sans-serif"/>
          <w:b/>
          <w:sz w:val="20"/>
        </w:rPr>
      </w:pPr>
      <w:r>
        <w:rPr>
          <w:rFonts w:ascii="Arial;sans-serif" w:hAnsi="Arial;sans-serif"/>
          <w:b/>
          <w:sz w:val="20"/>
        </w:rPr>
        <w:t>ABOUT MANPOWERGROUP</w:t>
      </w:r>
    </w:p>
    <w:p>
      <w:pPr>
        <w:pStyle w:val="TextBody"/>
        <w:spacing w:before="0" w:after="0"/>
        <w:jc w:val="left"/>
        <w:rPr>
          <w:rFonts w:ascii="Times New Roman" w:hAnsi="Times New Roman"/>
          <w:sz w:val="20"/>
        </w:rPr>
      </w:pPr>
      <w:r>
        <w:rPr>
          <w:rFonts w:ascii="Arial;sans-serif" w:hAnsi="Arial;sans-serif"/>
          <w:b w:val="false"/>
          <w:sz w:val="20"/>
        </w:rPr>
        <w:t xml:space="preserve">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70 countries and territories and has done so for 75 years. We are recognized consistently for our diversity – as a best place to work for Women, Inclusion, Equality, and Disability, and in 2023 ManpowerGroup was named one of the World's Most Ethical Companies for the 14th time – all confirming our position as the brand of choice for in-demand talent. For more information, visit </w:t>
      </w:r>
      <w:r>
        <w:rPr>
          <w:rFonts w:ascii="Arial;sans-serif" w:hAnsi="Arial;sans-serif"/>
          <w:b w:val="false"/>
          <w:sz w:val="20"/>
          <w:u w:val="single"/>
        </w:rPr>
        <w:t>www.manpowergroup.com</w:t>
      </w:r>
      <w:r>
        <w:rPr>
          <w:rFonts w:ascii="Arial;sans-serif" w:hAnsi="Arial;sans-serif"/>
          <w:b w:val="false"/>
          <w:sz w:val="20"/>
        </w:rPr>
        <w:t>.</w:t>
      </w:r>
      <w:r>
        <w:rPr>
          <w:rFonts w:ascii="Times New Roman" w:hAnsi="Times New Roman"/>
          <w:sz w:val="20"/>
        </w:rPr>
        <w:t xml:space="preserve"> </w:t>
      </w:r>
    </w:p>
    <w:p>
      <w:pPr>
        <w:pStyle w:val="TextBody"/>
        <w:spacing w:before="0" w:after="0"/>
        <w:jc w:val="center"/>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963</Words>
  <CharactersWithSpaces>6568</CharactersWithSpaces>
  <Paragraphs>462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