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color w:val="auto"/>
        </w:rPr>
        <w:t>As filed with the Securities and Exchange Commission on September 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jc w:val="center"/>
        <w:spacing w:after="0" w:line="186" w:lineRule="auto"/>
        <w:rPr>
          <w:sz w:val="20"/>
          <w:szCs w:val="20"/>
          <w:color w:val="auto"/>
        </w:rPr>
      </w:pPr>
      <w:r>
        <w:rPr>
          <w:rFonts w:ascii="Arial" w:cs="Arial" w:eastAsia="Arial" w:hAnsi="Arial"/>
          <w:sz w:val="21"/>
          <w:szCs w:val="21"/>
          <w:color w:val="auto"/>
        </w:rPr>
        <w:t>Washington, D.C. 20549</w:t>
      </w:r>
    </w:p>
    <w:p>
      <w:pPr>
        <w:jc w:val="center"/>
        <w:spacing w:after="0" w:line="209" w:lineRule="auto"/>
        <w:rPr>
          <w:sz w:val="20"/>
          <w:szCs w:val="20"/>
          <w:color w:val="auto"/>
        </w:rPr>
      </w:pPr>
      <w:r>
        <w:rPr>
          <w:rFonts w:ascii="Arial" w:cs="Arial" w:eastAsia="Arial" w:hAnsi="Arial"/>
          <w:sz w:val="32"/>
          <w:szCs w:val="32"/>
          <w:b w:val="1"/>
          <w:bCs w:val="1"/>
          <w:color w:val="auto"/>
        </w:rPr>
        <w:t>FORM S-8</w:t>
      </w:r>
    </w:p>
    <w:p>
      <w:pPr>
        <w:jc w:val="center"/>
        <w:spacing w:after="0" w:line="205" w:lineRule="auto"/>
        <w:rPr>
          <w:sz w:val="20"/>
          <w:szCs w:val="20"/>
          <w:color w:val="auto"/>
        </w:rPr>
      </w:pPr>
      <w:r>
        <w:rPr>
          <w:rFonts w:ascii="Arial" w:cs="Arial" w:eastAsia="Arial" w:hAnsi="Arial"/>
          <w:sz w:val="25"/>
          <w:szCs w:val="25"/>
          <w:b w:val="1"/>
          <w:bCs w:val="1"/>
          <w:color w:val="auto"/>
        </w:rPr>
        <w:t>REGISTRATION STATEMENT</w:t>
      </w:r>
    </w:p>
    <w:p>
      <w:pPr>
        <w:jc w:val="center"/>
        <w:spacing w:after="0" w:line="208" w:lineRule="auto"/>
        <w:rPr>
          <w:sz w:val="20"/>
          <w:szCs w:val="20"/>
          <w:color w:val="auto"/>
        </w:rPr>
      </w:pPr>
      <w:r>
        <w:rPr>
          <w:rFonts w:ascii="Arial" w:cs="Arial" w:eastAsia="Arial" w:hAnsi="Arial"/>
          <w:sz w:val="23"/>
          <w:szCs w:val="23"/>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The Securities Act of 1933</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MANPOWER INC.</w:t>
      </w: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01" w:lineRule="exact"/>
        <w:rPr>
          <w:sz w:val="24"/>
          <w:szCs w:val="24"/>
          <w:color w:val="auto"/>
        </w:rPr>
      </w:pPr>
    </w:p>
    <w:tbl>
      <w:tblPr>
        <w:tblLayout w:type="fixed"/>
        <w:tblInd w:w="3220" w:type="dxa"/>
        <w:tblCellMar>
          <w:top w:w="0" w:type="dxa"/>
          <w:left w:w="0" w:type="dxa"/>
          <w:bottom w:w="0" w:type="dxa"/>
          <w:right w:w="0" w:type="dxa"/>
        </w:tblCellMar>
      </w:tblPr>
      <w:tr>
        <w:trPr>
          <w:trHeight w:val="253"/>
        </w:trPr>
        <w:tc>
          <w:tcPr>
            <w:tcW w:w="2620" w:type="dxa"/>
            <w:vAlign w:val="bottom"/>
          </w:tcPr>
          <w:p>
            <w:pPr>
              <w:jc w:val="center"/>
              <w:ind w:right="186"/>
              <w:spacing w:after="0"/>
              <w:rPr>
                <w:sz w:val="20"/>
                <w:szCs w:val="20"/>
                <w:color w:val="auto"/>
              </w:rPr>
            </w:pPr>
            <w:r>
              <w:rPr>
                <w:rFonts w:ascii="Arial" w:cs="Arial" w:eastAsia="Arial" w:hAnsi="Arial"/>
                <w:sz w:val="22"/>
                <w:szCs w:val="22"/>
                <w:b w:val="1"/>
                <w:bCs w:val="1"/>
                <w:color w:val="auto"/>
                <w:w w:val="85"/>
              </w:rPr>
              <w:t>Wisconsin</w:t>
            </w:r>
          </w:p>
        </w:tc>
        <w:tc>
          <w:tcPr>
            <w:tcW w:w="2380" w:type="dxa"/>
            <w:vAlign w:val="bottom"/>
          </w:tcPr>
          <w:p>
            <w:pPr>
              <w:jc w:val="right"/>
              <w:ind w:right="430"/>
              <w:spacing w:after="0"/>
              <w:rPr>
                <w:sz w:val="20"/>
                <w:szCs w:val="20"/>
                <w:color w:val="auto"/>
              </w:rPr>
            </w:pPr>
            <w:r>
              <w:rPr>
                <w:rFonts w:ascii="Arial" w:cs="Arial" w:eastAsia="Arial" w:hAnsi="Arial"/>
                <w:sz w:val="22"/>
                <w:szCs w:val="22"/>
                <w:b w:val="1"/>
                <w:bCs w:val="1"/>
                <w:color w:val="auto"/>
              </w:rPr>
              <w:t>39-1672779</w:t>
            </w:r>
          </w:p>
        </w:tc>
      </w:tr>
      <w:tr>
        <w:trPr>
          <w:trHeight w:val="182"/>
        </w:trPr>
        <w:tc>
          <w:tcPr>
            <w:tcW w:w="2620" w:type="dxa"/>
            <w:vAlign w:val="bottom"/>
          </w:tcPr>
          <w:p>
            <w:pPr>
              <w:jc w:val="center"/>
              <w:ind w:right="206"/>
              <w:spacing w:after="0"/>
              <w:rPr>
                <w:sz w:val="20"/>
                <w:szCs w:val="20"/>
                <w:color w:val="auto"/>
              </w:rPr>
            </w:pPr>
            <w:r>
              <w:rPr>
                <w:rFonts w:ascii="Arial" w:cs="Arial" w:eastAsia="Arial" w:hAnsi="Arial"/>
                <w:sz w:val="14"/>
                <w:szCs w:val="14"/>
                <w:color w:val="auto"/>
                <w:w w:val="94"/>
              </w:rPr>
              <w:t>(State of Incorporation)</w:t>
            </w:r>
          </w:p>
        </w:tc>
        <w:tc>
          <w:tcPr>
            <w:tcW w:w="2380" w:type="dxa"/>
            <w:vAlign w:val="bottom"/>
          </w:tcPr>
          <w:p>
            <w:pPr>
              <w:jc w:val="center"/>
              <w:ind w:left="190"/>
              <w:spacing w:after="0"/>
              <w:rPr>
                <w:sz w:val="20"/>
                <w:szCs w:val="20"/>
                <w:color w:val="auto"/>
              </w:rPr>
            </w:pPr>
            <w:r>
              <w:rPr>
                <w:rFonts w:ascii="Arial" w:cs="Arial" w:eastAsia="Arial" w:hAnsi="Arial"/>
                <w:sz w:val="14"/>
                <w:szCs w:val="14"/>
                <w:color w:val="auto"/>
                <w:w w:val="97"/>
              </w:rPr>
              <w:t>(I.R.S. Employer Identification No.)</w:t>
            </w:r>
          </w:p>
        </w:tc>
      </w:tr>
      <w:tr>
        <w:trPr>
          <w:trHeight w:val="498"/>
        </w:trPr>
        <w:tc>
          <w:tcPr>
            <w:tcW w:w="2620" w:type="dxa"/>
            <w:vAlign w:val="bottom"/>
          </w:tcPr>
          <w:p>
            <w:pPr>
              <w:jc w:val="center"/>
              <w:ind w:right="186"/>
              <w:spacing w:after="0"/>
              <w:rPr>
                <w:sz w:val="20"/>
                <w:szCs w:val="20"/>
                <w:color w:val="auto"/>
              </w:rPr>
            </w:pPr>
            <w:r>
              <w:rPr>
                <w:rFonts w:ascii="Arial" w:cs="Arial" w:eastAsia="Arial" w:hAnsi="Arial"/>
                <w:sz w:val="22"/>
                <w:szCs w:val="22"/>
                <w:b w:val="1"/>
                <w:bCs w:val="1"/>
                <w:color w:val="auto"/>
                <w:w w:val="90"/>
              </w:rPr>
              <w:t>100 Manpower Place</w:t>
            </w:r>
          </w:p>
        </w:tc>
        <w:tc>
          <w:tcPr>
            <w:tcW w:w="2380" w:type="dxa"/>
            <w:vAlign w:val="bottom"/>
          </w:tcPr>
          <w:p>
            <w:pPr>
              <w:spacing w:after="0"/>
              <w:rPr>
                <w:sz w:val="24"/>
                <w:szCs w:val="24"/>
                <w:color w:val="auto"/>
              </w:rPr>
            </w:pPr>
          </w:p>
        </w:tc>
      </w:tr>
      <w:tr>
        <w:trPr>
          <w:trHeight w:val="238"/>
        </w:trPr>
        <w:tc>
          <w:tcPr>
            <w:tcW w:w="2620" w:type="dxa"/>
            <w:vAlign w:val="bottom"/>
          </w:tcPr>
          <w:p>
            <w:pPr>
              <w:jc w:val="center"/>
              <w:ind w:right="206"/>
              <w:spacing w:after="0" w:line="239" w:lineRule="exact"/>
              <w:rPr>
                <w:sz w:val="20"/>
                <w:szCs w:val="20"/>
                <w:color w:val="auto"/>
              </w:rPr>
            </w:pPr>
            <w:r>
              <w:rPr>
                <w:rFonts w:ascii="Arial" w:cs="Arial" w:eastAsia="Arial" w:hAnsi="Arial"/>
                <w:sz w:val="22"/>
                <w:szCs w:val="22"/>
                <w:b w:val="1"/>
                <w:bCs w:val="1"/>
                <w:color w:val="auto"/>
                <w:w w:val="89"/>
              </w:rPr>
              <w:t>Milwaukee, Wisconsin</w:t>
            </w:r>
          </w:p>
        </w:tc>
        <w:tc>
          <w:tcPr>
            <w:tcW w:w="2380" w:type="dxa"/>
            <w:vAlign w:val="bottom"/>
          </w:tcPr>
          <w:p>
            <w:pPr>
              <w:jc w:val="right"/>
              <w:ind w:right="690"/>
              <w:spacing w:after="0" w:line="239" w:lineRule="exact"/>
              <w:rPr>
                <w:sz w:val="20"/>
                <w:szCs w:val="20"/>
                <w:color w:val="auto"/>
              </w:rPr>
            </w:pPr>
            <w:r>
              <w:rPr>
                <w:rFonts w:ascii="Arial" w:cs="Arial" w:eastAsia="Arial" w:hAnsi="Arial"/>
                <w:sz w:val="22"/>
                <w:szCs w:val="22"/>
                <w:b w:val="1"/>
                <w:bCs w:val="1"/>
                <w:color w:val="auto"/>
              </w:rPr>
              <w:t>53212</w:t>
            </w:r>
          </w:p>
        </w:tc>
      </w:tr>
      <w:tr>
        <w:trPr>
          <w:trHeight w:val="182"/>
        </w:trPr>
        <w:tc>
          <w:tcPr>
            <w:tcW w:w="2620" w:type="dxa"/>
            <w:vAlign w:val="bottom"/>
          </w:tcPr>
          <w:p>
            <w:pPr>
              <w:jc w:val="center"/>
              <w:ind w:right="186"/>
              <w:spacing w:after="0"/>
              <w:rPr>
                <w:sz w:val="20"/>
                <w:szCs w:val="20"/>
                <w:color w:val="auto"/>
              </w:rPr>
            </w:pPr>
            <w:r>
              <w:rPr>
                <w:rFonts w:ascii="Arial" w:cs="Arial" w:eastAsia="Arial" w:hAnsi="Arial"/>
                <w:sz w:val="14"/>
                <w:szCs w:val="14"/>
                <w:color w:val="auto"/>
                <w:w w:val="95"/>
              </w:rPr>
              <w:t>(Address of Principal Executive Offices)</w:t>
            </w:r>
          </w:p>
        </w:tc>
        <w:tc>
          <w:tcPr>
            <w:tcW w:w="2380" w:type="dxa"/>
            <w:vAlign w:val="bottom"/>
          </w:tcPr>
          <w:p>
            <w:pPr>
              <w:jc w:val="center"/>
              <w:ind w:left="210"/>
              <w:spacing w:after="0"/>
              <w:rPr>
                <w:sz w:val="20"/>
                <w:szCs w:val="20"/>
                <w:color w:val="auto"/>
              </w:rPr>
            </w:pPr>
            <w:r>
              <w:rPr>
                <w:rFonts w:ascii="Arial" w:cs="Arial" w:eastAsia="Arial" w:hAnsi="Arial"/>
                <w:sz w:val="14"/>
                <w:szCs w:val="14"/>
                <w:color w:val="auto"/>
                <w:w w:val="96"/>
              </w:rPr>
              <w:t>(Zip Code)</w:t>
            </w:r>
          </w:p>
        </w:tc>
      </w:tr>
    </w:tbl>
    <w:p>
      <w:pPr>
        <w:spacing w:after="0" w:line="261" w:lineRule="exact"/>
        <w:rPr>
          <w:sz w:val="24"/>
          <w:szCs w:val="24"/>
          <w:color w:val="auto"/>
        </w:rPr>
      </w:pPr>
    </w:p>
    <w:p>
      <w:pPr>
        <w:ind w:left="3560"/>
        <w:spacing w:after="0"/>
        <w:rPr>
          <w:sz w:val="20"/>
          <w:szCs w:val="20"/>
          <w:color w:val="auto"/>
        </w:rPr>
      </w:pPr>
      <w:r>
        <w:rPr>
          <w:rFonts w:ascii="Arial" w:cs="Arial" w:eastAsia="Arial" w:hAnsi="Arial"/>
          <w:sz w:val="22"/>
          <w:szCs w:val="22"/>
          <w:color w:val="auto"/>
        </w:rPr>
        <w:t>________________________________________</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2003 EQUITY INCENTIVE PLAN</w:t>
      </w:r>
    </w:p>
    <w:p>
      <w:pPr>
        <w:ind w:left="3560"/>
        <w:spacing w:after="0"/>
        <w:rPr>
          <w:sz w:val="20"/>
          <w:szCs w:val="20"/>
          <w:color w:val="auto"/>
        </w:rPr>
      </w:pPr>
      <w:r>
        <w:rPr>
          <w:rFonts w:ascii="Arial" w:cs="Arial" w:eastAsia="Arial" w:hAnsi="Arial"/>
          <w:sz w:val="22"/>
          <w:szCs w:val="22"/>
          <w:color w:val="auto"/>
        </w:rPr>
        <w:t>________________________________________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Kenneth C. Hunt</w:t>
      </w:r>
    </w:p>
    <w:p>
      <w:pPr>
        <w:jc w:val="center"/>
        <w:spacing w:after="0" w:line="192" w:lineRule="auto"/>
        <w:rPr>
          <w:sz w:val="20"/>
          <w:szCs w:val="20"/>
          <w:color w:val="auto"/>
        </w:rPr>
      </w:pPr>
      <w:r>
        <w:rPr>
          <w:rFonts w:ascii="Arial" w:cs="Arial" w:eastAsia="Arial" w:hAnsi="Arial"/>
          <w:sz w:val="19"/>
          <w:szCs w:val="19"/>
          <w:b w:val="1"/>
          <w:bCs w:val="1"/>
          <w:color w:val="auto"/>
        </w:rPr>
        <w:t>Manpower Inc.</w:t>
      </w:r>
    </w:p>
    <w:p>
      <w:pPr>
        <w:jc w:val="center"/>
        <w:spacing w:after="0" w:line="193" w:lineRule="auto"/>
        <w:rPr>
          <w:sz w:val="20"/>
          <w:szCs w:val="20"/>
          <w:color w:val="auto"/>
        </w:rPr>
      </w:pPr>
      <w:r>
        <w:rPr>
          <w:rFonts w:ascii="Arial" w:cs="Arial" w:eastAsia="Arial" w:hAnsi="Arial"/>
          <w:sz w:val="19"/>
          <w:szCs w:val="19"/>
          <w:b w:val="1"/>
          <w:bCs w:val="1"/>
          <w:color w:val="auto"/>
        </w:rPr>
        <w:t>100 Manpower Place</w:t>
      </w:r>
    </w:p>
    <w:p>
      <w:pPr>
        <w:jc w:val="center"/>
        <w:spacing w:after="0" w:line="193" w:lineRule="auto"/>
        <w:rPr>
          <w:sz w:val="20"/>
          <w:szCs w:val="20"/>
          <w:color w:val="auto"/>
        </w:rPr>
      </w:pPr>
      <w:r>
        <w:rPr>
          <w:rFonts w:ascii="Arial" w:cs="Arial" w:eastAsia="Arial" w:hAnsi="Arial"/>
          <w:sz w:val="19"/>
          <w:szCs w:val="19"/>
          <w:b w:val="1"/>
          <w:bCs w:val="1"/>
          <w:color w:val="auto"/>
        </w:rPr>
        <w:t>Milwaukee, Wisconsin 53212</w:t>
      </w:r>
    </w:p>
    <w:p>
      <w:pPr>
        <w:jc w:val="center"/>
        <w:spacing w:after="0" w:line="202" w:lineRule="auto"/>
        <w:rPr>
          <w:sz w:val="20"/>
          <w:szCs w:val="20"/>
          <w:color w:val="auto"/>
        </w:rPr>
      </w:pPr>
      <w:r>
        <w:rPr>
          <w:rFonts w:ascii="Arial" w:cs="Arial" w:eastAsia="Arial" w:hAnsi="Arial"/>
          <w:sz w:val="22"/>
          <w:szCs w:val="22"/>
          <w:b w:val="1"/>
          <w:bCs w:val="1"/>
          <w:color w:val="auto"/>
        </w:rPr>
        <w:t>(414) 961-1000</w:t>
      </w:r>
    </w:p>
    <w:p>
      <w:pPr>
        <w:jc w:val="center"/>
        <w:spacing w:after="0"/>
        <w:rPr>
          <w:sz w:val="20"/>
          <w:szCs w:val="20"/>
          <w:color w:val="auto"/>
        </w:rPr>
      </w:pPr>
      <w:r>
        <w:rPr>
          <w:rFonts w:ascii="Arial" w:cs="Arial" w:eastAsia="Arial" w:hAnsi="Arial"/>
          <w:sz w:val="14"/>
          <w:szCs w:val="14"/>
          <w:color w:val="auto"/>
        </w:rPr>
        <w:t>(Name, address and telephone number, including area code, of agent for service)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With copies to:</w:t>
      </w:r>
    </w:p>
    <w:p>
      <w:pPr>
        <w:jc w:val="center"/>
        <w:spacing w:after="0" w:line="192" w:lineRule="auto"/>
        <w:rPr>
          <w:sz w:val="20"/>
          <w:szCs w:val="20"/>
          <w:color w:val="auto"/>
        </w:rPr>
      </w:pPr>
      <w:r>
        <w:rPr>
          <w:rFonts w:ascii="Arial" w:cs="Arial" w:eastAsia="Arial" w:hAnsi="Arial"/>
          <w:sz w:val="19"/>
          <w:szCs w:val="19"/>
          <w:b w:val="1"/>
          <w:bCs w:val="1"/>
          <w:color w:val="auto"/>
        </w:rPr>
        <w:t>Dennis F. Connolly</w:t>
      </w:r>
    </w:p>
    <w:p>
      <w:pPr>
        <w:jc w:val="center"/>
        <w:spacing w:after="0" w:line="193" w:lineRule="auto"/>
        <w:rPr>
          <w:sz w:val="20"/>
          <w:szCs w:val="20"/>
          <w:color w:val="auto"/>
        </w:rPr>
      </w:pPr>
      <w:r>
        <w:rPr>
          <w:rFonts w:ascii="Arial" w:cs="Arial" w:eastAsia="Arial" w:hAnsi="Arial"/>
          <w:sz w:val="19"/>
          <w:szCs w:val="19"/>
          <w:b w:val="1"/>
          <w:bCs w:val="1"/>
          <w:color w:val="auto"/>
        </w:rPr>
        <w:t>Godfrey &amp; Kahn, S.C.</w:t>
      </w:r>
    </w:p>
    <w:p>
      <w:pPr>
        <w:jc w:val="center"/>
        <w:spacing w:after="0" w:line="193" w:lineRule="auto"/>
        <w:rPr>
          <w:sz w:val="20"/>
          <w:szCs w:val="20"/>
          <w:color w:val="auto"/>
        </w:rPr>
      </w:pPr>
      <w:r>
        <w:rPr>
          <w:rFonts w:ascii="Arial" w:cs="Arial" w:eastAsia="Arial" w:hAnsi="Arial"/>
          <w:sz w:val="19"/>
          <w:szCs w:val="19"/>
          <w:b w:val="1"/>
          <w:bCs w:val="1"/>
          <w:color w:val="auto"/>
        </w:rPr>
        <w:t>780 North Water Street</w:t>
      </w:r>
    </w:p>
    <w:p>
      <w:pPr>
        <w:jc w:val="center"/>
        <w:spacing w:after="0" w:line="192" w:lineRule="auto"/>
        <w:rPr>
          <w:sz w:val="20"/>
          <w:szCs w:val="20"/>
          <w:color w:val="auto"/>
        </w:rPr>
      </w:pPr>
      <w:r>
        <w:rPr>
          <w:rFonts w:ascii="Arial" w:cs="Arial" w:eastAsia="Arial" w:hAnsi="Arial"/>
          <w:sz w:val="22"/>
          <w:szCs w:val="22"/>
          <w:b w:val="1"/>
          <w:bCs w:val="1"/>
          <w:color w:val="auto"/>
        </w:rPr>
        <w:t>Milwaukee, Wisconsin 53202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(414) 273-3500</w:t>
      </w:r>
    </w:p>
    <w:p>
      <w:pPr>
        <w:sectPr>
          <w:pgSz w:w="11900" w:h="16838" w:orient="portrait"/>
          <w:cols w:equalWidth="0" w:num="1">
            <w:col w:w="11420"/>
          </w:cols>
          <w:pgMar w:left="240" w:top="888" w:right="239" w:bottom="1440" w:gutter="0" w:footer="0" w:header="0"/>
        </w:sectPr>
      </w:pPr>
    </w:p>
    <w:p>
      <w:pPr>
        <w:spacing w:after="0" w:line="75" w:lineRule="exact"/>
        <w:rPr>
          <w:sz w:val="24"/>
          <w:szCs w:val="24"/>
          <w:color w:val="auto"/>
        </w:rPr>
      </w:pPr>
    </w:p>
    <w:p>
      <w:pPr>
        <w:ind w:left="35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000" w:space="720"/>
            <w:col w:w="4700"/>
          </w:cols>
          <w:pgMar w:left="240" w:top="888" w:right="239" w:bottom="1440" w:gutter="0" w:footer="0" w:header="0"/>
          <w:type w:val="continuous"/>
        </w:sectPr>
      </w:pPr>
    </w:p>
    <w:p>
      <w:pPr>
        <w:spacing w:after="0" w:line="125" w:lineRule="exact"/>
        <w:rPr>
          <w:sz w:val="24"/>
          <w:szCs w:val="24"/>
          <w:color w:val="auto"/>
        </w:rPr>
      </w:pPr>
    </w:p>
    <w:p>
      <w:pPr>
        <w:ind w:left="35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3">
            <w:col w:w="5640" w:space="720"/>
            <w:col w:w="1760" w:space="80"/>
            <w:col w:w="3220"/>
          </w:cols>
          <w:pgMar w:left="240" w:top="888" w:right="239" w:bottom="1440" w:gutter="0" w:footer="0" w:header="0"/>
          <w:type w:val="continuous"/>
        </w:sectPr>
      </w:pPr>
    </w:p>
    <w:p>
      <w:pPr>
        <w:spacing w:after="0" w:line="125" w:lineRule="exact"/>
        <w:rPr>
          <w:sz w:val="24"/>
          <w:szCs w:val="24"/>
          <w:color w:val="auto"/>
        </w:rPr>
      </w:pPr>
    </w:p>
    <w:p>
      <w:pPr>
        <w:ind w:left="3060"/>
        <w:spacing w:after="0"/>
        <w:rPr>
          <w:sz w:val="20"/>
          <w:szCs w:val="20"/>
          <w:color w:val="auto"/>
        </w:rPr>
      </w:pPr>
      <w:r>
        <w:rPr>
          <w:rFonts w:ascii="Arial" w:cs="Arial" w:eastAsia="Arial" w:hAnsi="Arial"/>
          <w:sz w:val="14"/>
          <w:szCs w:val="14"/>
          <w:color w:val="auto"/>
        </w:rPr>
        <w:t>(Do not check if a smaller reporting company)</w:t>
      </w:r>
    </w:p>
    <w:p>
      <w:pPr>
        <w:sectPr>
          <w:pgSz w:w="11900" w:h="16838" w:orient="portrait"/>
          <w:cols w:equalWidth="0" w:num="1">
            <w:col w:w="11420"/>
          </w:cols>
          <w:pgMar w:left="240" w:top="888" w:right="239" w:bottom="1440" w:gutter="0" w:footer="0" w:header="0"/>
          <w:type w:val="continuous"/>
        </w:sect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Title of Securities</w:t>
            </w: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760" w:type="dxa"/>
            <w:vAlign w:val="bottom"/>
            <w:vMerge w:val="continue"/>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Maximum</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Maximum Offering</w:t>
            </w:r>
          </w:p>
        </w:tc>
        <w:tc>
          <w:tcPr>
            <w:tcW w:w="1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Aggregate Offering</w:t>
            </w:r>
          </w:p>
        </w:tc>
        <w:tc>
          <w:tcPr>
            <w:tcW w:w="15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7"/>
              </w:rPr>
              <w:t>to be Registered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Price Per Share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28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Common Stock, $.01 par value</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2,500,000</w:t>
            </w:r>
          </w:p>
        </w:tc>
        <w:tc>
          <w:tcPr>
            <w:tcW w:w="1760" w:type="dxa"/>
            <w:vAlign w:val="bottom"/>
          </w:tcPr>
          <w:p>
            <w:pPr>
              <w:jc w:val="center"/>
              <w:spacing w:after="0"/>
              <w:rPr>
                <w:sz w:val="20"/>
                <w:szCs w:val="20"/>
                <w:color w:val="auto"/>
              </w:rPr>
            </w:pPr>
            <w:r>
              <w:rPr>
                <w:rFonts w:ascii="Arial" w:cs="Arial" w:eastAsia="Arial" w:hAnsi="Arial"/>
                <w:sz w:val="18"/>
                <w:szCs w:val="18"/>
                <w:color w:val="auto"/>
                <w:w w:val="85"/>
              </w:rPr>
              <w:t>$51.34</w:t>
            </w:r>
            <w:r>
              <w:rPr>
                <w:rFonts w:ascii="Arial" w:cs="Arial" w:eastAsia="Arial" w:hAnsi="Arial"/>
                <w:sz w:val="30"/>
                <w:szCs w:val="30"/>
                <w:color w:val="auto"/>
                <w:w w:val="85"/>
                <w:vertAlign w:val="superscript"/>
              </w:rPr>
              <w:t>(1)</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$128,350,000</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$7,161.93</w:t>
            </w:r>
            <w:r>
              <w:rPr>
                <w:rFonts w:ascii="Arial" w:cs="Arial" w:eastAsia="Arial" w:hAnsi="Arial"/>
                <w:sz w:val="30"/>
                <w:szCs w:val="30"/>
                <w:color w:val="auto"/>
                <w:w w:val="86"/>
                <w:vertAlign w:val="superscript"/>
              </w:rPr>
              <w:t>(1)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2"/>
        </w:trPr>
        <w:tc>
          <w:tcPr>
            <w:tcW w:w="128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type w:val="continuous"/>
        </w:sectPr>
      </w:pPr>
    </w:p>
    <w:bookmarkStart w:id="1" w:name="page2"/>
    <w:bookmarkEnd w:id="1"/>
    <w:p>
      <w:pPr>
        <w:jc w:val="both"/>
        <w:ind w:left="660" w:right="2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Registration fee calculated pursuant to Rule 457(c) under the Securities Act of 1933, as amended. The registration fee is based on the average of the high and low price of a share of Manpower Inc. common stock on September 1, 2009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INCORPORATION OF CERTAIN INFORMATION BY REFERENCE</w:t>
      </w:r>
    </w:p>
    <w:p>
      <w:pPr>
        <w:spacing w:after="0" w:line="172" w:lineRule="exact"/>
        <w:rPr>
          <w:sz w:val="20"/>
          <w:szCs w:val="20"/>
          <w:color w:val="auto"/>
        </w:rPr>
      </w:pPr>
    </w:p>
    <w:p>
      <w:pPr>
        <w:jc w:val="both"/>
        <w:ind w:right="440"/>
        <w:spacing w:after="0" w:line="297" w:lineRule="auto"/>
        <w:rPr>
          <w:sz w:val="20"/>
          <w:szCs w:val="20"/>
          <w:color w:val="auto"/>
        </w:rPr>
      </w:pPr>
      <w:r>
        <w:rPr>
          <w:rFonts w:ascii="Arial" w:cs="Arial" w:eastAsia="Arial" w:hAnsi="Arial"/>
          <w:sz w:val="19"/>
          <w:szCs w:val="19"/>
          <w:color w:val="auto"/>
        </w:rPr>
        <w:t>This Registration Statement is being filed pursuant to General Instruction E to Form S-8 under the Securities Act of 1933, as amended. The information in the Registration Statement on Form S-8 filed by Manpower Inc. (Registration No. 333-105205) pursuant to the Securities Act of 1933 on May 13, 2003, is incorporated by reference into this Registration Statement.</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supplements information disclosed in previous Registration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u w:val="single" w:color="auto"/>
          <w:color w:val="auto"/>
        </w:rPr>
        <w:t>Indemnification of Directors and Officers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Manpower Inc. has entered into indemnification agreements with each of its outside directors. The description of the indemnification agreement is contained in the Company’s Current Report on Form 8-K dated October 31, 2006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85" w:right="31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520" w:type="dxa"/>
            <w:vAlign w:val="bottom"/>
          </w:tcPr>
          <w:p>
            <w:pPr>
              <w:spacing w:after="0"/>
              <w:rPr>
                <w:sz w:val="20"/>
                <w:szCs w:val="20"/>
                <w:color w:val="auto"/>
              </w:rPr>
            </w:pPr>
            <w:r>
              <w:rPr>
                <w:rFonts w:ascii="Arial" w:cs="Arial" w:eastAsia="Arial" w:hAnsi="Arial"/>
                <w:sz w:val="22"/>
                <w:szCs w:val="22"/>
                <w:color w:val="auto"/>
              </w:rPr>
              <w:t>4.1</w:t>
            </w:r>
          </w:p>
        </w:tc>
        <w:tc>
          <w:tcPr>
            <w:tcW w:w="8460" w:type="dxa"/>
            <w:vAlign w:val="bottom"/>
          </w:tcPr>
          <w:p>
            <w:pPr>
              <w:ind w:left="140"/>
              <w:spacing w:after="0"/>
              <w:rPr>
                <w:sz w:val="20"/>
                <w:szCs w:val="20"/>
                <w:color w:val="auto"/>
              </w:rPr>
            </w:pPr>
            <w:r>
              <w:rPr>
                <w:rFonts w:ascii="Arial" w:cs="Arial" w:eastAsia="Arial" w:hAnsi="Arial"/>
                <w:sz w:val="22"/>
                <w:szCs w:val="22"/>
                <w:color w:val="auto"/>
                <w:w w:val="90"/>
              </w:rPr>
              <w:t>2003 Equity Incentive Plan of Manpower Inc. (Amended and Restated Effective April 28, 2009)</w:t>
            </w:r>
          </w:p>
        </w:tc>
      </w:tr>
      <w:tr>
        <w:trPr>
          <w:trHeight w:val="459"/>
        </w:trPr>
        <w:tc>
          <w:tcPr>
            <w:tcW w:w="520" w:type="dxa"/>
            <w:vAlign w:val="bottom"/>
          </w:tcPr>
          <w:p>
            <w:pPr>
              <w:spacing w:after="0"/>
              <w:rPr>
                <w:sz w:val="20"/>
                <w:szCs w:val="20"/>
                <w:color w:val="auto"/>
              </w:rPr>
            </w:pPr>
            <w:r>
              <w:rPr>
                <w:rFonts w:ascii="Arial" w:cs="Arial" w:eastAsia="Arial" w:hAnsi="Arial"/>
                <w:sz w:val="22"/>
                <w:szCs w:val="22"/>
                <w:color w:val="auto"/>
              </w:rPr>
              <w:t>5.1</w:t>
            </w:r>
          </w:p>
        </w:tc>
        <w:tc>
          <w:tcPr>
            <w:tcW w:w="8460" w:type="dxa"/>
            <w:vAlign w:val="bottom"/>
          </w:tcPr>
          <w:p>
            <w:pPr>
              <w:ind w:left="140"/>
              <w:spacing w:after="0"/>
              <w:rPr>
                <w:sz w:val="20"/>
                <w:szCs w:val="20"/>
                <w:color w:val="auto"/>
              </w:rPr>
            </w:pPr>
            <w:r>
              <w:rPr>
                <w:rFonts w:ascii="Arial" w:cs="Arial" w:eastAsia="Arial" w:hAnsi="Arial"/>
                <w:sz w:val="22"/>
                <w:szCs w:val="22"/>
                <w:color w:val="auto"/>
              </w:rPr>
              <w:t>Opinion of Godfrey &amp; Kahn, S.C.</w:t>
            </w:r>
          </w:p>
        </w:tc>
      </w:tr>
      <w:tr>
        <w:trPr>
          <w:trHeight w:val="446"/>
        </w:trPr>
        <w:tc>
          <w:tcPr>
            <w:tcW w:w="520" w:type="dxa"/>
            <w:vAlign w:val="bottom"/>
          </w:tcPr>
          <w:p>
            <w:pPr>
              <w:spacing w:after="0"/>
              <w:rPr>
                <w:sz w:val="20"/>
                <w:szCs w:val="20"/>
                <w:color w:val="auto"/>
              </w:rPr>
            </w:pPr>
            <w:r>
              <w:rPr>
                <w:rFonts w:ascii="Arial" w:cs="Arial" w:eastAsia="Arial" w:hAnsi="Arial"/>
                <w:sz w:val="22"/>
                <w:szCs w:val="22"/>
                <w:color w:val="auto"/>
              </w:rPr>
              <w:t>23.1</w:t>
            </w:r>
          </w:p>
        </w:tc>
        <w:tc>
          <w:tcPr>
            <w:tcW w:w="8460" w:type="dxa"/>
            <w:vAlign w:val="bottom"/>
          </w:tcPr>
          <w:p>
            <w:pPr>
              <w:ind w:left="140"/>
              <w:spacing w:after="0"/>
              <w:rPr>
                <w:sz w:val="20"/>
                <w:szCs w:val="20"/>
                <w:color w:val="auto"/>
              </w:rPr>
            </w:pPr>
            <w:r>
              <w:rPr>
                <w:rFonts w:ascii="Arial" w:cs="Arial" w:eastAsia="Arial" w:hAnsi="Arial"/>
                <w:sz w:val="22"/>
                <w:szCs w:val="22"/>
                <w:color w:val="auto"/>
              </w:rPr>
              <w:t>Consent of Godfrey &amp; Kahn, S.C. (included in Exhibit 5.1)</w:t>
            </w:r>
          </w:p>
        </w:tc>
      </w:tr>
      <w:tr>
        <w:trPr>
          <w:trHeight w:val="446"/>
        </w:trPr>
        <w:tc>
          <w:tcPr>
            <w:tcW w:w="520" w:type="dxa"/>
            <w:vAlign w:val="bottom"/>
          </w:tcPr>
          <w:p>
            <w:pPr>
              <w:spacing w:after="0"/>
              <w:rPr>
                <w:sz w:val="20"/>
                <w:szCs w:val="20"/>
                <w:color w:val="auto"/>
              </w:rPr>
            </w:pPr>
            <w:r>
              <w:rPr>
                <w:rFonts w:ascii="Arial" w:cs="Arial" w:eastAsia="Arial" w:hAnsi="Arial"/>
                <w:sz w:val="22"/>
                <w:szCs w:val="22"/>
                <w:color w:val="auto"/>
              </w:rPr>
              <w:t>23.2</w:t>
            </w:r>
          </w:p>
        </w:tc>
        <w:tc>
          <w:tcPr>
            <w:tcW w:w="8460" w:type="dxa"/>
            <w:vAlign w:val="bottom"/>
          </w:tcPr>
          <w:p>
            <w:pPr>
              <w:ind w:left="140"/>
              <w:spacing w:after="0"/>
              <w:rPr>
                <w:sz w:val="20"/>
                <w:szCs w:val="20"/>
                <w:color w:val="auto"/>
              </w:rPr>
            </w:pPr>
            <w:r>
              <w:rPr>
                <w:rFonts w:ascii="Arial" w:cs="Arial" w:eastAsia="Arial" w:hAnsi="Arial"/>
                <w:sz w:val="22"/>
                <w:szCs w:val="22"/>
                <w:color w:val="auto"/>
              </w:rPr>
              <w:t>Consent of Deloitte &amp; Touche LLP</w:t>
            </w:r>
          </w:p>
        </w:tc>
      </w:tr>
      <w:tr>
        <w:trPr>
          <w:trHeight w:val="459"/>
        </w:trPr>
        <w:tc>
          <w:tcPr>
            <w:tcW w:w="520" w:type="dxa"/>
            <w:vAlign w:val="bottom"/>
          </w:tcPr>
          <w:p>
            <w:pPr>
              <w:spacing w:after="0"/>
              <w:rPr>
                <w:sz w:val="20"/>
                <w:szCs w:val="20"/>
                <w:color w:val="auto"/>
              </w:rPr>
            </w:pPr>
            <w:r>
              <w:rPr>
                <w:rFonts w:ascii="Arial" w:cs="Arial" w:eastAsia="Arial" w:hAnsi="Arial"/>
                <w:sz w:val="22"/>
                <w:szCs w:val="22"/>
                <w:color w:val="auto"/>
              </w:rPr>
              <w:t>24.1</w:t>
            </w:r>
          </w:p>
        </w:tc>
        <w:tc>
          <w:tcPr>
            <w:tcW w:w="8460" w:type="dxa"/>
            <w:vAlign w:val="bottom"/>
          </w:tcPr>
          <w:p>
            <w:pPr>
              <w:ind w:left="140"/>
              <w:spacing w:after="0"/>
              <w:rPr>
                <w:sz w:val="20"/>
                <w:szCs w:val="20"/>
                <w:color w:val="auto"/>
              </w:rPr>
            </w:pPr>
            <w:r>
              <w:rPr>
                <w:rFonts w:ascii="Arial" w:cs="Arial" w:eastAsia="Arial" w:hAnsi="Arial"/>
                <w:sz w:val="22"/>
                <w:szCs w:val="22"/>
                <w:color w:val="auto"/>
              </w:rPr>
              <w:t>Powers of 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September 4, 2009.</w:t>
      </w:r>
    </w:p>
    <w:p>
      <w:pPr>
        <w:spacing w:after="0" w:line="10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 INC.</w:t>
      </w:r>
    </w:p>
    <w:p>
      <w:pPr>
        <w:spacing w:after="0" w:line="34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-635</wp:posOffset>
            </wp:positionV>
            <wp:extent cx="1682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2115" cy="8890"/>
                    </a:xfrm>
                    <a:prstGeom prst="rect">
                      <a:avLst/>
                    </a:prstGeom>
                    <a:noFill/>
                  </pic:spPr>
                </pic:pic>
              </a:graphicData>
            </a:graphic>
          </wp:anchor>
        </w:drawing>
      </w:r>
    </w:p>
    <w:p>
      <w:pPr>
        <w:spacing w:after="0" w:line="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Jeffrey A. Joerres</w:t>
      </w:r>
    </w:p>
    <w:p>
      <w:pPr>
        <w:ind w:left="4220"/>
        <w:spacing w:after="0" w:line="230" w:lineRule="auto"/>
        <w:rPr>
          <w:sz w:val="20"/>
          <w:szCs w:val="20"/>
          <w:color w:val="auto"/>
        </w:rPr>
      </w:pPr>
      <w:r>
        <w:rPr>
          <w:rFonts w:ascii="Arial" w:cs="Arial" w:eastAsia="Arial" w:hAnsi="Arial"/>
          <w:sz w:val="22"/>
          <w:szCs w:val="22"/>
          <w:color w:val="auto"/>
        </w:rPr>
        <w:t>Chairman, President and</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Chief Executive Officer</w:t>
      </w:r>
    </w:p>
    <w:p>
      <w:pPr>
        <w:spacing w:after="0" w:line="33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3680" w:type="dxa"/>
            <w:vAlign w:val="bottom"/>
            <w:gridSpan w:val="3"/>
          </w:tcPr>
          <w:p>
            <w:pPr>
              <w:ind w:left="1740"/>
              <w:spacing w:after="0"/>
              <w:rPr>
                <w:sz w:val="20"/>
                <w:szCs w:val="20"/>
                <w:color w:val="auto"/>
              </w:rPr>
            </w:pPr>
            <w:r>
              <w:rPr>
                <w:rFonts w:ascii="Arial" w:cs="Arial" w:eastAsia="Arial" w:hAnsi="Arial"/>
                <w:sz w:val="18"/>
                <w:szCs w:val="18"/>
                <w:color w:val="auto"/>
              </w:rPr>
              <w:t>Title</w:t>
            </w:r>
          </w:p>
        </w:tc>
        <w:tc>
          <w:tcPr>
            <w:tcW w:w="640" w:type="dxa"/>
            <w:vAlign w:val="bottom"/>
          </w:tcPr>
          <w:p>
            <w:pPr>
              <w:spacing w:after="0"/>
              <w:rPr>
                <w:sz w:val="17"/>
                <w:szCs w:val="17"/>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Date</w:t>
            </w: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28"/>
        </w:trPr>
        <w:tc>
          <w:tcPr>
            <w:tcW w:w="28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Jeffrey A. Joerres</w:t>
            </w:r>
          </w:p>
        </w:tc>
        <w:tc>
          <w:tcPr>
            <w:tcW w:w="3680" w:type="dxa"/>
            <w:vAlign w:val="bottom"/>
            <w:gridSpan w:val="3"/>
          </w:tcPr>
          <w:p>
            <w:pPr>
              <w:ind w:left="260"/>
              <w:spacing w:after="0"/>
              <w:rPr>
                <w:sz w:val="20"/>
                <w:szCs w:val="20"/>
                <w:color w:val="auto"/>
              </w:rPr>
            </w:pPr>
            <w:r>
              <w:rPr>
                <w:rFonts w:ascii="Arial" w:cs="Arial" w:eastAsia="Arial" w:hAnsi="Arial"/>
                <w:sz w:val="18"/>
                <w:szCs w:val="18"/>
                <w:color w:val="auto"/>
              </w:rPr>
              <w:t>Chairman, President and Chief Executive</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w w:val="88"/>
              </w:rPr>
              <w:t>September 4, 2009</w:t>
            </w:r>
          </w:p>
        </w:tc>
      </w:tr>
      <w:tr>
        <w:trPr>
          <w:trHeight w:val="222"/>
        </w:trPr>
        <w:tc>
          <w:tcPr>
            <w:tcW w:w="2880" w:type="dxa"/>
            <w:vAlign w:val="bottom"/>
            <w:gridSpan w:val="4"/>
          </w:tcPr>
          <w:p>
            <w:pPr>
              <w:spacing w:after="0"/>
              <w:rPr>
                <w:sz w:val="20"/>
                <w:szCs w:val="20"/>
                <w:color w:val="auto"/>
              </w:rPr>
            </w:pPr>
            <w:r>
              <w:rPr>
                <w:rFonts w:ascii="Arial" w:cs="Arial" w:eastAsia="Arial" w:hAnsi="Arial"/>
                <w:sz w:val="18"/>
                <w:szCs w:val="18"/>
                <w:color w:val="auto"/>
              </w:rPr>
              <w:t>Jeffrey A. Joerres</w:t>
            </w:r>
          </w:p>
        </w:tc>
        <w:tc>
          <w:tcPr>
            <w:tcW w:w="3680" w:type="dxa"/>
            <w:vAlign w:val="bottom"/>
            <w:gridSpan w:val="3"/>
          </w:tcPr>
          <w:p>
            <w:pPr>
              <w:ind w:left="260"/>
              <w:spacing w:after="0"/>
              <w:rPr>
                <w:sz w:val="20"/>
                <w:szCs w:val="20"/>
                <w:color w:val="auto"/>
              </w:rPr>
            </w:pPr>
            <w:r>
              <w:rPr>
                <w:rFonts w:ascii="Arial" w:cs="Arial" w:eastAsia="Arial" w:hAnsi="Arial"/>
                <w:sz w:val="18"/>
                <w:szCs w:val="18"/>
                <w:color w:val="auto"/>
              </w:rPr>
              <w:t>Officer and a Director (Principal Executive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80" w:type="dxa"/>
            <w:vAlign w:val="bottom"/>
            <w:gridSpan w:val="3"/>
          </w:tcPr>
          <w:p>
            <w:pPr>
              <w:ind w:left="260"/>
              <w:spacing w:after="0"/>
              <w:rPr>
                <w:sz w:val="20"/>
                <w:szCs w:val="20"/>
                <w:color w:val="auto"/>
              </w:rPr>
            </w:pPr>
            <w:r>
              <w:rPr>
                <w:rFonts w:ascii="Arial" w:cs="Arial" w:eastAsia="Arial" w:hAnsi="Arial"/>
                <w:sz w:val="18"/>
                <w:szCs w:val="18"/>
                <w:color w:val="auto"/>
              </w:rPr>
              <w:t>Officer)</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J. Van Handel</w:t>
            </w:r>
          </w:p>
        </w:tc>
        <w:tc>
          <w:tcPr>
            <w:tcW w:w="40" w:type="dxa"/>
            <w:vAlign w:val="bottom"/>
          </w:tcPr>
          <w:p>
            <w:pPr>
              <w:spacing w:after="0"/>
              <w:rPr>
                <w:sz w:val="24"/>
                <w:szCs w:val="24"/>
                <w:color w:val="auto"/>
              </w:rPr>
            </w:pPr>
          </w:p>
        </w:tc>
        <w:tc>
          <w:tcPr>
            <w:tcW w:w="3680" w:type="dxa"/>
            <w:vAlign w:val="bottom"/>
            <w:gridSpan w:val="3"/>
          </w:tcPr>
          <w:p>
            <w:pPr>
              <w:ind w:left="260"/>
              <w:spacing w:after="0"/>
              <w:rPr>
                <w:sz w:val="20"/>
                <w:szCs w:val="20"/>
                <w:color w:val="auto"/>
              </w:rPr>
            </w:pPr>
            <w:r>
              <w:rPr>
                <w:rFonts w:ascii="Arial" w:cs="Arial" w:eastAsia="Arial" w:hAnsi="Arial"/>
                <w:sz w:val="18"/>
                <w:szCs w:val="18"/>
                <w:color w:val="auto"/>
                <w:w w:val="94"/>
              </w:rPr>
              <w:t>Executive Vice President and Chief Financial</w:t>
            </w:r>
          </w:p>
        </w:tc>
        <w:tc>
          <w:tcPr>
            <w:tcW w:w="1480" w:type="dxa"/>
            <w:vAlign w:val="bottom"/>
            <w:gridSpan w:val="3"/>
          </w:tcPr>
          <w:p>
            <w:pPr>
              <w:jc w:val="center"/>
              <w:ind w:left="30"/>
              <w:spacing w:after="0"/>
              <w:rPr>
                <w:sz w:val="20"/>
                <w:szCs w:val="20"/>
                <w:color w:val="auto"/>
              </w:rPr>
            </w:pPr>
            <w:r>
              <w:rPr>
                <w:rFonts w:ascii="Arial" w:cs="Arial" w:eastAsia="Arial" w:hAnsi="Arial"/>
                <w:sz w:val="18"/>
                <w:szCs w:val="18"/>
                <w:color w:val="auto"/>
                <w:w w:val="88"/>
              </w:rPr>
              <w:t>September 4, 2009</w:t>
            </w:r>
          </w:p>
        </w:tc>
      </w:tr>
      <w:tr>
        <w:trPr>
          <w:trHeight w:val="237"/>
        </w:trPr>
        <w:tc>
          <w:tcPr>
            <w:tcW w:w="2880" w:type="dxa"/>
            <w:vAlign w:val="bottom"/>
            <w:gridSpan w:val="4"/>
          </w:tcPr>
          <w:p>
            <w:pPr>
              <w:spacing w:after="0"/>
              <w:rPr>
                <w:sz w:val="20"/>
                <w:szCs w:val="20"/>
                <w:color w:val="auto"/>
              </w:rPr>
            </w:pPr>
            <w:r>
              <w:rPr>
                <w:rFonts w:ascii="Arial" w:cs="Arial" w:eastAsia="Arial" w:hAnsi="Arial"/>
                <w:sz w:val="18"/>
                <w:szCs w:val="18"/>
                <w:color w:val="auto"/>
              </w:rPr>
              <w:t>Michael J. Van Handel</w:t>
            </w:r>
          </w:p>
        </w:tc>
        <w:tc>
          <w:tcPr>
            <w:tcW w:w="3680" w:type="dxa"/>
            <w:vAlign w:val="bottom"/>
            <w:gridSpan w:val="3"/>
          </w:tcPr>
          <w:p>
            <w:pPr>
              <w:ind w:left="260"/>
              <w:spacing w:after="0"/>
              <w:rPr>
                <w:sz w:val="20"/>
                <w:szCs w:val="20"/>
                <w:color w:val="auto"/>
              </w:rPr>
            </w:pPr>
            <w:r>
              <w:rPr>
                <w:rFonts w:ascii="Arial" w:cs="Arial" w:eastAsia="Arial" w:hAnsi="Arial"/>
                <w:sz w:val="18"/>
                <w:szCs w:val="18"/>
                <w:color w:val="auto"/>
              </w:rPr>
              <w:t>Officer</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200" w:lineRule="exact"/>
        <w:rPr>
          <w:sz w:val="20"/>
          <w:szCs w:val="20"/>
          <w:color w:val="auto"/>
        </w:rPr>
      </w:pPr>
    </w:p>
    <w:p>
      <w:pPr>
        <w:spacing w:after="0" w:line="238" w:lineRule="exact"/>
        <w:rPr>
          <w:sz w:val="20"/>
          <w:szCs w:val="20"/>
          <w:color w:val="auto"/>
        </w:rPr>
      </w:pPr>
    </w:p>
    <w:p>
      <w:pPr>
        <w:ind w:left="960" w:right="340" w:hanging="945"/>
        <w:spacing w:after="0" w:line="276" w:lineRule="auto"/>
        <w:rPr>
          <w:sz w:val="20"/>
          <w:szCs w:val="20"/>
          <w:color w:val="auto"/>
        </w:rPr>
      </w:pPr>
      <w:r>
        <w:rPr>
          <w:rFonts w:ascii="Arial" w:cs="Arial" w:eastAsia="Arial" w:hAnsi="Arial"/>
          <w:sz w:val="22"/>
          <w:szCs w:val="22"/>
          <w:color w:val="auto"/>
        </w:rPr>
        <w:t>Directors: Marc J. Bolland, Gina R. Boswell, J. Thomas Bouchard, Cari M. Dominguez, Jack M. Greenberg, Terry A. Hueneke, Roberto Mendoza, Ulice Payne, Jr., John R. Walter and Edward J. Zore</w:t>
      </w:r>
    </w:p>
    <w:p>
      <w:pPr>
        <w:spacing w:after="0" w:line="286"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Arial" w:cs="Arial" w:eastAsia="Arial" w:hAnsi="Arial"/>
                <w:sz w:val="18"/>
                <w:szCs w:val="18"/>
                <w:color w:val="auto"/>
              </w:rPr>
              <w:t>By:   /s/ Kenneth C. Hunt</w:t>
            </w:r>
          </w:p>
        </w:tc>
        <w:tc>
          <w:tcPr>
            <w:tcW w:w="1940" w:type="dxa"/>
            <w:vAlign w:val="bottom"/>
          </w:tcPr>
          <w:p>
            <w:pPr>
              <w:ind w:left="580"/>
              <w:spacing w:after="0"/>
              <w:rPr>
                <w:sz w:val="20"/>
                <w:szCs w:val="20"/>
                <w:color w:val="auto"/>
              </w:rPr>
            </w:pPr>
            <w:r>
              <w:rPr>
                <w:rFonts w:ascii="Arial" w:cs="Arial" w:eastAsia="Arial" w:hAnsi="Arial"/>
                <w:sz w:val="18"/>
                <w:szCs w:val="18"/>
                <w:color w:val="auto"/>
                <w:w w:val="87"/>
              </w:rPr>
              <w:t>September 4, 2009</w:t>
            </w:r>
          </w:p>
        </w:tc>
      </w:tr>
      <w:tr>
        <w:trPr>
          <w:trHeight w:val="222"/>
        </w:trPr>
        <w:tc>
          <w:tcPr>
            <w:tcW w:w="520" w:type="dxa"/>
            <w:vAlign w:val="bottom"/>
          </w:tcPr>
          <w:p>
            <w:pPr>
              <w:spacing w:after="0"/>
              <w:rPr>
                <w:sz w:val="19"/>
                <w:szCs w:val="19"/>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Kenneth C. Hunt</w:t>
            </w:r>
          </w:p>
        </w:tc>
        <w:tc>
          <w:tcPr>
            <w:tcW w:w="1940" w:type="dxa"/>
            <w:vAlign w:val="bottom"/>
          </w:tcPr>
          <w:p>
            <w:pPr>
              <w:spacing w:after="0"/>
              <w:rPr>
                <w:sz w:val="19"/>
                <w:szCs w:val="19"/>
                <w:color w:val="auto"/>
              </w:rPr>
            </w:pPr>
          </w:p>
        </w:tc>
      </w:tr>
      <w:tr>
        <w:trPr>
          <w:trHeight w:val="230"/>
        </w:trPr>
        <w:tc>
          <w:tcPr>
            <w:tcW w:w="5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Attorney-In-Fact*</w:t>
            </w:r>
          </w:p>
        </w:tc>
        <w:tc>
          <w:tcPr>
            <w:tcW w:w="1940" w:type="dxa"/>
            <w:vAlign w:val="bottom"/>
          </w:tcPr>
          <w:p>
            <w:pPr>
              <w:spacing w:after="0"/>
              <w:rPr>
                <w:sz w:val="20"/>
                <w:szCs w:val="20"/>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*Pursuant to authority granted by powers of attorney,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tcPr>
          <w:p>
            <w:pPr>
              <w:ind w:left="4100"/>
              <w:spacing w:after="0"/>
              <w:rPr>
                <w:sz w:val="20"/>
                <w:szCs w:val="20"/>
                <w:color w:val="auto"/>
              </w:rPr>
            </w:pPr>
            <w:r>
              <w:rPr>
                <w:rFonts w:ascii="Arial" w:cs="Arial" w:eastAsia="Arial" w:hAnsi="Arial"/>
                <w:sz w:val="22"/>
                <w:szCs w:val="22"/>
                <w:b w:val="1"/>
                <w:bCs w:val="1"/>
                <w:color w:val="auto"/>
              </w:rPr>
              <w:t>EXHIBIT INDEX</w:t>
            </w:r>
          </w:p>
        </w:tc>
      </w:tr>
      <w:tr>
        <w:trPr>
          <w:trHeight w:val="557"/>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8"/>
              </w:rPr>
              <w:t>Exhibits</w:t>
            </w:r>
          </w:p>
        </w:tc>
        <w:tc>
          <w:tcPr>
            <w:tcW w:w="8200" w:type="dxa"/>
            <w:vAlign w:val="bottom"/>
          </w:tcPr>
          <w:p>
            <w:pPr>
              <w:spacing w:after="0"/>
              <w:rPr>
                <w:sz w:val="24"/>
                <w:szCs w:val="24"/>
                <w:color w:val="auto"/>
              </w:rPr>
            </w:pPr>
          </w:p>
        </w:tc>
      </w:tr>
      <w:tr>
        <w:trPr>
          <w:trHeight w:val="476"/>
        </w:trPr>
        <w:tc>
          <w:tcPr>
            <w:tcW w:w="520" w:type="dxa"/>
            <w:vAlign w:val="bottom"/>
          </w:tcPr>
          <w:p>
            <w:pPr>
              <w:spacing w:after="0"/>
              <w:rPr>
                <w:sz w:val="20"/>
                <w:szCs w:val="20"/>
                <w:color w:val="auto"/>
              </w:rPr>
            </w:pPr>
            <w:r>
              <w:rPr>
                <w:rFonts w:ascii="Arial" w:cs="Arial" w:eastAsia="Arial" w:hAnsi="Arial"/>
                <w:sz w:val="22"/>
                <w:szCs w:val="22"/>
                <w:color w:val="auto"/>
              </w:rPr>
              <w:t>4.1</w:t>
            </w:r>
          </w:p>
        </w:tc>
        <w:tc>
          <w:tcPr>
            <w:tcW w:w="8460" w:type="dxa"/>
            <w:vAlign w:val="bottom"/>
            <w:gridSpan w:val="2"/>
          </w:tcPr>
          <w:p>
            <w:pPr>
              <w:ind w:left="140"/>
              <w:spacing w:after="0"/>
              <w:rPr>
                <w:sz w:val="20"/>
                <w:szCs w:val="20"/>
                <w:color w:val="auto"/>
              </w:rPr>
            </w:pPr>
            <w:r>
              <w:rPr>
                <w:rFonts w:ascii="Arial" w:cs="Arial" w:eastAsia="Arial" w:hAnsi="Arial"/>
                <w:sz w:val="22"/>
                <w:szCs w:val="22"/>
                <w:color w:val="auto"/>
                <w:w w:val="90"/>
              </w:rPr>
              <w:t>2003 Equity Incentive Plan of Manpower Inc. (Amended and Restated Effective April 28, 2009)</w:t>
            </w:r>
          </w:p>
        </w:tc>
      </w:tr>
      <w:tr>
        <w:trPr>
          <w:trHeight w:val="446"/>
        </w:trPr>
        <w:tc>
          <w:tcPr>
            <w:tcW w:w="520" w:type="dxa"/>
            <w:vAlign w:val="bottom"/>
          </w:tcPr>
          <w:p>
            <w:pPr>
              <w:spacing w:after="0"/>
              <w:rPr>
                <w:sz w:val="20"/>
                <w:szCs w:val="20"/>
                <w:color w:val="auto"/>
              </w:rPr>
            </w:pPr>
            <w:r>
              <w:rPr>
                <w:rFonts w:ascii="Arial" w:cs="Arial" w:eastAsia="Arial" w:hAnsi="Arial"/>
                <w:sz w:val="22"/>
                <w:szCs w:val="22"/>
                <w:color w:val="auto"/>
              </w:rPr>
              <w:t>5.1</w:t>
            </w:r>
          </w:p>
        </w:tc>
        <w:tc>
          <w:tcPr>
            <w:tcW w:w="8460" w:type="dxa"/>
            <w:vAlign w:val="bottom"/>
            <w:gridSpan w:val="2"/>
          </w:tcPr>
          <w:p>
            <w:pPr>
              <w:ind w:left="140"/>
              <w:spacing w:after="0"/>
              <w:rPr>
                <w:sz w:val="20"/>
                <w:szCs w:val="20"/>
                <w:color w:val="auto"/>
              </w:rPr>
            </w:pPr>
            <w:r>
              <w:rPr>
                <w:rFonts w:ascii="Arial" w:cs="Arial" w:eastAsia="Arial" w:hAnsi="Arial"/>
                <w:sz w:val="22"/>
                <w:szCs w:val="22"/>
                <w:color w:val="auto"/>
              </w:rPr>
              <w:t>Opinion of Godfrey &amp; Kahn, S.C.</w:t>
            </w:r>
          </w:p>
        </w:tc>
      </w:tr>
      <w:tr>
        <w:trPr>
          <w:trHeight w:val="459"/>
        </w:trPr>
        <w:tc>
          <w:tcPr>
            <w:tcW w:w="520" w:type="dxa"/>
            <w:vAlign w:val="bottom"/>
          </w:tcPr>
          <w:p>
            <w:pPr>
              <w:spacing w:after="0"/>
              <w:rPr>
                <w:sz w:val="20"/>
                <w:szCs w:val="20"/>
                <w:color w:val="auto"/>
              </w:rPr>
            </w:pPr>
            <w:r>
              <w:rPr>
                <w:rFonts w:ascii="Arial" w:cs="Arial" w:eastAsia="Arial" w:hAnsi="Arial"/>
                <w:sz w:val="22"/>
                <w:szCs w:val="22"/>
                <w:color w:val="auto"/>
              </w:rPr>
              <w:t>23.1</w:t>
            </w:r>
          </w:p>
        </w:tc>
        <w:tc>
          <w:tcPr>
            <w:tcW w:w="8460" w:type="dxa"/>
            <w:vAlign w:val="bottom"/>
            <w:gridSpan w:val="2"/>
          </w:tcPr>
          <w:p>
            <w:pPr>
              <w:ind w:left="140"/>
              <w:spacing w:after="0"/>
              <w:rPr>
                <w:sz w:val="20"/>
                <w:szCs w:val="20"/>
                <w:color w:val="auto"/>
              </w:rPr>
            </w:pPr>
            <w:r>
              <w:rPr>
                <w:rFonts w:ascii="Arial" w:cs="Arial" w:eastAsia="Arial" w:hAnsi="Arial"/>
                <w:sz w:val="22"/>
                <w:szCs w:val="22"/>
                <w:color w:val="auto"/>
              </w:rPr>
              <w:t>Consent of Godfrey &amp; Kahn, S.C. (included in Exhibit 5.1)</w:t>
            </w:r>
          </w:p>
        </w:tc>
      </w:tr>
      <w:tr>
        <w:trPr>
          <w:trHeight w:val="446"/>
        </w:trPr>
        <w:tc>
          <w:tcPr>
            <w:tcW w:w="520" w:type="dxa"/>
            <w:vAlign w:val="bottom"/>
          </w:tcPr>
          <w:p>
            <w:pPr>
              <w:spacing w:after="0"/>
              <w:rPr>
                <w:sz w:val="20"/>
                <w:szCs w:val="20"/>
                <w:color w:val="auto"/>
              </w:rPr>
            </w:pPr>
            <w:r>
              <w:rPr>
                <w:rFonts w:ascii="Arial" w:cs="Arial" w:eastAsia="Arial" w:hAnsi="Arial"/>
                <w:sz w:val="22"/>
                <w:szCs w:val="22"/>
                <w:color w:val="auto"/>
              </w:rPr>
              <w:t>23.2</w:t>
            </w:r>
          </w:p>
        </w:tc>
        <w:tc>
          <w:tcPr>
            <w:tcW w:w="8460" w:type="dxa"/>
            <w:vAlign w:val="bottom"/>
            <w:gridSpan w:val="2"/>
          </w:tcPr>
          <w:p>
            <w:pPr>
              <w:ind w:left="140"/>
              <w:spacing w:after="0"/>
              <w:rPr>
                <w:sz w:val="20"/>
                <w:szCs w:val="20"/>
                <w:color w:val="auto"/>
              </w:rPr>
            </w:pPr>
            <w:r>
              <w:rPr>
                <w:rFonts w:ascii="Arial" w:cs="Arial" w:eastAsia="Arial" w:hAnsi="Arial"/>
                <w:sz w:val="22"/>
                <w:szCs w:val="22"/>
                <w:color w:val="auto"/>
              </w:rPr>
              <w:t>Consent of Deloitte &amp; Touche LLP</w:t>
            </w:r>
          </w:p>
        </w:tc>
      </w:tr>
      <w:tr>
        <w:trPr>
          <w:trHeight w:val="446"/>
        </w:trPr>
        <w:tc>
          <w:tcPr>
            <w:tcW w:w="520" w:type="dxa"/>
            <w:vAlign w:val="bottom"/>
          </w:tcPr>
          <w:p>
            <w:pPr>
              <w:spacing w:after="0"/>
              <w:rPr>
                <w:sz w:val="20"/>
                <w:szCs w:val="20"/>
                <w:color w:val="auto"/>
              </w:rPr>
            </w:pPr>
            <w:r>
              <w:rPr>
                <w:rFonts w:ascii="Arial" w:cs="Arial" w:eastAsia="Arial" w:hAnsi="Arial"/>
                <w:sz w:val="22"/>
                <w:szCs w:val="22"/>
                <w:color w:val="auto"/>
              </w:rPr>
              <w:t>24.1</w:t>
            </w:r>
          </w:p>
        </w:tc>
        <w:tc>
          <w:tcPr>
            <w:tcW w:w="8460" w:type="dxa"/>
            <w:vAlign w:val="bottom"/>
            <w:gridSpan w:val="2"/>
          </w:tcPr>
          <w:p>
            <w:pPr>
              <w:ind w:left="140"/>
              <w:spacing w:after="0"/>
              <w:rPr>
                <w:sz w:val="20"/>
                <w:szCs w:val="20"/>
                <w:color w:val="auto"/>
              </w:rPr>
            </w:pPr>
            <w:r>
              <w:rPr>
                <w:rFonts w:ascii="Arial" w:cs="Arial" w:eastAsia="Arial" w:hAnsi="Arial"/>
                <w:sz w:val="22"/>
                <w:szCs w:val="22"/>
                <w:color w:val="auto"/>
              </w:rPr>
              <w:t>Powers of 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598"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u w:val="single" w:color="auto"/>
          <w:color w:val="auto"/>
        </w:rPr>
        <w:t>Exhibit 4.1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2003 EQUITY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April 28, 2009)</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 OF THE PLAN</w:t>
      </w:r>
    </w:p>
    <w:p>
      <w:pPr>
        <w:spacing w:after="0" w:line="239"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GENERAL</w:t>
      </w:r>
    </w:p>
    <w:p>
      <w:pPr>
        <w:spacing w:after="0" w:line="239"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This Plan exclusive of Section A below applies to all Directors and Employees. Section A of the Plan applies to those Employees who are employed in the United Kingdom.</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DEFINITIONS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 the following terms shall have the meanings set forth below:</w:t>
      </w:r>
    </w:p>
    <w:p>
      <w:pPr>
        <w:spacing w:after="0" w:line="233" w:lineRule="exact"/>
        <w:rPr>
          <w:sz w:val="20"/>
          <w:szCs w:val="20"/>
          <w:color w:val="auto"/>
        </w:rPr>
      </w:pPr>
    </w:p>
    <w:p>
      <w:pPr>
        <w:ind w:right="160" w:firstLine="656"/>
        <w:spacing w:after="0" w:line="251" w:lineRule="auto"/>
        <w:tabs>
          <w:tab w:leader="none" w:pos="1297" w:val="left"/>
        </w:tabs>
        <w:numPr>
          <w:ilvl w:val="0"/>
          <w:numId w:val="2"/>
        </w:numPr>
        <w:rPr>
          <w:rFonts w:ascii="Arial" w:cs="Arial" w:eastAsia="Arial" w:hAnsi="Arial"/>
          <w:sz w:val="22"/>
          <w:szCs w:val="22"/>
          <w:color w:val="auto"/>
        </w:rPr>
      </w:pPr>
      <w:r>
        <w:rPr>
          <w:rFonts w:ascii="Arial" w:cs="Arial" w:eastAsia="Arial" w:hAnsi="Arial"/>
          <w:sz w:val="22"/>
          <w:szCs w:val="22"/>
          <w:color w:val="auto"/>
        </w:rPr>
        <w:t>“Administrator” shall mean the Committee or the Board of Directors with respect to grants to Employees under the Plan and the Board of Directors with respect to grants to Directors under the Plan.</w:t>
      </w:r>
    </w:p>
    <w:p>
      <w:pPr>
        <w:spacing w:after="0" w:line="186" w:lineRule="exact"/>
        <w:rPr>
          <w:rFonts w:ascii="Arial" w:cs="Arial" w:eastAsia="Arial" w:hAnsi="Arial"/>
          <w:sz w:val="22"/>
          <w:szCs w:val="22"/>
          <w:color w:val="auto"/>
        </w:rPr>
      </w:pPr>
    </w:p>
    <w:p>
      <w:pPr>
        <w:ind w:right="520" w:firstLine="656"/>
        <w:spacing w:after="0" w:line="251" w:lineRule="auto"/>
        <w:tabs>
          <w:tab w:leader="none" w:pos="1297" w:val="left"/>
        </w:tabs>
        <w:numPr>
          <w:ilvl w:val="0"/>
          <w:numId w:val="2"/>
        </w:numPr>
        <w:rPr>
          <w:rFonts w:ascii="Arial" w:cs="Arial" w:eastAsia="Arial" w:hAnsi="Arial"/>
          <w:sz w:val="22"/>
          <w:szCs w:val="22"/>
          <w:color w:val="auto"/>
        </w:rPr>
      </w:pPr>
      <w:r>
        <w:rPr>
          <w:rFonts w:ascii="Arial" w:cs="Arial" w:eastAsia="Arial" w:hAnsi="Arial"/>
          <w:sz w:val="22"/>
          <w:szCs w:val="22"/>
          <w:color w:val="auto"/>
        </w:rPr>
        <w:t>“Award” shall mean an Option, Restricted Stock, Restricted Stock Units, an SAR, Performance Share Units, or Deferred Stock granted under the Plan.</w:t>
      </w:r>
    </w:p>
    <w:p>
      <w:pPr>
        <w:spacing w:after="0" w:line="186" w:lineRule="exact"/>
        <w:rPr>
          <w:rFonts w:ascii="Arial" w:cs="Arial" w:eastAsia="Arial" w:hAnsi="Arial"/>
          <w:sz w:val="22"/>
          <w:szCs w:val="22"/>
          <w:color w:val="auto"/>
        </w:rPr>
      </w:pPr>
    </w:p>
    <w:p>
      <w:pPr>
        <w:ind w:right="40" w:firstLine="656"/>
        <w:spacing w:after="0" w:line="251" w:lineRule="auto"/>
        <w:tabs>
          <w:tab w:leader="none" w:pos="1297" w:val="left"/>
        </w:tabs>
        <w:numPr>
          <w:ilvl w:val="0"/>
          <w:numId w:val="2"/>
        </w:numPr>
        <w:rPr>
          <w:rFonts w:ascii="Arial" w:cs="Arial" w:eastAsia="Arial" w:hAnsi="Arial"/>
          <w:sz w:val="22"/>
          <w:szCs w:val="22"/>
          <w:color w:val="auto"/>
        </w:rPr>
      </w:pPr>
      <w:r>
        <w:rPr>
          <w:rFonts w:ascii="Arial" w:cs="Arial" w:eastAsia="Arial" w:hAnsi="Arial"/>
          <w:sz w:val="22"/>
          <w:szCs w:val="22"/>
          <w:color w:val="auto"/>
        </w:rPr>
        <w:t>“Board of Directors” shall mean the entire board of directors of the Company, consisting of both Employee and non-Employee members.</w:t>
      </w:r>
    </w:p>
    <w:p>
      <w:pPr>
        <w:spacing w:after="0" w:line="200" w:lineRule="exact"/>
        <w:rPr>
          <w:rFonts w:ascii="Arial" w:cs="Arial" w:eastAsia="Arial" w:hAnsi="Arial"/>
          <w:sz w:val="22"/>
          <w:szCs w:val="22"/>
          <w:color w:val="auto"/>
        </w:rPr>
      </w:pPr>
    </w:p>
    <w:p>
      <w:pPr>
        <w:ind w:right="60" w:firstLine="656"/>
        <w:spacing w:after="0" w:line="235" w:lineRule="auto"/>
        <w:tabs>
          <w:tab w:leader="none" w:pos="1297" w:val="left"/>
        </w:tabs>
        <w:numPr>
          <w:ilvl w:val="0"/>
          <w:numId w:val="2"/>
        </w:numPr>
        <w:rPr>
          <w:rFonts w:ascii="Arial" w:cs="Arial" w:eastAsia="Arial" w:hAnsi="Arial"/>
          <w:sz w:val="22"/>
          <w:szCs w:val="22"/>
          <w:color w:val="auto"/>
        </w:rPr>
      </w:pPr>
      <w:r>
        <w:rPr>
          <w:rFonts w:ascii="Arial" w:cs="Arial" w:eastAsia="Arial" w:hAnsi="Arial"/>
          <w:sz w:val="22"/>
          <w:szCs w:val="22"/>
          <w:color w:val="auto"/>
        </w:rPr>
        <w:t>A termination of employment for “Cause” will mean termination upon (1) on Employee’s repeated failure to perform his or her duties in a competent, diligent and satisfactory manner as determined by the Company’s Chief Executive Officer in his reasonable judgment, (2) insubordination, (3) an Employee’s commission of any material act of dishonesty or disloyalty involving the Company or a Subsidiary, (4) an Employee’s chronic absence from work other than by reason of a serious health condition, (5) an Employee’s commission of a crime which substantially relates to the circumstances of his or her position with the Company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690880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ind w:left="40" w:right="300"/>
        <w:spacing w:after="0" w:line="251" w:lineRule="auto"/>
        <w:rPr>
          <w:sz w:val="20"/>
          <w:szCs w:val="20"/>
          <w:color w:val="auto"/>
        </w:rPr>
      </w:pPr>
      <w:r>
        <w:rPr>
          <w:rFonts w:ascii="Arial" w:cs="Arial" w:eastAsia="Arial" w:hAnsi="Arial"/>
          <w:sz w:val="22"/>
          <w:szCs w:val="22"/>
          <w:color w:val="auto"/>
        </w:rPr>
        <w:t>Subsidiary or which has material adverse effect on the Company or a Subsidiary, or (6) the willful engaging by an Employee in conduct which is demonstrably and materially injurious to the Company or a Subsidiary.</w:t>
      </w:r>
    </w:p>
    <w:p>
      <w:pPr>
        <w:spacing w:after="0" w:line="187" w:lineRule="exact"/>
        <w:rPr>
          <w:sz w:val="20"/>
          <w:szCs w:val="20"/>
          <w:color w:val="auto"/>
        </w:rPr>
      </w:pPr>
    </w:p>
    <w:p>
      <w:pPr>
        <w:ind w:left="1260" w:hanging="644"/>
        <w:spacing w:after="0"/>
        <w:tabs>
          <w:tab w:leader="none" w:pos="12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w:t>
      </w:r>
    </w:p>
    <w:p>
      <w:pPr>
        <w:spacing w:after="0" w:line="233" w:lineRule="exact"/>
        <w:rPr>
          <w:rFonts w:ascii="Arial" w:cs="Arial" w:eastAsia="Arial" w:hAnsi="Arial"/>
          <w:sz w:val="22"/>
          <w:szCs w:val="22"/>
          <w:color w:val="auto"/>
        </w:rPr>
      </w:pPr>
    </w:p>
    <w:p>
      <w:pPr>
        <w:ind w:left="1260" w:hanging="644"/>
        <w:spacing w:after="0"/>
        <w:tabs>
          <w:tab w:leader="none" w:pos="1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“Committee” shall mean the committee of the Board of Directors constituted as provided in Paragraph 5 of the Plan.</w:t>
      </w:r>
    </w:p>
    <w:p>
      <w:pPr>
        <w:spacing w:after="0" w:line="254" w:lineRule="exact"/>
        <w:rPr>
          <w:rFonts w:ascii="Arial" w:cs="Arial" w:eastAsia="Arial" w:hAnsi="Arial"/>
          <w:sz w:val="19"/>
          <w:szCs w:val="19"/>
          <w:color w:val="auto"/>
        </w:rPr>
      </w:pPr>
    </w:p>
    <w:p>
      <w:pPr>
        <w:ind w:left="1260" w:hanging="644"/>
        <w:spacing w:after="0"/>
        <w:tabs>
          <w:tab w:leader="none" w:pos="12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“Company” shall mean Manpower Inc., a Wisconsin corporation.</w:t>
      </w:r>
    </w:p>
    <w:p>
      <w:pPr>
        <w:spacing w:after="0" w:line="219" w:lineRule="exact"/>
        <w:rPr>
          <w:rFonts w:ascii="Arial" w:cs="Arial" w:eastAsia="Arial" w:hAnsi="Arial"/>
          <w:sz w:val="22"/>
          <w:szCs w:val="22"/>
          <w:color w:val="auto"/>
        </w:rPr>
      </w:pPr>
    </w:p>
    <w:p>
      <w:pPr>
        <w:ind w:left="-40" w:right="560" w:firstLine="656"/>
        <w:spacing w:after="0" w:line="251" w:lineRule="auto"/>
        <w:tabs>
          <w:tab w:leader="none" w:pos="1257" w:val="left"/>
        </w:tabs>
        <w:numPr>
          <w:ilvl w:val="0"/>
          <w:numId w:val="3"/>
        </w:numPr>
        <w:rPr>
          <w:rFonts w:ascii="Arial" w:cs="Arial" w:eastAsia="Arial" w:hAnsi="Arial"/>
          <w:sz w:val="22"/>
          <w:szCs w:val="22"/>
          <w:color w:val="auto"/>
        </w:rPr>
      </w:pPr>
      <w:r>
        <w:rPr>
          <w:rFonts w:ascii="Arial" w:cs="Arial" w:eastAsia="Arial" w:hAnsi="Arial"/>
          <w:sz w:val="22"/>
          <w:szCs w:val="22"/>
          <w:color w:val="auto"/>
        </w:rPr>
        <w:t>“Deferred Stock” shall mean a right to receive one or more Shares from the Company in accordance with, and subject to, Paragraph 11 of the Plan.</w:t>
      </w:r>
    </w:p>
    <w:p>
      <w:pPr>
        <w:spacing w:after="0" w:line="200" w:lineRule="exact"/>
        <w:rPr>
          <w:rFonts w:ascii="Arial" w:cs="Arial" w:eastAsia="Arial" w:hAnsi="Arial"/>
          <w:sz w:val="22"/>
          <w:szCs w:val="22"/>
          <w:color w:val="auto"/>
        </w:rPr>
      </w:pPr>
    </w:p>
    <w:p>
      <w:pPr>
        <w:ind w:left="-40" w:firstLine="656"/>
        <w:spacing w:after="0" w:line="251" w:lineRule="auto"/>
        <w:tabs>
          <w:tab w:leader="none" w:pos="1257" w:val="left"/>
        </w:tabs>
        <w:numPr>
          <w:ilvl w:val="0"/>
          <w:numId w:val="3"/>
        </w:numPr>
        <w:rPr>
          <w:rFonts w:ascii="Arial" w:cs="Arial" w:eastAsia="Arial" w:hAnsi="Arial"/>
          <w:sz w:val="22"/>
          <w:szCs w:val="22"/>
          <w:color w:val="auto"/>
        </w:rPr>
      </w:pPr>
      <w:r>
        <w:rPr>
          <w:rFonts w:ascii="Arial" w:cs="Arial" w:eastAsia="Arial" w:hAnsi="Arial"/>
          <w:sz w:val="22"/>
          <w:szCs w:val="22"/>
          <w:color w:val="auto"/>
        </w:rPr>
        <w:t>“Deferred Stock Agreement” shall mean the agreement whereby the Company’s grant of shares of Deferred Stock to a Participant is confirmed.</w:t>
      </w:r>
    </w:p>
    <w:p>
      <w:pPr>
        <w:spacing w:after="0" w:line="186" w:lineRule="exact"/>
        <w:rPr>
          <w:rFonts w:ascii="Arial" w:cs="Arial" w:eastAsia="Arial" w:hAnsi="Arial"/>
          <w:sz w:val="22"/>
          <w:szCs w:val="22"/>
          <w:color w:val="auto"/>
        </w:rPr>
      </w:pPr>
    </w:p>
    <w:p>
      <w:pPr>
        <w:ind w:left="1260" w:hanging="644"/>
        <w:spacing w:after="0"/>
        <w:tabs>
          <w:tab w:leader="none" w:pos="1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“Director” shall mean an individual who is a non-Employee member of the Board of Directors of the Company.</w:t>
      </w:r>
    </w:p>
    <w:p>
      <w:pPr>
        <w:spacing w:after="0" w:line="254" w:lineRule="exact"/>
        <w:rPr>
          <w:rFonts w:ascii="Arial" w:cs="Arial" w:eastAsia="Arial" w:hAnsi="Arial"/>
          <w:sz w:val="19"/>
          <w:szCs w:val="19"/>
          <w:color w:val="auto"/>
        </w:rPr>
      </w:pPr>
    </w:p>
    <w:p>
      <w:pPr>
        <w:ind w:left="-40" w:firstLine="656"/>
        <w:spacing w:after="0" w:line="273" w:lineRule="auto"/>
        <w:tabs>
          <w:tab w:leader="none" w:pos="1257"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where an Award is granted to a Participant who is subject to U.S. federal income tax with terms such that it is nonqualified deferred compensation for purposes of Section 409A of the Code, “Disability” shall mean (i) a Participant is unable to engage in any substantial gainful activity by reason of any medically determinable physical or mental impairment which can be expected to result in death or can be expected to last for a continuous period of not less than 12 months, or (ii) a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88" w:lineRule="exact"/>
        <w:rPr>
          <w:rFonts w:ascii="Arial" w:cs="Arial" w:eastAsia="Arial" w:hAnsi="Arial"/>
          <w:sz w:val="19"/>
          <w:szCs w:val="19"/>
          <w:color w:val="auto"/>
        </w:rPr>
      </w:pPr>
    </w:p>
    <w:p>
      <w:pPr>
        <w:ind w:left="1260" w:hanging="644"/>
        <w:spacing w:after="0"/>
        <w:tabs>
          <w:tab w:leader="none" w:pos="12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“Employee” shall mean an individual who is an employee of the Company or a Subsidiary.</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“Exchange Act” shall mean the Securities Exchange Act of 1934, as amended.</w:t>
      </w:r>
    </w:p>
    <w:p>
      <w:pPr>
        <w:spacing w:after="0" w:line="219" w:lineRule="exact"/>
        <w:rPr>
          <w:rFonts w:ascii="Arial" w:cs="Arial" w:eastAsia="Arial" w:hAnsi="Arial"/>
          <w:sz w:val="22"/>
          <w:szCs w:val="22"/>
          <w:color w:val="auto"/>
        </w:rPr>
      </w:pPr>
    </w:p>
    <w:p>
      <w:pPr>
        <w:ind w:left="-40" w:right="220" w:firstLine="656"/>
        <w:spacing w:after="0" w:line="251" w:lineRule="auto"/>
        <w:tabs>
          <w:tab w:leader="none" w:pos="1257" w:val="left"/>
        </w:tabs>
        <w:numPr>
          <w:ilvl w:val="0"/>
          <w:numId w:val="3"/>
        </w:numPr>
        <w:rPr>
          <w:rFonts w:ascii="Arial" w:cs="Arial" w:eastAsia="Arial" w:hAnsi="Arial"/>
          <w:sz w:val="22"/>
          <w:szCs w:val="22"/>
          <w:color w:val="auto"/>
        </w:rPr>
      </w:pPr>
      <w:r>
        <w:rPr>
          <w:rFonts w:ascii="Arial" w:cs="Arial" w:eastAsia="Arial" w:hAnsi="Arial"/>
          <w:sz w:val="22"/>
          <w:szCs w:val="22"/>
          <w:color w:val="auto"/>
        </w:rPr>
        <w:t>“Grant Value” of an SAR means the dollar value assigned to the SAR by the Administrator on the date the SAR is granted under the Plan.</w:t>
      </w:r>
    </w:p>
    <w:p>
      <w:pPr>
        <w:spacing w:after="0" w:line="200" w:lineRule="exact"/>
        <w:rPr>
          <w:rFonts w:ascii="Arial" w:cs="Arial" w:eastAsia="Arial" w:hAnsi="Arial"/>
          <w:sz w:val="22"/>
          <w:szCs w:val="22"/>
          <w:color w:val="auto"/>
        </w:rPr>
      </w:pPr>
    </w:p>
    <w:p>
      <w:pPr>
        <w:ind w:left="-40" w:right="300" w:firstLine="656"/>
        <w:spacing w:after="0" w:line="251" w:lineRule="auto"/>
        <w:tabs>
          <w:tab w:leader="none" w:pos="1257"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“Incentive Stock Option” shall mean an option to purchase Shares which complies with the provisions of Section 422 of the Code.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238760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604" w:right="279" w:bottom="1440" w:gutter="0" w:footer="0" w:header="0"/>
        </w:sectPr>
      </w:pPr>
    </w:p>
    <w:bookmarkStart w:id="7" w:name="page8"/>
    <w:bookmarkEnd w:id="7"/>
    <w:p>
      <w:pPr>
        <w:jc w:val="both"/>
        <w:ind w:firstLine="656"/>
        <w:spacing w:after="0" w:line="297" w:lineRule="auto"/>
        <w:tabs>
          <w:tab w:leader="none" w:pos="1297" w:val="left"/>
        </w:tabs>
        <w:numPr>
          <w:ilvl w:val="1"/>
          <w:numId w:val="4"/>
        </w:numPr>
        <w:rPr>
          <w:rFonts w:ascii="Arial" w:cs="Arial" w:eastAsia="Arial" w:hAnsi="Arial"/>
          <w:sz w:val="19"/>
          <w:szCs w:val="19"/>
          <w:color w:val="auto"/>
        </w:rPr>
      </w:pPr>
      <w:r>
        <w:rPr>
          <w:rFonts w:ascii="Arial" w:cs="Arial" w:eastAsia="Arial" w:hAnsi="Arial"/>
          <w:sz w:val="19"/>
          <w:szCs w:val="19"/>
          <w:color w:val="auto"/>
        </w:rPr>
        <w:t xml:space="preserve">“Market Price” shall mean the closing sale price of a Share on the New York Stock Exchange;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a Share is not susceptible of valuation by the above method, the term “Market Price” shall mean the fair market value of a Share as the Administrator may determine in conformity with pertinent law and regulations of the Treasury Department.</w:t>
      </w:r>
    </w:p>
    <w:p>
      <w:pPr>
        <w:spacing w:after="0" w:line="161" w:lineRule="exact"/>
        <w:rPr>
          <w:rFonts w:ascii="Arial" w:cs="Arial" w:eastAsia="Arial" w:hAnsi="Arial"/>
          <w:sz w:val="19"/>
          <w:szCs w:val="19"/>
          <w:color w:val="auto"/>
        </w:rPr>
      </w:pPr>
    </w:p>
    <w:p>
      <w:pPr>
        <w:ind w:firstLine="656"/>
        <w:spacing w:after="0" w:line="251" w:lineRule="auto"/>
        <w:tabs>
          <w:tab w:leader="none" w:pos="1297" w:val="left"/>
        </w:tabs>
        <w:numPr>
          <w:ilvl w:val="1"/>
          <w:numId w:val="4"/>
        </w:numPr>
        <w:rPr>
          <w:rFonts w:ascii="Arial" w:cs="Arial" w:eastAsia="Arial" w:hAnsi="Arial"/>
          <w:sz w:val="22"/>
          <w:szCs w:val="22"/>
          <w:color w:val="auto"/>
        </w:rPr>
      </w:pPr>
      <w:r>
        <w:rPr>
          <w:rFonts w:ascii="Arial" w:cs="Arial" w:eastAsia="Arial" w:hAnsi="Arial"/>
          <w:sz w:val="22"/>
          <w:szCs w:val="22"/>
          <w:color w:val="auto"/>
        </w:rPr>
        <w:t>“Nonstatutory Stock Option” shall mean an option to purchase Shares which does not comply with the provisions of Section 422 of the Code or which is designated as such pursuant to Paragraph 7 of the Plan.</w:t>
      </w:r>
    </w:p>
    <w:p>
      <w:pPr>
        <w:spacing w:after="0" w:line="186" w:lineRule="exact"/>
        <w:rPr>
          <w:rFonts w:ascii="Arial" w:cs="Arial" w:eastAsia="Arial" w:hAnsi="Arial"/>
          <w:sz w:val="22"/>
          <w:szCs w:val="22"/>
          <w:color w:val="auto"/>
        </w:rPr>
      </w:pPr>
    </w:p>
    <w:p>
      <w:pPr>
        <w:ind w:right="480" w:firstLine="656"/>
        <w:spacing w:after="0" w:line="328" w:lineRule="auto"/>
        <w:tabs>
          <w:tab w:leader="none" w:pos="1297" w:val="left"/>
        </w:tabs>
        <w:numPr>
          <w:ilvl w:val="1"/>
          <w:numId w:val="4"/>
        </w:numPr>
        <w:rPr>
          <w:rFonts w:ascii="Arial" w:cs="Arial" w:eastAsia="Arial" w:hAnsi="Arial"/>
          <w:sz w:val="19"/>
          <w:szCs w:val="19"/>
          <w:color w:val="auto"/>
        </w:rPr>
      </w:pPr>
      <w:r>
        <w:rPr>
          <w:rFonts w:ascii="Arial" w:cs="Arial" w:eastAsia="Arial" w:hAnsi="Arial"/>
          <w:sz w:val="19"/>
          <w:szCs w:val="19"/>
          <w:color w:val="auto"/>
        </w:rPr>
        <w:t>“Option” shall mean (1) with respect to an Employee, an Incentive Stock Option or Nonstatutory Stock Option granted under the Plan and (2) with respect to a Director, a Non-Statutory Stock Option granted under the Plan.</w:t>
      </w:r>
    </w:p>
    <w:p>
      <w:pPr>
        <w:spacing w:after="0" w:line="118" w:lineRule="exact"/>
        <w:rPr>
          <w:rFonts w:ascii="Arial" w:cs="Arial" w:eastAsia="Arial" w:hAnsi="Arial"/>
          <w:sz w:val="19"/>
          <w:szCs w:val="19"/>
          <w:color w:val="auto"/>
        </w:rPr>
      </w:pPr>
    </w:p>
    <w:p>
      <w:pPr>
        <w:ind w:left="1300" w:hanging="644"/>
        <w:spacing w:after="0"/>
        <w:tabs>
          <w:tab w:leader="none" w:pos="1300" w:val="left"/>
        </w:tabs>
        <w:numPr>
          <w:ilvl w:val="1"/>
          <w:numId w:val="4"/>
        </w:numPr>
        <w:rPr>
          <w:rFonts w:ascii="Arial" w:cs="Arial" w:eastAsia="Arial" w:hAnsi="Arial"/>
          <w:sz w:val="21"/>
          <w:szCs w:val="21"/>
          <w:color w:val="auto"/>
        </w:rPr>
      </w:pPr>
      <w:r>
        <w:rPr>
          <w:rFonts w:ascii="Arial" w:cs="Arial" w:eastAsia="Arial" w:hAnsi="Arial"/>
          <w:sz w:val="21"/>
          <w:szCs w:val="21"/>
          <w:color w:val="auto"/>
        </w:rPr>
        <w:t>“Option Agreement” shall mean the agreement whereby the Company’s grant of an Option to a Participant 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confirmed.</w:t>
      </w:r>
    </w:p>
    <w:p>
      <w:pPr>
        <w:spacing w:after="0" w:line="215" w:lineRule="exact"/>
        <w:rPr>
          <w:rFonts w:ascii="Arial" w:cs="Arial" w:eastAsia="Arial" w:hAnsi="Arial"/>
          <w:sz w:val="21"/>
          <w:szCs w:val="21"/>
          <w:color w:val="auto"/>
        </w:rPr>
      </w:pPr>
    </w:p>
    <w:p>
      <w:pPr>
        <w:ind w:left="1300" w:hanging="644"/>
        <w:spacing w:after="0"/>
        <w:tabs>
          <w:tab w:leader="none" w:pos="1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“Participant” shall mean an Employee or Director to whom an Award has been granted under the Plan.</w:t>
      </w:r>
    </w:p>
    <w:p>
      <w:pPr>
        <w:spacing w:after="0" w:line="219" w:lineRule="exact"/>
        <w:rPr>
          <w:rFonts w:ascii="Arial" w:cs="Arial" w:eastAsia="Arial" w:hAnsi="Arial"/>
          <w:sz w:val="22"/>
          <w:szCs w:val="22"/>
          <w:color w:val="auto"/>
        </w:rPr>
      </w:pPr>
    </w:p>
    <w:p>
      <w:pPr>
        <w:ind w:right="80" w:firstLine="656"/>
        <w:spacing w:after="0" w:line="287" w:lineRule="auto"/>
        <w:tabs>
          <w:tab w:leader="none" w:pos="1297" w:val="left"/>
        </w:tabs>
        <w:numPr>
          <w:ilvl w:val="1"/>
          <w:numId w:val="4"/>
        </w:numPr>
        <w:rPr>
          <w:rFonts w:ascii="Arial" w:cs="Arial" w:eastAsia="Arial" w:hAnsi="Arial"/>
          <w:sz w:val="19"/>
          <w:szCs w:val="19"/>
          <w:color w:val="auto"/>
        </w:rPr>
      </w:pPr>
      <w:r>
        <w:rPr>
          <w:rFonts w:ascii="Arial" w:cs="Arial" w:eastAsia="Arial" w:hAnsi="Arial"/>
          <w:sz w:val="19"/>
          <w:szCs w:val="19"/>
          <w:color w:val="auto"/>
        </w:rPr>
        <w:t>“Performance Goals” shall mean the goals identified by the Committee to measure one or more business criteria, which may include any of the following criteria and which, where applicable (i) may be set on a pre-tax or after-tax basis, (ii) may include or exclude the impact of changes in currency exchange rates, (iii) may be applied on an absolute or relative basis, (iv) may be valued on a growth or fixed basis, and (v) may be applied on a Company-wide, business segment, or individual basis:</w:t>
      </w:r>
    </w:p>
    <w:p>
      <w:pPr>
        <w:spacing w:after="0" w:line="170" w:lineRule="exact"/>
        <w:rPr>
          <w:rFonts w:ascii="Arial" w:cs="Arial" w:eastAsia="Arial" w:hAnsi="Arial"/>
          <w:sz w:val="19"/>
          <w:szCs w:val="19"/>
          <w:color w:val="auto"/>
        </w:rPr>
      </w:pPr>
    </w:p>
    <w:p>
      <w:pPr>
        <w:ind w:left="780" w:hanging="332"/>
        <w:spacing w:after="0"/>
        <w:tabs>
          <w:tab w:leader="none" w:pos="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Net Income</w:t>
      </w:r>
    </w:p>
    <w:p>
      <w:pPr>
        <w:spacing w:after="0" w:line="8" w:lineRule="exact"/>
        <w:rPr>
          <w:rFonts w:ascii="Arial" w:cs="Arial" w:eastAsia="Arial" w:hAnsi="Arial"/>
          <w:sz w:val="22"/>
          <w:szCs w:val="22"/>
          <w:color w:val="auto"/>
        </w:rPr>
      </w:pPr>
    </w:p>
    <w:p>
      <w:pPr>
        <w:ind w:left="780" w:hanging="332"/>
        <w:spacing w:after="0" w:line="230" w:lineRule="auto"/>
        <w:tabs>
          <w:tab w:leader="none" w:pos="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Revenue</w:t>
      </w:r>
    </w:p>
    <w:p>
      <w:pPr>
        <w:ind w:left="780" w:hanging="332"/>
        <w:spacing w:after="0" w:line="230" w:lineRule="auto"/>
        <w:tabs>
          <w:tab w:leader="none" w:pos="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Earnings per share diluted</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Return on investment</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Return on invested capital</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Return on equity</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Return on net assets</w:t>
      </w:r>
    </w:p>
    <w:p>
      <w:pPr>
        <w:ind w:left="820" w:right="32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Shareholder returns (either including or excluding dividends) over a specified period of time</w:t>
      </w:r>
    </w:p>
    <w:p>
      <w:pPr>
        <w:spacing w:after="0" w:line="1" w:lineRule="exact"/>
        <w:rPr>
          <w:rFonts w:ascii="Arial" w:cs="Arial" w:eastAsia="Arial" w:hAnsi="Arial"/>
          <w:sz w:val="22"/>
          <w:szCs w:val="22"/>
          <w:color w:val="auto"/>
        </w:rPr>
      </w:pP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Financial return ratios</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Cash flow</w:t>
      </w:r>
    </w:p>
    <w:p>
      <w:pPr>
        <w:ind w:left="800" w:hanging="352"/>
        <w:spacing w:after="0" w:line="230"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of expense</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Economic profit</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Gross profit</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Gross profit margin percentage</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Operating profit</w:t>
      </w:r>
    </w:p>
    <w:p>
      <w:pPr>
        <w:ind w:left="820" w:hanging="372"/>
        <w:spacing w:after="0" w:line="230" w:lineRule="auto"/>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Operating profit margin percentage</w:t>
      </w:r>
    </w:p>
    <w:p>
      <w:pPr>
        <w:ind w:left="820" w:hanging="372"/>
        <w:spacing w:after="0"/>
        <w:tabs>
          <w:tab w:leader="none" w:pos="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of indebtedness</w:t>
      </w: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34" w:right="299" w:bottom="1440" w:gutter="0" w:footer="0" w:header="0"/>
        </w:sectPr>
      </w:pPr>
    </w:p>
    <w:bookmarkStart w:id="8" w:name="page9"/>
    <w:bookmarkEnd w:id="8"/>
    <w:p>
      <w:pPr>
        <w:ind w:left="820" w:hanging="372"/>
        <w:spacing w:after="0"/>
        <w:tabs>
          <w:tab w:leader="none" w:pos="820" w:val="left"/>
        </w:tabs>
        <w:numPr>
          <w:ilvl w:val="0"/>
          <w:numId w:val="6"/>
        </w:numPr>
        <w:rPr>
          <w:rFonts w:ascii="Arial" w:cs="Arial" w:eastAsia="Arial" w:hAnsi="Arial"/>
          <w:sz w:val="22"/>
          <w:szCs w:val="22"/>
          <w:color w:val="auto"/>
        </w:rPr>
      </w:pPr>
      <w:r>
        <w:rPr>
          <w:rFonts w:ascii="Arial" w:cs="Arial" w:eastAsia="Arial" w:hAnsi="Arial"/>
          <w:sz w:val="22"/>
          <w:szCs w:val="22"/>
          <w:color w:val="auto"/>
        </w:rPr>
        <w:t>Debt ratios</w:t>
      </w:r>
    </w:p>
    <w:p>
      <w:pPr>
        <w:spacing w:after="0" w:line="8" w:lineRule="exact"/>
        <w:rPr>
          <w:rFonts w:ascii="Arial" w:cs="Arial" w:eastAsia="Arial" w:hAnsi="Arial"/>
          <w:sz w:val="22"/>
          <w:szCs w:val="22"/>
          <w:color w:val="auto"/>
        </w:rPr>
      </w:pPr>
    </w:p>
    <w:p>
      <w:pPr>
        <w:ind w:left="820" w:right="3600" w:hanging="372"/>
        <w:spacing w:after="0" w:line="230" w:lineRule="auto"/>
        <w:tabs>
          <w:tab w:leader="none" w:pos="820" w:val="left"/>
        </w:tabs>
        <w:numPr>
          <w:ilvl w:val="0"/>
          <w:numId w:val="6"/>
        </w:numPr>
        <w:rPr>
          <w:rFonts w:ascii="Arial" w:cs="Arial" w:eastAsia="Arial" w:hAnsi="Arial"/>
          <w:sz w:val="22"/>
          <w:szCs w:val="22"/>
          <w:color w:val="auto"/>
        </w:rPr>
      </w:pPr>
      <w:r>
        <w:rPr>
          <w:rFonts w:ascii="Arial" w:cs="Arial" w:eastAsia="Arial" w:hAnsi="Arial"/>
          <w:sz w:val="22"/>
          <w:szCs w:val="22"/>
          <w:color w:val="auto"/>
        </w:rPr>
        <w:t>Earnings before interest, taxes, depreciation or amortization (or any combination thereof)</w:t>
      </w:r>
    </w:p>
    <w:p>
      <w:pPr>
        <w:spacing w:after="0" w:line="1" w:lineRule="exact"/>
        <w:rPr>
          <w:rFonts w:ascii="Arial" w:cs="Arial" w:eastAsia="Arial" w:hAnsi="Arial"/>
          <w:sz w:val="22"/>
          <w:szCs w:val="22"/>
          <w:color w:val="auto"/>
        </w:rPr>
      </w:pPr>
    </w:p>
    <w:p>
      <w:pPr>
        <w:ind w:left="820" w:hanging="372"/>
        <w:spacing w:after="0" w:line="230" w:lineRule="auto"/>
        <w:tabs>
          <w:tab w:leader="none" w:pos="820" w:val="left"/>
        </w:tabs>
        <w:numPr>
          <w:ilvl w:val="0"/>
          <w:numId w:val="6"/>
        </w:numPr>
        <w:rPr>
          <w:rFonts w:ascii="Arial" w:cs="Arial" w:eastAsia="Arial" w:hAnsi="Arial"/>
          <w:sz w:val="22"/>
          <w:szCs w:val="22"/>
          <w:color w:val="auto"/>
        </w:rPr>
      </w:pPr>
      <w:r>
        <w:rPr>
          <w:rFonts w:ascii="Arial" w:cs="Arial" w:eastAsia="Arial" w:hAnsi="Arial"/>
          <w:sz w:val="22"/>
          <w:szCs w:val="22"/>
          <w:color w:val="auto"/>
        </w:rPr>
        <w:t>Attainment by a Share of a specified Market Price for a specified period of time</w:t>
      </w:r>
    </w:p>
    <w:p>
      <w:pPr>
        <w:ind w:left="820" w:hanging="372"/>
        <w:spacing w:after="0" w:line="230" w:lineRule="auto"/>
        <w:tabs>
          <w:tab w:leader="none" w:pos="820" w:val="left"/>
        </w:tabs>
        <w:numPr>
          <w:ilvl w:val="0"/>
          <w:numId w:val="6"/>
        </w:numPr>
        <w:rPr>
          <w:rFonts w:ascii="Arial" w:cs="Arial" w:eastAsia="Arial" w:hAnsi="Arial"/>
          <w:sz w:val="22"/>
          <w:szCs w:val="22"/>
          <w:color w:val="auto"/>
        </w:rPr>
      </w:pPr>
      <w:r>
        <w:rPr>
          <w:rFonts w:ascii="Arial" w:cs="Arial" w:eastAsia="Arial" w:hAnsi="Arial"/>
          <w:sz w:val="22"/>
          <w:szCs w:val="22"/>
          <w:color w:val="auto"/>
        </w:rPr>
        <w:t>Customer satisfaction survey results</w:t>
      </w:r>
    </w:p>
    <w:p>
      <w:pPr>
        <w:ind w:left="820" w:hanging="372"/>
        <w:spacing w:after="0" w:line="230" w:lineRule="auto"/>
        <w:tabs>
          <w:tab w:leader="none" w:pos="820" w:val="left"/>
        </w:tabs>
        <w:numPr>
          <w:ilvl w:val="0"/>
          <w:numId w:val="6"/>
        </w:numPr>
        <w:rPr>
          <w:rFonts w:ascii="Arial" w:cs="Arial" w:eastAsia="Arial" w:hAnsi="Arial"/>
          <w:sz w:val="22"/>
          <w:szCs w:val="22"/>
          <w:color w:val="auto"/>
        </w:rPr>
      </w:pPr>
      <w:r>
        <w:rPr>
          <w:rFonts w:ascii="Arial" w:cs="Arial" w:eastAsia="Arial" w:hAnsi="Arial"/>
          <w:sz w:val="22"/>
          <w:szCs w:val="22"/>
          <w:color w:val="auto"/>
        </w:rPr>
        <w:t>Employee satisfaction survey results</w:t>
      </w:r>
    </w:p>
    <w:p>
      <w:pPr>
        <w:ind w:left="820" w:right="3400" w:hanging="372"/>
        <w:spacing w:after="0" w:line="233" w:lineRule="auto"/>
        <w:tabs>
          <w:tab w:leader="none" w:pos="820" w:val="left"/>
        </w:tabs>
        <w:numPr>
          <w:ilvl w:val="0"/>
          <w:numId w:val="6"/>
        </w:numPr>
        <w:rPr>
          <w:rFonts w:ascii="Arial" w:cs="Arial" w:eastAsia="Arial" w:hAnsi="Arial"/>
          <w:sz w:val="22"/>
          <w:szCs w:val="22"/>
          <w:color w:val="auto"/>
        </w:rPr>
      </w:pPr>
      <w:r>
        <w:rPr>
          <w:rFonts w:ascii="Arial" w:cs="Arial" w:eastAsia="Arial" w:hAnsi="Arial"/>
          <w:sz w:val="22"/>
          <w:szCs w:val="22"/>
          <w:color w:val="auto"/>
        </w:rPr>
        <w:t>Strategic business criteria, consisting of one or more objectives based on achieving specified revenue, market penetration, or geographic business expansion goals, or cost targets, or goals relating to acquisitions or divestitures, or any combination of the foregoing.</w:t>
      </w:r>
    </w:p>
    <w:p>
      <w:pPr>
        <w:spacing w:after="0" w:line="215"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The above Performance Goals may be determined with or without regard to (i) changes in accounting or (ii) extraordinary, unusual or nonrecurring items, including, without limitation, the impact of acquisitions or divestitures, as specified by the Committee upon the grant of an Award.</w:t>
      </w:r>
    </w:p>
    <w:p>
      <w:pPr>
        <w:spacing w:after="0" w:line="200" w:lineRule="exact"/>
        <w:rPr>
          <w:sz w:val="20"/>
          <w:szCs w:val="20"/>
          <w:color w:val="auto"/>
        </w:rPr>
      </w:pPr>
    </w:p>
    <w:p>
      <w:pPr>
        <w:ind w:right="280" w:firstLine="656"/>
        <w:spacing w:after="0"/>
        <w:tabs>
          <w:tab w:leader="none" w:pos="1297"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“Performance Share Unit” shall mean a right, contingent upon the attainment of specified performance objectives within a specified performance period, to receive one or more Shares from the Company, in accordance with, and subject to, Paragraph 10 of the Plan.</w:t>
      </w:r>
    </w:p>
    <w:p>
      <w:pPr>
        <w:spacing w:after="0" w:line="213" w:lineRule="exact"/>
        <w:rPr>
          <w:rFonts w:ascii="Arial" w:cs="Arial" w:eastAsia="Arial" w:hAnsi="Arial"/>
          <w:sz w:val="22"/>
          <w:szCs w:val="22"/>
          <w:color w:val="auto"/>
        </w:rPr>
      </w:pPr>
    </w:p>
    <w:p>
      <w:pPr>
        <w:ind w:right="500" w:firstLine="656"/>
        <w:spacing w:after="0" w:line="251" w:lineRule="auto"/>
        <w:tabs>
          <w:tab w:leader="none" w:pos="1297"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“Performance Share Unit Agreement” shall mean the agreement whereby the Company’s grant of Performance Share Units to a Participant is confirmed.</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“Plan” shall mean the 2003 Equity Incentive Plan of the Company.</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“Protected Period” shall be a period of time determined in accordance with the following:</w:t>
      </w:r>
    </w:p>
    <w:p>
      <w:pPr>
        <w:spacing w:after="0" w:line="233" w:lineRule="exact"/>
        <w:rPr>
          <w:rFonts w:ascii="Arial" w:cs="Arial" w:eastAsia="Arial" w:hAnsi="Arial"/>
          <w:sz w:val="22"/>
          <w:szCs w:val="22"/>
          <w:color w:val="auto"/>
        </w:rPr>
      </w:pPr>
    </w:p>
    <w:p>
      <w:pPr>
        <w:ind w:left="660" w:firstLine="645"/>
        <w:spacing w:after="0" w:line="238" w:lineRule="auto"/>
        <w:tabs>
          <w:tab w:leader="none" w:pos="1668" w:val="left"/>
        </w:tabs>
        <w:numPr>
          <w:ilvl w:val="1"/>
          <w:numId w:val="7"/>
        </w:numPr>
        <w:rPr>
          <w:rFonts w:ascii="Arial" w:cs="Arial" w:eastAsia="Arial" w:hAnsi="Arial"/>
          <w:sz w:val="22"/>
          <w:szCs w:val="22"/>
          <w:color w:val="auto"/>
        </w:rPr>
      </w:pPr>
      <w:r>
        <w:rPr>
          <w:rFonts w:ascii="Arial" w:cs="Arial" w:eastAsia="Arial" w:hAnsi="Arial"/>
          <w:sz w:val="22"/>
          <w:szCs w:val="22"/>
          <w:color w:val="auto"/>
        </w:rPr>
        <w:t>if a Triggering Event is triggered by an acquisition of shares of common stock of the Company pursuant to a tender offer, the Protected Period shall commence on the date of the initial tender offer and shall continue through and including the date of the Triggering Event, provided that in no case will the Protected Period commence earlier than the date that is six months prior to the Triggering Event;</w:t>
      </w:r>
    </w:p>
    <w:p>
      <w:pPr>
        <w:spacing w:after="0" w:line="212" w:lineRule="exact"/>
        <w:rPr>
          <w:rFonts w:ascii="Arial" w:cs="Arial" w:eastAsia="Arial" w:hAnsi="Arial"/>
          <w:sz w:val="22"/>
          <w:szCs w:val="22"/>
          <w:color w:val="auto"/>
        </w:rPr>
      </w:pPr>
    </w:p>
    <w:p>
      <w:pPr>
        <w:jc w:val="both"/>
        <w:ind w:left="660" w:right="120" w:firstLine="645"/>
        <w:spacing w:after="0" w:line="287" w:lineRule="auto"/>
        <w:tabs>
          <w:tab w:leader="none" w:pos="1668" w:val="left"/>
        </w:tabs>
        <w:numPr>
          <w:ilvl w:val="1"/>
          <w:numId w:val="7"/>
        </w:numPr>
        <w:rPr>
          <w:rFonts w:ascii="Arial" w:cs="Arial" w:eastAsia="Arial" w:hAnsi="Arial"/>
          <w:sz w:val="19"/>
          <w:szCs w:val="19"/>
          <w:color w:val="auto"/>
        </w:rPr>
      </w:pPr>
      <w:r>
        <w:rPr>
          <w:rFonts w:ascii="Arial" w:cs="Arial" w:eastAsia="Arial" w:hAnsi="Arial"/>
          <w:sz w:val="19"/>
          <w:szCs w:val="19"/>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 provided that in no case will the Protected Period commence earlier than the date that is six months prior to the Triggering Event; and</w:t>
      </w:r>
    </w:p>
    <w:p>
      <w:pPr>
        <w:spacing w:after="0" w:line="170" w:lineRule="exact"/>
        <w:rPr>
          <w:rFonts w:ascii="Arial" w:cs="Arial" w:eastAsia="Arial" w:hAnsi="Arial"/>
          <w:sz w:val="19"/>
          <w:szCs w:val="19"/>
          <w:color w:val="auto"/>
        </w:rPr>
      </w:pPr>
    </w:p>
    <w:p>
      <w:pPr>
        <w:ind w:left="660" w:right="140" w:firstLine="645"/>
        <w:spacing w:after="0"/>
        <w:tabs>
          <w:tab w:leader="none" w:pos="1668" w:val="left"/>
        </w:tabs>
        <w:numPr>
          <w:ilvl w:val="1"/>
          <w:numId w:val="7"/>
        </w:numPr>
        <w:rPr>
          <w:rFonts w:ascii="Arial" w:cs="Arial" w:eastAsia="Arial" w:hAnsi="Arial"/>
          <w:sz w:val="22"/>
          <w:szCs w:val="22"/>
          <w:color w:val="auto"/>
        </w:rPr>
      </w:pPr>
      <w:r>
        <w:rPr>
          <w:rFonts w:ascii="Arial" w:cs="Arial" w:eastAsia="Arial" w:hAnsi="Arial"/>
          <w:sz w:val="22"/>
          <w:szCs w:val="22"/>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47" w:right="259" w:bottom="1440" w:gutter="0" w:footer="0" w:header="0"/>
        </w:sectPr>
      </w:pPr>
    </w:p>
    <w:bookmarkStart w:id="9" w:name="page10"/>
    <w:bookmarkEnd w:id="9"/>
    <w:p>
      <w:pPr>
        <w:ind w:left="-40" w:right="120" w:firstLine="656"/>
        <w:spacing w:after="0" w:line="251" w:lineRule="auto"/>
        <w:tabs>
          <w:tab w:leader="none" w:pos="1257" w:val="left"/>
        </w:tabs>
        <w:numPr>
          <w:ilvl w:val="0"/>
          <w:numId w:val="8"/>
        </w:numPr>
        <w:rPr>
          <w:rFonts w:ascii="Arial" w:cs="Arial" w:eastAsia="Arial" w:hAnsi="Arial"/>
          <w:sz w:val="22"/>
          <w:szCs w:val="22"/>
          <w:color w:val="auto"/>
        </w:rPr>
      </w:pPr>
      <w:r>
        <w:rPr>
          <w:rFonts w:ascii="Arial" w:cs="Arial" w:eastAsia="Arial" w:hAnsi="Arial"/>
          <w:sz w:val="22"/>
          <w:szCs w:val="22"/>
          <w:color w:val="auto"/>
        </w:rPr>
        <w:t>“Restricted Stock” shall mean Shares granted to a Participant by the Administrator which are subject to restrictions imposed under Paragraph 8 of the Plan.</w:t>
      </w:r>
    </w:p>
    <w:p>
      <w:pPr>
        <w:spacing w:after="0" w:line="200" w:lineRule="exact"/>
        <w:rPr>
          <w:sz w:val="20"/>
          <w:szCs w:val="20"/>
          <w:color w:val="auto"/>
        </w:rPr>
      </w:pPr>
    </w:p>
    <w:p>
      <w:pPr>
        <w:ind w:left="-40" w:firstLine="656"/>
        <w:spacing w:after="0" w:line="251" w:lineRule="auto"/>
        <w:tabs>
          <w:tab w:leader="none" w:pos="1257" w:val="left"/>
        </w:tabs>
        <w:numPr>
          <w:ilvl w:val="0"/>
          <w:numId w:val="9"/>
        </w:numPr>
        <w:rPr>
          <w:rFonts w:ascii="Arial" w:cs="Arial" w:eastAsia="Arial" w:hAnsi="Arial"/>
          <w:sz w:val="22"/>
          <w:szCs w:val="22"/>
          <w:color w:val="auto"/>
        </w:rPr>
      </w:pPr>
      <w:r>
        <w:rPr>
          <w:rFonts w:ascii="Arial" w:cs="Arial" w:eastAsia="Arial" w:hAnsi="Arial"/>
          <w:sz w:val="22"/>
          <w:szCs w:val="22"/>
          <w:color w:val="auto"/>
        </w:rPr>
        <w:t>“Restricted Stock Agreement” shall mean the agreement whereby the Company’s grant of shares of Restricted Stock to a Participant is confirmed.</w:t>
      </w:r>
    </w:p>
    <w:p>
      <w:pPr>
        <w:spacing w:after="0" w:line="186" w:lineRule="exact"/>
        <w:rPr>
          <w:rFonts w:ascii="Arial" w:cs="Arial" w:eastAsia="Arial" w:hAnsi="Arial"/>
          <w:sz w:val="22"/>
          <w:szCs w:val="22"/>
          <w:color w:val="auto"/>
        </w:rPr>
      </w:pPr>
    </w:p>
    <w:p>
      <w:pPr>
        <w:ind w:left="-40" w:right="200" w:firstLine="656"/>
        <w:spacing w:after="0" w:line="251" w:lineRule="auto"/>
        <w:tabs>
          <w:tab w:leader="none" w:pos="1257" w:val="left"/>
        </w:tabs>
        <w:numPr>
          <w:ilvl w:val="0"/>
          <w:numId w:val="9"/>
        </w:numPr>
        <w:rPr>
          <w:rFonts w:ascii="Arial" w:cs="Arial" w:eastAsia="Arial" w:hAnsi="Arial"/>
          <w:sz w:val="22"/>
          <w:szCs w:val="22"/>
          <w:color w:val="auto"/>
        </w:rPr>
      </w:pPr>
      <w:r>
        <w:rPr>
          <w:rFonts w:ascii="Arial" w:cs="Arial" w:eastAsia="Arial" w:hAnsi="Arial"/>
          <w:sz w:val="22"/>
          <w:szCs w:val="22"/>
          <w:color w:val="auto"/>
        </w:rPr>
        <w:t>“Restricted Stock Unit” shall mean shall mean a right to receive one Share from the Company in accordance with, and subject to, Paragraph 8 of the Plan.</w:t>
      </w:r>
    </w:p>
    <w:p>
      <w:pPr>
        <w:spacing w:after="0" w:line="186" w:lineRule="exact"/>
        <w:rPr>
          <w:rFonts w:ascii="Arial" w:cs="Arial" w:eastAsia="Arial" w:hAnsi="Arial"/>
          <w:sz w:val="22"/>
          <w:szCs w:val="22"/>
          <w:color w:val="auto"/>
        </w:rPr>
      </w:pPr>
    </w:p>
    <w:p>
      <w:pPr>
        <w:ind w:left="-40" w:right="400" w:firstLine="656"/>
        <w:spacing w:after="0" w:line="251" w:lineRule="auto"/>
        <w:tabs>
          <w:tab w:leader="none" w:pos="1257" w:val="left"/>
        </w:tabs>
        <w:numPr>
          <w:ilvl w:val="0"/>
          <w:numId w:val="9"/>
        </w:numPr>
        <w:rPr>
          <w:rFonts w:ascii="Arial" w:cs="Arial" w:eastAsia="Arial" w:hAnsi="Arial"/>
          <w:sz w:val="22"/>
          <w:szCs w:val="22"/>
          <w:color w:val="auto"/>
        </w:rPr>
      </w:pPr>
      <w:r>
        <w:rPr>
          <w:rFonts w:ascii="Arial" w:cs="Arial" w:eastAsia="Arial" w:hAnsi="Arial"/>
          <w:sz w:val="22"/>
          <w:szCs w:val="22"/>
          <w:color w:val="auto"/>
        </w:rPr>
        <w:t>“Restricted Stock Unit Agreement” shall mean the agreement whereby the Company’s grant of Restricted Stock Units to a Participant is confirmed.</w:t>
      </w:r>
    </w:p>
    <w:p>
      <w:pPr>
        <w:spacing w:after="0" w:line="200" w:lineRule="exact"/>
        <w:rPr>
          <w:rFonts w:ascii="Arial" w:cs="Arial" w:eastAsia="Arial" w:hAnsi="Arial"/>
          <w:sz w:val="22"/>
          <w:szCs w:val="22"/>
          <w:color w:val="auto"/>
        </w:rPr>
      </w:pPr>
    </w:p>
    <w:p>
      <w:pPr>
        <w:ind w:left="1260" w:hanging="644"/>
        <w:spacing w:after="0"/>
        <w:tabs>
          <w:tab w:leader="none" w:pos="1260" w:val="left"/>
        </w:tabs>
        <w:numPr>
          <w:ilvl w:val="0"/>
          <w:numId w:val="9"/>
        </w:numPr>
        <w:rPr>
          <w:rFonts w:ascii="Arial" w:cs="Arial" w:eastAsia="Arial" w:hAnsi="Arial"/>
          <w:sz w:val="22"/>
          <w:szCs w:val="22"/>
          <w:color w:val="auto"/>
        </w:rPr>
      </w:pPr>
      <w:r>
        <w:rPr>
          <w:rFonts w:ascii="Arial" w:cs="Arial" w:eastAsia="Arial" w:hAnsi="Arial"/>
          <w:sz w:val="22"/>
          <w:szCs w:val="22"/>
          <w:color w:val="auto"/>
        </w:rPr>
        <w:t>“SAR” shall mean a stock appreciation right with respect to one Share granted under the Plan.</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9"/>
        </w:numPr>
        <w:rPr>
          <w:rFonts w:ascii="Arial" w:cs="Arial" w:eastAsia="Arial" w:hAnsi="Arial"/>
          <w:sz w:val="19"/>
          <w:szCs w:val="19"/>
          <w:color w:val="auto"/>
        </w:rPr>
      </w:pPr>
      <w:r>
        <w:rPr>
          <w:rFonts w:ascii="Arial" w:cs="Arial" w:eastAsia="Arial" w:hAnsi="Arial"/>
          <w:sz w:val="19"/>
          <w:szCs w:val="19"/>
          <w:color w:val="auto"/>
        </w:rPr>
        <w:t>“SAR Agreement” shall mean the agreement whereby the Company’s grant of SARs to a Participant is confirmed.</w:t>
      </w:r>
    </w:p>
    <w:p>
      <w:pPr>
        <w:spacing w:after="0" w:line="254" w:lineRule="exact"/>
        <w:rPr>
          <w:rFonts w:ascii="Arial" w:cs="Arial" w:eastAsia="Arial" w:hAnsi="Arial"/>
          <w:sz w:val="19"/>
          <w:szCs w:val="19"/>
          <w:color w:val="auto"/>
        </w:rPr>
      </w:pPr>
    </w:p>
    <w:p>
      <w:pPr>
        <w:ind w:left="1260" w:hanging="644"/>
        <w:spacing w:after="0"/>
        <w:tabs>
          <w:tab w:leader="none" w:pos="1260" w:val="left"/>
        </w:tabs>
        <w:numPr>
          <w:ilvl w:val="0"/>
          <w:numId w:val="9"/>
        </w:numPr>
        <w:rPr>
          <w:rFonts w:ascii="Arial" w:cs="Arial" w:eastAsia="Arial" w:hAnsi="Arial"/>
          <w:sz w:val="22"/>
          <w:szCs w:val="22"/>
          <w:color w:val="auto"/>
        </w:rPr>
      </w:pPr>
      <w:r>
        <w:rPr>
          <w:rFonts w:ascii="Arial" w:cs="Arial" w:eastAsia="Arial" w:hAnsi="Arial"/>
          <w:sz w:val="22"/>
          <w:szCs w:val="22"/>
          <w:color w:val="auto"/>
        </w:rPr>
        <w:t>“Share” or “Shares” shall mean the $0.01 par value common stock of the Company.</w:t>
      </w:r>
    </w:p>
    <w:p>
      <w:pPr>
        <w:spacing w:after="0" w:line="233" w:lineRule="exact"/>
        <w:rPr>
          <w:rFonts w:ascii="Arial" w:cs="Arial" w:eastAsia="Arial" w:hAnsi="Arial"/>
          <w:sz w:val="22"/>
          <w:szCs w:val="22"/>
          <w:color w:val="auto"/>
        </w:rPr>
      </w:pPr>
    </w:p>
    <w:p>
      <w:pPr>
        <w:ind w:left="-40" w:right="1000" w:firstLine="656"/>
        <w:spacing w:after="0" w:line="251" w:lineRule="auto"/>
        <w:tabs>
          <w:tab w:leader="none" w:pos="1257" w:val="left"/>
        </w:tabs>
        <w:numPr>
          <w:ilvl w:val="0"/>
          <w:numId w:val="9"/>
        </w:numPr>
        <w:rPr>
          <w:rFonts w:ascii="Arial" w:cs="Arial" w:eastAsia="Arial" w:hAnsi="Arial"/>
          <w:sz w:val="22"/>
          <w:szCs w:val="22"/>
          <w:color w:val="auto"/>
        </w:rPr>
      </w:pPr>
      <w:r>
        <w:rPr>
          <w:rFonts w:ascii="Arial" w:cs="Arial" w:eastAsia="Arial" w:hAnsi="Arial"/>
          <w:sz w:val="22"/>
          <w:szCs w:val="22"/>
          <w:color w:val="auto"/>
        </w:rPr>
        <w:t>“Subsidiary” shall mean any subsidiary entity of the Company, including without limitation, a subsidiary corporation of the Company as defined in Section 424(f) of the Code.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238760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834" w:right="279" w:bottom="1440" w:gutter="0" w:footer="0" w:header="0"/>
        </w:sectPr>
      </w:pPr>
    </w:p>
    <w:bookmarkStart w:id="10" w:name="page11"/>
    <w:bookmarkEnd w:id="10"/>
    <w:p>
      <w:pPr>
        <w:ind w:left="644" w:hanging="644"/>
        <w:spacing w:after="0"/>
        <w:tabs>
          <w:tab w:leader="none" w:pos="644" w:val="left"/>
        </w:tabs>
        <w:numPr>
          <w:ilvl w:val="0"/>
          <w:numId w:val="10"/>
        </w:numPr>
        <w:rPr>
          <w:rFonts w:ascii="Arial" w:cs="Arial" w:eastAsia="Arial" w:hAnsi="Arial"/>
          <w:sz w:val="22"/>
          <w:szCs w:val="22"/>
          <w:color w:val="auto"/>
        </w:rPr>
      </w:pPr>
      <w:r>
        <w:rPr>
          <w:rFonts w:ascii="Arial" w:cs="Arial" w:eastAsia="Arial" w:hAnsi="Arial"/>
          <w:sz w:val="22"/>
          <w:szCs w:val="22"/>
          <w:color w:val="auto"/>
        </w:rPr>
        <w:t>“Triggering Event” shall mean the first to occur of any of the following:</w:t>
      </w:r>
    </w:p>
    <w:p>
      <w:pPr>
        <w:spacing w:after="0" w:line="233" w:lineRule="exact"/>
        <w:rPr>
          <w:rFonts w:ascii="Arial" w:cs="Arial" w:eastAsia="Arial" w:hAnsi="Arial"/>
          <w:sz w:val="22"/>
          <w:szCs w:val="22"/>
          <w:color w:val="auto"/>
        </w:rPr>
      </w:pPr>
    </w:p>
    <w:p>
      <w:pPr>
        <w:ind w:left="4" w:firstLine="645"/>
        <w:spacing w:after="0" w:line="272" w:lineRule="auto"/>
        <w:tabs>
          <w:tab w:leader="none" w:pos="1012" w:val="left"/>
        </w:tabs>
        <w:numPr>
          <w:ilvl w:val="1"/>
          <w:numId w:val="10"/>
        </w:numPr>
        <w:rPr>
          <w:rFonts w:ascii="Arial" w:cs="Arial" w:eastAsia="Arial" w:hAnsi="Arial"/>
          <w:sz w:val="19"/>
          <w:szCs w:val="19"/>
          <w:color w:val="auto"/>
        </w:rPr>
      </w:pPr>
      <w:r>
        <w:rPr>
          <w:rFonts w:ascii="Arial" w:cs="Arial" w:eastAsia="Arial" w:hAnsi="Arial"/>
          <w:sz w:val="19"/>
          <w:szCs w:val="19"/>
          <w:color w:val="auto"/>
        </w:rPr>
        <w:t xml:space="preserve">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 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84" w:lineRule="exact"/>
        <w:rPr>
          <w:rFonts w:ascii="Arial" w:cs="Arial" w:eastAsia="Arial" w:hAnsi="Arial"/>
          <w:sz w:val="19"/>
          <w:szCs w:val="19"/>
          <w:color w:val="auto"/>
        </w:rPr>
      </w:pPr>
    </w:p>
    <w:p>
      <w:pPr>
        <w:ind w:left="4" w:right="340" w:firstLine="645"/>
        <w:spacing w:after="0" w:line="277" w:lineRule="auto"/>
        <w:tabs>
          <w:tab w:leader="none" w:pos="1012"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25" w:lineRule="exact"/>
        <w:rPr>
          <w:rFonts w:ascii="Arial" w:cs="Arial" w:eastAsia="Arial" w:hAnsi="Arial"/>
          <w:sz w:val="19"/>
          <w:szCs w:val="19"/>
          <w:color w:val="auto"/>
        </w:rPr>
      </w:pPr>
    </w:p>
    <w:p>
      <w:pPr>
        <w:ind w:left="4" w:right="620" w:firstLine="645"/>
        <w:spacing w:after="0" w:line="251" w:lineRule="auto"/>
        <w:tabs>
          <w:tab w:leader="none" w:pos="1012"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Company or a sale or other disposition of all or substantially all of the assets of the Company; or</w:t>
      </w:r>
    </w:p>
    <w:p>
      <w:pPr>
        <w:spacing w:after="0" w:line="173" w:lineRule="exact"/>
        <w:rPr>
          <w:rFonts w:ascii="Arial" w:cs="Arial" w:eastAsia="Arial" w:hAnsi="Arial"/>
          <w:sz w:val="22"/>
          <w:szCs w:val="22"/>
          <w:color w:val="auto"/>
        </w:rPr>
      </w:pPr>
    </w:p>
    <w:p>
      <w:pPr>
        <w:ind w:left="4" w:right="40" w:firstLine="645"/>
        <w:spacing w:after="0" w:line="247" w:lineRule="auto"/>
        <w:tabs>
          <w:tab w:leader="none" w:pos="1012" w:val="left"/>
        </w:tabs>
        <w:numPr>
          <w:ilvl w:val="1"/>
          <w:numId w:val="10"/>
        </w:numPr>
        <w:rPr>
          <w:rFonts w:ascii="Arial" w:cs="Arial" w:eastAsia="Arial" w:hAnsi="Arial"/>
          <w:sz w:val="21"/>
          <w:szCs w:val="21"/>
          <w:color w:val="auto"/>
        </w:rPr>
      </w:pPr>
      <w:r>
        <w:rPr>
          <w:rFonts w:ascii="Arial" w:cs="Arial" w:eastAsia="Arial" w:hAnsi="Arial"/>
          <w:sz w:val="21"/>
          <w:szCs w:val="21"/>
          <w:color w:val="auto"/>
        </w:rPr>
        <w:t xml:space="preserve">individuals who, as of the date this Plan is adopted by the Board of Directors of the Company, constitute the Board of Directors of the Company (as of such date, the “Incumbent Board”) cease for any reason to constitute at least a majority of such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247650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834" w:right="259" w:bottom="1440" w:gutter="0" w:footer="0" w:header="0"/>
        </w:sectPr>
      </w:pPr>
    </w:p>
    <w:bookmarkStart w:id="11" w:name="page12"/>
    <w:bookmarkEnd w:id="11"/>
    <w:p>
      <w:pPr>
        <w:ind w:left="660" w:right="280"/>
        <w:spacing w:after="0" w:line="251" w:lineRule="auto"/>
        <w:rPr>
          <w:sz w:val="20"/>
          <w:szCs w:val="20"/>
          <w:color w:val="auto"/>
        </w:rPr>
      </w:pPr>
      <w:r>
        <w:rPr>
          <w:rFonts w:ascii="Arial" w:cs="Arial" w:eastAsia="Arial" w:hAnsi="Arial"/>
          <w:sz w:val="22"/>
          <w:szCs w:val="22"/>
          <w:color w:val="auto"/>
        </w:rPr>
        <w:t>as a result of an actual or threatened election contest which was (or, if threatened, would have been) subject to Exchange Act Rule 14a-12(c); or</w:t>
      </w:r>
    </w:p>
    <w:p>
      <w:pPr>
        <w:spacing w:after="0" w:line="160" w:lineRule="exact"/>
        <w:rPr>
          <w:sz w:val="20"/>
          <w:szCs w:val="20"/>
          <w:color w:val="auto"/>
        </w:rPr>
      </w:pPr>
    </w:p>
    <w:p>
      <w:pPr>
        <w:jc w:val="both"/>
        <w:ind w:left="660" w:right="400" w:firstLine="645"/>
        <w:spacing w:after="0" w:line="238" w:lineRule="auto"/>
        <w:tabs>
          <w:tab w:leader="none" w:pos="1668" w:val="left"/>
        </w:tabs>
        <w:numPr>
          <w:ilvl w:val="0"/>
          <w:numId w:val="11"/>
        </w:numPr>
        <w:rPr>
          <w:rFonts w:ascii="Arial" w:cs="Arial" w:eastAsia="Arial" w:hAnsi="Arial"/>
          <w:sz w:val="22"/>
          <w:szCs w:val="22"/>
          <w:color w:val="auto"/>
        </w:rPr>
      </w:pPr>
      <w:r>
        <w:rPr>
          <w:rFonts w:ascii="Arial" w:cs="Arial" w:eastAsia="Arial" w:hAnsi="Arial"/>
          <w:sz w:val="22"/>
          <w:szCs w:val="22"/>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212" w:lineRule="exact"/>
        <w:rPr>
          <w:sz w:val="20"/>
          <w:szCs w:val="20"/>
          <w:color w:val="auto"/>
        </w:rPr>
      </w:pPr>
    </w:p>
    <w:p>
      <w:pPr>
        <w:ind w:right="280" w:firstLine="648"/>
        <w:spacing w:after="0" w:line="251" w:lineRule="auto"/>
        <w:rPr>
          <w:sz w:val="20"/>
          <w:szCs w:val="20"/>
          <w:color w:val="auto"/>
        </w:rPr>
      </w:pPr>
      <w:r>
        <w:rPr>
          <w:rFonts w:ascii="Arial" w:cs="Arial" w:eastAsia="Arial" w:hAnsi="Arial"/>
          <w:sz w:val="22"/>
          <w:szCs w:val="22"/>
          <w:color w:val="auto"/>
        </w:rPr>
        <w:t>Words importing the singular shall include the plural and vice versa and words importing the masculine shall include the feminine.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AWARDS AVAILABLE UNDER THE PLAN</w:t>
      </w:r>
    </w:p>
    <w:p>
      <w:pPr>
        <w:spacing w:after="0" w:line="239" w:lineRule="exact"/>
        <w:rPr>
          <w:sz w:val="20"/>
          <w:szCs w:val="20"/>
          <w:color w:val="auto"/>
        </w:rPr>
      </w:pPr>
    </w:p>
    <w:p>
      <w:pPr>
        <w:ind w:right="460" w:firstLine="648"/>
        <w:spacing w:after="0" w:line="251" w:lineRule="auto"/>
        <w:rPr>
          <w:sz w:val="20"/>
          <w:szCs w:val="20"/>
          <w:color w:val="auto"/>
        </w:rPr>
      </w:pPr>
      <w:r>
        <w:rPr>
          <w:rFonts w:ascii="Arial" w:cs="Arial" w:eastAsia="Arial" w:hAnsi="Arial"/>
          <w:sz w:val="22"/>
          <w:szCs w:val="22"/>
          <w:color w:val="auto"/>
        </w:rPr>
        <w:t>The Administrator may grant Nonstatutory Stock Options, Incentive Stock Options, Restricted Stock, Restricted Stock Units, SARs, Performance Share Units and Deferred Stock under the Plan.</w:t>
      </w:r>
    </w:p>
    <w:p>
      <w:pPr>
        <w:spacing w:after="0" w:line="173"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spacing w:after="0" w:line="19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SHARES RESERVED UNDER PLAN</w:t>
      </w:r>
    </w:p>
    <w:p>
      <w:pPr>
        <w:spacing w:after="0" w:line="239" w:lineRule="exact"/>
        <w:rPr>
          <w:rFonts w:ascii="Arial" w:cs="Arial" w:eastAsia="Arial" w:hAnsi="Arial"/>
          <w:sz w:val="22"/>
          <w:szCs w:val="22"/>
          <w:b w:val="1"/>
          <w:bCs w:val="1"/>
          <w:color w:val="auto"/>
        </w:rPr>
      </w:pPr>
    </w:p>
    <w:p>
      <w:pPr>
        <w:ind w:left="80" w:firstLine="403"/>
        <w:spacing w:after="0" w:line="273" w:lineRule="auto"/>
        <w:tabs>
          <w:tab w:leader="none" w:pos="8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aggregate number of Shares which may be issued under the Plan pursuant to the exercise of Options and SARs, the grant of Restricted Stock, and pursuant to the settlement of Restricted Stock Units, Performance Share Units and Deferred Stock shall not exceed 10,000,000 Shares, which may be treasury Shares or authorized but unissued Shares, or a combination of the two, subject to adjustment as provided in Paragraph 13 hereof. For purposes of determining the maximum number of Shares available for issuance under the Plan, (1) any Shares which have been issued as Restricted Stock which are forfeited to the Company shall be treated, following such forfeiture, as Shares which have not been issued; (2) upon the exercise of an SAR or Option granted under the Plan, the full number of SARs or Options exercised at such time shall be treated as Shares issued under the Plan, notwithstanding that a lesser amount of Shares or cash representing Shares may have been actually issued or paid upon such exercise. For the sake of clarity, Shares withheld to satisfy taxes and Shares used to exercise an Option or SAR, either directly or by attestation, shall be treated as issued hereunder, and if an Option is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04" w:right="299" w:bottom="1440" w:gutter="0" w:footer="0" w:header="0"/>
        </w:sectPr>
      </w:pPr>
    </w:p>
    <w:bookmarkStart w:id="12" w:name="page13"/>
    <w:bookmarkEnd w:id="12"/>
    <w:p>
      <w:pPr>
        <w:ind w:left="72" w:right="440"/>
        <w:spacing w:after="0" w:line="297" w:lineRule="auto"/>
        <w:rPr>
          <w:sz w:val="20"/>
          <w:szCs w:val="20"/>
          <w:color w:val="auto"/>
        </w:rPr>
      </w:pPr>
      <w:r>
        <w:rPr>
          <w:rFonts w:ascii="Arial" w:cs="Arial" w:eastAsia="Arial" w:hAnsi="Arial"/>
          <w:sz w:val="19"/>
          <w:szCs w:val="19"/>
          <w:color w:val="auto"/>
        </w:rPr>
        <w:t>exercised by using the net exercise method set forth in Paragraph 7(f), the gross number of Shares for which the Option is exercised shall be treated as issued for purposes of counting the Shares available for issuance under this Plan, not just the net Shares issued to the Participant after reduction for the exercise price and any required withholding tax.</w:t>
      </w:r>
    </w:p>
    <w:p>
      <w:pPr>
        <w:spacing w:after="0" w:line="161" w:lineRule="exact"/>
        <w:rPr>
          <w:sz w:val="20"/>
          <w:szCs w:val="20"/>
          <w:color w:val="auto"/>
        </w:rPr>
      </w:pPr>
    </w:p>
    <w:p>
      <w:pPr>
        <w:ind w:left="-8" w:right="20" w:firstLine="656"/>
        <w:spacing w:after="0" w:line="248" w:lineRule="auto"/>
        <w:tabs>
          <w:tab w:leader="none" w:pos="996" w:val="left"/>
        </w:tabs>
        <w:numPr>
          <w:ilvl w:val="1"/>
          <w:numId w:val="13"/>
        </w:numPr>
        <w:rPr>
          <w:rFonts w:ascii="Arial" w:cs="Arial" w:eastAsia="Arial" w:hAnsi="Arial"/>
          <w:sz w:val="21"/>
          <w:szCs w:val="21"/>
          <w:color w:val="auto"/>
        </w:rPr>
      </w:pPr>
      <w:r>
        <w:rPr>
          <w:rFonts w:ascii="Arial" w:cs="Arial" w:eastAsia="Arial" w:hAnsi="Arial"/>
          <w:sz w:val="21"/>
          <w:szCs w:val="21"/>
          <w:color w:val="auto"/>
        </w:rPr>
        <w:t>The aggregate number of Shares which may be issued under the Plan pursuant to the grant of Restricted Stock and pursuant to the settlement of Restricted Stock Units, Performance Share Units or shares of Deferred Stock granted under the Plan shall not exceed 2,300,000 (subject to adjustment as provided in Paragraph 13 hereof). For purposes of determining the maximum number of shares issuable under these types of Awards, any shares of Restricted Stock or Deferred Stock or any Restricted Stock Units or Performance Share Units which are forfeited to the Company, shall be treated, following such forfeiture, as Shares that have not been issued under the Plan.</w:t>
      </w:r>
    </w:p>
    <w:p>
      <w:pPr>
        <w:spacing w:after="0" w:line="204" w:lineRule="exact"/>
        <w:rPr>
          <w:rFonts w:ascii="Arial" w:cs="Arial" w:eastAsia="Arial" w:hAnsi="Arial"/>
          <w:sz w:val="21"/>
          <w:szCs w:val="21"/>
          <w:color w:val="auto"/>
        </w:rPr>
      </w:pPr>
    </w:p>
    <w:p>
      <w:pPr>
        <w:ind w:left="-8" w:right="320" w:firstLine="656"/>
        <w:spacing w:after="0" w:line="251" w:lineRule="auto"/>
        <w:tabs>
          <w:tab w:leader="none" w:pos="988" w:val="left"/>
        </w:tabs>
        <w:numPr>
          <w:ilvl w:val="1"/>
          <w:numId w:val="13"/>
        </w:numPr>
        <w:rPr>
          <w:rFonts w:ascii="Arial" w:cs="Arial" w:eastAsia="Arial" w:hAnsi="Arial"/>
          <w:sz w:val="22"/>
          <w:szCs w:val="22"/>
          <w:color w:val="auto"/>
        </w:rPr>
      </w:pPr>
      <w:r>
        <w:rPr>
          <w:rFonts w:ascii="Arial" w:cs="Arial" w:eastAsia="Arial" w:hAnsi="Arial"/>
          <w:sz w:val="22"/>
          <w:szCs w:val="22"/>
          <w:color w:val="auto"/>
        </w:rPr>
        <w:t>No Employee shall be eligible to receive grants of Options and SARs for more than an aggregate of 750,000 Shares during any three-year period (subject to adjustment as provided in Paragraph 13 hereof).</w:t>
      </w:r>
    </w:p>
    <w:p>
      <w:pPr>
        <w:spacing w:after="0" w:line="200" w:lineRule="exact"/>
        <w:rPr>
          <w:rFonts w:ascii="Arial" w:cs="Arial" w:eastAsia="Arial" w:hAnsi="Arial"/>
          <w:sz w:val="22"/>
          <w:szCs w:val="22"/>
          <w:color w:val="auto"/>
        </w:rPr>
      </w:pPr>
    </w:p>
    <w:p>
      <w:pPr>
        <w:ind w:left="-8" w:firstLine="656"/>
        <w:spacing w:after="0" w:line="287" w:lineRule="auto"/>
        <w:tabs>
          <w:tab w:leader="none" w:pos="996"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aggregate number of shares of Restricted Stock and Deferred Stock, plus the number of Restricted Stock Units and Performance Share Units granted to any one Employee during any fiscal year of the Company shall be limited to 150,000 (subject to adjustment as provided in Paragraph 13 hereof and excluding any such Awards which may vest based on the continued performance of services only, e.g., time-based vested Restricted Stock, Restricted Stock Units or Deferred Stock).</w:t>
      </w:r>
    </w:p>
    <w:p>
      <w:pPr>
        <w:spacing w:after="0" w:line="170" w:lineRule="exact"/>
        <w:rPr>
          <w:rFonts w:ascii="Arial" w:cs="Arial" w:eastAsia="Arial" w:hAnsi="Arial"/>
          <w:sz w:val="19"/>
          <w:szCs w:val="19"/>
          <w:color w:val="auto"/>
        </w:rPr>
      </w:pPr>
    </w:p>
    <w:p>
      <w:pPr>
        <w:ind w:left="-8" w:right="340" w:firstLine="656"/>
        <w:spacing w:after="0" w:line="251" w:lineRule="auto"/>
        <w:tabs>
          <w:tab w:leader="none" w:pos="988" w:val="left"/>
        </w:tabs>
        <w:numPr>
          <w:ilvl w:val="1"/>
          <w:numId w:val="13"/>
        </w:numPr>
        <w:rPr>
          <w:rFonts w:ascii="Arial" w:cs="Arial" w:eastAsia="Arial" w:hAnsi="Arial"/>
          <w:sz w:val="22"/>
          <w:szCs w:val="22"/>
          <w:color w:val="auto"/>
        </w:rPr>
      </w:pPr>
      <w:r>
        <w:rPr>
          <w:rFonts w:ascii="Arial" w:cs="Arial" w:eastAsia="Arial" w:hAnsi="Arial"/>
          <w:sz w:val="22"/>
          <w:szCs w:val="22"/>
          <w:color w:val="auto"/>
        </w:rPr>
        <w:t>In no event shall the number of Shares issued pursuant to the exercise of Incentive Stock Options exceed 1,000,000 Shares (subject to adjustment as provided in Paragraph 13 hereof).</w:t>
      </w:r>
    </w:p>
    <w:p>
      <w:pPr>
        <w:spacing w:after="0" w:line="194" w:lineRule="exact"/>
        <w:rPr>
          <w:rFonts w:ascii="Arial" w:cs="Arial" w:eastAsia="Arial" w:hAnsi="Arial"/>
          <w:sz w:val="22"/>
          <w:szCs w:val="22"/>
          <w:color w:val="auto"/>
        </w:rPr>
      </w:pPr>
    </w:p>
    <w:p>
      <w:pPr>
        <w:ind w:left="252" w:hanging="252"/>
        <w:spacing w:after="0"/>
        <w:tabs>
          <w:tab w:leader="none" w:pos="252"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39" w:lineRule="exact"/>
        <w:rPr>
          <w:rFonts w:ascii="Arial" w:cs="Arial" w:eastAsia="Arial" w:hAnsi="Arial"/>
          <w:sz w:val="22"/>
          <w:szCs w:val="22"/>
          <w:b w:val="1"/>
          <w:bCs w:val="1"/>
          <w:color w:val="auto"/>
        </w:rPr>
      </w:pPr>
    </w:p>
    <w:p>
      <w:pPr>
        <w:ind w:left="992" w:hanging="344"/>
        <w:spacing w:after="0"/>
        <w:tabs>
          <w:tab w:leader="none" w:pos="992" w:val="left"/>
        </w:tabs>
        <w:numPr>
          <w:ilvl w:val="1"/>
          <w:numId w:val="14"/>
        </w:numPr>
        <w:rPr>
          <w:rFonts w:ascii="Arial" w:cs="Arial" w:eastAsia="Arial" w:hAnsi="Arial"/>
          <w:sz w:val="21"/>
          <w:szCs w:val="21"/>
          <w:color w:val="auto"/>
        </w:rPr>
      </w:pPr>
      <w:r>
        <w:rPr>
          <w:rFonts w:ascii="Arial" w:cs="Arial" w:eastAsia="Arial" w:hAnsi="Arial"/>
          <w:sz w:val="21"/>
          <w:szCs w:val="21"/>
          <w:color w:val="auto"/>
        </w:rPr>
        <w:t>The Plan shall be administered by the Board of Directors with respect to grants to Directors under the Plan.</w:t>
      </w:r>
    </w:p>
    <w:p>
      <w:pPr>
        <w:spacing w:after="0" w:line="244" w:lineRule="exact"/>
        <w:rPr>
          <w:rFonts w:ascii="Arial" w:cs="Arial" w:eastAsia="Arial" w:hAnsi="Arial"/>
          <w:sz w:val="21"/>
          <w:szCs w:val="21"/>
          <w:color w:val="auto"/>
        </w:rPr>
      </w:pPr>
    </w:p>
    <w:p>
      <w:pPr>
        <w:ind w:left="-8" w:right="120" w:firstLine="656"/>
        <w:spacing w:after="0" w:line="248" w:lineRule="auto"/>
        <w:tabs>
          <w:tab w:leader="none" w:pos="996" w:val="left"/>
        </w:tabs>
        <w:numPr>
          <w:ilvl w:val="1"/>
          <w:numId w:val="14"/>
        </w:numPr>
        <w:rPr>
          <w:rFonts w:ascii="Arial" w:cs="Arial" w:eastAsia="Arial" w:hAnsi="Arial"/>
          <w:sz w:val="21"/>
          <w:szCs w:val="21"/>
          <w:color w:val="auto"/>
        </w:rPr>
      </w:pPr>
      <w:r>
        <w:rPr>
          <w:rFonts w:ascii="Arial" w:cs="Arial" w:eastAsia="Arial" w:hAnsi="Arial"/>
          <w:sz w:val="21"/>
          <w:szCs w:val="21"/>
          <w:color w:val="auto"/>
        </w:rPr>
        <w:t>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 and to permit the Plan to comply with Section 162(m) of the Code and any regulations promulgated thereunder, or any other statutory rule or regulatory requirements. The members of the Committee shall be appointed from time to time by the Board of Directors.</w:t>
      </w:r>
    </w:p>
    <w:p>
      <w:pPr>
        <w:spacing w:after="0" w:line="200" w:lineRule="exact"/>
        <w:rPr>
          <w:sz w:val="20"/>
          <w:szCs w:val="20"/>
          <w:color w:val="auto"/>
        </w:rPr>
      </w:pPr>
    </w:p>
    <w:p>
      <w:pPr>
        <w:spacing w:after="0" w:line="248"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604" w:right="339" w:bottom="1440" w:gutter="0" w:footer="0" w:header="0"/>
        </w:sectPr>
      </w:pPr>
    </w:p>
    <w:bookmarkStart w:id="13" w:name="page14"/>
    <w:bookmarkEnd w:id="13"/>
    <w:p>
      <w:pPr>
        <w:ind w:left="280" w:hanging="272"/>
        <w:spacing w:after="0"/>
        <w:tabs>
          <w:tab w:leader="none" w:pos="2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171" w:lineRule="exact"/>
        <w:rPr>
          <w:rFonts w:ascii="Arial" w:cs="Arial" w:eastAsia="Arial" w:hAnsi="Arial"/>
          <w:sz w:val="22"/>
          <w:szCs w:val="22"/>
          <w:b w:val="1"/>
          <w:bCs w:val="1"/>
          <w:color w:val="auto"/>
        </w:rPr>
      </w:pPr>
    </w:p>
    <w:p>
      <w:pPr>
        <w:ind w:right="20" w:firstLine="656"/>
        <w:spacing w:after="0" w:line="251" w:lineRule="auto"/>
        <w:tabs>
          <w:tab w:leader="none" w:pos="996" w:val="left"/>
        </w:tabs>
        <w:numPr>
          <w:ilvl w:val="1"/>
          <w:numId w:val="15"/>
        </w:numPr>
        <w:rPr>
          <w:rFonts w:ascii="Arial" w:cs="Arial" w:eastAsia="Arial" w:hAnsi="Arial"/>
          <w:sz w:val="22"/>
          <w:szCs w:val="22"/>
          <w:color w:val="auto"/>
        </w:rPr>
      </w:pPr>
      <w:r>
        <w:rPr>
          <w:rFonts w:ascii="Arial" w:cs="Arial" w:eastAsia="Arial" w:hAnsi="Arial"/>
          <w:sz w:val="22"/>
          <w:szCs w:val="22"/>
          <w:color w:val="auto"/>
        </w:rPr>
        <w:t>Directors shall be eligible to receive Nonstatutory Stock Options, Restricted Stock, Restricted Stock Units, Performance Share Units, SARs and Deferred Stock under the Plan.</w:t>
      </w:r>
    </w:p>
    <w:p>
      <w:pPr>
        <w:spacing w:after="0" w:line="200" w:lineRule="exact"/>
        <w:rPr>
          <w:rFonts w:ascii="Arial" w:cs="Arial" w:eastAsia="Arial" w:hAnsi="Arial"/>
          <w:sz w:val="22"/>
          <w:szCs w:val="22"/>
          <w:color w:val="auto"/>
        </w:rPr>
      </w:pPr>
    </w:p>
    <w:p>
      <w:pPr>
        <w:ind w:firstLine="656"/>
        <w:spacing w:after="0" w:line="249" w:lineRule="auto"/>
        <w:tabs>
          <w:tab w:leader="none" w:pos="1008" w:val="left"/>
        </w:tabs>
        <w:numPr>
          <w:ilvl w:val="1"/>
          <w:numId w:val="15"/>
        </w:numPr>
        <w:rPr>
          <w:rFonts w:ascii="Arial" w:cs="Arial" w:eastAsia="Arial" w:hAnsi="Arial"/>
          <w:sz w:val="21"/>
          <w:szCs w:val="21"/>
          <w:color w:val="auto"/>
        </w:rPr>
      </w:pPr>
      <w:r>
        <w:rPr>
          <w:rFonts w:ascii="Arial" w:cs="Arial" w:eastAsia="Arial" w:hAnsi="Arial"/>
          <w:sz w:val="21"/>
          <w:szCs w:val="21"/>
          <w:color w:val="auto"/>
        </w:rPr>
        <w:t>Employees shall be eligible to receive Nonstatutory Stock Options, Incentive Stock Options, Restricted Stock, Restricted Stock Units, Performance Share Units, SARs and Deferred Stock under the Plan. In determining the Employees to whom Awards shall be granted and the number of Shares to be covered by each Award, the Administrator may take into account the nature of the services rendered by the respective Employees, their present and potential contributions to the success of the Company, and other such factors as the Administrator in its discretion shall deem relevant.</w:t>
      </w:r>
    </w:p>
    <w:p>
      <w:pPr>
        <w:spacing w:after="0" w:line="205" w:lineRule="exact"/>
        <w:rPr>
          <w:rFonts w:ascii="Arial" w:cs="Arial" w:eastAsia="Arial" w:hAnsi="Arial"/>
          <w:sz w:val="21"/>
          <w:szCs w:val="21"/>
          <w:color w:val="auto"/>
        </w:rPr>
      </w:pPr>
    </w:p>
    <w:p>
      <w:pPr>
        <w:ind w:right="360" w:firstLine="656"/>
        <w:spacing w:after="0" w:line="251" w:lineRule="auto"/>
        <w:tabs>
          <w:tab w:leader="none" w:pos="984" w:val="left"/>
        </w:tabs>
        <w:numPr>
          <w:ilvl w:val="1"/>
          <w:numId w:val="15"/>
        </w:numPr>
        <w:rPr>
          <w:rFonts w:ascii="Arial" w:cs="Arial" w:eastAsia="Arial" w:hAnsi="Arial"/>
          <w:sz w:val="22"/>
          <w:szCs w:val="22"/>
          <w:color w:val="auto"/>
        </w:rPr>
      </w:pPr>
      <w:r>
        <w:rPr>
          <w:rFonts w:ascii="Arial" w:cs="Arial" w:eastAsia="Arial" w:hAnsi="Arial"/>
          <w:sz w:val="22"/>
          <w:szCs w:val="22"/>
          <w:color w:val="auto"/>
        </w:rPr>
        <w:t>A Participant may be granted additional Awards under the Plan if the Administrator shall so determine subject to the limitations contained in Paragraph 4.</w:t>
      </w:r>
    </w:p>
    <w:p>
      <w:pPr>
        <w:spacing w:after="0" w:line="194" w:lineRule="exact"/>
        <w:rPr>
          <w:rFonts w:ascii="Arial" w:cs="Arial" w:eastAsia="Arial" w:hAnsi="Arial"/>
          <w:sz w:val="22"/>
          <w:szCs w:val="22"/>
          <w:color w:val="auto"/>
        </w:rPr>
      </w:pPr>
    </w:p>
    <w:p>
      <w:pPr>
        <w:ind w:left="280" w:hanging="272"/>
        <w:spacing w:after="0"/>
        <w:tabs>
          <w:tab w:leader="none" w:pos="2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OPTIONS: GENERAL PROVISIONS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Options granted under this Plan shall be subject to such terms and conditions not inconsistent with the Plan as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Administrator shall determine, including the following:</w:t>
      </w:r>
    </w:p>
    <w:p>
      <w:pPr>
        <w:spacing w:after="0" w:line="215" w:lineRule="exact"/>
        <w:rPr>
          <w:sz w:val="20"/>
          <w:szCs w:val="20"/>
          <w:color w:val="auto"/>
        </w:rPr>
      </w:pPr>
    </w:p>
    <w:p>
      <w:pPr>
        <w:ind w:right="180" w:firstLine="656"/>
        <w:spacing w:after="0" w:line="252" w:lineRule="auto"/>
        <w:tabs>
          <w:tab w:leader="none" w:pos="996"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Types of Options</w:t>
      </w:r>
      <w:r>
        <w:rPr>
          <w:rFonts w:ascii="Arial" w:cs="Arial" w:eastAsia="Arial" w:hAnsi="Arial"/>
          <w:sz w:val="21"/>
          <w:szCs w:val="21"/>
          <w:color w:val="auto"/>
        </w:rPr>
        <w:t>. An Option to purchase Shares granted pursuant to this Plan shall be specified to be either an Incentive Stock Option or a Nonstatutory Stock Option. Any grant of an Option shall be confirmed by the execution of an Option Agreement. An Option Agreement may include both an Incentive Stock Option and a Nonstatutory Stock Option, provided each Option is clearly identified as either an Incentive Stock Option or a Nonstatutory Stock Option.</w:t>
      </w:r>
    </w:p>
    <w:p>
      <w:pPr>
        <w:spacing w:after="0" w:line="201" w:lineRule="exact"/>
        <w:rPr>
          <w:rFonts w:ascii="Arial" w:cs="Arial" w:eastAsia="Arial" w:hAnsi="Arial"/>
          <w:sz w:val="21"/>
          <w:szCs w:val="21"/>
          <w:color w:val="auto"/>
        </w:rPr>
      </w:pPr>
    </w:p>
    <w:p>
      <w:pPr>
        <w:ind w:firstLine="737"/>
        <w:spacing w:after="0" w:line="287" w:lineRule="auto"/>
        <w:tabs>
          <w:tab w:leader="none" w:pos="1089"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Maximum Annual Grant of Incentive Stock Options to Any Employee</w:t>
      </w:r>
      <w:r>
        <w:rPr>
          <w:rFonts w:ascii="Arial" w:cs="Arial" w:eastAsia="Arial" w:hAnsi="Arial"/>
          <w:sz w:val="19"/>
          <w:szCs w:val="19"/>
          <w:color w:val="auto"/>
        </w:rPr>
        <w:t>.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 any Subsidiary) shall not exceed $100,000, and/or any other limit as may be prescribed by the Code from time to time.</w:t>
      </w:r>
    </w:p>
    <w:p>
      <w:pPr>
        <w:spacing w:after="0" w:line="170" w:lineRule="exact"/>
        <w:rPr>
          <w:rFonts w:ascii="Arial" w:cs="Arial" w:eastAsia="Arial" w:hAnsi="Arial"/>
          <w:sz w:val="19"/>
          <w:szCs w:val="19"/>
          <w:color w:val="auto"/>
        </w:rPr>
      </w:pPr>
    </w:p>
    <w:p>
      <w:pPr>
        <w:ind w:right="140" w:firstLine="737"/>
        <w:spacing w:after="0" w:line="235" w:lineRule="auto"/>
        <w:tabs>
          <w:tab w:leader="none" w:pos="1077"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Option Exercise Price</w:t>
      </w:r>
      <w:r>
        <w:rPr>
          <w:rFonts w:ascii="Arial" w:cs="Arial" w:eastAsia="Arial" w:hAnsi="Arial"/>
          <w:sz w:val="22"/>
          <w:szCs w:val="22"/>
          <w:color w:val="auto"/>
        </w:rPr>
        <w:t xml:space="preserve">. The per share purchase price of the Shares under each Option granted pursuant to this Plan shall be determined by the Administrator but shall not be less than one hundred percent (100%) of the fair market value per Share on the date of grant of such Option. The fair market value per Share on the date of grant shall be the Market Price for the business day immediately preceding the date of grant of such Option. </w:t>
      </w:r>
      <w:r>
        <w:rPr>
          <w:rFonts w:ascii="Arial" w:cs="Arial" w:eastAsia="Arial" w:hAnsi="Arial"/>
          <w:sz w:val="22"/>
          <w:szCs w:val="22"/>
          <w:b w:val="1"/>
          <w:bCs w:val="1"/>
          <w:color w:val="auto"/>
        </w:rPr>
        <w:t>[Effective for grants made on or after October 31, 2006, the</w:t>
      </w:r>
      <w:r>
        <w:rPr>
          <w:rFonts w:ascii="Arial" w:cs="Arial" w:eastAsia="Arial" w:hAnsi="Arial"/>
          <w:sz w:val="22"/>
          <w:szCs w:val="22"/>
          <w:color w:val="auto"/>
        </w:rPr>
        <w:t xml:space="preserve"> </w:t>
      </w:r>
      <w:r>
        <w:rPr>
          <w:rFonts w:ascii="Arial" w:cs="Arial" w:eastAsia="Arial" w:hAnsi="Arial"/>
          <w:sz w:val="22"/>
          <w:szCs w:val="22"/>
          <w:b w:val="1"/>
          <w:bCs w:val="1"/>
          <w:color w:val="auto"/>
        </w:rPr>
        <w:t>preceding sentence will read as follows: The fair market value per Share on the date of grant shall be the Market Price on the date of grant of such Option.]</w:t>
      </w:r>
    </w:p>
    <w:p>
      <w:pPr>
        <w:spacing w:after="0" w:line="215" w:lineRule="exact"/>
        <w:rPr>
          <w:sz w:val="20"/>
          <w:szCs w:val="20"/>
          <w:color w:val="auto"/>
        </w:rPr>
      </w:pPr>
    </w:p>
    <w:p>
      <w:pPr>
        <w:ind w:right="260" w:firstLine="656"/>
        <w:spacing w:after="0"/>
        <w:tabs>
          <w:tab w:leader="none" w:pos="100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Exercise</w:t>
      </w:r>
      <w:r>
        <w:rPr>
          <w:rFonts w:ascii="Arial" w:cs="Arial" w:eastAsia="Arial" w:hAnsi="Arial"/>
          <w:sz w:val="22"/>
          <w:szCs w:val="22"/>
          <w:color w:val="auto"/>
        </w:rPr>
        <w:t xml:space="preserve">. An Option Agreement may provide for exercise of an Option in such amounts and at such times as shall be specified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except as provided in Paragraph 7(g), below, or as otherwise determined by the Administrator, no Option granted to an</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14" w:name="page15"/>
    <w:bookmarkEnd w:id="14"/>
    <w:p>
      <w:pPr>
        <w:ind w:right="340"/>
        <w:spacing w:after="0" w:line="238" w:lineRule="auto"/>
        <w:rPr>
          <w:sz w:val="20"/>
          <w:szCs w:val="20"/>
          <w:color w:val="auto"/>
        </w:rPr>
      </w:pPr>
      <w:r>
        <w:rPr>
          <w:rFonts w:ascii="Arial" w:cs="Arial" w:eastAsia="Arial" w:hAnsi="Arial"/>
          <w:sz w:val="22"/>
          <w:szCs w:val="22"/>
          <w:color w:val="auto"/>
        </w:rPr>
        <w:t>Employee may be exercised unless that person is then in the employ of the Company or a Subsidiary and shall have been continuously so employed since its date of grant. Except as otherwise permitted by the Administrator, an Option shall be exercisable by a Participant’s giving written notice of exercise to the Secretary of the Company accompanied by payment of the required exercise price.</w:t>
      </w:r>
    </w:p>
    <w:p>
      <w:pPr>
        <w:spacing w:after="0" w:line="212" w:lineRule="exact"/>
        <w:rPr>
          <w:sz w:val="20"/>
          <w:szCs w:val="20"/>
          <w:color w:val="auto"/>
        </w:rPr>
      </w:pPr>
    </w:p>
    <w:p>
      <w:pPr>
        <w:ind w:right="20" w:firstLine="656"/>
        <w:spacing w:after="0" w:line="275" w:lineRule="auto"/>
        <w:tabs>
          <w:tab w:leader="none" w:pos="99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General Exercise Period</w:t>
      </w:r>
      <w:r>
        <w:rPr>
          <w:rFonts w:ascii="Arial" w:cs="Arial" w:eastAsia="Arial" w:hAnsi="Arial"/>
          <w:sz w:val="19"/>
          <w:szCs w:val="19"/>
          <w:color w:val="auto"/>
        </w:rPr>
        <w:t>.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upon the occurrence of a Triggering Event, all outstanding Options shall become immediately exercisable, and if a person ceases to be an Employee during a Protected Period because of a termination of that person’s employment by the Company other than for Cause, all Options held by such person shall become immediately exercisable upon the Triggering Event. Notwithstanding the foregoing, no Option shall be exercisable after the expiration of ten years from its date of grant. Every Option which has not been exercised within ten years of its date of grant shall lapse upon the expiration of said ten-year period unless it shall have lapsed at an earlier date.</w:t>
      </w:r>
    </w:p>
    <w:p>
      <w:pPr>
        <w:spacing w:after="0" w:line="185" w:lineRule="exact"/>
        <w:rPr>
          <w:rFonts w:ascii="Arial" w:cs="Arial" w:eastAsia="Arial" w:hAnsi="Arial"/>
          <w:sz w:val="19"/>
          <w:szCs w:val="19"/>
          <w:color w:val="auto"/>
        </w:rPr>
      </w:pPr>
    </w:p>
    <w:p>
      <w:pPr>
        <w:ind w:firstLine="656"/>
        <w:spacing w:after="0" w:line="271" w:lineRule="auto"/>
        <w:tabs>
          <w:tab w:leader="none" w:pos="97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Payment of Exercise Price</w:t>
      </w:r>
      <w:r>
        <w:rPr>
          <w:rFonts w:ascii="Arial" w:cs="Arial" w:eastAsia="Arial" w:hAnsi="Arial"/>
          <w:sz w:val="19"/>
          <w:szCs w:val="19"/>
          <w:color w:val="auto"/>
        </w:rPr>
        <w:t>. The exercise price shall be payable in whole or in part in cash, Shares held by the Participant, other property, or such other consideration consistent with the Plan’s purpose and 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either directly or by attestation, which are equal in value to the purchase or exercise price. All Shares so delivered shall be valued at the opening sale price per Share on the New York Stock Exchange on the date on which such Shares are delivered. The Administrator may, in its discretio n, permit a Participant to exercise an Option on a “net exercise” basis. In such case, the Company will deliver that number of Shares to the Participant which equals the number of Shares for which the Option was exercised, reduced by the number of whole Shares (which the Company shall retain) with a value on the date of exercise (based on the opening sale price per Share on the New York Stock Exchange) equal to the exercise price and the required withholding tax at the time of exercise. To the extent the combined value of the whole Shares (valued at the opening sales price per share on the New York Stock Exchange on the day of exercise) is not sufficient to equal the exercise price and required withholding tax, the Participant must pay such difference in cash to the Company before delivery of the Shares will be made to the Participant.</w:t>
      </w:r>
    </w:p>
    <w:p>
      <w:pPr>
        <w:spacing w:after="0" w:line="192" w:lineRule="exact"/>
        <w:rPr>
          <w:rFonts w:ascii="Arial" w:cs="Arial" w:eastAsia="Arial" w:hAnsi="Arial"/>
          <w:sz w:val="19"/>
          <w:szCs w:val="19"/>
          <w:color w:val="auto"/>
        </w:rPr>
      </w:pPr>
    </w:p>
    <w:p>
      <w:pPr>
        <w:ind w:right="80" w:firstLine="656"/>
        <w:spacing w:after="0" w:line="251" w:lineRule="auto"/>
        <w:tabs>
          <w:tab w:leader="none" w:pos="100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Cessation of Employee Status</w:t>
      </w:r>
      <w:r>
        <w:rPr>
          <w:rFonts w:ascii="Arial" w:cs="Arial" w:eastAsia="Arial" w:hAnsi="Arial"/>
          <w:sz w:val="22"/>
          <w:szCs w:val="22"/>
          <w:color w:val="auto"/>
        </w:rPr>
        <w:t>. With respect to Participants who are Employees, except as determined otherwise by the Administrator at the time of grant:</w:t>
      </w:r>
    </w:p>
    <w:p>
      <w:pPr>
        <w:spacing w:after="0" w:line="200" w:lineRule="exact"/>
        <w:rPr>
          <w:rFonts w:ascii="Arial" w:cs="Arial" w:eastAsia="Arial" w:hAnsi="Arial"/>
          <w:sz w:val="22"/>
          <w:szCs w:val="22"/>
          <w:color w:val="auto"/>
        </w:rPr>
      </w:pPr>
    </w:p>
    <w:p>
      <w:pPr>
        <w:ind w:left="660" w:right="140" w:firstLine="645"/>
        <w:spacing w:after="0"/>
        <w:tabs>
          <w:tab w:leader="none" w:pos="1656" w:val="left"/>
        </w:tabs>
        <w:numPr>
          <w:ilvl w:val="1"/>
          <w:numId w:val="18"/>
        </w:numPr>
        <w:rPr>
          <w:rFonts w:ascii="Arial" w:cs="Arial" w:eastAsia="Arial" w:hAnsi="Arial"/>
          <w:sz w:val="22"/>
          <w:szCs w:val="22"/>
          <w:color w:val="auto"/>
        </w:rPr>
      </w:pPr>
      <w:r>
        <w:rPr>
          <w:rFonts w:ascii="Arial" w:cs="Arial" w:eastAsia="Arial" w:hAnsi="Arial"/>
          <w:sz w:val="22"/>
          <w:szCs w:val="22"/>
          <w:color w:val="auto"/>
        </w:rPr>
        <w:t>Any Participant who ceases to be an Employee due to retirement on or after such person’s normal retirement date (as defined in the Manpower Inc. Retirement Plan or any successor plan providing retirement benefits) or due to early retirement with the</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4" w:right="259" w:bottom="1440" w:gutter="0" w:footer="0" w:header="0"/>
        </w:sectPr>
      </w:pPr>
    </w:p>
    <w:bookmarkStart w:id="15" w:name="page16"/>
    <w:bookmarkEnd w:id="15"/>
    <w:p>
      <w:pPr>
        <w:jc w:val="both"/>
        <w:ind w:right="500"/>
        <w:spacing w:after="0" w:line="252" w:lineRule="auto"/>
        <w:rPr>
          <w:sz w:val="20"/>
          <w:szCs w:val="20"/>
          <w:color w:val="auto"/>
        </w:rPr>
      </w:pPr>
      <w:r>
        <w:rPr>
          <w:rFonts w:ascii="Arial" w:cs="Arial" w:eastAsia="Arial" w:hAnsi="Arial"/>
          <w:sz w:val="21"/>
          <w:szCs w:val="21"/>
          <w:color w:val="auto"/>
        </w:rPr>
        <w:t xml:space="preserve">consent of the Administrator shall have three (3) years from the date of such cessation to exercise any Option granted hereunder as to all or part of the Shares subject to such Option;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Option shall be exercisable subsequent to ten (10) years after its date of grant, and provided further that on the date the Participant ceases to be an Employee, he or she then has a present right to exercise such Option.</w:t>
      </w:r>
    </w:p>
    <w:p>
      <w:pPr>
        <w:spacing w:after="0" w:line="201" w:lineRule="exact"/>
        <w:rPr>
          <w:sz w:val="20"/>
          <w:szCs w:val="20"/>
          <w:color w:val="auto"/>
        </w:rPr>
      </w:pPr>
    </w:p>
    <w:p>
      <w:pPr>
        <w:ind w:right="20" w:firstLine="645"/>
        <w:spacing w:after="0" w:line="249" w:lineRule="auto"/>
        <w:tabs>
          <w:tab w:leader="none" w:pos="996"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Any Participant who ceases to be an Employee due to Disability shall have three (3) years from the date of such cessation to exercise any Option granted hereunder as to all or part of the Shares subject to such Option to the extent that such Participant then has a present right to exercise such Option or would have become entitled to exercise such Option had that Participant remained an Employee during such three-year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Option shall be exercisable subsequent to ten (10) years after its date of grant.</w:t>
      </w:r>
    </w:p>
    <w:p>
      <w:pPr>
        <w:spacing w:after="0" w:line="205" w:lineRule="exact"/>
        <w:rPr>
          <w:rFonts w:ascii="Arial" w:cs="Arial" w:eastAsia="Arial" w:hAnsi="Arial"/>
          <w:sz w:val="21"/>
          <w:szCs w:val="21"/>
          <w:color w:val="auto"/>
        </w:rPr>
      </w:pPr>
    </w:p>
    <w:p>
      <w:pPr>
        <w:ind w:right="440" w:firstLine="645"/>
        <w:spacing w:after="0" w:line="251" w:lineRule="auto"/>
        <w:tabs>
          <w:tab w:leader="none" w:pos="1008"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the event of the death of an Employee while an Employee, any Option, as to all or any part of the Shares subject to such Option, granted to such Employee shall be exercisable:</w:t>
      </w:r>
    </w:p>
    <w:p>
      <w:pPr>
        <w:spacing w:after="0" w:line="132" w:lineRule="exact"/>
        <w:rPr>
          <w:rFonts w:ascii="Arial" w:cs="Arial" w:eastAsia="Arial" w:hAnsi="Arial"/>
          <w:sz w:val="22"/>
          <w:szCs w:val="22"/>
          <w:color w:val="auto"/>
        </w:rPr>
      </w:pPr>
    </w:p>
    <w:p>
      <w:pPr>
        <w:ind w:left="1700" w:hanging="407"/>
        <w:spacing w:after="0"/>
        <w:tabs>
          <w:tab w:leader="none" w:pos="17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for three (3) years after the Employee’s death, but in no event later than ten (10) years from its date of</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grant;</w:t>
      </w:r>
    </w:p>
    <w:p>
      <w:pPr>
        <w:spacing w:after="0" w:line="215" w:lineRule="exact"/>
        <w:rPr>
          <w:rFonts w:ascii="Arial" w:cs="Arial" w:eastAsia="Arial" w:hAnsi="Arial"/>
          <w:sz w:val="19"/>
          <w:szCs w:val="19"/>
          <w:color w:val="auto"/>
        </w:rPr>
      </w:pPr>
    </w:p>
    <w:p>
      <w:pPr>
        <w:ind w:left="640" w:right="100" w:firstLine="653"/>
        <w:spacing w:after="0" w:line="282" w:lineRule="auto"/>
        <w:tabs>
          <w:tab w:leader="none" w:pos="1684" w:val="left"/>
        </w:tabs>
        <w:numPr>
          <w:ilvl w:val="1"/>
          <w:numId w:val="19"/>
        </w:numPr>
        <w:rPr>
          <w:rFonts w:ascii="Arial" w:cs="Arial" w:eastAsia="Arial" w:hAnsi="Arial"/>
          <w:sz w:val="19"/>
          <w:szCs w:val="19"/>
          <w:color w:val="auto"/>
        </w:rPr>
      </w:pPr>
      <w:r>
        <w:rPr>
          <w:rFonts w:ascii="Arial" w:cs="Arial" w:eastAsia="Arial" w:hAnsi="Arial"/>
          <w:sz w:val="19"/>
          <w:szCs w:val="19"/>
          <w:color w:val="auto"/>
        </w:rPr>
        <w:t>only (1) by the deceased Employee’s designated beneficiary (such designation to be made in writing at such time and in such manner as the Administrator shall approve or prescribe), or, if the deceased Employee dies without a surviving designated beneficiary, (2) by the personal representative, administrator, or other representative of the estate of the deceased Employee, or by the person or persons to whom the deceased Employee’s rights under the Option shall pass by will or the laws of descent and distribution; and</w:t>
      </w:r>
    </w:p>
    <w:p>
      <w:pPr>
        <w:spacing w:after="0" w:line="174" w:lineRule="exact"/>
        <w:rPr>
          <w:rFonts w:ascii="Arial" w:cs="Arial" w:eastAsia="Arial" w:hAnsi="Arial"/>
          <w:sz w:val="19"/>
          <w:szCs w:val="19"/>
          <w:color w:val="auto"/>
        </w:rPr>
      </w:pPr>
    </w:p>
    <w:p>
      <w:pPr>
        <w:ind w:left="640" w:right="160" w:firstLine="653"/>
        <w:spacing w:after="0"/>
        <w:tabs>
          <w:tab w:leader="none" w:pos="1684" w:val="left"/>
        </w:tabs>
        <w:numPr>
          <w:ilvl w:val="1"/>
          <w:numId w:val="19"/>
        </w:numPr>
        <w:rPr>
          <w:rFonts w:ascii="Arial" w:cs="Arial" w:eastAsia="Arial" w:hAnsi="Arial"/>
          <w:sz w:val="22"/>
          <w:szCs w:val="22"/>
          <w:color w:val="auto"/>
        </w:rPr>
      </w:pPr>
      <w:r>
        <w:rPr>
          <w:rFonts w:ascii="Arial" w:cs="Arial" w:eastAsia="Arial" w:hAnsi="Arial"/>
          <w:sz w:val="22"/>
          <w:szCs w:val="22"/>
          <w:color w:val="auto"/>
        </w:rPr>
        <w:t>only to the extent that the deceased Employee would have been entitled to exercise such Option on the date of the Employee’s death or would have become entitled to exercise such Option had the deceased Employee remained employed during such three-year period.</w:t>
      </w:r>
    </w:p>
    <w:p>
      <w:pPr>
        <w:spacing w:after="0" w:line="213" w:lineRule="exact"/>
        <w:rPr>
          <w:rFonts w:ascii="Arial" w:cs="Arial" w:eastAsia="Arial" w:hAnsi="Arial"/>
          <w:sz w:val="22"/>
          <w:szCs w:val="22"/>
          <w:color w:val="auto"/>
        </w:rPr>
      </w:pPr>
    </w:p>
    <w:p>
      <w:pPr>
        <w:ind w:firstLine="645"/>
        <w:spacing w:after="0" w:line="297" w:lineRule="auto"/>
        <w:tabs>
          <w:tab w:leader="none" w:pos="996"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 Employee or former Employee who holds an Option who has designated a beneficiary for purposes of Subparagraph 7(g)(3)(B)(1), above, may change such designation at any time, by giving written notice to the Administrator, subject to such conditions and requirements as the Administrator may prescribe in accordance with applicable law.</w:t>
      </w:r>
    </w:p>
    <w:p>
      <w:pPr>
        <w:spacing w:after="0" w:line="161" w:lineRule="exact"/>
        <w:rPr>
          <w:rFonts w:ascii="Arial" w:cs="Arial" w:eastAsia="Arial" w:hAnsi="Arial"/>
          <w:sz w:val="19"/>
          <w:szCs w:val="19"/>
          <w:color w:val="auto"/>
        </w:rPr>
      </w:pPr>
    </w:p>
    <w:p>
      <w:pPr>
        <w:ind w:right="160" w:firstLine="645"/>
        <w:spacing w:after="0" w:line="236" w:lineRule="auto"/>
        <w:tabs>
          <w:tab w:leader="none" w:pos="1008"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If a Participant ceases to be an Employee for a reason other than those specified above, that Participant shall have eighteen (18) months from the date of such cessation to exercise any Option granted hereunder as to all or part of the Shares subject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Option shall be exercisable subsequent to ten (10) years after its date of grant, and provided further that on the date the person ceases to be an Employee, he or she then has a present right to exercise such Option (except in the</w:t>
      </w:r>
    </w:p>
    <w:p>
      <w:pPr>
        <w:spacing w:after="0" w:line="200" w:lineRule="exact"/>
        <w:rPr>
          <w:sz w:val="20"/>
          <w:szCs w:val="20"/>
          <w:color w:val="auto"/>
        </w:rPr>
      </w:pPr>
    </w:p>
    <w:p>
      <w:pPr>
        <w:spacing w:after="0" w:line="25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247650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00" w:top="604" w:right="279" w:bottom="1440" w:gutter="0" w:footer="0" w:header="0"/>
        </w:sectPr>
      </w:pPr>
    </w:p>
    <w:bookmarkStart w:id="16" w:name="page17"/>
    <w:bookmarkEnd w:id="16"/>
    <w:p>
      <w:pPr>
        <w:ind w:left="660" w:right="200"/>
        <w:spacing w:after="0" w:line="238" w:lineRule="auto"/>
        <w:rPr>
          <w:sz w:val="20"/>
          <w:szCs w:val="20"/>
          <w:color w:val="auto"/>
        </w:rPr>
      </w:pPr>
      <w:r>
        <w:rPr>
          <w:rFonts w:ascii="Arial" w:cs="Arial" w:eastAsia="Arial" w:hAnsi="Arial"/>
          <w:sz w:val="22"/>
          <w:szCs w:val="22"/>
          <w:color w:val="auto"/>
        </w:rPr>
        <w:t>case of a Participant who ceases to be an Employee during a Protected Period because of a termination of that person’s employment by the Company other than for Cause). Notwithstanding the foregoing, if a person ceases to be an Employee because of a termination of employment for Cause, to the extent an Option is not effectively exercised prior to such cessation, it shall lapse immediately upon such cessation.</w:t>
      </w:r>
    </w:p>
    <w:p>
      <w:pPr>
        <w:spacing w:after="0" w:line="212" w:lineRule="exact"/>
        <w:rPr>
          <w:sz w:val="20"/>
          <w:szCs w:val="20"/>
          <w:color w:val="auto"/>
        </w:rPr>
      </w:pPr>
    </w:p>
    <w:p>
      <w:pPr>
        <w:ind w:right="240" w:firstLine="656"/>
        <w:spacing w:after="0" w:line="297" w:lineRule="auto"/>
        <w:tabs>
          <w:tab w:leader="none" w:pos="1008"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Extension of Periods</w:t>
      </w:r>
      <w:r>
        <w:rPr>
          <w:rFonts w:ascii="Arial" w:cs="Arial" w:eastAsia="Arial" w:hAnsi="Arial"/>
          <w:sz w:val="19"/>
          <w:szCs w:val="19"/>
          <w:color w:val="auto"/>
        </w:rPr>
        <w:t xml:space="preserve">. The Administrator may in its sole discretion increase the periods permitted for exercise of an Option if a Participant ceases to be an Employee as provided in Subparagraphs 7(g)(1), (2), (3) and (5), above, if allowable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no event shall an Option be exercisable subsequent to ten (10) years after its date of grant.</w:t>
      </w:r>
    </w:p>
    <w:p>
      <w:pPr>
        <w:spacing w:after="0" w:line="161" w:lineRule="exact"/>
        <w:rPr>
          <w:rFonts w:ascii="Arial" w:cs="Arial" w:eastAsia="Arial" w:hAnsi="Arial"/>
          <w:sz w:val="19"/>
          <w:szCs w:val="19"/>
          <w:color w:val="auto"/>
        </w:rPr>
      </w:pPr>
    </w:p>
    <w:p>
      <w:pPr>
        <w:ind w:left="960" w:hanging="304"/>
        <w:spacing w:after="0"/>
        <w:tabs>
          <w:tab w:leader="none" w:pos="96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660" w:firstLine="645"/>
        <w:spacing w:after="0" w:line="245" w:lineRule="auto"/>
        <w:tabs>
          <w:tab w:leader="none" w:pos="1668" w:val="left"/>
        </w:tabs>
        <w:numPr>
          <w:ilvl w:val="2"/>
          <w:numId w:val="20"/>
        </w:numPr>
        <w:rPr>
          <w:rFonts w:ascii="Arial" w:cs="Arial" w:eastAsia="Arial" w:hAnsi="Arial"/>
          <w:sz w:val="21"/>
          <w:szCs w:val="21"/>
          <w:color w:val="auto"/>
        </w:rPr>
      </w:pPr>
      <w:r>
        <w:rPr>
          <w:rFonts w:ascii="Arial" w:cs="Arial" w:eastAsia="Arial" w:hAnsi="Arial"/>
          <w:sz w:val="21"/>
          <w:szCs w:val="21"/>
          <w:color w:val="auto"/>
        </w:rPr>
        <w:t>Except as otherwise provided in this Paragraph 7(i), or unless otherwise provided by the Administrator, Options granted to a Participant under this Plan shall not be transferable or subjected to execution, attachment or similar process, and during the 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 uch distributees shall be subject to all terms and conditions of this Plan to the same extent as would the Participant.</w:t>
      </w:r>
    </w:p>
    <w:p>
      <w:pPr>
        <w:spacing w:after="0" w:line="212" w:lineRule="exact"/>
        <w:rPr>
          <w:rFonts w:ascii="Arial" w:cs="Arial" w:eastAsia="Arial" w:hAnsi="Arial"/>
          <w:sz w:val="21"/>
          <w:szCs w:val="21"/>
          <w:color w:val="auto"/>
        </w:rPr>
      </w:pPr>
    </w:p>
    <w:p>
      <w:pPr>
        <w:ind w:left="660" w:right="140" w:firstLine="645"/>
        <w:spacing w:after="0" w:line="246" w:lineRule="auto"/>
        <w:tabs>
          <w:tab w:leader="none" w:pos="1668" w:val="left"/>
        </w:tabs>
        <w:numPr>
          <w:ilvl w:val="2"/>
          <w:numId w:val="20"/>
        </w:numPr>
        <w:rPr>
          <w:rFonts w:ascii="Arial" w:cs="Arial" w:eastAsia="Arial" w:hAnsi="Arial"/>
          <w:sz w:val="21"/>
          <w:szCs w:val="21"/>
          <w:color w:val="auto"/>
        </w:rPr>
      </w:pPr>
      <w:r>
        <w:rPr>
          <w:rFonts w:ascii="Arial" w:cs="Arial" w:eastAsia="Arial" w:hAnsi="Arial"/>
          <w:sz w:val="21"/>
          <w:szCs w:val="21"/>
          <w:color w:val="auto"/>
        </w:rPr>
        <w:t>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p>
    <w:p>
      <w:pPr>
        <w:spacing w:after="0" w:line="201" w:lineRule="exact"/>
        <w:rPr>
          <w:rFonts w:ascii="Arial" w:cs="Arial" w:eastAsia="Arial" w:hAnsi="Arial"/>
          <w:sz w:val="21"/>
          <w:szCs w:val="21"/>
          <w:color w:val="auto"/>
        </w:rPr>
      </w:pPr>
    </w:p>
    <w:p>
      <w:pPr>
        <w:ind w:left="280" w:hanging="272"/>
        <w:spacing w:after="0"/>
        <w:tabs>
          <w:tab w:leader="none" w:pos="28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RESTRICTED STOCK / RESTRICTED STOCK UNITS</w:t>
      </w:r>
    </w:p>
    <w:p>
      <w:pPr>
        <w:spacing w:after="0" w:line="239" w:lineRule="exact"/>
        <w:rPr>
          <w:sz w:val="20"/>
          <w:szCs w:val="20"/>
          <w:color w:val="auto"/>
        </w:rPr>
      </w:pPr>
    </w:p>
    <w:p>
      <w:pPr>
        <w:ind w:right="900" w:firstLine="567"/>
        <w:spacing w:after="0" w:line="251" w:lineRule="auto"/>
        <w:rPr>
          <w:sz w:val="20"/>
          <w:szCs w:val="20"/>
          <w:color w:val="auto"/>
        </w:rPr>
      </w:pPr>
      <w:r>
        <w:rPr>
          <w:rFonts w:ascii="Arial" w:cs="Arial" w:eastAsia="Arial" w:hAnsi="Arial"/>
          <w:sz w:val="22"/>
          <w:szCs w:val="22"/>
          <w:color w:val="auto"/>
        </w:rPr>
        <w:t>Restricted Stock or Restricted Stock Units granted under this Plan shall be subject to such terms and conditions not inconsistent with the Plan as the Administrator shall determine, including the following:</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7" w:name="page18"/>
    <w:bookmarkEnd w:id="17"/>
    <w:p>
      <w:pPr>
        <w:ind w:left="-20" w:right="240" w:firstLine="656"/>
        <w:spacing w:after="0" w:line="251" w:lineRule="auto"/>
        <w:tabs>
          <w:tab w:leader="none" w:pos="97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Grants</w:t>
      </w:r>
      <w:r>
        <w:rPr>
          <w:rFonts w:ascii="Arial" w:cs="Arial" w:eastAsia="Arial" w:hAnsi="Arial"/>
          <w:sz w:val="22"/>
          <w:szCs w:val="22"/>
          <w:color w:val="auto"/>
        </w:rPr>
        <w:t>. The terms of any grant of Restricted Stock or Restricted Stock Units shall be confirmed by the execution of a Restricted Stock Agreement or a Restricted Stock Unit Agreement.</w:t>
      </w:r>
    </w:p>
    <w:p>
      <w:pPr>
        <w:spacing w:after="0" w:line="200" w:lineRule="exact"/>
        <w:rPr>
          <w:rFonts w:ascii="Arial" w:cs="Arial" w:eastAsia="Arial" w:hAnsi="Arial"/>
          <w:sz w:val="22"/>
          <w:szCs w:val="22"/>
          <w:color w:val="auto"/>
        </w:rPr>
      </w:pPr>
    </w:p>
    <w:p>
      <w:pPr>
        <w:ind w:left="-20" w:right="20" w:firstLine="656"/>
        <w:spacing w:after="0" w:line="279" w:lineRule="auto"/>
        <w:tabs>
          <w:tab w:leader="none" w:pos="98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Restrictions on Restricted Stock</w:t>
      </w:r>
      <w:r>
        <w:rPr>
          <w:rFonts w:ascii="Arial" w:cs="Arial" w:eastAsia="Arial" w:hAnsi="Arial"/>
          <w:sz w:val="19"/>
          <w:szCs w:val="19"/>
          <w:color w:val="auto"/>
        </w:rPr>
        <w:t>.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 to restrain or set aside such transfer), upon written notice to the transferee thereof at any time within ninety (90) days after its discovery of such transaction, be forfeited to the Company.</w:t>
      </w:r>
    </w:p>
    <w:p>
      <w:pPr>
        <w:spacing w:after="0" w:line="110" w:lineRule="exact"/>
        <w:rPr>
          <w:rFonts w:ascii="Arial" w:cs="Arial" w:eastAsia="Arial" w:hAnsi="Arial"/>
          <w:sz w:val="19"/>
          <w:szCs w:val="19"/>
          <w:color w:val="auto"/>
        </w:rPr>
      </w:pPr>
    </w:p>
    <w:p>
      <w:pPr>
        <w:ind w:left="-20" w:firstLine="656"/>
        <w:spacing w:after="0" w:line="271" w:lineRule="auto"/>
        <w:tabs>
          <w:tab w:leader="none" w:pos="97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Vesting Conditions</w:t>
      </w:r>
      <w:r>
        <w:rPr>
          <w:rFonts w:ascii="Arial" w:cs="Arial" w:eastAsia="Arial" w:hAnsi="Arial"/>
          <w:sz w:val="19"/>
          <w:szCs w:val="19"/>
          <w:color w:val="auto"/>
        </w:rPr>
        <w:t>. The Administrator shall determine the conditions under which Restricted Stock or Restricted Stock Units shall vest. The Administrator may set vesting conditions based solely upon the continued employment of a Participant who is an Employee or the continued service of a Participant who is a Director during the applicable vesting period and/or may specify vesting conditions based upon the achievement of specific performance objectives. Where Restricted Stock is granted subject to vesting conditions that are based upon the achievement of specific performance objectives, except as otherwise provided in this Section 8, the Restricted Period shall not end until the performance objectives have been achieved, as certified by the Committee or otherwise. For purposes of qualifying Restricted Stock or Restricted Stock Units as “performance-based compensation&amp; #148; under Section 162(m) of the Code, the Committee may set performance conditions based upon the achievement of Performance Goals. In such event, the Performance Goals shall be set by the Committee on or before the latest date permissible to enable the Restricted Stock or Restricted Stock Units to qualify as “performance-based compensation” under Section 162(m) of the Code and the Committee shall follow any procedures determined by it from time to time to be necessary or appropriate to ensure qualification of the Restricted Stock or Restricted Stock Units under Section 162(m) of the Code, including, without limitation, written certification by the Committee that the performance objectives and other applicable conditions have been satisfied before the Restricted Period shall end or the Restricted Stock Units are paid.</w:t>
      </w:r>
    </w:p>
    <w:p>
      <w:pPr>
        <w:spacing w:after="0" w:line="165" w:lineRule="exact"/>
        <w:rPr>
          <w:rFonts w:ascii="Arial" w:cs="Arial" w:eastAsia="Arial" w:hAnsi="Arial"/>
          <w:sz w:val="19"/>
          <w:szCs w:val="19"/>
          <w:color w:val="auto"/>
        </w:rPr>
      </w:pPr>
    </w:p>
    <w:p>
      <w:pPr>
        <w:ind w:left="-20" w:right="100" w:firstLine="656"/>
        <w:spacing w:after="0" w:line="251" w:lineRule="auto"/>
        <w:tabs>
          <w:tab w:leader="none" w:pos="988"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Cessation of Employee Status</w:t>
      </w:r>
      <w:r>
        <w:rPr>
          <w:rFonts w:ascii="Arial" w:cs="Arial" w:eastAsia="Arial" w:hAnsi="Arial"/>
          <w:sz w:val="22"/>
          <w:szCs w:val="22"/>
          <w:color w:val="auto"/>
        </w:rPr>
        <w:t>. With respect to Participants who are Employees, except as determined otherwise by the Administrator at the time of grant:</w:t>
      </w:r>
    </w:p>
    <w:p>
      <w:pPr>
        <w:spacing w:after="0" w:line="173" w:lineRule="exact"/>
        <w:rPr>
          <w:rFonts w:ascii="Arial" w:cs="Arial" w:eastAsia="Arial" w:hAnsi="Arial"/>
          <w:sz w:val="22"/>
          <w:szCs w:val="22"/>
          <w:color w:val="auto"/>
        </w:rPr>
      </w:pPr>
    </w:p>
    <w:p>
      <w:pPr>
        <w:ind w:left="640" w:right="260" w:firstLine="645"/>
        <w:spacing w:after="0"/>
        <w:tabs>
          <w:tab w:leader="none" w:pos="1648" w:val="left"/>
        </w:tabs>
        <w:numPr>
          <w:ilvl w:val="1"/>
          <w:numId w:val="22"/>
        </w:numPr>
        <w:rPr>
          <w:rFonts w:ascii="Arial" w:cs="Arial" w:eastAsia="Arial" w:hAnsi="Arial"/>
          <w:sz w:val="22"/>
          <w:szCs w:val="22"/>
          <w:color w:val="auto"/>
        </w:rPr>
      </w:pPr>
      <w:r>
        <w:rPr>
          <w:rFonts w:ascii="Arial" w:cs="Arial" w:eastAsia="Arial" w:hAnsi="Arial"/>
          <w:sz w:val="22"/>
          <w:szCs w:val="22"/>
          <w:color w:val="auto"/>
        </w:rPr>
        <w:t>If a Participant ceases to be an Employee for any reason, then except as provided in Subparagraphs (d)(2) and (e), below, all Restricted Stock and unvested Restricted Stock Units held by such Participant shall be forfeited to the Company.</w:t>
      </w:r>
    </w:p>
    <w:p>
      <w:pPr>
        <w:spacing w:after="0" w:line="213" w:lineRule="exact"/>
        <w:rPr>
          <w:rFonts w:ascii="Arial" w:cs="Arial" w:eastAsia="Arial" w:hAnsi="Arial"/>
          <w:sz w:val="22"/>
          <w:szCs w:val="22"/>
          <w:color w:val="auto"/>
        </w:rPr>
      </w:pPr>
    </w:p>
    <w:p>
      <w:pPr>
        <w:jc w:val="both"/>
        <w:ind w:left="640" w:right="120" w:firstLine="645"/>
        <w:spacing w:after="0" w:line="258" w:lineRule="auto"/>
        <w:tabs>
          <w:tab w:leader="none" w:pos="1648" w:val="left"/>
        </w:tabs>
        <w:numPr>
          <w:ilvl w:val="1"/>
          <w:numId w:val="22"/>
        </w:numPr>
        <w:rPr>
          <w:rFonts w:ascii="Arial" w:cs="Arial" w:eastAsia="Arial" w:hAnsi="Arial"/>
          <w:sz w:val="21"/>
          <w:szCs w:val="21"/>
          <w:color w:val="auto"/>
        </w:rPr>
      </w:pPr>
      <w:r>
        <w:rPr>
          <w:rFonts w:ascii="Arial" w:cs="Arial" w:eastAsia="Arial" w:hAnsi="Arial"/>
          <w:sz w:val="21"/>
          <w:szCs w:val="21"/>
          <w:color w:val="auto"/>
        </w:rPr>
        <w:t>In the event a Participant ceases to be an Employee on or after such person’s normal retirement date (as defined in the Manpower Inc. Retirement Plan or any successor plan providing retirement benefits), or due to early retirement with the consent of the Administrator, or due to death or Disability, all restrictions applicable to 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47" w:right="239" w:bottom="1440" w:gutter="0" w:footer="0" w:header="0"/>
        </w:sectPr>
      </w:pPr>
    </w:p>
    <w:bookmarkStart w:id="18" w:name="page19"/>
    <w:bookmarkEnd w:id="18"/>
    <w:p>
      <w:pPr>
        <w:ind w:left="640" w:right="320"/>
        <w:spacing w:after="0" w:line="251" w:lineRule="auto"/>
        <w:rPr>
          <w:sz w:val="20"/>
          <w:szCs w:val="20"/>
          <w:color w:val="auto"/>
        </w:rPr>
      </w:pPr>
      <w:r>
        <w:rPr>
          <w:rFonts w:ascii="Arial" w:cs="Arial" w:eastAsia="Arial" w:hAnsi="Arial"/>
          <w:sz w:val="22"/>
          <w:szCs w:val="22"/>
          <w:color w:val="auto"/>
        </w:rPr>
        <w:t>Restricted Stock then held by the Participant shall immediately lapse and all unvested Restricted Stock Units held by the Participant shall immediately vest.</w:t>
      </w:r>
    </w:p>
    <w:p>
      <w:pPr>
        <w:spacing w:after="0" w:line="200" w:lineRule="exact"/>
        <w:rPr>
          <w:sz w:val="20"/>
          <w:szCs w:val="20"/>
          <w:color w:val="auto"/>
        </w:rPr>
      </w:pPr>
    </w:p>
    <w:p>
      <w:pPr>
        <w:ind w:left="-20" w:right="160" w:firstLine="656"/>
        <w:spacing w:after="0" w:line="277" w:lineRule="auto"/>
        <w:tabs>
          <w:tab w:leader="none" w:pos="97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Vesting on Triggering Event</w:t>
      </w:r>
      <w:r>
        <w:rPr>
          <w:rFonts w:ascii="Arial" w:cs="Arial" w:eastAsia="Arial" w:hAnsi="Arial"/>
          <w:sz w:val="19"/>
          <w:szCs w:val="19"/>
          <w:color w:val="auto"/>
        </w:rPr>
        <w:t>. Except as determined otherwise by the Administrator, notwithstanding anything to the contrary herein contained, upon the occurrence of a Triggering Event, the restrictions applicable to any Restricted Stock then held by all Participants shall immediately lapse and any Restricted Stock Units then held by all Participants shall immediately vest. In addition, except as otherwise determined by the Administrator, in the case of any individual Employee, if that person ceases to be an Employee during a Protected Period because of a termination of such person’s employment by the Company other than for Cause, the restrictions applicable to any Restricted Stock then held by such Employee shall lapse and any Restricted Stock Units held by such Employee shall vest as of the date of the Triggering Event.</w:t>
      </w:r>
    </w:p>
    <w:p>
      <w:pPr>
        <w:spacing w:after="0" w:line="152" w:lineRule="exact"/>
        <w:rPr>
          <w:rFonts w:ascii="Arial" w:cs="Arial" w:eastAsia="Arial" w:hAnsi="Arial"/>
          <w:sz w:val="19"/>
          <w:szCs w:val="19"/>
          <w:color w:val="auto"/>
        </w:rPr>
      </w:pPr>
    </w:p>
    <w:p>
      <w:pPr>
        <w:ind w:left="-20" w:right="280" w:firstLine="656"/>
        <w:spacing w:after="0"/>
        <w:tabs>
          <w:tab w:leader="none" w:pos="95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Retention of Certificates for Restricted Stock</w:t>
      </w:r>
      <w:r>
        <w:rPr>
          <w:rFonts w:ascii="Arial" w:cs="Arial" w:eastAsia="Arial" w:hAnsi="Arial"/>
          <w:sz w:val="22"/>
          <w:szCs w:val="22"/>
          <w:color w:val="auto"/>
        </w:rPr>
        <w:t>. The Company will retain custody of the stock certificates representing Restricted Stock during the Restricted Period as well as a stock power signed by the Participant to be used in the event the Restricted Stock is forfeited to the Company.</w:t>
      </w:r>
    </w:p>
    <w:p>
      <w:pPr>
        <w:spacing w:after="0" w:line="213" w:lineRule="exact"/>
        <w:rPr>
          <w:rFonts w:ascii="Arial" w:cs="Arial" w:eastAsia="Arial" w:hAnsi="Arial"/>
          <w:sz w:val="22"/>
          <w:szCs w:val="22"/>
          <w:color w:val="auto"/>
        </w:rPr>
      </w:pPr>
    </w:p>
    <w:p>
      <w:pPr>
        <w:ind w:left="-20" w:right="40" w:firstLine="656"/>
        <w:spacing w:after="0" w:line="245" w:lineRule="auto"/>
        <w:tabs>
          <w:tab w:leader="none" w:pos="988"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Transferability of Restricted Stock Units</w:t>
      </w:r>
      <w:r>
        <w:rPr>
          <w:rFonts w:ascii="Arial" w:cs="Arial" w:eastAsia="Arial" w:hAnsi="Arial"/>
          <w:sz w:val="21"/>
          <w:szCs w:val="21"/>
          <w:color w:val="auto"/>
        </w:rPr>
        <w:t xml:space="preserve">. Except as provided below, Restricted Stock Units may not be sold, assigned, conveyed, donated, pledged, transferred or otherwise disposed of or encumbered or subjected to execution, attachment, or similar process;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Shares distributed in respect of such Restricted Stock Units may be transferred in accordance with applicable securities laws. Any transfer, attempted transfer, or purported transfer of Restricted Stock Units by a Participant shall be null and void. A Participant shall have the right to transfer Restricted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8" w:lineRule="exact"/>
        <w:rPr>
          <w:rFonts w:ascii="Arial" w:cs="Arial" w:eastAsia="Arial" w:hAnsi="Arial"/>
          <w:sz w:val="21"/>
          <w:szCs w:val="21"/>
          <w:color w:val="auto"/>
        </w:rPr>
      </w:pPr>
    </w:p>
    <w:p>
      <w:pPr>
        <w:ind w:left="-20" w:right="40" w:firstLine="656"/>
        <w:spacing w:after="0" w:line="252" w:lineRule="auto"/>
        <w:tabs>
          <w:tab w:leader="none" w:pos="988"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No Rights as Shareholders for Participants Holding Restricted Stock Units</w:t>
      </w:r>
      <w:r>
        <w:rPr>
          <w:rFonts w:ascii="Arial" w:cs="Arial" w:eastAsia="Arial" w:hAnsi="Arial"/>
          <w:sz w:val="21"/>
          <w:szCs w:val="21"/>
          <w:color w:val="auto"/>
        </w:rPr>
        <w:t>. No Participant shall have any interest in any fund or in any specific asset or assets of the Company by reason of any Restricted Stock Units granted hereunder, nor any right to exercise any of the rights or privileges of a shareholder with respect to any Restricted Stock Units or any Shares distributable with respect to any Restricted Stock Units until such Shares are so distributed.</w:t>
      </w:r>
    </w:p>
    <w:p>
      <w:pPr>
        <w:spacing w:after="0" w:line="201" w:lineRule="exact"/>
        <w:rPr>
          <w:rFonts w:ascii="Arial" w:cs="Arial" w:eastAsia="Arial" w:hAnsi="Arial"/>
          <w:sz w:val="21"/>
          <w:szCs w:val="21"/>
          <w:color w:val="auto"/>
        </w:rPr>
      </w:pPr>
    </w:p>
    <w:p>
      <w:pPr>
        <w:ind w:left="-20" w:firstLine="656"/>
        <w:spacing w:after="0" w:line="279" w:lineRule="auto"/>
        <w:tabs>
          <w:tab w:leader="none" w:pos="94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Distribution of Shares with Respect to Restricted Stock Units</w:t>
      </w:r>
      <w:r>
        <w:rPr>
          <w:rFonts w:ascii="Arial" w:cs="Arial" w:eastAsia="Arial" w:hAnsi="Arial"/>
          <w:sz w:val="19"/>
          <w:szCs w:val="19"/>
          <w:color w:val="auto"/>
        </w:rPr>
        <w:t>. Each Participant who holds Restricted Stock Units shall be entitled to receive from the Company one Share for each Restricted Stock Unit,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604" w:right="259" w:bottom="1440" w:gutter="0" w:footer="0" w:header="0"/>
        </w:sectPr>
      </w:pPr>
    </w:p>
    <w:bookmarkStart w:id="19" w:name="page20"/>
    <w:bookmarkEnd w:id="19"/>
    <w:p>
      <w:pPr>
        <w:spacing w:after="0" w:line="246" w:lineRule="auto"/>
        <w:rPr>
          <w:sz w:val="20"/>
          <w:szCs w:val="20"/>
          <w:color w:val="auto"/>
        </w:rPr>
      </w:pPr>
      <w:r>
        <w:rPr>
          <w:rFonts w:ascii="Arial" w:cs="Arial" w:eastAsia="Arial" w:hAnsi="Arial"/>
          <w:sz w:val="21"/>
          <w:szCs w:val="21"/>
          <w:color w:val="auto"/>
        </w:rPr>
        <w:t xml:space="preserve">Company would otherwise be obligated to deliver. The fair market value of a Share for this purpose will mean the Market Price on the business day immediately preceding the date of the cash payment. Except as otherwise determined by the Administrator at the time of the grant, Restricted Stock Units shall vest and Shares shall be distributed to the Participant in respect thereof as of the vesting date; provided, however, if any grant of Restricted Stock Units to a Participant who is subject to U.S. federal income tax is nonqualified deferred compensation for purposes of Section 409A of the Code, cash or Shares shall only be distributed in a manner such that Section 409A of the Code will not cause the Participant to become subject to penalties and/or interest thereunder;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 cash or Shares shall be distributed in respect of Restricted Stock Units prior to the date on which such Restricted Stock Unit vest .</w:t>
      </w:r>
    </w:p>
    <w:p>
      <w:pPr>
        <w:spacing w:after="0" w:line="208" w:lineRule="exact"/>
        <w:rPr>
          <w:sz w:val="20"/>
          <w:szCs w:val="20"/>
          <w:color w:val="auto"/>
        </w:rPr>
      </w:pPr>
    </w:p>
    <w:p>
      <w:pPr>
        <w:ind w:firstLine="656"/>
        <w:spacing w:after="0" w:line="271" w:lineRule="auto"/>
        <w:tabs>
          <w:tab w:leader="none" w:pos="960"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Dividends and Distributions with Respect to Restricted Stock Units</w:t>
      </w:r>
      <w:r>
        <w:rPr>
          <w:rFonts w:ascii="Arial" w:cs="Arial" w:eastAsia="Arial" w:hAnsi="Arial"/>
          <w:sz w:val="19"/>
          <w:szCs w:val="19"/>
          <w:color w:val="auto"/>
        </w:rPr>
        <w:t>. Except as otherwise provided by the Administrator at the time of grant, if a Participant holds Restricted Stock Units on the last day of any fiscal year of the Company, the Participant shall be credited as of such date with a number of additional Restricted Stock Units equal to the quotient of (i) the aggregate amount of dividends (or other distributions) which would have been received by the Participant during such fiscal year if the Restricted Stock Units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Restricted Stock Units. Where a distribution of Shares to a Participant in respect of Restricted Stock Units in accordance with Subparagraph 8(i) above is made before the end of the Company’s fiscal year (due to vesting or otherwise), a pro rata portion of any Restricted Stock Units that would otherwise be credited to the Participant at the end of such fiscal year, but for the fact that the Participant will not continue to hold such Restricted Stock Units at the end of such fiscal year, shall be paid to the Participant in Shares at the time such Shares are distributed to the Participant in connection with dividends and/or distributions paid during the year to shareholders of record before such distribution of Shares, if any. Restricted Stock Units credited under this Subparagraph 8(j) shall vest and be distributed on the same terms and in the same proportions as the Restricted Stock Units held by a Participant as of the record date or distribution date shall vest.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340" w:hanging="332"/>
        <w:spacing w:after="0"/>
        <w:tabs>
          <w:tab w:leader="none" w:pos="34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SARs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SAR granted under this Plan shall be subject to such terms and conditions not inconsistent with the Plan as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Administrator shall determine, including the following:</w:t>
      </w:r>
    </w:p>
    <w:p>
      <w:pPr>
        <w:spacing w:after="0" w:line="161" w:lineRule="exact"/>
        <w:rPr>
          <w:sz w:val="20"/>
          <w:szCs w:val="20"/>
          <w:color w:val="auto"/>
        </w:rPr>
      </w:pPr>
    </w:p>
    <w:p>
      <w:pPr>
        <w:ind w:left="1000" w:hanging="344"/>
        <w:spacing w:after="0"/>
        <w:tabs>
          <w:tab w:leader="none" w:pos="10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Grants</w:t>
      </w:r>
      <w:r>
        <w:rPr>
          <w:rFonts w:ascii="Arial" w:cs="Arial" w:eastAsia="Arial" w:hAnsi="Arial"/>
          <w:sz w:val="22"/>
          <w:szCs w:val="22"/>
          <w:color w:val="auto"/>
        </w:rPr>
        <w:t>. The terms of any grant of SARs shall be confirmed by the execution of an SAR Agreement.</w:t>
      </w:r>
    </w:p>
    <w:p>
      <w:pPr>
        <w:spacing w:after="0" w:line="192" w:lineRule="exact"/>
        <w:rPr>
          <w:rFonts w:ascii="Arial" w:cs="Arial" w:eastAsia="Arial" w:hAnsi="Arial"/>
          <w:sz w:val="22"/>
          <w:szCs w:val="22"/>
          <w:color w:val="auto"/>
        </w:rPr>
      </w:pPr>
    </w:p>
    <w:p>
      <w:pPr>
        <w:ind w:right="60" w:firstLine="656"/>
        <w:spacing w:after="0" w:line="287" w:lineRule="auto"/>
        <w:tabs>
          <w:tab w:leader="none" w:pos="1008"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Grant Value</w:t>
      </w:r>
      <w:r>
        <w:rPr>
          <w:rFonts w:ascii="Arial" w:cs="Arial" w:eastAsia="Arial" w:hAnsi="Arial"/>
          <w:sz w:val="19"/>
          <w:szCs w:val="19"/>
          <w:color w:val="auto"/>
        </w:rPr>
        <w:t xml:space="preserve">. The Grant Value of each SAR granted pursuant to this Plan shall be determined by the Administrator, but shall not be less than one hundred percent (100%) of the fair market value per Share on the date of grant of such SAR. The fair market value per Share on the date of grant shall be the Market Price for the business day immediately preceding the date of grant of such SAR. </w:t>
      </w:r>
      <w:r>
        <w:rPr>
          <w:rFonts w:ascii="Arial" w:cs="Arial" w:eastAsia="Arial" w:hAnsi="Arial"/>
          <w:sz w:val="19"/>
          <w:szCs w:val="19"/>
          <w:b w:val="1"/>
          <w:bCs w:val="1"/>
          <w:color w:val="auto"/>
        </w:rPr>
        <w:t>[Effective for grants made on or after October 31, 2006, the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04" w:right="299" w:bottom="1440" w:gutter="0" w:footer="0" w:header="0"/>
        </w:sectPr>
      </w:pPr>
    </w:p>
    <w:bookmarkStart w:id="20" w:name="page21"/>
    <w:bookmarkEnd w:id="20"/>
    <w:p>
      <w:pPr>
        <w:ind w:right="60"/>
        <w:spacing w:after="0" w:line="256" w:lineRule="auto"/>
        <w:rPr>
          <w:sz w:val="20"/>
          <w:szCs w:val="20"/>
          <w:color w:val="auto"/>
        </w:rPr>
      </w:pPr>
      <w:r>
        <w:rPr>
          <w:rFonts w:ascii="Arial" w:cs="Arial" w:eastAsia="Arial" w:hAnsi="Arial"/>
          <w:sz w:val="22"/>
          <w:szCs w:val="22"/>
          <w:b w:val="1"/>
          <w:bCs w:val="1"/>
          <w:color w:val="auto"/>
        </w:rPr>
        <w:t>sentence will read as follows: The fair market value per Share on the date of grant shall be the Market Price on the date of grant of such SAR.]</w:t>
      </w:r>
    </w:p>
    <w:p>
      <w:pPr>
        <w:spacing w:after="0" w:line="169" w:lineRule="exact"/>
        <w:rPr>
          <w:sz w:val="20"/>
          <w:szCs w:val="20"/>
          <w:color w:val="auto"/>
        </w:rPr>
      </w:pPr>
    </w:p>
    <w:p>
      <w:pPr>
        <w:ind w:firstLine="656"/>
        <w:spacing w:after="0" w:line="235" w:lineRule="auto"/>
        <w:tabs>
          <w:tab w:leader="none" w:pos="99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Exercise</w:t>
      </w:r>
      <w:r>
        <w:rPr>
          <w:rFonts w:ascii="Arial" w:cs="Arial" w:eastAsia="Arial" w:hAnsi="Arial"/>
          <w:sz w:val="22"/>
          <w:szCs w:val="22"/>
          <w:color w:val="auto"/>
        </w:rPr>
        <w:t xml:space="preserve">. An SAR Agreement may provide for exercise of an SAR by a Participant in such amounts and at such times as shall be specified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spacing w:after="0" w:line="215" w:lineRule="exact"/>
        <w:rPr>
          <w:rFonts w:ascii="Arial" w:cs="Arial" w:eastAsia="Arial" w:hAnsi="Arial"/>
          <w:sz w:val="22"/>
          <w:szCs w:val="22"/>
          <w:color w:val="auto"/>
        </w:rPr>
      </w:pPr>
    </w:p>
    <w:p>
      <w:pPr>
        <w:ind w:right="40" w:firstLine="656"/>
        <w:spacing w:after="0" w:line="275" w:lineRule="auto"/>
        <w:tabs>
          <w:tab w:leader="none" w:pos="100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General Exercise Period</w:t>
      </w:r>
      <w:r>
        <w:rPr>
          <w:rFonts w:ascii="Arial" w:cs="Arial" w:eastAsia="Arial" w:hAnsi="Arial"/>
          <w:sz w:val="19"/>
          <w:szCs w:val="19"/>
          <w:color w:val="auto"/>
        </w:rPr>
        <w:t>.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and if a person ceases to be an Employee during a Protected Period because of a termination of that person’s employment by the Company other than for Cause, all SARs held by such person shall become immediately exercisable as of the date of the Triggering Event.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spacing w:after="0" w:line="144" w:lineRule="exact"/>
        <w:rPr>
          <w:rFonts w:ascii="Arial" w:cs="Arial" w:eastAsia="Arial" w:hAnsi="Arial"/>
          <w:sz w:val="19"/>
          <w:szCs w:val="19"/>
          <w:color w:val="auto"/>
        </w:rPr>
      </w:pPr>
    </w:p>
    <w:p>
      <w:pPr>
        <w:ind w:firstLine="656"/>
        <w:spacing w:after="0" w:line="245" w:lineRule="auto"/>
        <w:tabs>
          <w:tab w:leader="none" w:pos="996"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Rights on Exercise</w:t>
      </w:r>
      <w:r>
        <w:rPr>
          <w:rFonts w:ascii="Arial" w:cs="Arial" w:eastAsia="Arial" w:hAnsi="Arial"/>
          <w:sz w:val="21"/>
          <w:szCs w:val="21"/>
          <w:color w:val="auto"/>
        </w:rPr>
        <w:t>.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 Value for such SAR as set forth in the applicable SAR Agreement, multiplied by the number of SARs exercised. However, the Company, as determined in the sole discretion of the Administrator, shall be entitled to elect to settle its obligation arising out of the exercise of an SAR by the payment of cash substantially equal to the aggregate Market Price on the Valuation Date of the Shares it would otherwise be obligated to deliver, or by the issuance of a combination of Shares and cash, in the proportions determined by the Administrator, substantially equal to the aggregate Market Price on the Valuation Date of the Shares the Company would otherwise be obligated to deliver.</w:t>
      </w:r>
    </w:p>
    <w:p>
      <w:pPr>
        <w:spacing w:after="0" w:line="185" w:lineRule="exact"/>
        <w:rPr>
          <w:rFonts w:ascii="Arial" w:cs="Arial" w:eastAsia="Arial" w:hAnsi="Arial"/>
          <w:sz w:val="21"/>
          <w:szCs w:val="21"/>
          <w:color w:val="auto"/>
        </w:rPr>
      </w:pPr>
    </w:p>
    <w:p>
      <w:pPr>
        <w:ind w:right="80" w:firstLine="656"/>
        <w:spacing w:after="0" w:line="251" w:lineRule="auto"/>
        <w:tabs>
          <w:tab w:leader="none" w:pos="97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Cessation of Employee Status</w:t>
      </w:r>
      <w:r>
        <w:rPr>
          <w:rFonts w:ascii="Arial" w:cs="Arial" w:eastAsia="Arial" w:hAnsi="Arial"/>
          <w:sz w:val="22"/>
          <w:szCs w:val="22"/>
          <w:color w:val="auto"/>
        </w:rPr>
        <w:t>. With respect to Participants who are Employees, except as determined otherwise by the Administrator at the time of grant:</w:t>
      </w:r>
    </w:p>
    <w:p>
      <w:pPr>
        <w:spacing w:after="0" w:line="173" w:lineRule="exact"/>
        <w:rPr>
          <w:rFonts w:ascii="Arial" w:cs="Arial" w:eastAsia="Arial" w:hAnsi="Arial"/>
          <w:sz w:val="22"/>
          <w:szCs w:val="22"/>
          <w:color w:val="auto"/>
        </w:rPr>
      </w:pPr>
    </w:p>
    <w:p>
      <w:pPr>
        <w:ind w:left="660" w:right="100" w:firstLine="645"/>
        <w:spacing w:after="0" w:line="236" w:lineRule="auto"/>
        <w:tabs>
          <w:tab w:leader="none" w:pos="1656" w:val="left"/>
        </w:tabs>
        <w:numPr>
          <w:ilvl w:val="1"/>
          <w:numId w:val="27"/>
        </w:numPr>
        <w:rPr>
          <w:rFonts w:ascii="Arial" w:cs="Arial" w:eastAsia="Arial" w:hAnsi="Arial"/>
          <w:sz w:val="22"/>
          <w:szCs w:val="22"/>
          <w:color w:val="auto"/>
        </w:rPr>
      </w:pPr>
      <w:r>
        <w:rPr>
          <w:rFonts w:ascii="Arial" w:cs="Arial" w:eastAsia="Arial" w:hAnsi="Arial"/>
          <w:sz w:val="22"/>
          <w:szCs w:val="22"/>
          <w:color w:val="auto"/>
        </w:rPr>
        <w:t xml:space="preserve">Any Participant who ceases to be an Employee due to retirement on or after such person’s normal retirement date (as defined in the Manpower Inc. Retirement Plan or any successor plan providing retirement benefits) or due to early retirement with the consent of the Administrator shall have three (3) years from the date of such cessation to exercise any SAR granted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SAR shall be exercisable subsequent to ten (10) years after its date of grant, and provided further that</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21" w:name="page22"/>
    <w:bookmarkEnd w:id="21"/>
    <w:p>
      <w:pPr>
        <w:spacing w:after="0"/>
        <w:rPr>
          <w:sz w:val="20"/>
          <w:szCs w:val="20"/>
          <w:color w:val="auto"/>
        </w:rPr>
      </w:pPr>
      <w:r>
        <w:rPr>
          <w:rFonts w:ascii="Arial" w:cs="Arial" w:eastAsia="Arial" w:hAnsi="Arial"/>
          <w:sz w:val="21"/>
          <w:szCs w:val="21"/>
          <w:color w:val="auto"/>
        </w:rPr>
        <w:t>on the date the Participant ceases to be an Employee, he or she then has a present right to exercise such SAR.</w:t>
      </w:r>
    </w:p>
    <w:p>
      <w:pPr>
        <w:spacing w:after="0" w:line="245" w:lineRule="exact"/>
        <w:rPr>
          <w:sz w:val="20"/>
          <w:szCs w:val="20"/>
          <w:color w:val="auto"/>
        </w:rPr>
      </w:pPr>
    </w:p>
    <w:p>
      <w:pPr>
        <w:ind w:right="80" w:firstLine="645"/>
        <w:spacing w:after="0" w:line="287" w:lineRule="auto"/>
        <w:tabs>
          <w:tab w:leader="none" w:pos="996"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Any Participant who ceases to be an Employee due to Disability shall have three (3) years from the date of such cessation to exercise any SAR granted hereunder to the extent such Participant then has a present right to exercise such SAR or would have become entitled to exercise such SAR had that person remained an Employee during such three-year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SAR shall be exercisable subsequent to ten (10) years after its date of grant.</w:t>
      </w:r>
    </w:p>
    <w:p>
      <w:pPr>
        <w:spacing w:after="0" w:line="170" w:lineRule="exact"/>
        <w:rPr>
          <w:rFonts w:ascii="Arial" w:cs="Arial" w:eastAsia="Arial" w:hAnsi="Arial"/>
          <w:sz w:val="19"/>
          <w:szCs w:val="19"/>
          <w:color w:val="auto"/>
        </w:rPr>
      </w:pPr>
    </w:p>
    <w:p>
      <w:pPr>
        <w:ind w:right="580" w:firstLine="645"/>
        <w:spacing w:after="0" w:line="251" w:lineRule="auto"/>
        <w:tabs>
          <w:tab w:leader="none" w:pos="1008"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the event of the death of an Employee while an Employee, any SAR granted to such Employee shall be exercisable:</w:t>
      </w:r>
    </w:p>
    <w:p>
      <w:pPr>
        <w:spacing w:after="0" w:line="200" w:lineRule="exact"/>
        <w:rPr>
          <w:rFonts w:ascii="Arial" w:cs="Arial" w:eastAsia="Arial" w:hAnsi="Arial"/>
          <w:sz w:val="22"/>
          <w:szCs w:val="22"/>
          <w:color w:val="auto"/>
        </w:rPr>
      </w:pPr>
    </w:p>
    <w:p>
      <w:pPr>
        <w:ind w:left="1700" w:hanging="407"/>
        <w:spacing w:after="0"/>
        <w:tabs>
          <w:tab w:leader="none" w:pos="17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for three (3) years after the Employee’s death, but in no event later than ten (10) years from its date of</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grant;</w:t>
      </w:r>
    </w:p>
    <w:p>
      <w:pPr>
        <w:spacing w:after="0" w:line="215" w:lineRule="exact"/>
        <w:rPr>
          <w:rFonts w:ascii="Arial" w:cs="Arial" w:eastAsia="Arial" w:hAnsi="Arial"/>
          <w:sz w:val="19"/>
          <w:szCs w:val="19"/>
          <w:color w:val="auto"/>
        </w:rPr>
      </w:pPr>
    </w:p>
    <w:p>
      <w:pPr>
        <w:ind w:left="640" w:right="120" w:firstLine="653"/>
        <w:spacing w:after="0" w:line="282" w:lineRule="auto"/>
        <w:tabs>
          <w:tab w:leader="none" w:pos="1684" w:val="left"/>
        </w:tabs>
        <w:numPr>
          <w:ilvl w:val="1"/>
          <w:numId w:val="28"/>
        </w:numPr>
        <w:rPr>
          <w:rFonts w:ascii="Arial" w:cs="Arial" w:eastAsia="Arial" w:hAnsi="Arial"/>
          <w:sz w:val="19"/>
          <w:szCs w:val="19"/>
          <w:color w:val="auto"/>
        </w:rPr>
      </w:pPr>
      <w:r>
        <w:rPr>
          <w:rFonts w:ascii="Arial" w:cs="Arial" w:eastAsia="Arial" w:hAnsi="Arial"/>
          <w:sz w:val="19"/>
          <w:szCs w:val="19"/>
          <w:color w:val="auto"/>
        </w:rPr>
        <w:t>only (1) by the deceased Employee’s designated beneficiary (such designation to be made in writing at such time and in such manner as the Administrator shall approve or prescribe), or, if the deceased Employee dies without a surviving designated beneficiary, (2) by the personal representative, administrator, or other representative of the estate of the deceased Employee, or by the person or persons to whom the deceased Employee’s rights under the SAR shall pass by will or the laws of descent and distribution; and</w:t>
      </w:r>
    </w:p>
    <w:p>
      <w:pPr>
        <w:spacing w:after="0" w:line="174" w:lineRule="exact"/>
        <w:rPr>
          <w:rFonts w:ascii="Arial" w:cs="Arial" w:eastAsia="Arial" w:hAnsi="Arial"/>
          <w:sz w:val="19"/>
          <w:szCs w:val="19"/>
          <w:color w:val="auto"/>
        </w:rPr>
      </w:pPr>
    </w:p>
    <w:p>
      <w:pPr>
        <w:ind w:left="640" w:right="360" w:firstLine="653"/>
        <w:spacing w:after="0"/>
        <w:tabs>
          <w:tab w:leader="none" w:pos="1684" w:val="left"/>
        </w:tabs>
        <w:numPr>
          <w:ilvl w:val="1"/>
          <w:numId w:val="28"/>
        </w:numPr>
        <w:rPr>
          <w:rFonts w:ascii="Arial" w:cs="Arial" w:eastAsia="Arial" w:hAnsi="Arial"/>
          <w:sz w:val="22"/>
          <w:szCs w:val="22"/>
          <w:color w:val="auto"/>
        </w:rPr>
      </w:pPr>
      <w:r>
        <w:rPr>
          <w:rFonts w:ascii="Arial" w:cs="Arial" w:eastAsia="Arial" w:hAnsi="Arial"/>
          <w:sz w:val="22"/>
          <w:szCs w:val="22"/>
          <w:color w:val="auto"/>
        </w:rPr>
        <w:t>only to the extent that the deceased Employee would have been entitled to exercise such SAR on the date of the Employee’s death or would have become entitled to exercise such SAR had the deceased Employee remained employed during such three-year period.</w:t>
      </w:r>
    </w:p>
    <w:p>
      <w:pPr>
        <w:spacing w:after="0" w:line="213" w:lineRule="exact"/>
        <w:rPr>
          <w:rFonts w:ascii="Arial" w:cs="Arial" w:eastAsia="Arial" w:hAnsi="Arial"/>
          <w:sz w:val="22"/>
          <w:szCs w:val="22"/>
          <w:color w:val="auto"/>
        </w:rPr>
      </w:pPr>
    </w:p>
    <w:p>
      <w:pPr>
        <w:ind w:right="60" w:firstLine="645"/>
        <w:spacing w:after="0" w:line="297" w:lineRule="auto"/>
        <w:tabs>
          <w:tab w:leader="none" w:pos="996"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 Employee or former Employee who holds an SAR who has designated a beneficiary for purposes of Subparagraph 9(f)(3)(B)(1), above, may change such designation at any time, by giving written notice to the Administrator, subject to such conditions and requirements as the Administrator may prescribe in accordance with applicable law.</w:t>
      </w:r>
    </w:p>
    <w:p>
      <w:pPr>
        <w:spacing w:after="0" w:line="161" w:lineRule="exact"/>
        <w:rPr>
          <w:rFonts w:ascii="Arial" w:cs="Arial" w:eastAsia="Arial" w:hAnsi="Arial"/>
          <w:sz w:val="19"/>
          <w:szCs w:val="19"/>
          <w:color w:val="auto"/>
        </w:rPr>
      </w:pPr>
    </w:p>
    <w:p>
      <w:pPr>
        <w:ind w:firstLine="645"/>
        <w:spacing w:after="0" w:line="247" w:lineRule="auto"/>
        <w:tabs>
          <w:tab w:leader="none" w:pos="1008"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If a Participant ceases to be an Employee for a reason other than those specified above, that Participant shall have eighteen (18) months from the date of such cessation to exercise any SAR granted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SAR shall be exercisable subsequent to ten (10) years after its date of grant, and provided further that on the date the person ceases to be an Employee, he or she then has a present right to exercise such SAR (except in the case of a Participant who ceases to be an Employee during a Protected Period because of a termination of that person’s employment by the Company other than for Cause). Notwithstanding the foregoing, if a person ceases to be an Employee because of a termination of employment for Cause, to the extent an SAR is</w:t>
      </w:r>
    </w:p>
    <w:p>
      <w:pPr>
        <w:spacing w:after="0" w:line="200" w:lineRule="exact"/>
        <w:rPr>
          <w:sz w:val="20"/>
          <w:szCs w:val="20"/>
          <w:color w:val="auto"/>
        </w:rPr>
      </w:pPr>
    </w:p>
    <w:p>
      <w:pPr>
        <w:spacing w:after="0" w:line="24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247650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604" w:right="259" w:bottom="1440" w:gutter="0" w:footer="0" w:header="0"/>
        </w:sectPr>
      </w:pPr>
    </w:p>
    <w:bookmarkStart w:id="22" w:name="page23"/>
    <w:bookmarkEnd w:id="22"/>
    <w:p>
      <w:pPr>
        <w:ind w:left="660"/>
        <w:spacing w:after="0"/>
        <w:rPr>
          <w:sz w:val="20"/>
          <w:szCs w:val="20"/>
          <w:color w:val="auto"/>
        </w:rPr>
      </w:pPr>
      <w:r>
        <w:rPr>
          <w:rFonts w:ascii="Arial" w:cs="Arial" w:eastAsia="Arial" w:hAnsi="Arial"/>
          <w:sz w:val="22"/>
          <w:szCs w:val="22"/>
          <w:color w:val="auto"/>
        </w:rPr>
        <w:t>not effectively exercised prior to such cessation, it shall lapse immediately upon such cessation.</w:t>
      </w:r>
    </w:p>
    <w:p>
      <w:pPr>
        <w:spacing w:after="0" w:line="233" w:lineRule="exact"/>
        <w:rPr>
          <w:sz w:val="20"/>
          <w:szCs w:val="20"/>
          <w:color w:val="auto"/>
        </w:rPr>
      </w:pPr>
    </w:p>
    <w:p>
      <w:pPr>
        <w:ind w:right="400" w:firstLine="656"/>
        <w:spacing w:after="0" w:line="297" w:lineRule="auto"/>
        <w:tabs>
          <w:tab w:leader="none" w:pos="1008"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Extension of Periods</w:t>
      </w:r>
      <w:r>
        <w:rPr>
          <w:rFonts w:ascii="Arial" w:cs="Arial" w:eastAsia="Arial" w:hAnsi="Arial"/>
          <w:sz w:val="19"/>
          <w:szCs w:val="19"/>
          <w:color w:val="auto"/>
        </w:rPr>
        <w:t xml:space="preserve">. The Administrator may in its sole discretion increase the periods permitted for exercise of an SAR if a person ceases to be an Employee as provided in Subparagraphs 9(f)(1), (2), (3) and (5), above, if allowable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no event shall an SAR be exercisable subsequent to ten (10) years after its date of grant.</w:t>
      </w:r>
    </w:p>
    <w:p>
      <w:pPr>
        <w:spacing w:after="0" w:line="161" w:lineRule="exact"/>
        <w:rPr>
          <w:rFonts w:ascii="Arial" w:cs="Arial" w:eastAsia="Arial" w:hAnsi="Arial"/>
          <w:sz w:val="19"/>
          <w:szCs w:val="19"/>
          <w:color w:val="auto"/>
        </w:rPr>
      </w:pPr>
    </w:p>
    <w:p>
      <w:pPr>
        <w:ind w:right="160" w:firstLine="656"/>
        <w:spacing w:after="0" w:line="275" w:lineRule="auto"/>
        <w:tabs>
          <w:tab w:leader="none" w:pos="1008"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 hall be subject to all terms and conditions of the Plan to the same extent as would the Participant.</w:t>
      </w:r>
    </w:p>
    <w:p>
      <w:pPr>
        <w:spacing w:after="0" w:line="179" w:lineRule="exact"/>
        <w:rPr>
          <w:rFonts w:ascii="Arial" w:cs="Arial" w:eastAsia="Arial" w:hAnsi="Arial"/>
          <w:sz w:val="19"/>
          <w:szCs w:val="19"/>
          <w:color w:val="auto"/>
        </w:rPr>
      </w:pPr>
    </w:p>
    <w:p>
      <w:pPr>
        <w:ind w:left="380" w:hanging="372"/>
        <w:spacing w:after="0"/>
        <w:tabs>
          <w:tab w:leader="none" w:pos="38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SHARE UNITS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Performance Share Units granted under this Plan shall be subject to such terms and conditions not inconsistent with the Plan as the Administrator shall determine, including the following:</w:t>
      </w:r>
    </w:p>
    <w:p>
      <w:pPr>
        <w:spacing w:after="0" w:line="200" w:lineRule="exact"/>
        <w:rPr>
          <w:sz w:val="20"/>
          <w:szCs w:val="20"/>
          <w:color w:val="auto"/>
        </w:rPr>
      </w:pPr>
    </w:p>
    <w:p>
      <w:pPr>
        <w:jc w:val="both"/>
        <w:ind w:firstLine="656"/>
        <w:spacing w:after="0" w:line="238" w:lineRule="auto"/>
        <w:tabs>
          <w:tab w:leader="none" w:pos="9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Grants</w:t>
      </w:r>
      <w:r>
        <w:rPr>
          <w:rFonts w:ascii="Arial" w:cs="Arial" w:eastAsia="Arial" w:hAnsi="Arial"/>
          <w:sz w:val="22"/>
          <w:szCs w:val="22"/>
          <w:color w:val="auto"/>
        </w:rPr>
        <w:t>. The terms of any grant of Performance Share Units shall be confirmed by the execution of a Performance Share Unit Agreement. The terms of any Performance Share Unit Agreement shall specify the target number of Performance Share Units established for the Participant, the applicable performance conditions, the performance period, and any vesting period applicable to the Award.</w:t>
      </w:r>
    </w:p>
    <w:p>
      <w:pPr>
        <w:spacing w:after="0" w:line="212" w:lineRule="exact"/>
        <w:rPr>
          <w:rFonts w:ascii="Arial" w:cs="Arial" w:eastAsia="Arial" w:hAnsi="Arial"/>
          <w:sz w:val="22"/>
          <w:szCs w:val="22"/>
          <w:color w:val="auto"/>
        </w:rPr>
      </w:pPr>
    </w:p>
    <w:p>
      <w:pPr>
        <w:ind w:firstLine="656"/>
        <w:spacing w:after="0" w:line="274" w:lineRule="auto"/>
        <w:tabs>
          <w:tab w:leader="none" w:pos="1008"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Performance Conditions</w:t>
      </w:r>
      <w:r>
        <w:rPr>
          <w:rFonts w:ascii="Arial" w:cs="Arial" w:eastAsia="Arial" w:hAnsi="Arial"/>
          <w:sz w:val="19"/>
          <w:szCs w:val="19"/>
          <w:color w:val="auto"/>
        </w:rPr>
        <w:t>. The Administrator shall set performance conditions based upon the achievement of specific performance objectives. The Administrator may also set vesting conditions based on the continued employment of a Participant who is an Employee or based on the continued service of a Participant who is a Director, which may or may not run concurrently with the performance period. For purposes of qualifying Performance Share Units as “performance-based compensation” under Section 162(m) of the Code, the Committee may set performance conditions based upon the achievement of Performance Goals. In such event, the Performance Goals shall be set by the Committee on or before the latest date permissible to enable the Performance Share Units to qualify as “performance-based compensation under Section 162(m) of the Code and the Committee shall follow any procedures determined b y it from time to time to be necessary or appropriate to ensure qualification of the Performance Share Units under Section 162(m) of the Code, including, without limitation, written certification by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4" w:right="259" w:bottom="1440" w:gutter="0" w:footer="0" w:header="0"/>
        </w:sectPr>
      </w:pPr>
    </w:p>
    <w:bookmarkStart w:id="23" w:name="page24"/>
    <w:bookmarkEnd w:id="23"/>
    <w:p>
      <w:pPr>
        <w:ind w:right="180"/>
        <w:spacing w:after="0" w:line="251" w:lineRule="auto"/>
        <w:rPr>
          <w:sz w:val="20"/>
          <w:szCs w:val="20"/>
          <w:color w:val="auto"/>
        </w:rPr>
      </w:pPr>
      <w:r>
        <w:rPr>
          <w:rFonts w:ascii="Arial" w:cs="Arial" w:eastAsia="Arial" w:hAnsi="Arial"/>
          <w:sz w:val="22"/>
          <w:szCs w:val="22"/>
          <w:color w:val="auto"/>
        </w:rPr>
        <w:t>the Committee that the performance objectives and other applicable conditions have been satisfied before any payment is made in respect of an Award of Performance Share Units.</w:t>
      </w:r>
    </w:p>
    <w:p>
      <w:pPr>
        <w:spacing w:after="0" w:line="200" w:lineRule="exact"/>
        <w:rPr>
          <w:sz w:val="20"/>
          <w:szCs w:val="20"/>
          <w:color w:val="auto"/>
        </w:rPr>
      </w:pPr>
    </w:p>
    <w:p>
      <w:pPr>
        <w:ind w:firstLine="656"/>
        <w:spacing w:after="0" w:line="271" w:lineRule="auto"/>
        <w:tabs>
          <w:tab w:leader="none" w:pos="99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Award Calculation and Payment</w:t>
      </w:r>
      <w:r>
        <w:rPr>
          <w:rFonts w:ascii="Arial" w:cs="Arial" w:eastAsia="Arial" w:hAnsi="Arial"/>
          <w:sz w:val="19"/>
          <w:szCs w:val="19"/>
          <w:color w:val="auto"/>
        </w:rPr>
        <w:t>. The actual number of Performance Share Units earned shall be determined at the end of the performance period, based on achievement of the applicable performance goals. Except as otherwise determined by the Administrator at the time of grant, Awards will be paid in Shares equal to the number of Performance Share Units that have been earned at the end of the performance period as of the later of: (1) the date the Administrator has approved and certified the number of Performance Share Units that have been earned, or (2) where applicable, the date any vesting period thereafter has been satisfied.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 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Notwithstanding the foregoing, if any grant of Performance Share Units to a Participant who is subject to U.S. federal income tax is nonqualified deferred compensation for purposes of Section 409A of the Code, Shares or cash shall only be distributed in a manner such that Section 409A of the Code will not cause the Participant to become subject to penalties and/or interest thereunder.</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ind w:right="100" w:firstLine="656"/>
        <w:spacing w:after="0" w:line="251" w:lineRule="auto"/>
        <w:tabs>
          <w:tab w:leader="none" w:pos="100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Cessation of Employee Status</w:t>
      </w:r>
      <w:r>
        <w:rPr>
          <w:rFonts w:ascii="Arial" w:cs="Arial" w:eastAsia="Arial" w:hAnsi="Arial"/>
          <w:sz w:val="22"/>
          <w:szCs w:val="22"/>
          <w:color w:val="auto"/>
        </w:rPr>
        <w:t>. With respect to Participants who are Employees, except as determined otherwise by the Administrator at the time of grant:</w:t>
      </w:r>
    </w:p>
    <w:p>
      <w:pPr>
        <w:spacing w:after="0" w:line="200" w:lineRule="exact"/>
        <w:rPr>
          <w:rFonts w:ascii="Arial" w:cs="Arial" w:eastAsia="Arial" w:hAnsi="Arial"/>
          <w:sz w:val="22"/>
          <w:szCs w:val="22"/>
          <w:color w:val="auto"/>
        </w:rPr>
      </w:pPr>
    </w:p>
    <w:p>
      <w:pPr>
        <w:ind w:left="660" w:right="160" w:firstLine="645"/>
        <w:spacing w:after="0" w:line="328" w:lineRule="auto"/>
        <w:tabs>
          <w:tab w:leader="none" w:pos="1668" w:val="left"/>
        </w:tabs>
        <w:numPr>
          <w:ilvl w:val="1"/>
          <w:numId w:val="32"/>
        </w:numPr>
        <w:rPr>
          <w:rFonts w:ascii="Arial" w:cs="Arial" w:eastAsia="Arial" w:hAnsi="Arial"/>
          <w:sz w:val="19"/>
          <w:szCs w:val="19"/>
          <w:color w:val="auto"/>
        </w:rPr>
      </w:pPr>
      <w:r>
        <w:rPr>
          <w:rFonts w:ascii="Arial" w:cs="Arial" w:eastAsia="Arial" w:hAnsi="Arial"/>
          <w:sz w:val="19"/>
          <w:szCs w:val="19"/>
          <w:color w:val="auto"/>
        </w:rPr>
        <w:t>If a Participant ceases to be an Employee for any reason, then except as provided in Subparagraphs (d)(2) and (e), below, all Performance Share Units held by such Participant that have not been earned and/or vested shall be forfeited.</w:t>
      </w:r>
    </w:p>
    <w:p>
      <w:pPr>
        <w:spacing w:after="0" w:line="132" w:lineRule="exact"/>
        <w:rPr>
          <w:rFonts w:ascii="Arial" w:cs="Arial" w:eastAsia="Arial" w:hAnsi="Arial"/>
          <w:sz w:val="19"/>
          <w:szCs w:val="19"/>
          <w:color w:val="auto"/>
        </w:rPr>
      </w:pPr>
    </w:p>
    <w:p>
      <w:pPr>
        <w:ind w:left="660" w:right="60" w:firstLine="645"/>
        <w:spacing w:after="0" w:line="238" w:lineRule="auto"/>
        <w:tabs>
          <w:tab w:leader="none" w:pos="1614" w:val="left"/>
        </w:tabs>
        <w:numPr>
          <w:ilvl w:val="1"/>
          <w:numId w:val="32"/>
        </w:numPr>
        <w:rPr>
          <w:rFonts w:ascii="Arial" w:cs="Arial" w:eastAsia="Arial" w:hAnsi="Arial"/>
          <w:sz w:val="22"/>
          <w:szCs w:val="22"/>
          <w:color w:val="auto"/>
        </w:rPr>
      </w:pPr>
      <w:r>
        <w:rPr>
          <w:rFonts w:ascii="Arial" w:cs="Arial" w:eastAsia="Arial" w:hAnsi="Arial"/>
          <w:sz w:val="22"/>
          <w:szCs w:val="22"/>
          <w:color w:val="auto"/>
        </w:rPr>
        <w:t>In the event a Participant ceases to be an Employee due to death or Disability, all Performance Share Units then held by the Participant that have not yet been earned and/or vested shall immediately become earned and vested to the same extent they would have otherwise been earned if 100% of the target performance condition had been achieved at the end of the performance period.</w:t>
      </w:r>
    </w:p>
    <w:p>
      <w:pPr>
        <w:spacing w:after="0" w:line="212" w:lineRule="exact"/>
        <w:rPr>
          <w:rFonts w:ascii="Arial" w:cs="Arial" w:eastAsia="Arial" w:hAnsi="Arial"/>
          <w:sz w:val="22"/>
          <w:szCs w:val="22"/>
          <w:color w:val="auto"/>
        </w:rPr>
      </w:pPr>
    </w:p>
    <w:p>
      <w:pPr>
        <w:ind w:right="60" w:firstLine="656"/>
        <w:spacing w:after="0" w:line="246" w:lineRule="auto"/>
        <w:tabs>
          <w:tab w:leader="none" w:pos="996"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Vesting on Triggering Event</w:t>
      </w:r>
      <w:r>
        <w:rPr>
          <w:rFonts w:ascii="Arial" w:cs="Arial" w:eastAsia="Arial" w:hAnsi="Arial"/>
          <w:sz w:val="21"/>
          <w:szCs w:val="21"/>
          <w:color w:val="auto"/>
        </w:rPr>
        <w:t>. Except as determined otherwise by the Administrator, notwithstanding anything to the contrary herein contained, upon the occurrence of a Triggering Event, any Performance Share Units then held by all Participants that have not yet been earned and/or vested shall immediately become earned and vested to the same extent they would have otherwise been earned if 100% of the target performance condition had been achieved at the end of the performance period. In addition, except as otherwise determined by the Administrator, in the case of any individual Employee, if that person ceases to be an Employee during a Protected Period because of a termination of such person’s employment by the Company other than for Cause, any Performance Share Units then held by such Participant that have not yet been earned and/or vested shall become earned and vested on the date of the Triggering Even t to the same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4" w:name="page25"/>
    <w:bookmarkEnd w:id="24"/>
    <w:p>
      <w:pPr>
        <w:ind w:right="420"/>
        <w:spacing w:after="0" w:line="251" w:lineRule="auto"/>
        <w:rPr>
          <w:sz w:val="20"/>
          <w:szCs w:val="20"/>
          <w:color w:val="auto"/>
        </w:rPr>
      </w:pPr>
      <w:r>
        <w:rPr>
          <w:rFonts w:ascii="Arial" w:cs="Arial" w:eastAsia="Arial" w:hAnsi="Arial"/>
          <w:sz w:val="22"/>
          <w:szCs w:val="22"/>
          <w:color w:val="auto"/>
        </w:rPr>
        <w:t>extent they would have otherwise been earned if 100% of the target performance condition had been achieved at the end of the performance period.</w:t>
      </w:r>
    </w:p>
    <w:p>
      <w:pPr>
        <w:spacing w:after="0" w:line="200" w:lineRule="exact"/>
        <w:rPr>
          <w:sz w:val="20"/>
          <w:szCs w:val="20"/>
          <w:color w:val="auto"/>
        </w:rPr>
      </w:pPr>
    </w:p>
    <w:p>
      <w:pPr>
        <w:ind w:firstLine="656"/>
        <w:spacing w:after="0" w:line="245" w:lineRule="auto"/>
        <w:tabs>
          <w:tab w:leader="none" w:pos="972"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xml:space="preserve">. Except as provided below, Performance Share Units may not be sold, assigned, conveyed, donated, pledged, transferred or otherwise disposed of or encumbered or subjected to execution, attachment, or similar process;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Shares distributed in respect of such Performance Share Units may be transferred in accordance with applicable securities laws. Any transfer, attempted transfer, or purported transfer of Performance Share Units by a Participant shall be null and void. A Participant shall have the right to transfer Performance Share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 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8" w:lineRule="exact"/>
        <w:rPr>
          <w:rFonts w:ascii="Arial" w:cs="Arial" w:eastAsia="Arial" w:hAnsi="Arial"/>
          <w:sz w:val="21"/>
          <w:szCs w:val="21"/>
          <w:color w:val="auto"/>
        </w:rPr>
      </w:pPr>
    </w:p>
    <w:p>
      <w:pPr>
        <w:ind w:right="100" w:firstLine="656"/>
        <w:spacing w:after="0" w:line="238" w:lineRule="auto"/>
        <w:tabs>
          <w:tab w:leader="none" w:pos="1008"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No Rights as Shareholders</w:t>
      </w:r>
      <w:r>
        <w:rPr>
          <w:rFonts w:ascii="Arial" w:cs="Arial" w:eastAsia="Arial" w:hAnsi="Arial"/>
          <w:sz w:val="22"/>
          <w:szCs w:val="22"/>
          <w:color w:val="auto"/>
        </w:rPr>
        <w:t>. No Participant shall have any interest in any fund or in any specific asset or assets of the Company by reason of any Performance Share Unit granted hereunder, nor any right to exercise any of the rights or privileges of a shareholder with respect to any Performance Share Units or any Shares distributable with respect to any Performance Share Units until such Shares are so distributed.</w:t>
      </w:r>
    </w:p>
    <w:p>
      <w:pPr>
        <w:spacing w:after="0" w:line="206" w:lineRule="exact"/>
        <w:rPr>
          <w:rFonts w:ascii="Arial" w:cs="Arial" w:eastAsia="Arial" w:hAnsi="Arial"/>
          <w:sz w:val="22"/>
          <w:szCs w:val="22"/>
          <w:color w:val="auto"/>
        </w:rPr>
      </w:pPr>
    </w:p>
    <w:p>
      <w:pPr>
        <w:ind w:left="380" w:hanging="372"/>
        <w:spacing w:after="0"/>
        <w:tabs>
          <w:tab w:leader="none" w:pos="3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DEFERRED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Deferred Stock granted under this Plan shall be subject to such terms and conditions not inconsistent with the Plan as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Administrator shall determine, including the following:</w:t>
      </w:r>
    </w:p>
    <w:p>
      <w:pPr>
        <w:spacing w:after="0" w:line="215" w:lineRule="exact"/>
        <w:rPr>
          <w:sz w:val="20"/>
          <w:szCs w:val="20"/>
          <w:color w:val="auto"/>
        </w:rPr>
      </w:pPr>
    </w:p>
    <w:p>
      <w:pPr>
        <w:ind w:left="1000" w:hanging="344"/>
        <w:spacing w:after="0"/>
        <w:tabs>
          <w:tab w:leader="none" w:pos="10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Grants</w:t>
      </w:r>
      <w:r>
        <w:rPr>
          <w:rFonts w:ascii="Arial" w:cs="Arial" w:eastAsia="Arial" w:hAnsi="Arial"/>
          <w:sz w:val="19"/>
          <w:szCs w:val="19"/>
          <w:color w:val="auto"/>
        </w:rPr>
        <w:t>. The terms of any grant of Deferred Stock shall be confirmed by the execution of a Deferred Stock Agreement.</w:t>
      </w:r>
    </w:p>
    <w:p>
      <w:pPr>
        <w:spacing w:after="0" w:line="240" w:lineRule="exact"/>
        <w:rPr>
          <w:rFonts w:ascii="Arial" w:cs="Arial" w:eastAsia="Arial" w:hAnsi="Arial"/>
          <w:sz w:val="19"/>
          <w:szCs w:val="19"/>
          <w:color w:val="auto"/>
        </w:rPr>
      </w:pPr>
    </w:p>
    <w:p>
      <w:pPr>
        <w:ind w:firstLine="656"/>
        <w:spacing w:after="0" w:line="273" w:lineRule="auto"/>
        <w:tabs>
          <w:tab w:leader="none" w:pos="100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Distributions of Shares</w:t>
      </w:r>
      <w:r>
        <w:rPr>
          <w:rFonts w:ascii="Arial" w:cs="Arial" w:eastAsia="Arial" w:hAnsi="Arial"/>
          <w:sz w:val="19"/>
          <w:szCs w:val="19"/>
          <w:color w:val="auto"/>
        </w:rPr>
        <w:t xml:space="preserve">. Each Participant who holds Deferred Stock shall be entitled to receive from the Company one Share for each share of Deferred Stock,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 e cash payment. Deferred Stock shall vest and Shares shall be distributed to the Participant in respect thereof at such time or times as determined by the Administrator at the time of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Shares shall be distributed in respect of Deferred Stock prior to the date on which such Deferred Stock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04" w:right="27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[Effective for grants made on or after January 1, 2005, this subparagraph 11(b) will read as follows:</w:t>
      </w:r>
    </w:p>
    <w:p>
      <w:pPr>
        <w:spacing w:after="0" w:line="239" w:lineRule="exact"/>
        <w:rPr>
          <w:sz w:val="20"/>
          <w:szCs w:val="20"/>
          <w:color w:val="auto"/>
        </w:rPr>
      </w:pPr>
    </w:p>
    <w:p>
      <w:pPr>
        <w:ind w:firstLine="656"/>
        <w:spacing w:after="0" w:line="272" w:lineRule="auto"/>
        <w:tabs>
          <w:tab w:leader="none" w:pos="100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Distributions of Shares</w:t>
      </w:r>
      <w:r>
        <w:rPr>
          <w:rFonts w:ascii="Arial" w:cs="Arial" w:eastAsia="Arial" w:hAnsi="Arial"/>
          <w:sz w:val="19"/>
          <w:szCs w:val="19"/>
          <w:color w:val="auto"/>
        </w:rPr>
        <w:t xml:space="preserve">. Each Participant who holds Deferred Stock shall be entitled to receive from the Company one Share for each share of Deferred Stock,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Participant who is subject to U.S. federal income tax, Shares or cash distributed in respect of Deferred Stock shall only be distributed in a manner such that Section 409A of the Code will not cause the Participant to become subject to penalties and/or interest thereunder;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Shares shall be distributed in respect of Deferred Stock prior to the date on which such Deferred Stock vests.</w:t>
      </w:r>
      <w:r>
        <w:rPr>
          <w:rFonts w:ascii="Arial" w:cs="Arial" w:eastAsia="Arial" w:hAnsi="Arial"/>
          <w:sz w:val="19"/>
          <w:szCs w:val="19"/>
          <w:b w:val="1"/>
          <w:bCs w:val="1"/>
          <w:color w:val="auto"/>
        </w:rPr>
        <w:t>]</w:t>
      </w:r>
    </w:p>
    <w:p>
      <w:pPr>
        <w:spacing w:after="0" w:line="161" w:lineRule="exact"/>
        <w:rPr>
          <w:rFonts w:ascii="Arial" w:cs="Arial" w:eastAsia="Arial" w:hAnsi="Arial"/>
          <w:sz w:val="19"/>
          <w:szCs w:val="19"/>
          <w:color w:val="auto"/>
        </w:rPr>
      </w:pPr>
    </w:p>
    <w:p>
      <w:pPr>
        <w:ind w:right="80" w:firstLine="656"/>
        <w:spacing w:after="0" w:line="251" w:lineRule="auto"/>
        <w:tabs>
          <w:tab w:leader="none" w:pos="996"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Cessation of Employee Status</w:t>
      </w:r>
      <w:r>
        <w:rPr>
          <w:rFonts w:ascii="Arial" w:cs="Arial" w:eastAsia="Arial" w:hAnsi="Arial"/>
          <w:sz w:val="22"/>
          <w:szCs w:val="22"/>
          <w:color w:val="auto"/>
        </w:rPr>
        <w:t>. With respect to Participants who are Employees, except as determined otherwise by the Administrator at the time of grant:</w:t>
      </w:r>
    </w:p>
    <w:p>
      <w:pPr>
        <w:spacing w:after="0" w:line="173" w:lineRule="exact"/>
        <w:rPr>
          <w:rFonts w:ascii="Arial" w:cs="Arial" w:eastAsia="Arial" w:hAnsi="Arial"/>
          <w:sz w:val="22"/>
          <w:szCs w:val="22"/>
          <w:color w:val="auto"/>
        </w:rPr>
      </w:pPr>
    </w:p>
    <w:p>
      <w:pPr>
        <w:ind w:left="660" w:right="120" w:firstLine="401"/>
        <w:spacing w:after="0" w:line="328" w:lineRule="auto"/>
        <w:tabs>
          <w:tab w:leader="none" w:pos="1425" w:val="left"/>
        </w:tabs>
        <w:numPr>
          <w:ilvl w:val="1"/>
          <w:numId w:val="36"/>
        </w:numPr>
        <w:rPr>
          <w:rFonts w:ascii="Arial" w:cs="Arial" w:eastAsia="Arial" w:hAnsi="Arial"/>
          <w:sz w:val="19"/>
          <w:szCs w:val="19"/>
          <w:color w:val="auto"/>
        </w:rPr>
      </w:pPr>
      <w:r>
        <w:rPr>
          <w:rFonts w:ascii="Arial" w:cs="Arial" w:eastAsia="Arial" w:hAnsi="Arial"/>
          <w:sz w:val="19"/>
          <w:szCs w:val="19"/>
          <w:color w:val="auto"/>
        </w:rPr>
        <w:t>If a Participant ceases to be an Employee for any reason, then except as provided in Subparagraphs (c)(2) and (d), below, all Deferred Stock held by such Participant on the date of termination that has not vested shall be forfeited.</w:t>
      </w:r>
    </w:p>
    <w:p>
      <w:pPr>
        <w:spacing w:after="0" w:line="105" w:lineRule="exact"/>
        <w:rPr>
          <w:rFonts w:ascii="Arial" w:cs="Arial" w:eastAsia="Arial" w:hAnsi="Arial"/>
          <w:sz w:val="19"/>
          <w:szCs w:val="19"/>
          <w:color w:val="auto"/>
        </w:rPr>
      </w:pPr>
    </w:p>
    <w:p>
      <w:pPr>
        <w:jc w:val="both"/>
        <w:ind w:left="660" w:right="80" w:firstLine="401"/>
        <w:spacing w:after="0" w:line="238" w:lineRule="auto"/>
        <w:tabs>
          <w:tab w:leader="none" w:pos="1425" w:val="left"/>
        </w:tabs>
        <w:numPr>
          <w:ilvl w:val="1"/>
          <w:numId w:val="36"/>
        </w:numPr>
        <w:rPr>
          <w:rFonts w:ascii="Arial" w:cs="Arial" w:eastAsia="Arial" w:hAnsi="Arial"/>
          <w:sz w:val="22"/>
          <w:szCs w:val="22"/>
          <w:color w:val="auto"/>
        </w:rPr>
      </w:pPr>
      <w:r>
        <w:rPr>
          <w:rFonts w:ascii="Arial" w:cs="Arial" w:eastAsia="Arial" w:hAnsi="Arial"/>
          <w:sz w:val="22"/>
          <w:szCs w:val="22"/>
          <w:color w:val="auto"/>
        </w:rPr>
        <w:t>In the event a Participant ceases to be an Employee on or after such person’s normal retirement date (as defined in the Manpower Inc. Retirement Plan or any successor plan providing retirement benefits) or due to early retirement with the consent of the Administrator, or due to death or Disability, all Deferred Stock then held by such Participant shall immediately vest.</w:t>
      </w:r>
    </w:p>
    <w:p>
      <w:pPr>
        <w:spacing w:after="0" w:line="185" w:lineRule="exact"/>
        <w:rPr>
          <w:rFonts w:ascii="Arial" w:cs="Arial" w:eastAsia="Arial" w:hAnsi="Arial"/>
          <w:sz w:val="22"/>
          <w:szCs w:val="22"/>
          <w:color w:val="auto"/>
        </w:rPr>
      </w:pPr>
    </w:p>
    <w:p>
      <w:pPr>
        <w:ind w:right="20" w:firstLine="656"/>
        <w:spacing w:after="0" w:line="282" w:lineRule="auto"/>
        <w:tabs>
          <w:tab w:leader="none" w:pos="100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Vesting on Triggering Event</w:t>
      </w:r>
      <w:r>
        <w:rPr>
          <w:rFonts w:ascii="Arial" w:cs="Arial" w:eastAsia="Arial" w:hAnsi="Arial"/>
          <w:sz w:val="19"/>
          <w:szCs w:val="19"/>
          <w:color w:val="auto"/>
        </w:rPr>
        <w:t>. Except as determined otherwise by the Administrator, notwithstanding anything to the contrary herein contained, upon the occurrence of a Triggering Event, all Deferred Stock then held by Participants shall immediately vest. In addition, except as otherwise determined by the Administrator, in the case of any individual Employee, if that person ceases to be an Employee during a Protected Period because of a termination of such person’s employment by the Company other than for Cause, all Deferred Stock then held by such Employee shall vest as of the date of the Triggering Event.</w:t>
      </w:r>
    </w:p>
    <w:p>
      <w:pPr>
        <w:spacing w:after="0" w:line="147" w:lineRule="exact"/>
        <w:rPr>
          <w:rFonts w:ascii="Arial" w:cs="Arial" w:eastAsia="Arial" w:hAnsi="Arial"/>
          <w:sz w:val="19"/>
          <w:szCs w:val="19"/>
          <w:color w:val="auto"/>
        </w:rPr>
      </w:pPr>
    </w:p>
    <w:p>
      <w:pPr>
        <w:ind w:right="220" w:firstLine="656"/>
        <w:spacing w:after="0" w:line="297" w:lineRule="auto"/>
        <w:tabs>
          <w:tab w:leader="none" w:pos="99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Except as provided below, Deferred Stock may not be sold, assigned, conveyed, donated, pledged, transferred or otherwise disposed of or encumbered or subjected to execution, attachment, or similar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Shares distributed in respect of such Deferred Stock may be transferred in accordance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057" w:right="279" w:bottom="1440" w:gutter="0" w:footer="0" w:header="0"/>
        </w:sectPr>
      </w:pPr>
    </w:p>
    <w:bookmarkStart w:id="26" w:name="page27"/>
    <w:bookmarkEnd w:id="26"/>
    <w:p>
      <w:pPr>
        <w:ind w:right="40"/>
        <w:spacing w:after="0" w:line="279" w:lineRule="auto"/>
        <w:rPr>
          <w:sz w:val="20"/>
          <w:szCs w:val="20"/>
          <w:color w:val="auto"/>
        </w:rPr>
      </w:pPr>
      <w:r>
        <w:rPr>
          <w:rFonts w:ascii="Arial" w:cs="Arial" w:eastAsia="Arial" w:hAnsi="Arial"/>
          <w:sz w:val="19"/>
          <w:szCs w:val="19"/>
          <w:color w:val="auto"/>
        </w:rPr>
        <w:t>Any transfer, attempted transfer, or purported transfer of Deferred Stock by a Participant shall be null and void.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51" w:lineRule="exact"/>
        <w:rPr>
          <w:sz w:val="20"/>
          <w:szCs w:val="20"/>
          <w:color w:val="auto"/>
        </w:rPr>
      </w:pPr>
    </w:p>
    <w:p>
      <w:pPr>
        <w:ind w:right="40" w:firstLine="656"/>
        <w:spacing w:after="0" w:line="238" w:lineRule="auto"/>
        <w:tabs>
          <w:tab w:leader="none" w:pos="97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No Rights as Shareholders</w:t>
      </w:r>
      <w:r>
        <w:rPr>
          <w:rFonts w:ascii="Arial" w:cs="Arial" w:eastAsia="Arial" w:hAnsi="Arial"/>
          <w:sz w:val="22"/>
          <w:szCs w:val="22"/>
          <w:color w:val="auto"/>
        </w:rPr>
        <w:t>. No Participant shall have any interest in any fund or in any specific asset or assets of the Company by reason of any Deferred Stock granted hereunder, nor any right to exercise any of the rights or privileges of a shareholder with respect to any Deferred Stock or any Shares distributable with respect to any Deferred Stock until such Shares are so distributed.</w:t>
      </w:r>
    </w:p>
    <w:p>
      <w:pPr>
        <w:spacing w:after="0" w:line="185" w:lineRule="exact"/>
        <w:rPr>
          <w:rFonts w:ascii="Arial" w:cs="Arial" w:eastAsia="Arial" w:hAnsi="Arial"/>
          <w:sz w:val="22"/>
          <w:szCs w:val="22"/>
          <w:color w:val="auto"/>
        </w:rPr>
      </w:pPr>
    </w:p>
    <w:p>
      <w:pPr>
        <w:ind w:firstLine="656"/>
        <w:spacing w:after="0" w:line="271" w:lineRule="auto"/>
        <w:tabs>
          <w:tab w:leader="none" w:pos="100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Dividends and Distributions</w:t>
      </w:r>
      <w:r>
        <w:rPr>
          <w:rFonts w:ascii="Arial" w:cs="Arial" w:eastAsia="Arial" w:hAnsi="Arial"/>
          <w:sz w:val="19"/>
          <w:szCs w:val="19"/>
          <w:color w:val="auto"/>
        </w:rPr>
        <w:t>. Except as otherwise provided by the Administrator at the time of grant, if a Participant holds Deferred Stock on the last day of any fiscal year of the Company, the Participant shall be granted as of such date a number of additional shares of Deferred Stock equal to the quotient of (i) the aggregate amount of dividends (or other distributions) which would have been received by the Participant during such fiscal year if the shares of Deferred Stock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Deferred Stock. Where a distribution of Shares to a Participant in respect of Deferred Stock in accordan ce with Subparagraph 11(b) above is made before the end of the Company’s fiscal year, a pro rata portion of any shares of Deferred Stock that would otherwise be granted to the Participant at the end of such fiscal year, but for the fact that the Participant will not continue to hold such shares of Deferred Stock at the end of such fiscal year, shall be paid to the Participant in Shares at the time such Shares are distributed to the Participant in connection with dividends and/or distributions paid during the year to shareholders of record before such distribution of Shares, if any. Additional shares of Deferred Stock granted under this Subparagraph 11(g) shall vest and be distributed on the same terms and in the same proportions as the shares of Deferred Stock held by a Participant as of the record date or distribution date shall vest.</w:t>
      </w:r>
    </w:p>
    <w:p>
      <w:pPr>
        <w:spacing w:after="0" w:line="192" w:lineRule="exact"/>
        <w:rPr>
          <w:rFonts w:ascii="Arial" w:cs="Arial" w:eastAsia="Arial" w:hAnsi="Arial"/>
          <w:sz w:val="19"/>
          <w:szCs w:val="19"/>
          <w:color w:val="auto"/>
        </w:rPr>
      </w:pPr>
    </w:p>
    <w:p>
      <w:pPr>
        <w:ind w:right="40" w:firstLine="656"/>
        <w:spacing w:after="0" w:line="328" w:lineRule="auto"/>
        <w:tabs>
          <w:tab w:leader="none" w:pos="100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Accelerated Distribution</w:t>
      </w:r>
      <w:r>
        <w:rPr>
          <w:rFonts w:ascii="Arial" w:cs="Arial" w:eastAsia="Arial" w:hAnsi="Arial"/>
          <w:sz w:val="19"/>
          <w:szCs w:val="19"/>
          <w:color w:val="auto"/>
        </w:rPr>
        <w:t>. Notwithstanding any other provision of the Plan, the Administrator may, at any time after Deferred Stock held by a Participant has vested, accelerate the time that Shares are distributed with respect to such Deferred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for grants made on or after January 1, 2005, this subparagraph 11(h) will read as follows:</w:t>
      </w:r>
    </w:p>
    <w:p>
      <w:pPr>
        <w:spacing w:after="0" w:line="239" w:lineRule="exact"/>
        <w:rPr>
          <w:sz w:val="20"/>
          <w:szCs w:val="20"/>
          <w:color w:val="auto"/>
        </w:rPr>
      </w:pPr>
    </w:p>
    <w:p>
      <w:pPr>
        <w:ind w:firstLine="656"/>
        <w:spacing w:after="0" w:line="251" w:lineRule="auto"/>
        <w:tabs>
          <w:tab w:leader="none" w:pos="1008"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Accelerated Distribution</w:t>
      </w:r>
      <w:r>
        <w:rPr>
          <w:rFonts w:ascii="Arial" w:cs="Arial" w:eastAsia="Arial" w:hAnsi="Arial"/>
          <w:sz w:val="22"/>
          <w:szCs w:val="22"/>
          <w:color w:val="auto"/>
        </w:rPr>
        <w:t>. The Administrator may not, at any time after Deferred Stock held by a Participant has vested, accelerate the time that Shares or cash are or is distributed</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04" w:right="279" w:bottom="1440" w:gutter="0" w:footer="0" w:header="0"/>
        </w:sectPr>
      </w:pPr>
    </w:p>
    <w:bookmarkStart w:id="27" w:name="page28"/>
    <w:bookmarkEnd w:id="27"/>
    <w:p>
      <w:pPr>
        <w:ind w:right="660"/>
        <w:spacing w:after="0" w:line="251" w:lineRule="auto"/>
        <w:rPr>
          <w:sz w:val="20"/>
          <w:szCs w:val="20"/>
          <w:color w:val="auto"/>
        </w:rPr>
      </w:pPr>
      <w:r>
        <w:rPr>
          <w:rFonts w:ascii="Arial" w:cs="Arial" w:eastAsia="Arial" w:hAnsi="Arial"/>
          <w:sz w:val="22"/>
          <w:szCs w:val="22"/>
          <w:color w:val="auto"/>
        </w:rPr>
        <w:t>with respect to such Deferred Stock, except where such an acceleration would not cause the Participant to become subject to penalties and/or interest under Section 409A of the Code.</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LAWS AND REGULATIONS</w:t>
      </w:r>
    </w:p>
    <w:p>
      <w:pPr>
        <w:spacing w:after="0" w:line="239" w:lineRule="exact"/>
        <w:rPr>
          <w:sz w:val="20"/>
          <w:szCs w:val="20"/>
          <w:color w:val="auto"/>
        </w:rPr>
      </w:pPr>
    </w:p>
    <w:p>
      <w:pPr>
        <w:ind w:right="40" w:firstLine="648"/>
        <w:spacing w:after="0" w:line="247" w:lineRule="auto"/>
        <w:rPr>
          <w:sz w:val="20"/>
          <w:szCs w:val="20"/>
          <w:color w:val="auto"/>
        </w:rPr>
      </w:pPr>
      <w:r>
        <w:rPr>
          <w:rFonts w:ascii="Arial" w:cs="Arial" w:eastAsia="Arial" w:hAnsi="Arial"/>
          <w:sz w:val="21"/>
          <w:szCs w:val="21"/>
          <w:color w:val="auto"/>
        </w:rPr>
        <w:t>Each Option Agreement, Restricted Stock Agreement, Restricted Stock Unit Agreement, Performance Share Unit Agreement, SAR Agreement or Deferred Stock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Participant of such documents and information as the Administrator may deem necessary or appropriate in connection with such registration or qualification.</w:t>
      </w:r>
    </w:p>
    <w:p>
      <w:pPr>
        <w:spacing w:after="0" w:line="199"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PROVISIONS</w:t>
      </w:r>
    </w:p>
    <w:p>
      <w:pPr>
        <w:spacing w:after="0" w:line="239" w:lineRule="exact"/>
        <w:rPr>
          <w:rFonts w:ascii="Arial" w:cs="Arial" w:eastAsia="Arial" w:hAnsi="Arial"/>
          <w:sz w:val="22"/>
          <w:szCs w:val="22"/>
          <w:b w:val="1"/>
          <w:bCs w:val="1"/>
          <w:color w:val="auto"/>
        </w:rPr>
      </w:pPr>
    </w:p>
    <w:p>
      <w:pPr>
        <w:ind w:right="40" w:firstLine="656"/>
        <w:spacing w:after="0" w:line="274" w:lineRule="auto"/>
        <w:tabs>
          <w:tab w:leader="none" w:pos="996"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Share Adjustments</w:t>
      </w:r>
      <w:r>
        <w:rPr>
          <w:rFonts w:ascii="Arial" w:cs="Arial" w:eastAsia="Arial" w:hAnsi="Arial"/>
          <w:sz w:val="19"/>
          <w:szCs w:val="19"/>
          <w:color w:val="auto"/>
        </w:rPr>
        <w:t>.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 of Shares of Restricted Stock then held by each Participant, the number of shares to which each then outstanding SAR relates, the number of shares to which each outstanding Award of Deferred Stock, Restricted Stock Unit or Performance Share Unit relates, the exercise price applicable to each outstanding Option and the Grant Value of each outstanding SAR shall be appropriately adjusted as determined by the Administrator.</w:t>
      </w:r>
    </w:p>
    <w:p>
      <w:pPr>
        <w:spacing w:after="0" w:line="185" w:lineRule="exact"/>
        <w:rPr>
          <w:rFonts w:ascii="Arial" w:cs="Arial" w:eastAsia="Arial" w:hAnsi="Arial"/>
          <w:sz w:val="19"/>
          <w:szCs w:val="19"/>
          <w:color w:val="auto"/>
        </w:rPr>
      </w:pPr>
    </w:p>
    <w:p>
      <w:pPr>
        <w:ind w:firstLine="656"/>
        <w:spacing w:after="0" w:line="279" w:lineRule="auto"/>
        <w:tabs>
          <w:tab w:leader="none" w:pos="1008"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Acquisitions</w:t>
      </w:r>
      <w:r>
        <w:rPr>
          <w:rFonts w:ascii="Arial" w:cs="Arial" w:eastAsia="Arial" w:hAnsi="Arial"/>
          <w:sz w:val="19"/>
          <w:szCs w:val="19"/>
          <w:color w:val="auto"/>
        </w:rPr>
        <w:t>.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Restricted Stock Units, SARs, Performance Share Units or Deferred Stock into cash and/or (3) the conversion of Awards into the right to receive securities of another person upon such terms and conditions as are determined by the Administrator in its discretion.</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right="80" w:firstLine="656"/>
        <w:spacing w:after="0" w:line="251" w:lineRule="auto"/>
        <w:tabs>
          <w:tab w:leader="none" w:pos="996"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Any adjustment, waiver, conversion or other action taken by the Administrator under this Paragraph 13 shall be conclusive and binding on all Participants.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28" w:name="page29"/>
    <w:bookmarkEnd w:id="28"/>
    <w:p>
      <w:pPr>
        <w:ind w:left="380" w:hanging="372"/>
        <w:spacing w:after="0"/>
        <w:tabs>
          <w:tab w:leader="none" w:pos="38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TAXES</w:t>
      </w:r>
    </w:p>
    <w:p>
      <w:pPr>
        <w:spacing w:after="0" w:line="171" w:lineRule="exact"/>
        <w:rPr>
          <w:rFonts w:ascii="Arial" w:cs="Arial" w:eastAsia="Arial" w:hAnsi="Arial"/>
          <w:sz w:val="22"/>
          <w:szCs w:val="22"/>
          <w:b w:val="1"/>
          <w:bCs w:val="1"/>
          <w:color w:val="auto"/>
        </w:rPr>
      </w:pPr>
    </w:p>
    <w:p>
      <w:pPr>
        <w:ind w:firstLine="656"/>
        <w:spacing w:after="0" w:line="277" w:lineRule="auto"/>
        <w:tabs>
          <w:tab w:leader="none" w:pos="996"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Options and SARs</w:t>
      </w:r>
      <w:r>
        <w:rPr>
          <w:rFonts w:ascii="Arial" w:cs="Arial" w:eastAsia="Arial" w:hAnsi="Arial"/>
          <w:sz w:val="19"/>
          <w:szCs w:val="19"/>
          <w:color w:val="auto"/>
        </w:rPr>
        <w:t>. The Company shall be entitled to pay and withhold from any amounts payable by the Company to a Participant the amount of any tax which it believes is 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value (based on the opening sale price per Share on the New York Stock Exchange on the date the Option or SAR is exercised) equal to the amount of the required withholding tax.</w:t>
      </w:r>
    </w:p>
    <w:p>
      <w:pPr>
        <w:spacing w:after="0" w:line="179" w:lineRule="exact"/>
        <w:rPr>
          <w:rFonts w:ascii="Arial" w:cs="Arial" w:eastAsia="Arial" w:hAnsi="Arial"/>
          <w:sz w:val="19"/>
          <w:szCs w:val="19"/>
          <w:color w:val="auto"/>
        </w:rPr>
      </w:pPr>
    </w:p>
    <w:p>
      <w:pPr>
        <w:ind w:right="160" w:firstLine="656"/>
        <w:spacing w:after="0" w:line="246" w:lineRule="auto"/>
        <w:tabs>
          <w:tab w:leader="none" w:pos="1008"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Restricted Stock</w:t>
      </w:r>
      <w:r>
        <w:rPr>
          <w:rFonts w:ascii="Arial" w:cs="Arial" w:eastAsia="Arial" w:hAnsi="Arial"/>
          <w:sz w:val="21"/>
          <w:szCs w:val="21"/>
          <w:color w:val="auto"/>
        </w:rPr>
        <w:t>. The Company shall be entitled to pay and withhold from any amounts payable by the Company to a Participant the amount of any tax which it believes is 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value (based on the opening sale price per Share on the New York Stock Exchange on the date the Shares are withheld) equal to the amount of the required withholding t ax.</w:t>
      </w:r>
    </w:p>
    <w:p>
      <w:pPr>
        <w:spacing w:after="0" w:line="207" w:lineRule="exact"/>
        <w:rPr>
          <w:rFonts w:ascii="Arial" w:cs="Arial" w:eastAsia="Arial" w:hAnsi="Arial"/>
          <w:sz w:val="21"/>
          <w:szCs w:val="21"/>
          <w:color w:val="auto"/>
        </w:rPr>
      </w:pPr>
    </w:p>
    <w:p>
      <w:pPr>
        <w:ind w:right="80" w:firstLine="656"/>
        <w:spacing w:after="0" w:line="273" w:lineRule="auto"/>
        <w:tabs>
          <w:tab w:leader="none" w:pos="996"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Restricted Stock Units, Performance Share Units and Deferred Stock</w:t>
      </w:r>
      <w:r>
        <w:rPr>
          <w:rFonts w:ascii="Arial" w:cs="Arial" w:eastAsia="Arial" w:hAnsi="Arial"/>
          <w:sz w:val="19"/>
          <w:szCs w:val="19"/>
          <w:color w:val="auto"/>
        </w:rPr>
        <w:t>. The Company shall be entitled to pay and withhold from any amounts payable by the Company to a Participant the amount of any tax which it believes is required as a result of the grant or vesting of any Restricted Stock Units, Performance Share Units or Deferred Stock or the distribution of any Shares or cash payments with respect to Restricted Stock Units, Performance Share Units or Deferred Stock, and the Company may defer making delivery of Shares with respect to Restricted Stock Units, Performance Share Units or Deferred Stock until arrangements satisfactory to the Administrator have been made with respect to any such withholding obligations. A Participant who holds Restricted Stock Units, Performance Share Units or Deferred Stock may, at his or her election, satisfy his or her obligation to pay the required withholding taxes by having t he Company withhold from the number of Shares distributable, if any, a number of Shares having an aggregate value (based on the opening sale price per Share on the New York Stock Exchange on the date the Shares are withheld) equal to the amount of the required withholding tax.</w:t>
      </w:r>
    </w:p>
    <w:p>
      <w:pPr>
        <w:spacing w:after="0" w:line="182" w:lineRule="exact"/>
        <w:rPr>
          <w:rFonts w:ascii="Arial" w:cs="Arial" w:eastAsia="Arial" w:hAnsi="Arial"/>
          <w:sz w:val="19"/>
          <w:szCs w:val="19"/>
          <w:color w:val="auto"/>
        </w:rPr>
      </w:pPr>
    </w:p>
    <w:p>
      <w:pPr>
        <w:ind w:left="380" w:hanging="372"/>
        <w:spacing w:after="0"/>
        <w:tabs>
          <w:tab w:leader="none" w:pos="38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 OF THE PLAN</w:t>
      </w:r>
    </w:p>
    <w:p>
      <w:pPr>
        <w:spacing w:after="0" w:line="239" w:lineRule="exact"/>
        <w:rPr>
          <w:sz w:val="20"/>
          <w:szCs w:val="20"/>
          <w:color w:val="auto"/>
        </w:rPr>
      </w:pPr>
    </w:p>
    <w:p>
      <w:pPr>
        <w:ind w:right="680" w:firstLine="648"/>
        <w:spacing w:after="0" w:line="274" w:lineRule="auto"/>
        <w:rPr>
          <w:sz w:val="20"/>
          <w:szCs w:val="20"/>
          <w:color w:val="auto"/>
        </w:rPr>
      </w:pPr>
      <w:r>
        <w:rPr>
          <w:rFonts w:ascii="Arial" w:cs="Arial" w:eastAsia="Arial" w:hAnsi="Arial"/>
          <w:sz w:val="21"/>
          <w:szCs w:val="21"/>
          <w:color w:val="auto"/>
        </w:rPr>
        <w:t>The Plan, as approved by the Company’s Executive Compensation Committee and Board of Directors, shall become effective as of the date of such approval, subject to ratification of the Plan by the vote of the shareholders.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41" w:right="259" w:bottom="1440" w:gutter="0" w:footer="0" w:header="0"/>
        </w:sectPr>
      </w:pPr>
    </w:p>
    <w:bookmarkStart w:id="29" w:name="page30"/>
    <w:bookmarkEnd w:id="29"/>
    <w:p>
      <w:pPr>
        <w:ind w:left="660"/>
        <w:spacing w:after="0"/>
        <w:rPr>
          <w:sz w:val="20"/>
          <w:szCs w:val="20"/>
          <w:color w:val="auto"/>
        </w:rPr>
      </w:pPr>
      <w:r>
        <w:rPr>
          <w:rFonts w:ascii="Arial" w:cs="Arial" w:eastAsia="Arial" w:hAnsi="Arial"/>
          <w:sz w:val="22"/>
          <w:szCs w:val="22"/>
          <w:b w:val="1"/>
          <w:bCs w:val="1"/>
          <w:color w:val="auto"/>
        </w:rPr>
        <w:t>16. TERMINATION AND AMENDMENT</w:t>
      </w:r>
    </w:p>
    <w:p>
      <w:pPr>
        <w:spacing w:after="0" w:line="239"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Unless the Plan shall theretofore have been terminated as hereinafter provided, no Award shall be granted after February 18, 2013. The Board of Directors of the Company may terminate the Plan or make such modifications or amendments thereof as it shall deem advisable, including, but not limited to, such modifications or amendments as it shall deem advisable in order to conform to any law or regulation applicable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 er-dealer quotation system on which the Shares are listed). Except to the extent necessary for Participants to avoid becoming subject to penalties and/or interest under Section 409A of the Code with respect to Awards that are treated as nonqualified deferred compensation thereunder, no termination, modification or amendment of the Plan may, without the consent of the Participant, adversely affect the rights of such Participant under an outstanding Award then held by the Participant.</w:t>
      </w:r>
    </w:p>
    <w:p>
      <w:pPr>
        <w:spacing w:after="0" w:line="214"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 xml:space="preserve">Except as otherwise provided in this Plan, the Administrator may amend an outstanding Award or any Stock Option Agreement, Restricted Stock Agreement, Restricted Stock Unit Agreement, SAR Agreement, Performance Share Agreement or Deferred Stock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Participant’s consent to such action shall be required unless the Administrator determines that the action, taking into account any related action, (i) would not materially and adversely affect the Participant or (ii) where applicable, is required in order for the Participant to avoid becoming subject to penalties and/or interest under Section 409A of the Code. The Administrator may also modify or amend the terms of any Award granted under the Plan for the purpose of complying with, or taking advantage of, income or other tax or legal requirements or practices of foreign countries which are applicable to Employees. However, no twithstanding any other provision of the Plan, the Administrator may not adjust or amend the exercise price of any outstanding Option or SAR, whether through amendment, cancellation and replacement grants, or any other means, except in accordance with Paragraph 13 of the Plan.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OTHER BENEFIT AND COMPENSATION PROGRAMS</w:t>
      </w:r>
    </w:p>
    <w:p>
      <w:pPr>
        <w:spacing w:after="0" w:line="239" w:lineRule="exact"/>
        <w:rPr>
          <w:sz w:val="20"/>
          <w:szCs w:val="20"/>
          <w:color w:val="auto"/>
        </w:rPr>
      </w:pPr>
    </w:p>
    <w:p>
      <w:pPr>
        <w:ind w:right="200" w:firstLine="648"/>
        <w:spacing w:after="0" w:line="282" w:lineRule="auto"/>
        <w:rPr>
          <w:sz w:val="20"/>
          <w:szCs w:val="20"/>
          <w:color w:val="auto"/>
        </w:rPr>
      </w:pPr>
      <w:r>
        <w:rPr>
          <w:rFonts w:ascii="Arial" w:cs="Arial" w:eastAsia="Arial" w:hAnsi="Arial"/>
          <w:sz w:val="19"/>
          <w:szCs w:val="19"/>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18. NO RIGHT TO EMPLOYMENT</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spacing w:after="0" w:line="200" w:lineRule="exact"/>
        <w:rPr>
          <w:sz w:val="20"/>
          <w:szCs w:val="20"/>
          <w:color w:val="auto"/>
        </w:rPr>
      </w:pPr>
    </w:p>
    <w:p>
      <w:pPr>
        <w:spacing w:after="0" w:line="36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240" w:top="828" w:right="81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22"/>
          <w:szCs w:val="22"/>
          <w:b w:val="1"/>
          <w:bCs w:val="1"/>
          <w:u w:val="single" w:color="auto"/>
          <w:color w:val="auto"/>
        </w:rPr>
        <w:t>SECTION A</w:t>
      </w:r>
    </w:p>
    <w:p>
      <w:pPr>
        <w:spacing w:after="0" w:line="233"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39" w:lineRule="exact"/>
        <w:rPr>
          <w:rFonts w:ascii="Arial" w:cs="Arial" w:eastAsia="Arial" w:hAnsi="Arial"/>
          <w:sz w:val="22"/>
          <w:szCs w:val="22"/>
          <w:b w:val="1"/>
          <w:bCs w:val="1"/>
          <w:color w:val="auto"/>
        </w:rPr>
      </w:pPr>
    </w:p>
    <w:p>
      <w:pPr>
        <w:ind w:right="120" w:firstLine="656"/>
        <w:spacing w:after="0" w:line="252" w:lineRule="auto"/>
        <w:tabs>
          <w:tab w:leader="none" w:pos="996" w:val="left"/>
        </w:tabs>
        <w:numPr>
          <w:ilvl w:val="1"/>
          <w:numId w:val="41"/>
        </w:numPr>
        <w:rPr>
          <w:rFonts w:ascii="Arial" w:cs="Arial" w:eastAsia="Arial" w:hAnsi="Arial"/>
          <w:sz w:val="21"/>
          <w:szCs w:val="21"/>
          <w:color w:val="auto"/>
        </w:rPr>
      </w:pPr>
      <w:r>
        <w:rPr>
          <w:rFonts w:ascii="Arial" w:cs="Arial" w:eastAsia="Arial" w:hAnsi="Arial"/>
          <w:sz w:val="21"/>
          <w:szCs w:val="21"/>
          <w:color w:val="auto"/>
        </w:rPr>
        <w:t>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Revenue is received by the Company.</w:t>
      </w:r>
    </w:p>
    <w:p>
      <w:pPr>
        <w:spacing w:after="0" w:line="201" w:lineRule="exact"/>
        <w:rPr>
          <w:rFonts w:ascii="Arial" w:cs="Arial" w:eastAsia="Arial" w:hAnsi="Arial"/>
          <w:sz w:val="21"/>
          <w:szCs w:val="21"/>
          <w:color w:val="auto"/>
        </w:rPr>
      </w:pPr>
    </w:p>
    <w:p>
      <w:pPr>
        <w:ind w:left="1020" w:hanging="364"/>
        <w:spacing w:after="0"/>
        <w:tabs>
          <w:tab w:leader="none" w:pos="1020" w:val="left"/>
        </w:tabs>
        <w:numPr>
          <w:ilvl w:val="1"/>
          <w:numId w:val="41"/>
        </w:numPr>
        <w:rPr>
          <w:rFonts w:ascii="Arial" w:cs="Arial" w:eastAsia="Arial" w:hAnsi="Arial"/>
          <w:sz w:val="22"/>
          <w:szCs w:val="22"/>
          <w:color w:val="auto"/>
        </w:rPr>
      </w:pPr>
      <w:r>
        <w:rPr>
          <w:rFonts w:ascii="Arial" w:cs="Arial" w:eastAsia="Arial" w:hAnsi="Arial"/>
          <w:sz w:val="22"/>
          <w:szCs w:val="22"/>
          <w:color w:val="auto"/>
        </w:rPr>
        <w:t>SARs shall not be granted to Employees under the Scheme.</w:t>
      </w:r>
    </w:p>
    <w:p>
      <w:pPr>
        <w:spacing w:after="0" w:line="233" w:lineRule="exact"/>
        <w:rPr>
          <w:rFonts w:ascii="Arial" w:cs="Arial" w:eastAsia="Arial" w:hAnsi="Arial"/>
          <w:sz w:val="22"/>
          <w:szCs w:val="22"/>
          <w:color w:val="auto"/>
        </w:rPr>
      </w:pPr>
    </w:p>
    <w:p>
      <w:pPr>
        <w:ind w:right="560" w:firstLine="656"/>
        <w:spacing w:after="0" w:line="251" w:lineRule="auto"/>
        <w:tabs>
          <w:tab w:leader="none" w:pos="996" w:val="left"/>
        </w:tabs>
        <w:numPr>
          <w:ilvl w:val="1"/>
          <w:numId w:val="41"/>
        </w:numPr>
        <w:rPr>
          <w:rFonts w:ascii="Arial" w:cs="Arial" w:eastAsia="Arial" w:hAnsi="Arial"/>
          <w:sz w:val="22"/>
          <w:szCs w:val="22"/>
          <w:color w:val="auto"/>
        </w:rPr>
      </w:pPr>
      <w:r>
        <w:rPr>
          <w:rFonts w:ascii="Arial" w:cs="Arial" w:eastAsia="Arial" w:hAnsi="Arial"/>
          <w:sz w:val="22"/>
          <w:szCs w:val="22"/>
          <w:color w:val="auto"/>
        </w:rPr>
        <w:t>Neither Restricted Stock, Restricted Stock Units, Performance Share Units nor Deferred Stock shall be granted to Employees under the Scheme.</w:t>
      </w:r>
    </w:p>
    <w:p>
      <w:pPr>
        <w:spacing w:after="0" w:line="194" w:lineRule="exact"/>
        <w:rPr>
          <w:rFonts w:ascii="Arial" w:cs="Arial" w:eastAsia="Arial" w:hAnsi="Arial"/>
          <w:sz w:val="22"/>
          <w:szCs w:val="22"/>
          <w:color w:val="auto"/>
        </w:rPr>
      </w:pPr>
    </w:p>
    <w:p>
      <w:pPr>
        <w:ind w:left="280" w:hanging="272"/>
        <w:spacing w:after="0"/>
        <w:tabs>
          <w:tab w:leader="none" w:pos="2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In this Scheme the following words and expressions have the following meanings except where the context otherwise requires:</w:t>
      </w:r>
    </w:p>
    <w:p>
      <w:pPr>
        <w:spacing w:after="0" w:line="200" w:lineRule="exact"/>
        <w:rPr>
          <w:sz w:val="20"/>
          <w:szCs w:val="20"/>
          <w:color w:val="auto"/>
        </w:rPr>
      </w:pPr>
    </w:p>
    <w:p>
      <w:pPr>
        <w:ind w:left="1000" w:hanging="344"/>
        <w:spacing w:after="0"/>
        <w:tabs>
          <w:tab w:leader="none" w:pos="10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“Act” shall mean the Income Tax (Earnings and Pensions) Act 2003.</w:t>
      </w:r>
    </w:p>
    <w:p>
      <w:pPr>
        <w:spacing w:after="0" w:line="233" w:lineRule="exact"/>
        <w:rPr>
          <w:rFonts w:ascii="Arial" w:cs="Arial" w:eastAsia="Arial" w:hAnsi="Arial"/>
          <w:sz w:val="22"/>
          <w:szCs w:val="22"/>
          <w:color w:val="auto"/>
        </w:rPr>
      </w:pPr>
    </w:p>
    <w:p>
      <w:pPr>
        <w:ind w:left="1020" w:hanging="364"/>
        <w:spacing w:after="0"/>
        <w:tabs>
          <w:tab w:leader="none" w:pos="10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“Approval” shall mean approval under Schedule 4.</w:t>
      </w:r>
    </w:p>
    <w:p>
      <w:pPr>
        <w:spacing w:after="0" w:line="233" w:lineRule="exact"/>
        <w:rPr>
          <w:rFonts w:ascii="Arial" w:cs="Arial" w:eastAsia="Arial" w:hAnsi="Arial"/>
          <w:sz w:val="22"/>
          <w:szCs w:val="22"/>
          <w:color w:val="auto"/>
        </w:rPr>
      </w:pPr>
    </w:p>
    <w:p>
      <w:pPr>
        <w:ind w:right="400" w:firstLine="656"/>
        <w:spacing w:after="0" w:line="251" w:lineRule="auto"/>
        <w:tabs>
          <w:tab w:leader="none" w:pos="99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“Approved Scheme” shall mean a share option scheme, other than a savings-related share option scheme, approved under Schedule 4.</w:t>
      </w:r>
    </w:p>
    <w:p>
      <w:pPr>
        <w:spacing w:after="0" w:line="200" w:lineRule="exact"/>
        <w:rPr>
          <w:rFonts w:ascii="Arial" w:cs="Arial" w:eastAsia="Arial" w:hAnsi="Arial"/>
          <w:sz w:val="22"/>
          <w:szCs w:val="22"/>
          <w:color w:val="auto"/>
        </w:rPr>
      </w:pPr>
    </w:p>
    <w:p>
      <w:pPr>
        <w:ind w:right="320" w:firstLine="656"/>
        <w:spacing w:after="0" w:line="251" w:lineRule="auto"/>
        <w:tabs>
          <w:tab w:leader="none" w:pos="1008" w:val="left"/>
        </w:tabs>
        <w:numPr>
          <w:ilvl w:val="0"/>
          <w:numId w:val="42"/>
        </w:numPr>
        <w:rPr>
          <w:rFonts w:ascii="Arial" w:cs="Arial" w:eastAsia="Arial" w:hAnsi="Arial"/>
          <w:sz w:val="22"/>
          <w:szCs w:val="22"/>
          <w:color w:val="auto"/>
        </w:rPr>
      </w:pPr>
      <w:r>
        <w:rPr>
          <w:rFonts w:ascii="Arial" w:cs="Arial" w:eastAsia="Arial" w:hAnsi="Arial"/>
          <w:sz w:val="22"/>
          <w:szCs w:val="22"/>
          <w:color w:val="auto"/>
        </w:rPr>
        <w:t>“Employee” shall mean any employee of the Company or its Subsidiaries, provided that no person who is precluded from participating in the Scheme by paragraph 9 of Schedule 4 shall be regarded as an Employee.</w:t>
      </w:r>
    </w:p>
    <w:p>
      <w:pPr>
        <w:spacing w:after="0" w:line="159" w:lineRule="exact"/>
        <w:rPr>
          <w:rFonts w:ascii="Arial" w:cs="Arial" w:eastAsia="Arial" w:hAnsi="Arial"/>
          <w:sz w:val="22"/>
          <w:szCs w:val="22"/>
          <w:color w:val="auto"/>
        </w:rPr>
      </w:pPr>
    </w:p>
    <w:p>
      <w:pPr>
        <w:ind w:firstLine="656"/>
        <w:spacing w:after="0" w:line="282" w:lineRule="auto"/>
        <w:tabs>
          <w:tab w:leader="none" w:pos="99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“Exercise Price” shall mean the Market Price as defined in Paragraph 2(p) of the Main Plan (save that the proviso to that Paragraph 2(p) shall not apply) on the date of grant of an Option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Revenue Shares and Assets Valuation, provided that the Exercise Price shall not be less than the par value of a Share.</w:t>
      </w:r>
    </w:p>
    <w:p>
      <w:pPr>
        <w:spacing w:after="0" w:line="174" w:lineRule="exact"/>
        <w:rPr>
          <w:rFonts w:ascii="Arial" w:cs="Arial" w:eastAsia="Arial" w:hAnsi="Arial"/>
          <w:sz w:val="19"/>
          <w:szCs w:val="19"/>
          <w:color w:val="auto"/>
        </w:rPr>
      </w:pPr>
    </w:p>
    <w:p>
      <w:pPr>
        <w:ind w:right="300" w:firstLine="656"/>
        <w:spacing w:after="0" w:line="297" w:lineRule="auto"/>
        <w:tabs>
          <w:tab w:leader="none" w:pos="918" w:val="left"/>
        </w:tabs>
        <w:numPr>
          <w:ilvl w:val="0"/>
          <w:numId w:val="42"/>
        </w:numPr>
        <w:rPr>
          <w:rFonts w:ascii="Arial" w:cs="Arial" w:eastAsia="Arial" w:hAnsi="Arial"/>
          <w:sz w:val="19"/>
          <w:szCs w:val="19"/>
          <w:color w:val="auto"/>
        </w:rPr>
      </w:pPr>
      <w:r>
        <w:rPr>
          <w:rFonts w:ascii="Arial" w:cs="Arial" w:eastAsia="Arial" w:hAnsi="Arial"/>
          <w:sz w:val="19"/>
          <w:szCs w:val="19"/>
          <w:color w:val="auto"/>
        </w:rPr>
        <w:t>“PAYE Liability” shall mean the amount of any taxes and/or primary class 1 national insurance contributions or other social security taxes which the Company or any of its Subsidiaries would be required to account for to the Revenue or other taxation authority by reference to the exercise of an Option and, if so required by and agreed with the Company, any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057" w:right="279" w:bottom="1440" w:gutter="0" w:footer="0" w:header="0"/>
        </w:sectPr>
      </w:pPr>
    </w:p>
    <w:bookmarkStart w:id="32" w:name="page33"/>
    <w:bookmarkEnd w:id="32"/>
    <w:p>
      <w:pPr>
        <w:ind w:right="200"/>
        <w:spacing w:after="0" w:line="251" w:lineRule="auto"/>
        <w:rPr>
          <w:sz w:val="20"/>
          <w:szCs w:val="20"/>
          <w:color w:val="auto"/>
        </w:rPr>
      </w:pPr>
      <w:r>
        <w:rPr>
          <w:rFonts w:ascii="Arial" w:cs="Arial" w:eastAsia="Arial" w:hAnsi="Arial"/>
          <w:sz w:val="22"/>
          <w:szCs w:val="22"/>
          <w:color w:val="auto"/>
        </w:rPr>
        <w:t>secondary class 1 national insurance contributions which the Company or any of its Subsidiaries would be required to account for to the Revenue on exercise of an Option.</w:t>
      </w:r>
    </w:p>
    <w:p>
      <w:pPr>
        <w:spacing w:after="0" w:line="200" w:lineRule="exact"/>
        <w:rPr>
          <w:sz w:val="20"/>
          <w:szCs w:val="20"/>
          <w:color w:val="auto"/>
        </w:rPr>
      </w:pPr>
    </w:p>
    <w:p>
      <w:pPr>
        <w:ind w:left="1020" w:hanging="364"/>
        <w:spacing w:after="0"/>
        <w:tabs>
          <w:tab w:leader="none" w:pos="10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“Redundancy” shall mean dismissal by reason of redundancy within the meaning of the Employment Rights Act 1996.</w:t>
      </w:r>
    </w:p>
    <w:p>
      <w:pPr>
        <w:spacing w:after="0" w:line="267" w:lineRule="exact"/>
        <w:rPr>
          <w:rFonts w:ascii="Arial" w:cs="Arial" w:eastAsia="Arial" w:hAnsi="Arial"/>
          <w:sz w:val="19"/>
          <w:szCs w:val="19"/>
          <w:color w:val="auto"/>
        </w:rPr>
      </w:pPr>
    </w:p>
    <w:p>
      <w:pPr>
        <w:ind w:left="1020" w:hanging="364"/>
        <w:spacing w:after="0"/>
        <w:tabs>
          <w:tab w:leader="none" w:pos="10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“Revenue” shall mean Her Majesty’s Revenue and Customs.</w:t>
      </w:r>
    </w:p>
    <w:p>
      <w:pPr>
        <w:spacing w:after="0" w:line="233" w:lineRule="exact"/>
        <w:rPr>
          <w:rFonts w:ascii="Arial" w:cs="Arial" w:eastAsia="Arial" w:hAnsi="Arial"/>
          <w:sz w:val="22"/>
          <w:szCs w:val="22"/>
          <w:color w:val="auto"/>
        </w:rPr>
      </w:pPr>
    </w:p>
    <w:p>
      <w:pPr>
        <w:ind w:right="420" w:firstLine="656"/>
        <w:spacing w:after="0" w:line="251" w:lineRule="auto"/>
        <w:tabs>
          <w:tab w:leader="none" w:pos="9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“Revenue Limit” shall mean £30,000 or such other amount as may from time to time be the appropriate limit for the purpose of paragraph 6(1) of Schedule 4.</w:t>
      </w:r>
    </w:p>
    <w:p>
      <w:pPr>
        <w:spacing w:after="0" w:line="200" w:lineRule="exact"/>
        <w:rPr>
          <w:rFonts w:ascii="Arial" w:cs="Arial" w:eastAsia="Arial" w:hAnsi="Arial"/>
          <w:sz w:val="22"/>
          <w:szCs w:val="22"/>
          <w:color w:val="auto"/>
        </w:rPr>
      </w:pPr>
    </w:p>
    <w:p>
      <w:pPr>
        <w:ind w:left="960" w:hanging="304"/>
        <w:spacing w:after="0"/>
        <w:tabs>
          <w:tab w:leader="none" w:pos="9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“Schedule 4” shall mean Schedule 4 to the Act.</w:t>
      </w:r>
    </w:p>
    <w:p>
      <w:pPr>
        <w:spacing w:after="0" w:line="233" w:lineRule="exact"/>
        <w:rPr>
          <w:rFonts w:ascii="Arial" w:cs="Arial" w:eastAsia="Arial" w:hAnsi="Arial"/>
          <w:sz w:val="22"/>
          <w:szCs w:val="22"/>
          <w:color w:val="auto"/>
        </w:rPr>
      </w:pPr>
    </w:p>
    <w:p>
      <w:pPr>
        <w:ind w:right="240" w:firstLine="656"/>
        <w:spacing w:after="0" w:line="251" w:lineRule="auto"/>
        <w:tabs>
          <w:tab w:leader="none" w:pos="1008" w:val="left"/>
        </w:tabs>
        <w:numPr>
          <w:ilvl w:val="0"/>
          <w:numId w:val="43"/>
        </w:numPr>
        <w:rPr>
          <w:rFonts w:ascii="Arial" w:cs="Arial" w:eastAsia="Arial" w:hAnsi="Arial"/>
          <w:sz w:val="22"/>
          <w:szCs w:val="22"/>
          <w:color w:val="auto"/>
        </w:rPr>
      </w:pPr>
      <w:r>
        <w:rPr>
          <w:rFonts w:ascii="Arial" w:cs="Arial" w:eastAsia="Arial" w:hAnsi="Arial"/>
          <w:sz w:val="22"/>
          <w:szCs w:val="22"/>
          <w:color w:val="auto"/>
        </w:rPr>
        <w:t>“Share” shall mean $0.01 par value common stock of the Company which satisfies the conditions of paragraphs 15 to 20 of Schedule 4.</w:t>
      </w:r>
    </w:p>
    <w:p>
      <w:pPr>
        <w:spacing w:after="0" w:line="200" w:lineRule="exact"/>
        <w:rPr>
          <w:rFonts w:ascii="Arial" w:cs="Arial" w:eastAsia="Arial" w:hAnsi="Arial"/>
          <w:sz w:val="22"/>
          <w:szCs w:val="22"/>
          <w:color w:val="auto"/>
        </w:rPr>
      </w:pPr>
    </w:p>
    <w:p>
      <w:pPr>
        <w:ind w:right="480" w:firstLine="656"/>
        <w:spacing w:after="0" w:line="251" w:lineRule="auto"/>
        <w:tabs>
          <w:tab w:leader="none" w:pos="9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“Subsidiary” shall mean a company which is for the time being a subsidiary of the Company within the meaning of Section 1159 of the Companies Act 2006.</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Other words or expressions, so far as not inconsistent with the context, have the same meanings as in Schedule 4.</w:t>
      </w:r>
    </w:p>
    <w:p>
      <w:pPr>
        <w:spacing w:after="0" w:line="24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Any reference to a statutory provision shall be deemed to include that provision as the same may from time to time hereafter be amended or re-enacted.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LIMITS</w:t>
      </w:r>
    </w:p>
    <w:p>
      <w:pPr>
        <w:spacing w:after="0" w:line="23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9"/>
          <w:szCs w:val="19"/>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spacing w:after="0" w:line="169"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TERMS OF OPTIONS</w:t>
      </w:r>
    </w:p>
    <w:p>
      <w:pPr>
        <w:spacing w:after="0" w:line="239" w:lineRule="exact"/>
        <w:rPr>
          <w:rFonts w:ascii="Arial" w:cs="Arial" w:eastAsia="Arial" w:hAnsi="Arial"/>
          <w:sz w:val="22"/>
          <w:szCs w:val="22"/>
          <w:b w:val="1"/>
          <w:bCs w:val="1"/>
          <w:color w:val="auto"/>
        </w:rPr>
      </w:pPr>
    </w:p>
    <w:p>
      <w:pPr>
        <w:ind w:right="180" w:firstLine="656"/>
        <w:spacing w:after="0"/>
        <w:tabs>
          <w:tab w:leader="none" w:pos="996" w:val="left"/>
        </w:tabs>
        <w:numPr>
          <w:ilvl w:val="1"/>
          <w:numId w:val="44"/>
        </w:numPr>
        <w:rPr>
          <w:rFonts w:ascii="Arial" w:cs="Arial" w:eastAsia="Arial" w:hAnsi="Arial"/>
          <w:sz w:val="22"/>
          <w:szCs w:val="22"/>
          <w:color w:val="auto"/>
        </w:rPr>
      </w:pPr>
      <w:r>
        <w:rPr>
          <w:rFonts w:ascii="Arial" w:cs="Arial" w:eastAsia="Arial" w:hAnsi="Arial"/>
          <w:sz w:val="22"/>
          <w:szCs w:val="22"/>
          <w:color w:val="auto"/>
        </w:rPr>
        <w:t>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spacing w:after="0" w:line="213" w:lineRule="exact"/>
        <w:rPr>
          <w:rFonts w:ascii="Arial" w:cs="Arial" w:eastAsia="Arial" w:hAnsi="Arial"/>
          <w:sz w:val="22"/>
          <w:szCs w:val="22"/>
          <w:color w:val="auto"/>
        </w:rPr>
      </w:pPr>
    </w:p>
    <w:p>
      <w:pPr>
        <w:ind w:right="140" w:firstLine="656"/>
        <w:spacing w:after="0" w:line="251" w:lineRule="auto"/>
        <w:tabs>
          <w:tab w:leader="none" w:pos="996"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 Option granted under the Scheme shall not be exercised by a Holder at any time when he is ineligible to participate by virtue of paragraph 9 of Schedule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33" w:name="page34"/>
    <w:bookmarkEnd w:id="33"/>
    <w:p>
      <w:pPr>
        <w:ind w:right="200" w:firstLine="656"/>
        <w:spacing w:after="0" w:line="258" w:lineRule="auto"/>
        <w:tabs>
          <w:tab w:leader="none" w:pos="984" w:val="left"/>
        </w:tabs>
        <w:numPr>
          <w:ilvl w:val="0"/>
          <w:numId w:val="45"/>
        </w:numPr>
        <w:rPr>
          <w:rFonts w:ascii="Arial" w:cs="Arial" w:eastAsia="Arial" w:hAnsi="Arial"/>
          <w:sz w:val="21"/>
          <w:szCs w:val="21"/>
          <w:color w:val="auto"/>
        </w:rPr>
      </w:pPr>
      <w:r>
        <w:rPr>
          <w:rFonts w:ascii="Arial" w:cs="Arial" w:eastAsia="Arial" w:hAnsi="Arial"/>
          <w:sz w:val="21"/>
          <w:szCs w:val="21"/>
          <w:color w:val="auto"/>
        </w:rPr>
        <w:t>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left="960" w:hanging="304"/>
        <w:spacing w:after="0"/>
        <w:tabs>
          <w:tab w:leader="none" w:pos="9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For purposes of this Scheme, Subparagraph 7(g)(1) of the Main Plan shall read:</w:t>
      </w:r>
    </w:p>
    <w:p>
      <w:pPr>
        <w:spacing w:after="0" w:line="233"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 xml:space="preserve">“Any person who ceases to be an Employee due to retirement on or after age 55 with the consent of the Administrator shall have three (3) years from the date of such cessation to exercise any Option granted hereunder as to all or part of the Shares subject to such Option;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Option shall be exercisable subsequent to ten (10) years after its date of grant or one (1) year after the date of the Participant’s death, and provided further that on the date the Participant ceases to be an Employee, he or she then has a present right to exercise such Option.”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 For purposes of this Scheme, Subparagraph 7(g)(2) of the Main Plan shall read: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“Any person who ceases to be an Employee due to Disability, injury, Redundancy, or his or her employer ceasing to be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Subsidiary or the operating division by which he or she is employed being disposed of by a Subsidiary or the Company shall have:</w:t>
      </w:r>
    </w:p>
    <w:p>
      <w:pPr>
        <w:spacing w:after="0" w:line="182" w:lineRule="exact"/>
        <w:rPr>
          <w:sz w:val="20"/>
          <w:szCs w:val="20"/>
          <w:color w:val="auto"/>
        </w:rPr>
      </w:pPr>
    </w:p>
    <w:p>
      <w:pPr>
        <w:ind w:left="660" w:firstLine="645"/>
        <w:spacing w:after="0" w:line="271" w:lineRule="auto"/>
        <w:tabs>
          <w:tab w:leader="none" w:pos="1712"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Three (3) years from the date of such cessation due to Disability to exercise any Option granted hereunder as to all or part of the Shares subject to such Option, to the extent that such person then has a present right to exercise such Option or would have become entitled to exercise such Option had such person remained an Employee during such three-year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Option shall be exercisable subsequent to ten (10) years after its date of grant or one</w:t>
      </w:r>
    </w:p>
    <w:p>
      <w:pPr>
        <w:spacing w:after="0" w:line="3" w:lineRule="exact"/>
        <w:rPr>
          <w:rFonts w:ascii="Arial" w:cs="Arial" w:eastAsia="Arial" w:hAnsi="Arial"/>
          <w:sz w:val="19"/>
          <w:szCs w:val="19"/>
          <w:color w:val="auto"/>
        </w:rPr>
      </w:pPr>
    </w:p>
    <w:p>
      <w:pPr>
        <w:ind w:left="960" w:hanging="304"/>
        <w:spacing w:after="0"/>
        <w:tabs>
          <w:tab w:leader="none" w:pos="9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year after the date of the Participant’s death; and</w:t>
      </w:r>
    </w:p>
    <w:p>
      <w:pPr>
        <w:spacing w:after="0" w:line="215" w:lineRule="exact"/>
        <w:rPr>
          <w:rFonts w:ascii="Arial" w:cs="Arial" w:eastAsia="Arial" w:hAnsi="Arial"/>
          <w:sz w:val="22"/>
          <w:szCs w:val="22"/>
          <w:color w:val="auto"/>
        </w:rPr>
      </w:pPr>
    </w:p>
    <w:p>
      <w:pPr>
        <w:ind w:left="660" w:right="40" w:firstLine="645"/>
        <w:spacing w:after="0" w:line="235" w:lineRule="auto"/>
        <w:tabs>
          <w:tab w:leader="none" w:pos="1704"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Eighteen (18) months from the date of such cessation due to injury, Redundancy, or his or her employer ceasing to be a Subsidiary or the operating division by which he or she is employed being disposed of by a Subsidiary or the Company to exercise any Option granted hereunder as to all or part of the Shares subject to such Option;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Option shall be exercisable subsequent to ten (10) years after its date of grant or one (1) year after the date of the Participant’s death, and provided further that on the date that person ceases to be an Employee, he or she then has a present right to exercise such Option”.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 For purposes of this Scheme, Subparagraph 7(g)(3) shall read:</w:t>
      </w:r>
    </w:p>
    <w:p>
      <w:pPr>
        <w:spacing w:after="0" w:line="233" w:lineRule="exact"/>
        <w:rPr>
          <w:sz w:val="20"/>
          <w:szCs w:val="20"/>
          <w:color w:val="auto"/>
        </w:rPr>
      </w:pPr>
    </w:p>
    <w:p>
      <w:pPr>
        <w:ind w:left="660" w:right="60" w:firstLine="648"/>
        <w:spacing w:after="0" w:line="251" w:lineRule="auto"/>
        <w:rPr>
          <w:sz w:val="20"/>
          <w:szCs w:val="20"/>
          <w:color w:val="auto"/>
        </w:rPr>
      </w:pPr>
      <w:r>
        <w:rPr>
          <w:rFonts w:ascii="Arial" w:cs="Arial" w:eastAsia="Arial" w:hAnsi="Arial"/>
          <w:sz w:val="22"/>
          <w:szCs w:val="22"/>
          <w:color w:val="auto"/>
        </w:rPr>
        <w:t>“In the event of the death of an Employee while an Employee, any Option, as to all or any part of the Shares subject to the Option, granted to such Employee shall be exercisable: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For one (1) year from the date of the Employee’s death, but in no event later than ten (10) years from its date of</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grant;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4" w:right="259" w:bottom="1440" w:gutter="0" w:footer="0" w:header="0"/>
        </w:sectPr>
      </w:pPr>
    </w:p>
    <w:bookmarkStart w:id="34" w:name="page35"/>
    <w:bookmarkEnd w:id="34"/>
    <w:p>
      <w:pPr>
        <w:ind w:left="1220"/>
        <w:spacing w:after="0"/>
        <w:rPr>
          <w:sz w:val="20"/>
          <w:szCs w:val="20"/>
          <w:color w:val="auto"/>
        </w:rPr>
      </w:pPr>
      <w:r>
        <w:rPr>
          <w:rFonts w:ascii="Arial" w:cs="Arial" w:eastAsia="Arial" w:hAnsi="Arial"/>
          <w:sz w:val="19"/>
          <w:szCs w:val="19"/>
          <w:color w:val="auto"/>
        </w:rPr>
        <w:t>(B) Only by the personal representative, administrator or the representative of the estate of the deceased Employee;</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ind w:left="580" w:right="80" w:firstLine="645"/>
        <w:spacing w:after="0" w:line="258" w:lineRule="auto"/>
        <w:tabs>
          <w:tab w:leader="none" w:pos="1624" w:val="left"/>
        </w:tabs>
        <w:numPr>
          <w:ilvl w:val="1"/>
          <w:numId w:val="48"/>
        </w:numPr>
        <w:rPr>
          <w:rFonts w:ascii="Arial" w:cs="Arial" w:eastAsia="Arial" w:hAnsi="Arial"/>
          <w:sz w:val="21"/>
          <w:szCs w:val="21"/>
          <w:color w:val="auto"/>
        </w:rPr>
      </w:pPr>
      <w:r>
        <w:rPr>
          <w:rFonts w:ascii="Arial" w:cs="Arial" w:eastAsia="Arial" w:hAnsi="Arial"/>
          <w:sz w:val="21"/>
          <w:szCs w:val="21"/>
          <w:color w:val="auto"/>
        </w:rPr>
        <w:t>Only to the extent that the deceased Employee would have been entitled to exercise such Option on the date of the Employee’s death or would have become entitled to exercise such Option had the deceased Employee remained employed during a period of three (3) years from the date of the Employee’s death.”</w:t>
      </w:r>
    </w:p>
    <w:p>
      <w:pPr>
        <w:spacing w:after="0" w:line="193" w:lineRule="exact"/>
        <w:rPr>
          <w:rFonts w:ascii="Arial" w:cs="Arial" w:eastAsia="Arial" w:hAnsi="Arial"/>
          <w:sz w:val="21"/>
          <w:szCs w:val="21"/>
          <w:color w:val="auto"/>
        </w:rPr>
      </w:pPr>
    </w:p>
    <w:p>
      <w:pPr>
        <w:ind w:left="940" w:hanging="364"/>
        <w:spacing w:after="0"/>
        <w:tabs>
          <w:tab w:leader="none" w:pos="9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For purposes of this Scheme, Subparagraph 7(g)(5) of the Main Plan shall read:</w:t>
      </w:r>
    </w:p>
    <w:p>
      <w:pPr>
        <w:spacing w:after="0" w:line="233"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“If a person ceases to be an Employee for a reason other than those specified above, that person shall have eighteen</w:t>
      </w:r>
    </w:p>
    <w:p>
      <w:pPr>
        <w:spacing w:after="0" w:line="43" w:lineRule="exact"/>
        <w:rPr>
          <w:sz w:val="20"/>
          <w:szCs w:val="20"/>
          <w:color w:val="auto"/>
        </w:rPr>
      </w:pPr>
    </w:p>
    <w:p>
      <w:pPr>
        <w:ind w:left="580" w:hanging="4"/>
        <w:spacing w:after="0" w:line="244" w:lineRule="auto"/>
        <w:tabs>
          <w:tab w:leader="none" w:pos="994"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months from the date of such cessation to exercise any Option granted hereunder as to all or part of the Shares subject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Option shall be exercisable subsequent to ten (10) years after 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(h) For purposes of this Scheme, Subparagraph 7(h) of the Main Plan shall read:</w:t>
      </w:r>
    </w:p>
    <w:p>
      <w:pPr>
        <w:spacing w:after="0" w:line="233" w:lineRule="exact"/>
        <w:rPr>
          <w:sz w:val="20"/>
          <w:szCs w:val="20"/>
          <w:color w:val="auto"/>
        </w:rPr>
      </w:pPr>
    </w:p>
    <w:p>
      <w:pPr>
        <w:ind w:left="580" w:right="40" w:firstLine="648"/>
        <w:spacing w:after="0" w:line="238" w:lineRule="auto"/>
        <w:rPr>
          <w:sz w:val="20"/>
          <w:szCs w:val="20"/>
          <w:color w:val="auto"/>
        </w:rPr>
      </w:pPr>
      <w:r>
        <w:rPr>
          <w:rFonts w:ascii="Arial" w:cs="Arial" w:eastAsia="Arial" w:hAnsi="Arial"/>
          <w:sz w:val="22"/>
          <w:szCs w:val="22"/>
          <w:color w:val="auto"/>
        </w:rPr>
        <w:t xml:space="preserve">“The Administrator may in its sole discretion, acting fairly and reasonably, increase the periods permitted for exercise of an Option as provided in Subparagraphs 7(g)(1), (2), and (5)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in no event shall an Option be exercisable subsequent to ten (10) years after its date of grant, and provided further that such Option is exercised within one (1) year after the date of the Participant’s death.”</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 For purposes of this Scheme, Paragraph 14(a) of the Main Plan shall read:</w:t>
      </w:r>
    </w:p>
    <w:p>
      <w:pPr>
        <w:spacing w:after="0" w:line="233" w:lineRule="exact"/>
        <w:rPr>
          <w:sz w:val="20"/>
          <w:szCs w:val="20"/>
          <w:color w:val="auto"/>
        </w:rPr>
      </w:pPr>
    </w:p>
    <w:p>
      <w:pPr>
        <w:ind w:left="580" w:firstLine="648"/>
        <w:spacing w:after="0" w:line="247" w:lineRule="auto"/>
        <w:rPr>
          <w:sz w:val="20"/>
          <w:szCs w:val="20"/>
          <w:color w:val="auto"/>
        </w:rPr>
      </w:pPr>
      <w:r>
        <w:rPr>
          <w:rFonts w:ascii="Arial" w:cs="Arial" w:eastAsia="Arial" w:hAnsi="Arial"/>
          <w:sz w:val="21"/>
          <w:szCs w:val="21"/>
          <w:color w:val="auto"/>
        </w:rPr>
        <w:t>“If any PAYE Liability would arise on the exercise of an Option, the Option may only be validly exercised if the Participant remits to the Company with his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Board of Inland Revenue.”</w:t>
      </w:r>
    </w:p>
    <w:p>
      <w:pPr>
        <w:spacing w:after="0" w:line="205" w:lineRule="exact"/>
        <w:rPr>
          <w:sz w:val="20"/>
          <w:szCs w:val="20"/>
          <w:color w:val="auto"/>
        </w:rPr>
      </w:pPr>
    </w:p>
    <w:p>
      <w:pPr>
        <w:ind w:left="-80" w:right="120" w:firstLine="656"/>
        <w:spacing w:after="0" w:line="251" w:lineRule="auto"/>
        <w:tabs>
          <w:tab w:leader="none" w:pos="876"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second paragraph of Paragraph 16 of the Main Plan providing for the amendment of outstanding Options shall not apply for purposes of this Scheme.</w:t>
      </w:r>
    </w:p>
    <w:p>
      <w:pPr>
        <w:spacing w:after="0" w:line="200" w:lineRule="exact"/>
        <w:rPr>
          <w:rFonts w:ascii="Arial" w:cs="Arial" w:eastAsia="Arial" w:hAnsi="Arial"/>
          <w:sz w:val="22"/>
          <w:szCs w:val="22"/>
          <w:color w:val="auto"/>
        </w:rPr>
      </w:pPr>
    </w:p>
    <w:p>
      <w:pPr>
        <w:ind w:left="-80" w:right="560" w:firstLine="656"/>
        <w:spacing w:after="0" w:line="251" w:lineRule="auto"/>
        <w:tabs>
          <w:tab w:leader="none" w:pos="892"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Shares are to be issued to the Participant following the exercise of an Option, such Shares shall be issued to the Participant within 30 days of the Option being exercised. If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247650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20" w:top="847" w:right="319" w:bottom="1440" w:gutter="0" w:footer="0" w:header="0"/>
        </w:sectPr>
      </w:pPr>
    </w:p>
    <w:bookmarkStart w:id="35" w:name="page36"/>
    <w:bookmarkEnd w:id="35"/>
    <w:p>
      <w:pPr>
        <w:ind w:right="40"/>
        <w:spacing w:after="0" w:line="328" w:lineRule="auto"/>
        <w:rPr>
          <w:sz w:val="20"/>
          <w:szCs w:val="20"/>
          <w:color w:val="auto"/>
        </w:rPr>
      </w:pPr>
      <w:r>
        <w:rPr>
          <w:rFonts w:ascii="Arial" w:cs="Arial" w:eastAsia="Arial" w:hAnsi="Arial"/>
          <w:sz w:val="19"/>
          <w:szCs w:val="19"/>
          <w:color w:val="auto"/>
        </w:rPr>
        <w:t>are to be purchased on the open market for the Participant following a Participant's exercise of an Option, such purchase must be made and the Shares must be transferred to the Participant within 30 days of the Option being exercised.</w:t>
      </w:r>
    </w:p>
    <w:p>
      <w:pPr>
        <w:spacing w:after="0" w:line="132" w:lineRule="exact"/>
        <w:rPr>
          <w:sz w:val="20"/>
          <w:szCs w:val="20"/>
          <w:color w:val="auto"/>
        </w:rPr>
      </w:pPr>
    </w:p>
    <w:p>
      <w:pPr>
        <w:ind w:left="980" w:hanging="324"/>
        <w:spacing w:after="0"/>
        <w:tabs>
          <w:tab w:leader="none" w:pos="9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Shares issued on the exercise of an Option will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Shares in issue on the date of allotment.</w:t>
      </w:r>
    </w:p>
    <w:p>
      <w:pPr>
        <w:spacing w:after="0" w:line="275" w:lineRule="exact"/>
        <w:rPr>
          <w:rFonts w:ascii="Arial" w:cs="Arial" w:eastAsia="Arial" w:hAnsi="Arial"/>
          <w:sz w:val="19"/>
          <w:szCs w:val="19"/>
          <w:color w:val="auto"/>
        </w:rPr>
      </w:pPr>
    </w:p>
    <w:p>
      <w:pPr>
        <w:ind w:left="260" w:hanging="252"/>
        <w:spacing w:after="0"/>
        <w:tabs>
          <w:tab w:leader="none" w:pos="2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w:t>
      </w:r>
    </w:p>
    <w:p>
      <w:pPr>
        <w:spacing w:after="0" w:line="225" w:lineRule="exact"/>
        <w:rPr>
          <w:rFonts w:ascii="Arial" w:cs="Arial" w:eastAsia="Arial" w:hAnsi="Arial"/>
          <w:sz w:val="22"/>
          <w:szCs w:val="22"/>
          <w:b w:val="1"/>
          <w:bCs w:val="1"/>
          <w:color w:val="auto"/>
        </w:rPr>
      </w:pPr>
    </w:p>
    <w:p>
      <w:pPr>
        <w:jc w:val="both"/>
        <w:ind w:firstLine="656"/>
        <w:spacing w:after="0" w:line="287" w:lineRule="auto"/>
        <w:tabs>
          <w:tab w:leader="none" w:pos="972"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The adjustment provisions relevant to Options in Paragraph 13(a) of the Main Plan shall apply for the purposes of this Scheme in so far as (i) Paragraph 13(a) of the Main Plan meets the provisions of Paragraph 22(3) of Schedule 4 and (ii) there is a variation of the share capital of the Company within the meaning of Paragraph 22(3) of Schedule 4,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 such adjustment to any Options granted under this Scheme shall be made without the prior approval of the Revenue.</w:t>
      </w:r>
    </w:p>
    <w:p>
      <w:pPr>
        <w:spacing w:after="0" w:line="156" w:lineRule="exact"/>
        <w:rPr>
          <w:rFonts w:ascii="Arial" w:cs="Arial" w:eastAsia="Arial" w:hAnsi="Arial"/>
          <w:sz w:val="19"/>
          <w:szCs w:val="19"/>
          <w:color w:val="auto"/>
        </w:rPr>
      </w:pPr>
    </w:p>
    <w:p>
      <w:pPr>
        <w:ind w:right="520" w:firstLine="656"/>
        <w:spacing w:after="0" w:line="251" w:lineRule="auto"/>
        <w:tabs>
          <w:tab w:leader="none" w:pos="972"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discretion exercised by the Administrator in respect of the waiving of any vesting requirements pursuant to Paragraph 13(b) of the Main Plan shall be exercised fairly and reasonably.</w:t>
      </w:r>
    </w:p>
    <w:p>
      <w:pPr>
        <w:spacing w:after="0" w:line="200" w:lineRule="exact"/>
        <w:rPr>
          <w:rFonts w:ascii="Arial" w:cs="Arial" w:eastAsia="Arial" w:hAnsi="Arial"/>
          <w:sz w:val="22"/>
          <w:szCs w:val="22"/>
          <w:color w:val="auto"/>
        </w:rPr>
      </w:pPr>
    </w:p>
    <w:p>
      <w:pPr>
        <w:ind w:right="400" w:firstLine="656"/>
        <w:spacing w:after="0" w:line="251" w:lineRule="auto"/>
        <w:tabs>
          <w:tab w:leader="none" w:pos="972" w:val="left"/>
        </w:tabs>
        <w:numPr>
          <w:ilvl w:val="1"/>
          <w:numId w:val="53"/>
        </w:numPr>
        <w:rPr>
          <w:rFonts w:ascii="Arial" w:cs="Arial" w:eastAsia="Arial" w:hAnsi="Arial"/>
          <w:sz w:val="22"/>
          <w:szCs w:val="22"/>
          <w:color w:val="auto"/>
        </w:rPr>
      </w:pPr>
      <w:r>
        <w:rPr>
          <w:rFonts w:ascii="Arial" w:cs="Arial" w:eastAsia="Arial" w:hAnsi="Arial"/>
          <w:sz w:val="22"/>
          <w:szCs w:val="22"/>
          <w:color w:val="auto"/>
        </w:rPr>
        <w:t>For purposes of this Scheme, the provision in Paragraph 13(b)(2) of the Main Plan allowing for the conversion of outstanding Options into cash shall not apply.</w:t>
      </w:r>
    </w:p>
    <w:p>
      <w:pPr>
        <w:spacing w:after="0" w:line="186" w:lineRule="exact"/>
        <w:rPr>
          <w:rFonts w:ascii="Arial" w:cs="Arial" w:eastAsia="Arial" w:hAnsi="Arial"/>
          <w:sz w:val="22"/>
          <w:szCs w:val="22"/>
          <w:color w:val="auto"/>
        </w:rPr>
      </w:pPr>
    </w:p>
    <w:p>
      <w:pPr>
        <w:ind w:right="320" w:firstLine="656"/>
        <w:spacing w:after="0" w:line="251" w:lineRule="auto"/>
        <w:tabs>
          <w:tab w:leader="none" w:pos="972" w:val="left"/>
        </w:tabs>
        <w:numPr>
          <w:ilvl w:val="1"/>
          <w:numId w:val="53"/>
        </w:numPr>
        <w:rPr>
          <w:rFonts w:ascii="Arial" w:cs="Arial" w:eastAsia="Arial" w:hAnsi="Arial"/>
          <w:sz w:val="22"/>
          <w:szCs w:val="22"/>
          <w:color w:val="auto"/>
        </w:rPr>
      </w:pPr>
      <w:r>
        <w:rPr>
          <w:rFonts w:ascii="Arial" w:cs="Arial" w:eastAsia="Arial" w:hAnsi="Arial"/>
          <w:sz w:val="22"/>
          <w:szCs w:val="22"/>
          <w:color w:val="auto"/>
        </w:rPr>
        <w:t>For purposes of this Scheme, the provisions in Paragraph 13(b)(3) of the Main Plan allowing for the conversion of outstanding Awards into the right to receive securities of another person shall not apply.</w:t>
      </w: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604" w:right="479" w:bottom="1440" w:gutter="0" w:footer="0" w:header="0"/>
        </w:sectPr>
      </w:pPr>
    </w:p>
    <w:bookmarkStart w:id="36" w:name="page37"/>
    <w:bookmarkEnd w:id="36"/>
    <w:p>
      <w:pPr>
        <w:ind w:left="212" w:hanging="212"/>
        <w:spacing w:after="0"/>
        <w:tabs>
          <w:tab w:leader="none" w:pos="212"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EXCHANGE OF OPTIONS</w:t>
      </w:r>
    </w:p>
    <w:p>
      <w:pPr>
        <w:spacing w:after="0" w:line="225" w:lineRule="exact"/>
        <w:rPr>
          <w:rFonts w:ascii="Arial" w:cs="Arial" w:eastAsia="Arial" w:hAnsi="Arial"/>
          <w:sz w:val="22"/>
          <w:szCs w:val="22"/>
          <w:b w:val="1"/>
          <w:bCs w:val="1"/>
          <w:color w:val="auto"/>
        </w:rPr>
      </w:pPr>
    </w:p>
    <w:p>
      <w:pPr>
        <w:ind w:left="972" w:hanging="324"/>
        <w:spacing w:after="0"/>
        <w:tabs>
          <w:tab w:leader="none" w:pos="972"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provisions of this Paragraph 6 apply if a company (the “Acquiring Company”):</w:t>
      </w:r>
    </w:p>
    <w:p>
      <w:pPr>
        <w:spacing w:after="0" w:line="233" w:lineRule="exact"/>
        <w:rPr>
          <w:rFonts w:ascii="Arial" w:cs="Arial" w:eastAsia="Arial" w:hAnsi="Arial"/>
          <w:sz w:val="22"/>
          <w:szCs w:val="22"/>
          <w:color w:val="auto"/>
        </w:rPr>
      </w:pPr>
    </w:p>
    <w:p>
      <w:pPr>
        <w:ind w:left="1612" w:hanging="315"/>
        <w:spacing w:after="0"/>
        <w:tabs>
          <w:tab w:leader="none" w:pos="1612" w:val="left"/>
        </w:tabs>
        <w:numPr>
          <w:ilvl w:val="2"/>
          <w:numId w:val="54"/>
        </w:numPr>
        <w:rPr>
          <w:rFonts w:ascii="Arial" w:cs="Arial" w:eastAsia="Arial" w:hAnsi="Arial"/>
          <w:sz w:val="22"/>
          <w:szCs w:val="22"/>
          <w:color w:val="auto"/>
        </w:rPr>
      </w:pPr>
      <w:r>
        <w:rPr>
          <w:rFonts w:ascii="Arial" w:cs="Arial" w:eastAsia="Arial" w:hAnsi="Arial"/>
          <w:sz w:val="22"/>
          <w:szCs w:val="22"/>
          <w:color w:val="auto"/>
        </w:rPr>
        <w:t>obtains control of the Company as a result of making a general offer to acquire:</w:t>
      </w:r>
    </w:p>
    <w:p>
      <w:pPr>
        <w:spacing w:after="0" w:line="233" w:lineRule="exact"/>
        <w:rPr>
          <w:rFonts w:ascii="Arial" w:cs="Arial" w:eastAsia="Arial" w:hAnsi="Arial"/>
          <w:sz w:val="22"/>
          <w:szCs w:val="22"/>
          <w:color w:val="auto"/>
        </w:rPr>
      </w:pPr>
    </w:p>
    <w:p>
      <w:pPr>
        <w:ind w:left="1292" w:firstLine="653"/>
        <w:spacing w:after="0"/>
        <w:tabs>
          <w:tab w:leader="none" w:pos="2294" w:val="left"/>
        </w:tabs>
        <w:numPr>
          <w:ilvl w:val="3"/>
          <w:numId w:val="54"/>
        </w:numPr>
        <w:rPr>
          <w:rFonts w:ascii="Arial" w:cs="Arial" w:eastAsia="Arial" w:hAnsi="Arial"/>
          <w:sz w:val="22"/>
          <w:szCs w:val="22"/>
          <w:color w:val="auto"/>
        </w:rPr>
      </w:pPr>
      <w:r>
        <w:rPr>
          <w:rFonts w:ascii="Arial" w:cs="Arial" w:eastAsia="Arial" w:hAnsi="Arial"/>
          <w:sz w:val="22"/>
          <w:szCs w:val="22"/>
          <w:color w:val="auto"/>
        </w:rPr>
        <w:t>the whole of the issued ordinary share capital of the Company (other than that which is already owned by it and its subsidiary or holding company) made on a condition such that, if satisfied, the Acquiring Company will have control of the Company; or</w:t>
      </w:r>
    </w:p>
    <w:p>
      <w:pPr>
        <w:spacing w:after="0" w:line="213" w:lineRule="exact"/>
        <w:rPr>
          <w:rFonts w:ascii="Arial" w:cs="Arial" w:eastAsia="Arial" w:hAnsi="Arial"/>
          <w:sz w:val="22"/>
          <w:szCs w:val="22"/>
          <w:color w:val="auto"/>
        </w:rPr>
      </w:pPr>
    </w:p>
    <w:p>
      <w:pPr>
        <w:ind w:left="1292" w:right="60" w:firstLine="653"/>
        <w:spacing w:after="0" w:line="251" w:lineRule="auto"/>
        <w:tabs>
          <w:tab w:leader="none" w:pos="2282" w:val="left"/>
        </w:tabs>
        <w:numPr>
          <w:ilvl w:val="3"/>
          <w:numId w:val="54"/>
        </w:numPr>
        <w:rPr>
          <w:rFonts w:ascii="Arial" w:cs="Arial" w:eastAsia="Arial" w:hAnsi="Arial"/>
          <w:sz w:val="22"/>
          <w:szCs w:val="22"/>
          <w:color w:val="auto"/>
        </w:rPr>
      </w:pPr>
      <w:r>
        <w:rPr>
          <w:rFonts w:ascii="Arial" w:cs="Arial" w:eastAsia="Arial" w:hAnsi="Arial"/>
          <w:sz w:val="22"/>
          <w:szCs w:val="22"/>
          <w:color w:val="auto"/>
        </w:rPr>
        <w:t>all the Shares (or those Shares not already owned by the Acquiring Company or its subsidiary or holding company); or</w:t>
      </w:r>
    </w:p>
    <w:p>
      <w:pPr>
        <w:spacing w:after="0" w:line="200" w:lineRule="exact"/>
        <w:rPr>
          <w:rFonts w:ascii="Arial" w:cs="Arial" w:eastAsia="Arial" w:hAnsi="Arial"/>
          <w:sz w:val="22"/>
          <w:szCs w:val="22"/>
          <w:color w:val="auto"/>
        </w:rPr>
      </w:pPr>
    </w:p>
    <w:p>
      <w:pPr>
        <w:ind w:left="652" w:right="200" w:firstLine="645"/>
        <w:spacing w:after="0" w:line="251" w:lineRule="auto"/>
        <w:tabs>
          <w:tab w:leader="none" w:pos="1606" w:val="left"/>
        </w:tabs>
        <w:numPr>
          <w:ilvl w:val="2"/>
          <w:numId w:val="54"/>
        </w:numPr>
        <w:rPr>
          <w:rFonts w:ascii="Arial" w:cs="Arial" w:eastAsia="Arial" w:hAnsi="Arial"/>
          <w:sz w:val="22"/>
          <w:szCs w:val="22"/>
          <w:color w:val="auto"/>
        </w:rPr>
      </w:pPr>
      <w:r>
        <w:rPr>
          <w:rFonts w:ascii="Arial" w:cs="Arial" w:eastAsia="Arial" w:hAnsi="Arial"/>
          <w:sz w:val="22"/>
          <w:szCs w:val="22"/>
          <w:color w:val="auto"/>
        </w:rPr>
        <w:t>obtains control of the Company under a compromise or arrangement sanctioned by the court under Section 899 of the Companies Act 2006; or</w:t>
      </w:r>
    </w:p>
    <w:p>
      <w:pPr>
        <w:spacing w:after="0" w:line="200" w:lineRule="exact"/>
        <w:rPr>
          <w:rFonts w:ascii="Arial" w:cs="Arial" w:eastAsia="Arial" w:hAnsi="Arial"/>
          <w:sz w:val="22"/>
          <w:szCs w:val="22"/>
          <w:color w:val="auto"/>
        </w:rPr>
      </w:pPr>
    </w:p>
    <w:p>
      <w:pPr>
        <w:ind w:left="1612" w:hanging="315"/>
        <w:spacing w:after="0"/>
        <w:tabs>
          <w:tab w:leader="none" w:pos="1612" w:val="left"/>
        </w:tabs>
        <w:numPr>
          <w:ilvl w:val="2"/>
          <w:numId w:val="54"/>
        </w:numPr>
        <w:rPr>
          <w:rFonts w:ascii="Arial" w:cs="Arial" w:eastAsia="Arial" w:hAnsi="Arial"/>
          <w:sz w:val="21"/>
          <w:szCs w:val="21"/>
          <w:color w:val="auto"/>
        </w:rPr>
      </w:pPr>
      <w:r>
        <w:rPr>
          <w:rFonts w:ascii="Arial" w:cs="Arial" w:eastAsia="Arial" w:hAnsi="Arial"/>
          <w:sz w:val="21"/>
          <w:szCs w:val="21"/>
          <w:color w:val="auto"/>
        </w:rPr>
        <w:t>becomes bound or entitled to acquire Shares under Sections 979 to 982 of the Companies Act 2006; or</w:t>
      </w:r>
    </w:p>
    <w:p>
      <w:pPr>
        <w:spacing w:after="0" w:line="244" w:lineRule="exact"/>
        <w:rPr>
          <w:rFonts w:ascii="Arial" w:cs="Arial" w:eastAsia="Arial" w:hAnsi="Arial"/>
          <w:sz w:val="21"/>
          <w:szCs w:val="21"/>
          <w:color w:val="auto"/>
        </w:rPr>
      </w:pPr>
    </w:p>
    <w:p>
      <w:pPr>
        <w:jc w:val="both"/>
        <w:ind w:left="652" w:right="340" w:firstLine="645"/>
        <w:spacing w:after="0"/>
        <w:tabs>
          <w:tab w:leader="none" w:pos="1606" w:val="left"/>
        </w:tabs>
        <w:numPr>
          <w:ilvl w:val="2"/>
          <w:numId w:val="54"/>
        </w:numPr>
        <w:rPr>
          <w:rFonts w:ascii="Arial" w:cs="Arial" w:eastAsia="Arial" w:hAnsi="Arial"/>
          <w:sz w:val="22"/>
          <w:szCs w:val="22"/>
          <w:color w:val="auto"/>
        </w:rPr>
      </w:pPr>
      <w:r>
        <w:rPr>
          <w:rFonts w:ascii="Arial" w:cs="Arial" w:eastAsia="Arial" w:hAnsi="Arial"/>
          <w:sz w:val="22"/>
          <w:szCs w:val="22"/>
          <w:color w:val="auto"/>
        </w:rPr>
        <w:t>obtains control of the Company as a result of a general offer to acquire the whole of the general capital of the Company pursuant to an action agreed in advance with the Revenue as comparable with any action set out in Paragraphs 6(a)(1), 6(a)(2) or 6(a)(3) of this Scheme.</w:t>
      </w:r>
    </w:p>
    <w:p>
      <w:pPr>
        <w:spacing w:after="0" w:line="213" w:lineRule="exact"/>
        <w:rPr>
          <w:rFonts w:ascii="Arial" w:cs="Arial" w:eastAsia="Arial" w:hAnsi="Arial"/>
          <w:sz w:val="22"/>
          <w:szCs w:val="22"/>
          <w:color w:val="auto"/>
        </w:rPr>
      </w:pPr>
    </w:p>
    <w:p>
      <w:pPr>
        <w:ind w:left="-8" w:right="460" w:firstLine="656"/>
        <w:spacing w:after="0" w:line="274" w:lineRule="auto"/>
        <w:tabs>
          <w:tab w:leader="none" w:pos="964"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Exchange.</w:t>
      </w:r>
      <w:r>
        <w:rPr>
          <w:rFonts w:ascii="Arial" w:cs="Arial" w:eastAsia="Arial" w:hAnsi="Arial"/>
          <w:sz w:val="21"/>
          <w:szCs w:val="21"/>
          <w:color w:val="auto"/>
        </w:rPr>
        <w:t xml:space="preserve"> If the provisions of this Paragraph 6 apply, Options may be exchanged by a Participant within the period referred to in paragraph 26(3) of Schedule 4 by agreement with the company offering the exchange.</w:t>
      </w:r>
    </w:p>
    <w:p>
      <w:pPr>
        <w:spacing w:after="0" w:line="164" w:lineRule="exact"/>
        <w:rPr>
          <w:rFonts w:ascii="Arial" w:cs="Arial" w:eastAsia="Arial" w:hAnsi="Arial"/>
          <w:sz w:val="21"/>
          <w:szCs w:val="21"/>
          <w:color w:val="auto"/>
        </w:rPr>
      </w:pPr>
    </w:p>
    <w:p>
      <w:pPr>
        <w:ind w:left="-8" w:right="20" w:firstLine="656"/>
        <w:spacing w:after="0" w:line="251" w:lineRule="auto"/>
        <w:tabs>
          <w:tab w:leader="none" w:pos="964"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Exchange terms.</w:t>
      </w:r>
      <w:r>
        <w:rPr>
          <w:rFonts w:ascii="Arial" w:cs="Arial" w:eastAsia="Arial" w:hAnsi="Arial"/>
          <w:sz w:val="22"/>
          <w:szCs w:val="22"/>
          <w:color w:val="auto"/>
        </w:rPr>
        <w:t xml:space="preserve"> Where an Option is to be exchanged the Participant will be granted a new option to replace it. Where a Participant is granted a new option then:</w:t>
      </w:r>
    </w:p>
    <w:p>
      <w:pPr>
        <w:spacing w:after="0" w:line="200" w:lineRule="exact"/>
        <w:rPr>
          <w:rFonts w:ascii="Arial" w:cs="Arial" w:eastAsia="Arial" w:hAnsi="Arial"/>
          <w:sz w:val="22"/>
          <w:szCs w:val="22"/>
          <w:color w:val="auto"/>
        </w:rPr>
      </w:pPr>
    </w:p>
    <w:p>
      <w:pPr>
        <w:ind w:left="652" w:right="700" w:firstLine="645"/>
        <w:spacing w:after="0" w:line="251" w:lineRule="auto"/>
        <w:tabs>
          <w:tab w:leader="none" w:pos="1606" w:val="left"/>
        </w:tabs>
        <w:numPr>
          <w:ilvl w:val="2"/>
          <w:numId w:val="54"/>
        </w:numPr>
        <w:rPr>
          <w:rFonts w:ascii="Arial" w:cs="Arial" w:eastAsia="Arial" w:hAnsi="Arial"/>
          <w:sz w:val="22"/>
          <w:szCs w:val="22"/>
          <w:color w:val="auto"/>
        </w:rPr>
      </w:pPr>
      <w:r>
        <w:rPr>
          <w:rFonts w:ascii="Arial" w:cs="Arial" w:eastAsia="Arial" w:hAnsi="Arial"/>
          <w:sz w:val="22"/>
          <w:szCs w:val="22"/>
          <w:color w:val="auto"/>
        </w:rPr>
        <w:t>the new option will be in respect of shares in any body corporate determined by the company offering the exchange as long as they satisfy the conditions of paragraph 27(4) of Schedule 4;</w:t>
      </w:r>
    </w:p>
    <w:p>
      <w:pPr>
        <w:spacing w:after="0" w:line="186" w:lineRule="exact"/>
        <w:rPr>
          <w:rFonts w:ascii="Arial" w:cs="Arial" w:eastAsia="Arial" w:hAnsi="Arial"/>
          <w:sz w:val="22"/>
          <w:szCs w:val="22"/>
          <w:color w:val="auto"/>
        </w:rPr>
      </w:pPr>
    </w:p>
    <w:p>
      <w:pPr>
        <w:ind w:left="1952" w:hanging="655"/>
        <w:spacing w:after="0"/>
        <w:tabs>
          <w:tab w:leader="none" w:pos="1952" w:val="left"/>
        </w:tabs>
        <w:numPr>
          <w:ilvl w:val="2"/>
          <w:numId w:val="54"/>
        </w:numPr>
        <w:rPr>
          <w:rFonts w:ascii="Arial" w:cs="Arial" w:eastAsia="Arial" w:hAnsi="Arial"/>
          <w:sz w:val="22"/>
          <w:szCs w:val="22"/>
          <w:color w:val="auto"/>
        </w:rPr>
      </w:pPr>
      <w:r>
        <w:rPr>
          <w:rFonts w:ascii="Arial" w:cs="Arial" w:eastAsia="Arial" w:hAnsi="Arial"/>
          <w:sz w:val="22"/>
          <w:szCs w:val="22"/>
          <w:color w:val="auto"/>
        </w:rPr>
        <w:t>the new option will be equivalent to the Option that was exchanged;</w:t>
      </w:r>
    </w:p>
    <w:p>
      <w:pPr>
        <w:spacing w:after="0" w:line="233" w:lineRule="exact"/>
        <w:rPr>
          <w:rFonts w:ascii="Arial" w:cs="Arial" w:eastAsia="Arial" w:hAnsi="Arial"/>
          <w:sz w:val="22"/>
          <w:szCs w:val="22"/>
          <w:color w:val="auto"/>
        </w:rPr>
      </w:pPr>
    </w:p>
    <w:p>
      <w:pPr>
        <w:ind w:left="652" w:right="340" w:firstLine="645"/>
        <w:spacing w:after="0" w:line="251" w:lineRule="auto"/>
        <w:tabs>
          <w:tab w:leader="none" w:pos="1949" w:val="left"/>
        </w:tabs>
        <w:numPr>
          <w:ilvl w:val="2"/>
          <w:numId w:val="54"/>
        </w:numPr>
        <w:rPr>
          <w:rFonts w:ascii="Arial" w:cs="Arial" w:eastAsia="Arial" w:hAnsi="Arial"/>
          <w:sz w:val="22"/>
          <w:szCs w:val="22"/>
          <w:color w:val="auto"/>
        </w:rPr>
      </w:pPr>
      <w:r>
        <w:rPr>
          <w:rFonts w:ascii="Arial" w:cs="Arial" w:eastAsia="Arial" w:hAnsi="Arial"/>
          <w:sz w:val="22"/>
          <w:szCs w:val="22"/>
          <w:color w:val="auto"/>
        </w:rPr>
        <w:t>the new option will be treated as having been acquired at the same time as the Option that was exchanged and will be exercisable in the same manner and at the same time;</w:t>
      </w:r>
    </w:p>
    <w:p>
      <w:pPr>
        <w:spacing w:after="0" w:line="186" w:lineRule="exact"/>
        <w:rPr>
          <w:rFonts w:ascii="Arial" w:cs="Arial" w:eastAsia="Arial" w:hAnsi="Arial"/>
          <w:sz w:val="22"/>
          <w:szCs w:val="22"/>
          <w:color w:val="auto"/>
        </w:rPr>
      </w:pPr>
    </w:p>
    <w:p>
      <w:pPr>
        <w:ind w:left="652" w:right="260" w:firstLine="645"/>
        <w:spacing w:after="0" w:line="251" w:lineRule="auto"/>
        <w:tabs>
          <w:tab w:leader="none" w:pos="1949" w:val="left"/>
        </w:tabs>
        <w:numPr>
          <w:ilvl w:val="2"/>
          <w:numId w:val="54"/>
        </w:numPr>
        <w:rPr>
          <w:rFonts w:ascii="Arial" w:cs="Arial" w:eastAsia="Arial" w:hAnsi="Arial"/>
          <w:sz w:val="22"/>
          <w:szCs w:val="22"/>
          <w:color w:val="auto"/>
        </w:rPr>
      </w:pPr>
      <w:r>
        <w:rPr>
          <w:rFonts w:ascii="Arial" w:cs="Arial" w:eastAsia="Arial" w:hAnsi="Arial"/>
          <w:sz w:val="22"/>
          <w:szCs w:val="22"/>
          <w:color w:val="auto"/>
        </w:rPr>
        <w:t>the new option will be subject to the provisions of the Main Plan and this Scheme as they last had effect in relation to the Option that was exchanged; and</w:t>
      </w: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41" w:right="239" w:bottom="1440" w:gutter="0" w:footer="0" w:header="0"/>
        </w:sectPr>
      </w:pPr>
    </w:p>
    <w:bookmarkStart w:id="37" w:name="page38"/>
    <w:bookmarkEnd w:id="37"/>
    <w:p>
      <w:pPr>
        <w:ind w:left="660" w:right="40" w:firstLine="645"/>
        <w:spacing w:after="0" w:line="297" w:lineRule="auto"/>
        <w:tabs>
          <w:tab w:leader="none" w:pos="1957" w:val="left"/>
        </w:tabs>
        <w:numPr>
          <w:ilvl w:val="1"/>
          <w:numId w:val="55"/>
        </w:numPr>
        <w:rPr>
          <w:rFonts w:ascii="Arial" w:cs="Arial" w:eastAsia="Arial" w:hAnsi="Arial"/>
          <w:sz w:val="19"/>
          <w:szCs w:val="19"/>
          <w:color w:val="auto"/>
        </w:rPr>
      </w:pPr>
      <w:r>
        <w:rPr>
          <w:rFonts w:ascii="Arial" w:cs="Arial" w:eastAsia="Arial" w:hAnsi="Arial"/>
          <w:sz w:val="19"/>
          <w:szCs w:val="19"/>
          <w:color w:val="auto"/>
        </w:rPr>
        <w:t>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spacing w:after="0" w:line="155" w:lineRule="exact"/>
        <w:rPr>
          <w:rFonts w:ascii="Arial" w:cs="Arial" w:eastAsia="Arial" w:hAnsi="Arial"/>
          <w:sz w:val="19"/>
          <w:szCs w:val="19"/>
          <w:color w:val="auto"/>
        </w:rPr>
      </w:pPr>
    </w:p>
    <w:p>
      <w:pPr>
        <w:ind w:left="260" w:hanging="252"/>
        <w:spacing w:after="0"/>
        <w:tabs>
          <w:tab w:leader="none" w:pos="2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OR AMENDMENT</w:t>
      </w:r>
    </w:p>
    <w:p>
      <w:pPr>
        <w:spacing w:after="0" w:line="347"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 xml:space="preserve">The Scheme shall be administered under the direction of the Administrator as set out in the Main Plan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for so long as the Administrator determines that the Scheme is to be an Approved Scheme, no amendment for which prior approval by the Revenue is required under the Act shall be made, so far as it relates to any “key feature” of the Scheme (as defined in paragraph 30(4) of Schedule 4), without the prior approval of the Revenue.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380"/>
          </w:cols>
          <w:pgMar w:left="240" w:top="834" w:right="27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u w:val="single" w:color="auto"/>
          <w:color w:val="auto"/>
        </w:rPr>
        <w:t>Exhibit 5.1</w:t>
      </w:r>
    </w:p>
    <w:p>
      <w:pPr>
        <w:spacing w:after="0" w:line="200" w:lineRule="exact"/>
        <w:rPr>
          <w:sz w:val="20"/>
          <w:szCs w:val="20"/>
          <w:color w:val="auto"/>
        </w:rPr>
      </w:pPr>
    </w:p>
    <w:p>
      <w:pPr>
        <w:spacing w:after="0" w:line="211" w:lineRule="exact"/>
        <w:rPr>
          <w:sz w:val="20"/>
          <w:szCs w:val="20"/>
          <w:color w:val="auto"/>
        </w:rPr>
      </w:pPr>
    </w:p>
    <w:p>
      <w:pPr>
        <w:ind w:left="7840"/>
        <w:spacing w:after="0"/>
        <w:rPr>
          <w:sz w:val="20"/>
          <w:szCs w:val="20"/>
          <w:color w:val="auto"/>
        </w:rPr>
      </w:pPr>
      <w:r>
        <w:rPr>
          <w:rFonts w:ascii="Arial" w:cs="Arial" w:eastAsia="Arial" w:hAnsi="Arial"/>
          <w:sz w:val="14"/>
          <w:szCs w:val="14"/>
          <w:color w:val="auto"/>
        </w:rPr>
        <w:t>780 NORTH WATER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-55245</wp:posOffset>
            </wp:positionV>
            <wp:extent cx="1303655" cy="643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643255"/>
                    </a:xfrm>
                    <a:prstGeom prst="rect">
                      <a:avLst/>
                    </a:prstGeom>
                    <a:noFill/>
                  </pic:spPr>
                </pic:pic>
              </a:graphicData>
            </a:graphic>
          </wp:anchor>
        </w:drawing>
      </w:r>
    </w:p>
    <w:p>
      <w:pPr>
        <w:ind w:left="7820"/>
        <w:spacing w:after="0" w:line="221" w:lineRule="auto"/>
        <w:rPr>
          <w:sz w:val="20"/>
          <w:szCs w:val="20"/>
          <w:color w:val="auto"/>
        </w:rPr>
      </w:pPr>
      <w:r>
        <w:rPr>
          <w:rFonts w:ascii="Arial" w:cs="Arial" w:eastAsia="Arial" w:hAnsi="Arial"/>
          <w:sz w:val="14"/>
          <w:szCs w:val="14"/>
          <w:color w:val="auto"/>
        </w:rPr>
        <w:t>MILWAUKEE, WI 53202-3590</w:t>
      </w:r>
    </w:p>
    <w:p>
      <w:pPr>
        <w:ind w:left="8540"/>
        <w:spacing w:after="0" w:line="221" w:lineRule="auto"/>
        <w:rPr>
          <w:sz w:val="20"/>
          <w:szCs w:val="20"/>
          <w:color w:val="auto"/>
        </w:rPr>
      </w:pPr>
      <w:r>
        <w:rPr>
          <w:rFonts w:ascii="Arial" w:cs="Arial" w:eastAsia="Arial" w:hAnsi="Arial"/>
          <w:sz w:val="14"/>
          <w:szCs w:val="14"/>
          <w:color w:val="auto"/>
        </w:rPr>
        <w:t>TEL 414-273-3500</w:t>
      </w:r>
    </w:p>
    <w:p>
      <w:pPr>
        <w:spacing w:after="0" w:line="1"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FAX 414-273-5198</w:t>
      </w:r>
    </w:p>
    <w:p>
      <w:pPr>
        <w:spacing w:after="0" w:line="1" w:lineRule="exact"/>
        <w:rPr>
          <w:sz w:val="20"/>
          <w:szCs w:val="20"/>
          <w:color w:val="auto"/>
        </w:rPr>
      </w:pPr>
    </w:p>
    <w:p>
      <w:pPr>
        <w:jc w:val="right"/>
        <w:ind w:right="1760"/>
        <w:spacing w:after="0"/>
        <w:rPr>
          <w:sz w:val="20"/>
          <w:szCs w:val="20"/>
          <w:color w:val="auto"/>
        </w:rPr>
      </w:pPr>
      <w:r>
        <w:rPr>
          <w:rFonts w:ascii="Arial" w:cs="Arial" w:eastAsia="Arial" w:hAnsi="Arial"/>
          <w:sz w:val="14"/>
          <w:szCs w:val="14"/>
          <w:color w:val="auto"/>
        </w:rPr>
        <w:t>www.gklaw.com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September 4, 2009</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Manpower Inc.</w:t>
      </w:r>
    </w:p>
    <w:p>
      <w:pPr>
        <w:spacing w:after="0" w:line="238" w:lineRule="auto"/>
        <w:rPr>
          <w:sz w:val="20"/>
          <w:szCs w:val="20"/>
          <w:color w:val="auto"/>
        </w:rPr>
      </w:pPr>
      <w:r>
        <w:rPr>
          <w:rFonts w:ascii="Arial" w:cs="Arial" w:eastAsia="Arial" w:hAnsi="Arial"/>
          <w:sz w:val="22"/>
          <w:szCs w:val="22"/>
          <w:color w:val="auto"/>
        </w:rPr>
        <w:t>100 Manpower Place</w:t>
      </w:r>
    </w:p>
    <w:p>
      <w:pPr>
        <w:spacing w:after="0"/>
        <w:rPr>
          <w:sz w:val="20"/>
          <w:szCs w:val="20"/>
          <w:color w:val="auto"/>
        </w:rPr>
      </w:pPr>
      <w:r>
        <w:rPr>
          <w:rFonts w:ascii="Arial" w:cs="Arial" w:eastAsia="Arial" w:hAnsi="Arial"/>
          <w:sz w:val="22"/>
          <w:szCs w:val="22"/>
          <w:color w:val="auto"/>
        </w:rPr>
        <w:t>Milwaukee, Wisconsin 53212</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79" w:lineRule="exact"/>
        <w:rPr>
          <w:sz w:val="20"/>
          <w:szCs w:val="20"/>
          <w:color w:val="auto"/>
        </w:rPr>
      </w:pPr>
    </w:p>
    <w:p>
      <w:pPr>
        <w:ind w:right="160" w:firstLine="648"/>
        <w:spacing w:after="0" w:line="249" w:lineRule="auto"/>
        <w:rPr>
          <w:sz w:val="20"/>
          <w:szCs w:val="20"/>
          <w:color w:val="auto"/>
        </w:rPr>
      </w:pPr>
      <w:r>
        <w:rPr>
          <w:rFonts w:ascii="Arial" w:cs="Arial" w:eastAsia="Arial" w:hAnsi="Arial"/>
          <w:sz w:val="21"/>
          <w:szCs w:val="21"/>
          <w:color w:val="auto"/>
        </w:rPr>
        <w:t>We have acted as your counsel in connection with the issuance by Manpower Inc., a Wisconsin corporation (the “Company”), of up to 2,500,000 additional shares of common stock, $.01 par value (the “Shares”), pursuant to the Manpower Inc. 2003 Equity Incentive Plan, as amended (the “Plan”), as described in the Company’s Prospectus dated September 4, 2009 (the “Prospectus”) relating to the Company’s Registration Statement on Form S-8, to be filed with the Securities and Exchange Commission on or about September 4, 2009 (the “Registration Statement”).</w:t>
      </w:r>
    </w:p>
    <w:p>
      <w:pPr>
        <w:spacing w:after="0" w:line="138"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We have examined: (a) the Plan, the Prospectus and the Registration Statement, (b) the Company’s Amended and Restated Articles of Incorporation and Amended and Restated By-Laws, each as amended to date, (c) certain resolutions of the Company’s Board of Directors, and (d) such other proceedings, documents and records as we have deemed necessary to enable us to render this opinion.</w:t>
      </w:r>
    </w:p>
    <w:p>
      <w:pPr>
        <w:spacing w:after="0" w:line="145"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Based on the foregoing, we are of the opinion that the Shares have been duly authorized and, upon issuance in accordance with the terms of the Plan, will be validly issued, fully paid and nonassessable.</w:t>
      </w:r>
    </w:p>
    <w:p>
      <w:pPr>
        <w:spacing w:after="0" w:line="173"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We consent to the use of this opinion as an exhibit to the Registration Statement. In giving this consent, however, we do not admit that we are “experts” within the meaning of Section 11 of the Securities Act of 1933, as amended, or within the category of persons whose consent is required by Section 7 of said Act.</w:t>
      </w:r>
    </w:p>
    <w:p>
      <w:pPr>
        <w:spacing w:after="0" w:line="15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 Godfrey &amp; Kahn, S.C.</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GODFREY &amp; KAHN, S.C.</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OFFICES IN MILWAUKEE, MADISON, WAUKESHA, GREEN BAY AND APPLETON, WI; WASHINGTON, DC; AND SHANGHAI, PRC</w:t>
      </w:r>
    </w:p>
    <w:p>
      <w:pPr>
        <w:jc w:val="center"/>
        <w:spacing w:after="0"/>
        <w:rPr>
          <w:sz w:val="20"/>
          <w:szCs w:val="20"/>
          <w:color w:val="auto"/>
        </w:rPr>
      </w:pPr>
      <w:r>
        <w:rPr>
          <w:rFonts w:ascii="Arial" w:cs="Arial" w:eastAsia="Arial" w:hAnsi="Arial"/>
          <w:sz w:val="14"/>
          <w:szCs w:val="14"/>
          <w:color w:val="auto"/>
        </w:rPr>
        <w:t>GODFREY &amp; KAHN IS A MEMBER OF TERRALEX®, A WORLDWIDE NETWORK OF INDEPENDENT LAW FIRMS.</w:t>
      </w:r>
    </w:p>
    <w:p>
      <w:pPr>
        <w:sectPr>
          <w:pgSz w:w="11900" w:h="16838" w:orient="portrait"/>
          <w:cols w:equalWidth="0" w:num="1">
            <w:col w:w="11420"/>
          </w:cols>
          <w:pgMar w:left="240" w:top="5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u w:val="single" w:color="auto"/>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7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We consent to the incorporation by reference in this Registration Statement on Form S-8 of our reports dated February 18, 2009, relating to the consolidated financial statements and financial statement schedule of Manpower Inc. and subsidiaries (the “Company”), and the effectiveness of the Company’s internal control over financial reporting, incorporated by reference in the Annual Report on Form 10-K of Manpower Inc. for the 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101215"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0121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Milwaukee, WI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September 4, 2009</w:t>
      </w:r>
    </w:p>
    <w:p>
      <w:pPr>
        <w:sectPr>
          <w:pgSz w:w="11900" w:h="16838" w:orient="portrait"/>
          <w:cols w:equalWidth="0" w:num="1">
            <w:col w:w="11420"/>
          </w:cols>
          <w:pgMar w:left="240" w:top="12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u w:val="single" w:color="auto"/>
          <w:color w:val="auto"/>
        </w:rPr>
        <w:t>Exhibit 24.1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S-8 for the 2003 Equity Incentive Plan)</w:t>
      </w:r>
    </w:p>
    <w:p>
      <w:pPr>
        <w:spacing w:after="0" w:line="188"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Each of the undersigned directors of Manpower Inc. (the “Company”) designates each of Jeffrey A. Joerres, Michael J. Van Handel and Kenneth C. Hunt, with the power of substitution, as the undersigned’s true and lawful attorney-in-fact for the purpose of: (i) executing in the undersigned’s name and on the undersigned’s behalf the Company’s Registration Statement on Form S-8 relating to the 2003 Equity Incentive Plan and any related amendments (including post-effective amendments) and/or supplements to said Form S-8; (ii) generally doing all things in the undersigned’s name and on the undersigned’s behalf in the undersigned’s capacity as a director to enable the Company to comply with the provisions of the Securities Exchange Act of 1934, as amended, the Securities Act of 1933, as amended, and all requirements of the Securities and Exchange Commission; and (iii) r atifying and confirming the undersigned’s signature as it may be signed by the attorney-in-fact to the Form S-8 and any related amendments (including post-effective amendments) and/or supplements thereto.</w:t>
      </w:r>
    </w:p>
    <w:p>
      <w:pPr>
        <w:spacing w:after="0" w:line="159"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IN WITNESS WHEREOF, the undersigned have each executed this Power of Attorney for Registration Statement on Form S-8, on one or more counterparts, as of the 22nd day of July, 2009.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-17780</wp:posOffset>
            </wp:positionV>
            <wp:extent cx="24847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8475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2"/>
          <w:szCs w:val="22"/>
          <w:color w:val="auto"/>
        </w:rPr>
        <w:t>Marc J. Bolland</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-17780</wp:posOffset>
            </wp:positionV>
            <wp:extent cx="25152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1523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2"/>
          <w:szCs w:val="22"/>
          <w:color w:val="auto"/>
        </w:rPr>
        <w:t>Gina R. Boswell</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9"/>
          <w:szCs w:val="19"/>
          <w:color w:val="auto"/>
        </w:rPr>
        <w:t>/s/ 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3810</wp:posOffset>
            </wp:positionV>
            <wp:extent cx="25469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Jack M. Greenberg</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9"/>
          <w:szCs w:val="19"/>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3810</wp:posOffset>
            </wp:positionV>
            <wp:extent cx="257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3655" cy="8890"/>
                    </a:xfrm>
                    <a:prstGeom prst="rect">
                      <a:avLst/>
                    </a:prstGeom>
                    <a:noFill/>
                  </pic:spPr>
                </pic:pic>
              </a:graphicData>
            </a:graphic>
          </wp:anchor>
        </w:drawing>
      </w:r>
    </w:p>
    <w:p>
      <w:pPr>
        <w:spacing w:after="0" w:line="2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Jeffrey A. Joerres</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9"/>
          <w:szCs w:val="19"/>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3810</wp:posOffset>
            </wp:positionV>
            <wp:extent cx="259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1435" cy="8890"/>
                    </a:xfrm>
                    <a:prstGeom prst="rect">
                      <a:avLst/>
                    </a:prstGeom>
                    <a:noFill/>
                  </pic:spPr>
                </pic:pic>
              </a:graphicData>
            </a:graphic>
          </wp:anchor>
        </w:drawing>
      </w:r>
    </w:p>
    <w:p>
      <w:pPr>
        <w:spacing w:after="0" w:line="2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Roberto Mendoza</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-17780</wp:posOffset>
            </wp:positionV>
            <wp:extent cx="25838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83815" cy="889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2"/>
          <w:szCs w:val="22"/>
          <w:color w:val="auto"/>
        </w:rPr>
        <w:t>Edward J. Zore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/s/ J. Thomas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461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6189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J. Thomas Bouchard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24657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6570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Cari M. Dominguez</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452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Terry A. Hueneke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4314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3141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Ulice Payne, Jr.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4549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491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John R. Walter</w:t>
      </w:r>
    </w:p>
    <w:sectPr>
      <w:pgSz w:w="11900" w:h="16838" w:orient="portrait"/>
      <w:cols w:equalWidth="0" w:num="2">
        <w:col w:w="4100" w:space="720"/>
        <w:col w:w="6600"/>
      </w:cols>
      <w:pgMar w:left="24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lowerLetter"/>
      <w:start w:val="5"/>
    </w:lvl>
  </w:abstractNum>
  <w:abstractNum w:abstractNumId="3">
    <w:nsid w:val="8138641"/>
    <w:multiLevelType w:val="hybridMultilevel"/>
    <w:lvl w:ilvl="0">
      <w:lvlJc w:val="left"/>
      <w:lvlText w:val="%1"/>
      <w:numFmt w:val="decimal"/>
      <w:start w:val="1"/>
    </w:lvl>
    <w:lvl w:ilvl="1">
      <w:lvlJc w:val="left"/>
      <w:lvlText w:val="(%2)"/>
      <w:numFmt w:val="lowerLetter"/>
      <w:start w:val="16"/>
    </w:lvl>
  </w:abstractNum>
  <w:abstractNum w:abstractNumId="4">
    <w:nsid w:val="1E7FF521"/>
    <w:multiLevelType w:val="hybridMultilevel"/>
    <w:lvl w:ilvl="0">
      <w:lvlJc w:val="left"/>
      <w:lvlText w:val="%1."/>
      <w:numFmt w:val="decimal"/>
      <w:start w:val="1"/>
    </w:lvl>
    <w:lvl w:ilvl="1">
      <w:lvlJc w:val="left"/>
      <w:lvlText w:val="%2"/>
      <w:numFmt w:val="lowerLetter"/>
      <w:start w:val="1"/>
    </w:lvl>
  </w:abstractNum>
  <w:abstractNum w:abstractNumId="5">
    <w:nsid w:val="7C3DBD3D"/>
    <w:multiLevelType w:val="hybridMultilevel"/>
    <w:lvl w:ilvl="0">
      <w:lvlJc w:val="left"/>
      <w:lvlText w:val="%1."/>
      <w:numFmt w:val="decimal"/>
      <w:start w:val="18"/>
    </w:lvl>
  </w:abstractNum>
  <w:abstractNum w:abstractNumId="6">
    <w:nsid w:val="737B8DDC"/>
    <w:multiLevelType w:val="hybridMultilevel"/>
    <w:lvl w:ilvl="0">
      <w:lvlJc w:val="left"/>
      <w:lvlText w:val="(%1)"/>
      <w:numFmt w:val="lowerLetter"/>
      <w:start w:val="22"/>
    </w:lvl>
    <w:lvl w:ilvl="1">
      <w:lvlJc w:val="left"/>
      <w:lvlText w:val="(%2)"/>
      <w:numFmt w:val="decimal"/>
      <w:start w:val="1"/>
    </w:lvl>
  </w:abstractNum>
  <w:abstractNum w:abstractNumId="7">
    <w:nsid w:val="6CEAF087"/>
    <w:multiLevelType w:val="hybridMultilevel"/>
    <w:lvl w:ilvl="0">
      <w:lvlJc w:val="left"/>
      <w:lvlText w:val="(%1)"/>
      <w:numFmt w:val="lowerLetter"/>
      <w:start w:val="26"/>
    </w:lvl>
  </w:abstractNum>
  <w:abstractNum w:abstractNumId="8">
    <w:nsid w:val="22221A70"/>
    <w:multiLevelType w:val="hybridMultilevel"/>
    <w:lvl w:ilvl="0">
      <w:lvlJc w:val="left"/>
      <w:lvlText w:val="(%1)"/>
      <w:numFmt w:val="lowerLetter"/>
      <w:start w:val="27"/>
    </w:lvl>
  </w:abstractNum>
  <w:abstractNum w:abstractNumId="9">
    <w:nsid w:val="4516DDE9"/>
    <w:multiLevelType w:val="hybridMultilevel"/>
    <w:lvl w:ilvl="0">
      <w:lvlJc w:val="left"/>
      <w:lvlText w:val="(%1)"/>
      <w:numFmt w:val="lowerLetter"/>
      <w:start w:val="34"/>
    </w:lvl>
    <w:lvl w:ilvl="1">
      <w:lvlJc w:val="left"/>
      <w:lvlText w:val="(%2)"/>
      <w:numFmt w:val="decimal"/>
      <w:start w:val="1"/>
    </w:lvl>
  </w:abstractNum>
  <w:abstractNum w:abstractNumId="10">
    <w:nsid w:val="3006C83E"/>
    <w:multiLevelType w:val="hybridMultilevel"/>
    <w:lvl w:ilvl="0">
      <w:lvlJc w:val="left"/>
      <w:lvlText w:val="(%1)"/>
      <w:numFmt w:val="decimal"/>
      <w:start w:val="5"/>
    </w:lvl>
  </w:abstractNum>
  <w:abstractNum w:abstractNumId="11">
    <w:nsid w:val="614FD4A1"/>
    <w:multiLevelType w:val="hybridMultilevel"/>
    <w:lvl w:ilvl="0">
      <w:lvlJc w:val="left"/>
      <w:lvlText w:val="%1."/>
      <w:numFmt w:val="decimal"/>
      <w:start w:val="4"/>
    </w:lvl>
    <w:lvl w:ilvl="1">
      <w:lvlJc w:val="left"/>
      <w:lvlText w:val="(%2)"/>
      <w:numFmt w:val="lowerLetter"/>
      <w:start w:val="1"/>
    </w:lvl>
  </w:abstractNum>
  <w:abstractNum w:abstractNumId="12">
    <w:nsid w:val="419AC241"/>
    <w:multiLevelType w:val="hybridMultilevel"/>
    <w:lvl w:ilvl="0">
      <w:lvlJc w:val="left"/>
      <w:lvlText w:val="%1"/>
      <w:numFmt w:val="decimal"/>
      <w:start w:val="1"/>
    </w:lvl>
    <w:lvl w:ilvl="1">
      <w:lvlJc w:val="left"/>
      <w:lvlText w:val="(%2)"/>
      <w:numFmt w:val="lowerLetter"/>
      <w:start w:val="2"/>
    </w:lvl>
  </w:abstractNum>
  <w:abstractNum w:abstractNumId="13">
    <w:nsid w:val="5577F8E1"/>
    <w:multiLevelType w:val="hybridMultilevel"/>
    <w:lvl w:ilvl="0">
      <w:lvlJc w:val="left"/>
      <w:lvlText w:val="%1."/>
      <w:numFmt w:val="decimal"/>
      <w:start w:val="5"/>
    </w:lvl>
    <w:lvl w:ilvl="1">
      <w:lvlJc w:val="left"/>
      <w:lvlText w:val="(%2)"/>
      <w:numFmt w:val="lowerLetter"/>
      <w:start w:val="1"/>
    </w:lvl>
  </w:abstractNum>
  <w:abstractNum w:abstractNumId="14">
    <w:nsid w:val="440BADFC"/>
    <w:multiLevelType w:val="hybridMultilevel"/>
    <w:lvl w:ilvl="0">
      <w:lvlJc w:val="left"/>
      <w:lvlText w:val="%1."/>
      <w:numFmt w:val="decimal"/>
      <w:start w:val="6"/>
    </w:lvl>
    <w:lvl w:ilvl="1">
      <w:lvlJc w:val="left"/>
      <w:lvlText w:val="(%2)"/>
      <w:numFmt w:val="lowerLetter"/>
      <w:start w:val="1"/>
    </w:lvl>
  </w:abstractNum>
  <w:abstractNum w:abstractNumId="15">
    <w:nsid w:val="5072367"/>
    <w:multiLevelType w:val="hybridMultilevel"/>
    <w:lvl w:ilvl="0">
      <w:lvlJc w:val="left"/>
      <w:lvlText w:val="(%1)"/>
      <w:numFmt w:val="lowerLetter"/>
      <w:start w:val="1"/>
    </w:lvl>
    <w:lvl w:ilvl="1">
      <w:lvlJc w:val="left"/>
      <w:lvlText w:val="(%2)"/>
      <w:numFmt w:val="lowerLetter"/>
      <w:start w:val="2"/>
    </w:lvl>
  </w:abstractNum>
  <w:abstractNum w:abstractNumId="16">
    <w:nsid w:val="3804823E"/>
    <w:multiLevelType w:val="hybridMultilevel"/>
    <w:lvl w:ilvl="0">
      <w:lvlJc w:val="left"/>
      <w:lvlText w:val="(%1)"/>
      <w:numFmt w:val="lowerLetter"/>
      <w:start w:val="4"/>
    </w:lvl>
  </w:abstractNum>
  <w:abstractNum w:abstractNumId="17">
    <w:nsid w:val="77465F01"/>
    <w:multiLevelType w:val="hybridMultilevel"/>
    <w:lvl w:ilvl="0">
      <w:lvlJc w:val="left"/>
      <w:lvlText w:val="(%1)"/>
      <w:numFmt w:val="lowerLetter"/>
      <w:start w:val="5"/>
    </w:lvl>
    <w:lvl w:ilvl="1">
      <w:lvlJc w:val="left"/>
      <w:lvlText w:val="(%2)"/>
      <w:numFmt w:val="decimal"/>
      <w:start w:val="1"/>
    </w:lvl>
  </w:abstractNum>
  <w:abstractNum w:abstractNumId="18">
    <w:nsid w:val="7724C67E"/>
    <w:multiLevelType w:val="hybridMultilevel"/>
    <w:lvl w:ilvl="0">
      <w:lvlJc w:val="left"/>
      <w:lvlText w:val="(%1)"/>
      <w:numFmt w:val="decimal"/>
      <w:start w:val="2"/>
    </w:lvl>
    <w:lvl w:ilvl="1">
      <w:lvlJc w:val="left"/>
      <w:lvlText w:val="(%2)"/>
      <w:numFmt w:val="upperLetter"/>
      <w:start w:val="1"/>
    </w:lvl>
  </w:abstractNum>
  <w:abstractNum w:abstractNumId="19">
    <w:nsid w:val="5C482A97"/>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20">
    <w:nsid w:val="2463B9E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1">
    <w:nsid w:val="5E884ADC"/>
    <w:multiLevelType w:val="hybridMultilevel"/>
    <w:lvl w:ilvl="0">
      <w:lvlJc w:val="left"/>
      <w:lvlText w:val="(%1)"/>
      <w:numFmt w:val="lowerLetter"/>
      <w:start w:val="1"/>
    </w:lvl>
    <w:lvl w:ilvl="1">
      <w:lvlJc w:val="left"/>
      <w:lvlText w:val="(%2)"/>
      <w:numFmt w:val="decimal"/>
      <w:start w:val="1"/>
    </w:lvl>
  </w:abstractNum>
  <w:abstractNum w:abstractNumId="22">
    <w:nsid w:val="51EAD36B"/>
    <w:multiLevelType w:val="hybridMultilevel"/>
    <w:lvl w:ilvl="0">
      <w:lvlJc w:val="left"/>
      <w:lvlText w:val="(%1)"/>
      <w:numFmt w:val="lowerLetter"/>
      <w:start w:val="5"/>
    </w:lvl>
  </w:abstractNum>
  <w:abstractNum w:abstractNumId="23">
    <w:nsid w:val="2D517796"/>
    <w:multiLevelType w:val="hybridMultilevel"/>
    <w:lvl w:ilvl="0">
      <w:lvlJc w:val="left"/>
      <w:lvlText w:val="%1"/>
      <w:numFmt w:val="decimal"/>
      <w:start w:val="1"/>
    </w:lvl>
    <w:lvl w:ilvl="1">
      <w:lvlJc w:val="left"/>
      <w:lvlText w:val="(%2)"/>
      <w:numFmt w:val="lowerLetter"/>
      <w:start w:val="10"/>
    </w:lvl>
  </w:abstractNum>
  <w:abstractNum w:abstractNumId="24">
    <w:nsid w:val="580BD78F"/>
    <w:multiLevelType w:val="hybridMultilevel"/>
    <w:lvl w:ilvl="0">
      <w:lvlJc w:val="left"/>
      <w:lvlText w:val="%1."/>
      <w:numFmt w:val="decimal"/>
      <w:start w:val="9"/>
    </w:lvl>
    <w:lvl w:ilvl="1">
      <w:lvlJc w:val="left"/>
      <w:lvlText w:val="%2"/>
      <w:numFmt w:val="lowerLetter"/>
      <w:start w:val="1"/>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lowerLetter"/>
      <w:start w:val="3"/>
    </w:lvl>
    <w:lvl w:ilvl="1">
      <w:lvlJc w:val="left"/>
      <w:lvlText w:val="(%2)"/>
      <w:numFmt w:val="decimal"/>
      <w:start w:val="1"/>
    </w:lvl>
  </w:abstractNum>
  <w:abstractNum w:abstractNumId="27">
    <w:nsid w:val="70A64E2A"/>
    <w:multiLevelType w:val="hybridMultilevel"/>
    <w:lvl w:ilvl="0">
      <w:lvlJc w:val="left"/>
      <w:lvlText w:val="(%1)"/>
      <w:numFmt w:val="decimal"/>
      <w:start w:val="2"/>
    </w:lvl>
    <w:lvl w:ilvl="1">
      <w:lvlJc w:val="left"/>
      <w:lvlText w:val="(%2)"/>
      <w:numFmt w:val="upperLetter"/>
      <w:start w:val="1"/>
    </w:lvl>
  </w:abstractNum>
  <w:abstractNum w:abstractNumId="28">
    <w:nsid w:val="6A2342EC"/>
    <w:multiLevelType w:val="hybridMultilevel"/>
    <w:lvl w:ilvl="0">
      <w:lvlJc w:val="left"/>
      <w:lvlText w:val="%1"/>
      <w:numFmt w:val="decimal"/>
      <w:start w:val="1"/>
    </w:lvl>
    <w:lvl w:ilvl="1">
      <w:lvlJc w:val="left"/>
      <w:lvlText w:val="(%2)"/>
      <w:numFmt w:val="lowerLetter"/>
      <w:start w:val="7"/>
    </w:lvl>
  </w:abstractNum>
  <w:abstractNum w:abstractNumId="29">
    <w:nsid w:val="2A487CB0"/>
    <w:multiLevelType w:val="hybridMultilevel"/>
    <w:lvl w:ilvl="0">
      <w:lvlJc w:val="left"/>
      <w:lvlText w:val="%1."/>
      <w:numFmt w:val="decimal"/>
      <w:start w:val="10"/>
    </w:lvl>
    <w:lvl w:ilvl="1">
      <w:lvlJc w:val="left"/>
      <w:lvlText w:val="%2"/>
      <w:numFmt w:val="lowerLetter"/>
      <w:start w:val="1"/>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3"/>
    </w:lvl>
    <w:lvl w:ilvl="1">
      <w:lvlJc w:val="left"/>
      <w:lvlText w:val="(%2)"/>
      <w:numFmt w:val="decimal"/>
      <w:start w:val="1"/>
    </w:lvl>
  </w:abstractNum>
  <w:abstractNum w:abstractNumId="32">
    <w:nsid w:val="2CD89A32"/>
    <w:multiLevelType w:val="hybridMultilevel"/>
    <w:lvl w:ilvl="0">
      <w:lvlJc w:val="left"/>
      <w:lvlText w:val="%1"/>
      <w:numFmt w:val="decimal"/>
      <w:start w:val="1"/>
    </w:lvl>
    <w:lvl w:ilvl="1">
      <w:lvlJc w:val="left"/>
      <w:lvlText w:val="(%2)"/>
      <w:numFmt w:val="lowerLetter"/>
      <w:start w:val="6"/>
    </w:lvl>
  </w:abstractNum>
  <w:abstractNum w:abstractNumId="33">
    <w:nsid w:val="57E4CCAF"/>
    <w:multiLevelType w:val="hybridMultilevel"/>
    <w:lvl w:ilvl="0">
      <w:lvlJc w:val="left"/>
      <w:lvlText w:val="%1."/>
      <w:numFmt w:val="decimal"/>
      <w:start w:val="11"/>
    </w:lvl>
    <w:lvl w:ilvl="1">
      <w:lvlJc w:val="left"/>
      <w:lvlText w:val="%2"/>
      <w:numFmt w:val="lowerLetter"/>
      <w:start w:val="1"/>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lowerLetter"/>
      <w:start w:val="2"/>
    </w:lvl>
    <w:lvl w:ilvl="1">
      <w:lvlJc w:val="left"/>
      <w:lvlText w:val="(%2)"/>
      <w:numFmt w:val="decimal"/>
      <w:start w:val="1"/>
    </w:lvl>
  </w:abstractNum>
  <w:abstractNum w:abstractNumId="36">
    <w:nsid w:val="542289EC"/>
    <w:multiLevelType w:val="hybridMultilevel"/>
    <w:lvl w:ilvl="0">
      <w:lvlJc w:val="left"/>
      <w:lvlText w:val="(%1)"/>
      <w:numFmt w:val="lowerLetter"/>
      <w:start w:val="6"/>
    </w:lvl>
  </w:abstractNum>
  <w:abstractNum w:abstractNumId="37">
    <w:nsid w:val="6DE91B18"/>
    <w:multiLevelType w:val="hybridMultilevel"/>
    <w:lvl w:ilvl="0">
      <w:lvlJc w:val="left"/>
      <w:lvlText w:val="(%1)"/>
      <w:numFmt w:val="lowerLetter"/>
      <w:start w:val="8"/>
    </w:lvl>
  </w:abstractNum>
  <w:abstractNum w:abstractNumId="38">
    <w:nsid w:val="38437FDB"/>
    <w:multiLevelType w:val="hybridMultilevel"/>
    <w:lvl w:ilvl="0">
      <w:lvlJc w:val="left"/>
      <w:lvlText w:val="%1."/>
      <w:numFmt w:val="decimal"/>
      <w:start w:val="13"/>
    </w:lvl>
    <w:lvl w:ilvl="1">
      <w:lvlJc w:val="left"/>
      <w:lvlText w:val="(%2)"/>
      <w:numFmt w:val="lowerLetter"/>
      <w:start w:val="1"/>
    </w:lvl>
  </w:abstractNum>
  <w:abstractNum w:abstractNumId="39">
    <w:nsid w:val="7644A45C"/>
    <w:multiLevelType w:val="hybridMultilevel"/>
    <w:lvl w:ilvl="0">
      <w:lvlJc w:val="left"/>
      <w:lvlText w:val="%1."/>
      <w:numFmt w:val="decimal"/>
      <w:start w:val="14"/>
    </w:lvl>
    <w:lvl w:ilvl="1">
      <w:lvlJc w:val="left"/>
      <w:lvlText w:val="(%2)"/>
      <w:numFmt w:val="lowerLetter"/>
      <w:start w:val="1"/>
    </w:lvl>
  </w:abstractNum>
  <w:abstractNum w:abstractNumId="40">
    <w:nsid w:val="32FFF902"/>
    <w:multiLevelType w:val="hybridMultilevel"/>
    <w:lvl w:ilvl="0">
      <w:lvlJc w:val="left"/>
      <w:lvlText w:val="%1."/>
      <w:numFmt w:val="decimal"/>
      <w:start w:val="1"/>
    </w:lvl>
    <w:lvl w:ilvl="1">
      <w:lvlJc w:val="left"/>
      <w:lvlText w:val="(%2)"/>
      <w:numFmt w:val="lowerLetter"/>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7"/>
    </w:lvl>
  </w:abstractNum>
  <w:abstractNum w:abstractNumId="43">
    <w:nsid w:val="749ABB43"/>
    <w:multiLevelType w:val="hybridMultilevel"/>
    <w:lvl w:ilvl="0">
      <w:lvlJc w:val="left"/>
      <w:lvlText w:val="%1."/>
      <w:numFmt w:val="decimal"/>
      <w:start w:val="4"/>
    </w:lvl>
    <w:lvl w:ilvl="1">
      <w:lvlJc w:val="left"/>
      <w:lvlText w:val="(%2)"/>
      <w:numFmt w:val="lowerLetter"/>
      <w:start w:val="1"/>
    </w:lvl>
  </w:abstractNum>
  <w:abstractNum w:abstractNumId="44">
    <w:nsid w:val="3DC240FB"/>
    <w:multiLevelType w:val="hybridMultilevel"/>
    <w:lvl w:ilvl="0">
      <w:lvlJc w:val="left"/>
      <w:lvlText w:val="(%1)"/>
      <w:numFmt w:val="lowerLetter"/>
      <w:start w:val="3"/>
    </w:lvl>
  </w:abstractNum>
  <w:abstractNum w:abstractNumId="45">
    <w:nsid w:val="1BA026FA"/>
    <w:multiLevelType w:val="hybridMultilevel"/>
    <w:lvl w:ilvl="0">
      <w:lvlJc w:val="left"/>
      <w:lvlText w:val="%1"/>
      <w:numFmt w:val="decimal"/>
      <w:start w:val="1"/>
    </w:lvl>
    <w:lvl w:ilvl="1">
      <w:lvlJc w:val="left"/>
      <w:lvlText w:val="(%2)"/>
      <w:numFmt w:val="upperLetter"/>
      <w:start w:val="1"/>
    </w:lvl>
  </w:abstractNum>
  <w:abstractNum w:abstractNumId="46">
    <w:nsid w:val="79A1DEAA"/>
    <w:multiLevelType w:val="hybridMultilevel"/>
    <w:lvl w:ilvl="0">
      <w:lvlJc w:val="left"/>
      <w:lvlText w:val="(%1)"/>
      <w:numFmt w:val="decimal"/>
      <w:start w:val="1"/>
    </w:lvl>
    <w:lvl w:ilvl="1">
      <w:lvlJc w:val="left"/>
      <w:lvlText w:val="(%2)"/>
      <w:numFmt w:val="upperLetter"/>
      <w:start w:val="2"/>
    </w:lvl>
  </w:abstractNum>
  <w:abstractNum w:abstractNumId="47">
    <w:nsid w:val="75C6C33A"/>
    <w:multiLevelType w:val="hybridMultilevel"/>
    <w:lvl w:ilvl="0">
      <w:lvlJc w:val="left"/>
      <w:lvlText w:val="%1"/>
      <w:numFmt w:val="lowerLetter"/>
      <w:start w:val="1"/>
    </w:lvl>
    <w:lvl w:ilvl="1">
      <w:lvlJc w:val="left"/>
      <w:lvlText w:val="(%2)"/>
      <w:numFmt w:val="upperLetter"/>
      <w:start w:val="3"/>
    </w:lvl>
  </w:abstractNum>
  <w:abstractNum w:abstractNumId="48">
    <w:nsid w:val="12E685FB"/>
    <w:multiLevelType w:val="hybridMultilevel"/>
    <w:lvl w:ilvl="0">
      <w:lvlJc w:val="left"/>
      <w:lvlText w:val="(%1)"/>
      <w:numFmt w:val="lowerLetter"/>
      <w:start w:val="7"/>
    </w:lvl>
    <w:lvl w:ilvl="1">
      <w:lvlJc w:val="left"/>
      <w:lvlText w:val="%2"/>
      <w:numFmt w:val="upperLetter"/>
      <w:start w:val="1"/>
    </w:lvl>
  </w:abstractNum>
  <w:abstractNum w:abstractNumId="49">
    <w:nsid w:val="70C6A529"/>
    <w:multiLevelType w:val="hybridMultilevel"/>
    <w:lvl w:ilvl="0">
      <w:lvlJc w:val="left"/>
      <w:lvlText w:val="(%1)"/>
      <w:numFmt w:val="decimal"/>
      <w:start w:val="18"/>
    </w:lvl>
  </w:abstractNum>
  <w:abstractNum w:abstractNumId="50">
    <w:nsid w:val="520EEDD1"/>
    <w:multiLevelType w:val="hybridMultilevel"/>
    <w:lvl w:ilvl="0">
      <w:lvlJc w:val="left"/>
      <w:lvlText w:val="(%1)"/>
      <w:numFmt w:val="lowerLetter"/>
      <w:start w:val="10"/>
    </w:lvl>
  </w:abstractNum>
  <w:abstractNum w:abstractNumId="51">
    <w:nsid w:val="374A3FE6"/>
    <w:multiLevelType w:val="hybridMultilevel"/>
    <w:lvl w:ilvl="0">
      <w:lvlJc w:val="left"/>
      <w:lvlText w:val="%1"/>
      <w:numFmt w:val="decimal"/>
      <w:start w:val="1"/>
    </w:lvl>
    <w:lvl w:ilvl="1">
      <w:lvlJc w:val="left"/>
      <w:lvlText w:val="(%2)"/>
      <w:numFmt w:val="lowerLetter"/>
      <w:start w:val="12"/>
    </w:lvl>
  </w:abstractNum>
  <w:abstractNum w:abstractNumId="52">
    <w:nsid w:val="4F4EF005"/>
    <w:multiLevelType w:val="hybridMultilevel"/>
    <w:lvl w:ilvl="0">
      <w:lvlJc w:val="left"/>
      <w:lvlText w:val="%1."/>
      <w:numFmt w:val="decimal"/>
      <w:start w:val="5"/>
    </w:lvl>
    <w:lvl w:ilvl="1">
      <w:lvlJc w:val="left"/>
      <w:lvlText w:val="(%2)"/>
      <w:numFmt w:val="lowerLetter"/>
      <w:start w:val="1"/>
    </w:lvl>
  </w:abstractNum>
  <w:abstractNum w:abstractNumId="53">
    <w:nsid w:val="23F9C13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4">
    <w:nsid w:val="649BB77C"/>
    <w:multiLevelType w:val="hybridMultilevel"/>
    <w:lvl w:ilvl="0">
      <w:lvlJc w:val="left"/>
      <w:lvlText w:val="%1"/>
      <w:numFmt w:val="decimal"/>
      <w:start w:val="1"/>
    </w:lvl>
    <w:lvl w:ilvl="1">
      <w:lvlJc w:val="left"/>
      <w:lvlText w:val="(%2)"/>
      <w:numFmt w:val="decimal"/>
      <w:start w:val="5"/>
    </w:lvl>
  </w:abstractNum>
  <w:abstractNum w:abstractNumId="55">
    <w:nsid w:val="275AC794"/>
    <w:multiLevelType w:val="hybridMultilevel"/>
    <w:lvl w:ilvl="0">
      <w:lvlJc w:val="left"/>
      <w:lvlText w:val="%1."/>
      <w:numFmt w:val="decimal"/>
      <w:start w:val="7"/>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2019-12-10T09:37:25Z</dcterms:created>
  <dcterms:modified xsi:type="dcterms:W3CDTF">2019-12-10T09:37:25Z</dcterms:modified>
</cp:coreProperties>
</file>